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0120489A" w:rsidR="00D76BB2" w:rsidRDefault="00D76BB2" w:rsidP="00D76BB2">
      <w:pPr>
        <w:rPr>
          <w:b/>
          <w:sz w:val="40"/>
          <w:szCs w:val="40"/>
        </w:rPr>
      </w:pPr>
      <w:bookmarkStart w:id="0" w:name="_GoBack"/>
      <w:bookmarkEnd w:id="0"/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77777777" w:rsidR="00D76BB2" w:rsidRPr="00A972FC" w:rsidRDefault="00D76BB2" w:rsidP="00D76BB2">
      <w:pPr>
        <w:jc w:val="center"/>
        <w:rPr>
          <w:rFonts w:ascii="Arial" w:hAnsi="Arial" w:cs="Arial"/>
          <w:b/>
        </w:rPr>
      </w:pPr>
      <w:r w:rsidRPr="00A972FC">
        <w:rPr>
          <w:rFonts w:ascii="Arial" w:hAnsi="Arial" w:cs="Arial"/>
          <w:b/>
        </w:rPr>
        <w:t>Energy Storage and Dist</w:t>
      </w:r>
      <w:r>
        <w:rPr>
          <w:rFonts w:ascii="Arial" w:hAnsi="Arial" w:cs="Arial"/>
          <w:b/>
        </w:rPr>
        <w:t>ributed Energy Resources (ESDER) Phase 4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5AFFDCC9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CB6C21">
        <w:rPr>
          <w:rFonts w:ascii="Arial" w:hAnsi="Arial" w:cs="Arial"/>
        </w:rPr>
        <w:t xml:space="preserve">Straw Proposal </w:t>
      </w:r>
      <w:r>
        <w:rPr>
          <w:rFonts w:ascii="Arial" w:hAnsi="Arial" w:cs="Arial"/>
        </w:rPr>
        <w:t>for ESDER Phase 4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12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3A2C5630" w:rsidR="00D76BB2" w:rsidRPr="00615C17" w:rsidRDefault="00D76BB2" w:rsidP="00D76BB2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13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CB6C21">
        <w:rPr>
          <w:rFonts w:ascii="Arial" w:hAnsi="Arial" w:cs="Arial"/>
          <w:b/>
          <w:color w:val="FF0000"/>
        </w:rPr>
        <w:t>May 17</w:t>
      </w:r>
      <w:r w:rsidRPr="0039682C">
        <w:rPr>
          <w:rFonts w:ascii="Arial" w:hAnsi="Arial" w:cs="Arial"/>
          <w:b/>
          <w:color w:val="FF0000"/>
        </w:rPr>
        <w:t>, 201</w:t>
      </w:r>
      <w:r>
        <w:rPr>
          <w:rFonts w:ascii="Arial" w:hAnsi="Arial" w:cs="Arial"/>
          <w:b/>
          <w:color w:val="FF0000"/>
        </w:rPr>
        <w:t>9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3C51E121" w14:textId="312222F5" w:rsidR="00D76BB2" w:rsidRDefault="004C0FCD" w:rsidP="00CB6C2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Grant McDaniel</w:t>
            </w:r>
          </w:p>
          <w:p w14:paraId="27FAA240" w14:textId="56BD8829" w:rsidR="00427843" w:rsidRPr="008A0297" w:rsidRDefault="00AE6893" w:rsidP="00CB6C21">
            <w:pPr>
              <w:rPr>
                <w:rFonts w:ascii="Arial" w:hAnsi="Arial" w:cs="Arial"/>
                <w:i/>
              </w:rPr>
            </w:pPr>
            <w:hyperlink r:id="rId14" w:history="1">
              <w:r w:rsidR="004C0FCD" w:rsidRPr="00F94510">
                <w:rPr>
                  <w:rStyle w:val="Hyperlink"/>
                  <w:rFonts w:ascii="Arial" w:hAnsi="Arial" w:cs="Arial"/>
                  <w:i/>
                </w:rPr>
                <w:t>gmcdaniel@wellhead.com</w:t>
              </w:r>
            </w:hyperlink>
          </w:p>
        </w:tc>
        <w:tc>
          <w:tcPr>
            <w:tcW w:w="2880" w:type="dxa"/>
          </w:tcPr>
          <w:p w14:paraId="552F3E46" w14:textId="62609E8D" w:rsidR="00D76BB2" w:rsidRPr="008A0297" w:rsidRDefault="004C0FCD" w:rsidP="00CB6C2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Wellhead Electric Company</w:t>
            </w:r>
          </w:p>
        </w:tc>
        <w:tc>
          <w:tcPr>
            <w:tcW w:w="2520" w:type="dxa"/>
          </w:tcPr>
          <w:p w14:paraId="1074F925" w14:textId="1E6E5E6E" w:rsidR="00D76BB2" w:rsidRPr="008A0297" w:rsidRDefault="00427843" w:rsidP="00CB6C2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May 17, 2019</w:t>
            </w: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C170173" w14:textId="77777777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799F8C2A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78D11CF8" w14:textId="2779D8F3" w:rsidR="00D76BB2" w:rsidRPr="00207F97" w:rsidRDefault="00D76BB2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Non-Generator Resource (NGR) model</w:t>
      </w:r>
      <w:r w:rsidR="00B54896">
        <w:rPr>
          <w:rFonts w:ascii="Arial" w:hAnsi="Arial" w:cs="Arial"/>
          <w:b/>
        </w:rPr>
        <w:t xml:space="preserve"> SOC parameter</w:t>
      </w:r>
    </w:p>
    <w:p w14:paraId="67F6D321" w14:textId="6B5DEE49" w:rsidR="009E5770" w:rsidRPr="00D501AA" w:rsidRDefault="004C0FCD" w:rsidP="007C0558">
      <w:pPr>
        <w:spacing w:after="120" w:line="276" w:lineRule="auto"/>
        <w:rPr>
          <w:rFonts w:ascii="Arial" w:hAnsi="Arial" w:cs="Arial"/>
        </w:rPr>
      </w:pPr>
      <w:r w:rsidRPr="00D501AA">
        <w:rPr>
          <w:rFonts w:ascii="Arial" w:hAnsi="Arial" w:cs="Arial"/>
        </w:rPr>
        <w:t>Wellhead commends the CAISO for continuing to look for opportunities to improve the modeling and participation of energy storage resources in the CAISO markets. State-of-charge (SOC) management has been a key issue that is currently resulting in sub-optimal use of energy storage resources.  Wellhead supports the CAISOs</w:t>
      </w:r>
      <w:r w:rsidR="00463660" w:rsidRPr="00D501AA">
        <w:rPr>
          <w:rFonts w:ascii="Arial" w:hAnsi="Arial" w:cs="Arial"/>
        </w:rPr>
        <w:t>’</w:t>
      </w:r>
      <w:r w:rsidRPr="00D501AA">
        <w:rPr>
          <w:rFonts w:ascii="Arial" w:hAnsi="Arial" w:cs="Arial"/>
        </w:rPr>
        <w:t xml:space="preserve"> efforts to improve the ability for scheduling coordinators to have more control over the real-time state of charge but encourages the CAISO to consider more market</w:t>
      </w:r>
      <w:r w:rsidR="002257EC">
        <w:rPr>
          <w:rFonts w:ascii="Arial" w:hAnsi="Arial" w:cs="Arial"/>
        </w:rPr>
        <w:t>-</w:t>
      </w:r>
      <w:r w:rsidRPr="00D501AA">
        <w:rPr>
          <w:rFonts w:ascii="Arial" w:hAnsi="Arial" w:cs="Arial"/>
        </w:rPr>
        <w:t>based solutions</w:t>
      </w:r>
      <w:r w:rsidR="009E5770" w:rsidRPr="00D501AA">
        <w:rPr>
          <w:rFonts w:ascii="Arial" w:hAnsi="Arial" w:cs="Arial"/>
        </w:rPr>
        <w:t xml:space="preserve"> rather than introducing a physical constraint in the market. </w:t>
      </w:r>
      <w:r w:rsidR="00463660" w:rsidRPr="00D501AA">
        <w:rPr>
          <w:rFonts w:ascii="Arial" w:hAnsi="Arial" w:cs="Arial"/>
        </w:rPr>
        <w:t>Having a more physical as opposed to market-based constraint in the market could still result in sub-optimal economic dispatch of resources and introduce other unintended consequences.</w:t>
      </w:r>
    </w:p>
    <w:p w14:paraId="6F1AF691" w14:textId="5C619C6E" w:rsidR="009E5770" w:rsidRPr="00D501AA" w:rsidRDefault="009E5770" w:rsidP="007C0558">
      <w:pPr>
        <w:spacing w:after="120" w:line="276" w:lineRule="auto"/>
        <w:rPr>
          <w:rFonts w:ascii="Arial" w:hAnsi="Arial" w:cs="Arial"/>
        </w:rPr>
      </w:pPr>
      <w:r w:rsidRPr="00D501AA">
        <w:rPr>
          <w:rFonts w:ascii="Arial" w:hAnsi="Arial" w:cs="Arial"/>
        </w:rPr>
        <w:t>M</w:t>
      </w:r>
      <w:r w:rsidR="004C0FCD" w:rsidRPr="00D501AA">
        <w:rPr>
          <w:rFonts w:ascii="Arial" w:hAnsi="Arial" w:cs="Arial"/>
        </w:rPr>
        <w:t xml:space="preserve">arket based solutions can provide SCs with improved control over SOC while not </w:t>
      </w:r>
      <w:r w:rsidRPr="00D501AA">
        <w:rPr>
          <w:rFonts w:ascii="Arial" w:hAnsi="Arial" w:cs="Arial"/>
        </w:rPr>
        <w:t>limiting the flexibility energy storage resources can provide the market. Wellhead is concerned that the current proposal will result in resources essentially becoming a price-taker to ensure the end of hour SOC target is me</w:t>
      </w:r>
      <w:r w:rsidR="00463660" w:rsidRPr="00D501AA">
        <w:rPr>
          <w:rFonts w:ascii="Arial" w:hAnsi="Arial" w:cs="Arial"/>
        </w:rPr>
        <w:t xml:space="preserve">t. </w:t>
      </w:r>
      <w:r w:rsidRPr="00D501AA">
        <w:rPr>
          <w:rFonts w:ascii="Arial" w:hAnsi="Arial" w:cs="Arial"/>
        </w:rPr>
        <w:t>Under such a scenario,</w:t>
      </w:r>
      <w:r w:rsidR="00463660" w:rsidRPr="00D501AA">
        <w:rPr>
          <w:rFonts w:ascii="Arial" w:hAnsi="Arial" w:cs="Arial"/>
        </w:rPr>
        <w:t xml:space="preserve"> the market would not only see limited flexibility from that storage resource, but the resource could also be foregoing a more optimal economic dispatch.</w:t>
      </w:r>
      <w:r w:rsidRPr="00D501AA">
        <w:rPr>
          <w:rFonts w:ascii="Arial" w:hAnsi="Arial" w:cs="Arial"/>
        </w:rPr>
        <w:t xml:space="preserve"> Wellhead </w:t>
      </w:r>
      <w:r w:rsidR="00463660" w:rsidRPr="00D501AA">
        <w:rPr>
          <w:rFonts w:ascii="Arial" w:hAnsi="Arial" w:cs="Arial"/>
        </w:rPr>
        <w:t xml:space="preserve">also seeks clarification on </w:t>
      </w:r>
      <w:r w:rsidR="002257EC">
        <w:rPr>
          <w:rFonts w:ascii="Arial" w:hAnsi="Arial" w:cs="Arial"/>
        </w:rPr>
        <w:t>the impact to the must offer obligation.</w:t>
      </w:r>
      <w:r w:rsidRPr="00D501AA">
        <w:rPr>
          <w:rFonts w:ascii="Arial" w:hAnsi="Arial" w:cs="Arial"/>
        </w:rPr>
        <w:t xml:space="preserve"> For example, would RAAIM penalties be assessed</w:t>
      </w:r>
      <w:r w:rsidR="002257EC">
        <w:rPr>
          <w:rFonts w:ascii="Arial" w:hAnsi="Arial" w:cs="Arial"/>
        </w:rPr>
        <w:t>, or potentially a future UCAP value be impacted,</w:t>
      </w:r>
      <w:r w:rsidRPr="00D501AA">
        <w:rPr>
          <w:rFonts w:ascii="Arial" w:hAnsi="Arial" w:cs="Arial"/>
        </w:rPr>
        <w:t xml:space="preserve"> if a flexible RA resource with economic offers that, due to the SOC target constraint, become</w:t>
      </w:r>
      <w:r w:rsidR="002257EC">
        <w:rPr>
          <w:rFonts w:ascii="Arial" w:hAnsi="Arial" w:cs="Arial"/>
        </w:rPr>
        <w:t xml:space="preserve"> a self-schedule</w:t>
      </w:r>
      <w:r w:rsidRPr="00D501AA">
        <w:rPr>
          <w:rFonts w:ascii="Arial" w:hAnsi="Arial" w:cs="Arial"/>
        </w:rPr>
        <w:t xml:space="preserve">? </w:t>
      </w:r>
    </w:p>
    <w:p w14:paraId="7552F277" w14:textId="77777777" w:rsidR="00D76BB2" w:rsidRPr="00690BAD" w:rsidRDefault="00D76BB2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Bidding requirements for energy storage resources</w:t>
      </w:r>
      <w:r w:rsidRPr="00690BAD">
        <w:rPr>
          <w:rFonts w:ascii="Arial" w:hAnsi="Arial" w:cs="Arial"/>
          <w:color w:val="002060"/>
        </w:rPr>
        <w:t xml:space="preserve"> </w:t>
      </w:r>
    </w:p>
    <w:p w14:paraId="0A2CB5EC" w14:textId="0F9292B9" w:rsidR="00D76BB2" w:rsidRDefault="004C0FCD" w:rsidP="004C0FCD">
      <w:pPr>
        <w:pStyle w:val="ListParagraph"/>
        <w:rPr>
          <w:rFonts w:ascii="Arial" w:hAnsi="Arial" w:cs="Arial"/>
        </w:rPr>
      </w:pPr>
      <w:r w:rsidRPr="004C0FCD">
        <w:rPr>
          <w:rFonts w:ascii="Arial" w:hAnsi="Arial" w:cs="Arial"/>
        </w:rPr>
        <w:t>No comment</w:t>
      </w:r>
    </w:p>
    <w:p w14:paraId="05136D3F" w14:textId="77777777" w:rsidR="004C0FCD" w:rsidRPr="004C0FCD" w:rsidRDefault="004C0FCD" w:rsidP="004C0FCD">
      <w:pPr>
        <w:pStyle w:val="ListParagraph"/>
        <w:rPr>
          <w:rFonts w:ascii="Arial" w:hAnsi="Arial" w:cs="Arial"/>
        </w:rPr>
      </w:pPr>
    </w:p>
    <w:p w14:paraId="48479219" w14:textId="77777777" w:rsidR="00B54896" w:rsidRDefault="00D76BB2" w:rsidP="00B54896">
      <w:pPr>
        <w:numPr>
          <w:ilvl w:val="0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  <w:b/>
        </w:rPr>
        <w:t>DR operational characteristics</w:t>
      </w:r>
    </w:p>
    <w:p w14:paraId="171D37C7" w14:textId="77777777" w:rsidR="00B54896" w:rsidRDefault="00B54896" w:rsidP="00B54896">
      <w:pPr>
        <w:pStyle w:val="ListParagraph"/>
        <w:rPr>
          <w:rFonts w:ascii="Arial" w:hAnsi="Arial" w:cs="Arial"/>
        </w:rPr>
      </w:pPr>
    </w:p>
    <w:p w14:paraId="230FAC4E" w14:textId="284C6050" w:rsidR="00B54896" w:rsidRDefault="00D76BB2" w:rsidP="00B54896">
      <w:pPr>
        <w:numPr>
          <w:ilvl w:val="1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</w:rPr>
        <w:t xml:space="preserve">Please provide comments on the </w:t>
      </w:r>
      <w:r w:rsidR="00B54896">
        <w:rPr>
          <w:rFonts w:ascii="Arial" w:hAnsi="Arial" w:cs="Arial"/>
        </w:rPr>
        <w:t>CA</w:t>
      </w:r>
      <w:r w:rsidRPr="00B54896">
        <w:rPr>
          <w:rFonts w:ascii="Arial" w:hAnsi="Arial" w:cs="Arial"/>
        </w:rPr>
        <w:t xml:space="preserve">ISO’s </w:t>
      </w:r>
      <w:r w:rsidR="00DD2F8A" w:rsidRPr="00B54896">
        <w:rPr>
          <w:rFonts w:ascii="Arial" w:hAnsi="Arial" w:cs="Arial"/>
        </w:rPr>
        <w:t>three options</w:t>
      </w:r>
      <w:r w:rsidR="00F302F5" w:rsidRPr="00B54896">
        <w:rPr>
          <w:rFonts w:ascii="Arial" w:hAnsi="Arial" w:cs="Arial"/>
        </w:rPr>
        <w:t xml:space="preserve">. </w:t>
      </w:r>
    </w:p>
    <w:p w14:paraId="15179689" w14:textId="77777777" w:rsidR="00844BD3" w:rsidRPr="00B54896" w:rsidRDefault="00844BD3" w:rsidP="004C0FCD">
      <w:pPr>
        <w:rPr>
          <w:rFonts w:ascii="Arial" w:hAnsi="Arial" w:cs="Arial"/>
        </w:rPr>
      </w:pPr>
    </w:p>
    <w:p w14:paraId="21E45011" w14:textId="66AED944" w:rsidR="00B54896" w:rsidRDefault="00844BD3" w:rsidP="00B548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 comment</w:t>
      </w:r>
    </w:p>
    <w:p w14:paraId="4A02027A" w14:textId="77777777" w:rsidR="00844BD3" w:rsidRDefault="00844BD3" w:rsidP="00B54896">
      <w:pPr>
        <w:pStyle w:val="ListParagraph"/>
        <w:rPr>
          <w:rFonts w:ascii="Arial" w:hAnsi="Arial" w:cs="Arial"/>
        </w:rPr>
      </w:pPr>
    </w:p>
    <w:p w14:paraId="2E288186" w14:textId="7EAF384C" w:rsidR="00B54896" w:rsidRPr="00B54896" w:rsidRDefault="00CB6C21" w:rsidP="00B54896">
      <w:pPr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54896">
        <w:rPr>
          <w:rFonts w:ascii="Arial" w:hAnsi="Arial" w:cs="Arial"/>
          <w:b/>
        </w:rPr>
        <w:t>Variable output DR</w:t>
      </w:r>
      <w:r w:rsidR="00B54896" w:rsidRPr="00B54896">
        <w:rPr>
          <w:rFonts w:ascii="Arial" w:hAnsi="Arial" w:cs="Arial"/>
          <w:b/>
        </w:rPr>
        <w:t xml:space="preserve"> </w:t>
      </w:r>
    </w:p>
    <w:p w14:paraId="541C1C54" w14:textId="195A8654" w:rsidR="00B54896" w:rsidRDefault="00B54896" w:rsidP="00B548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</w:rPr>
        <w:t>CAISO requests additional detail and reasoning from stakeholders who believe a more appropriate method exists for determining QC than applying an ELCC</w:t>
      </w:r>
      <w:r>
        <w:rPr>
          <w:rFonts w:ascii="Arial" w:hAnsi="Arial" w:cs="Arial"/>
        </w:rPr>
        <w:t xml:space="preserve"> methodology</w:t>
      </w:r>
      <w:r w:rsidRPr="00B54896">
        <w:rPr>
          <w:rFonts w:ascii="Arial" w:hAnsi="Arial" w:cs="Arial"/>
        </w:rPr>
        <w:t xml:space="preserve">. </w:t>
      </w:r>
    </w:p>
    <w:p w14:paraId="36EF0C04" w14:textId="0ABEC83D" w:rsidR="00B54896" w:rsidRPr="00B54896" w:rsidRDefault="00B54896" w:rsidP="00B548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</w:rPr>
        <w:t xml:space="preserve">CAISO requests stakeholder feedback on controls </w:t>
      </w:r>
      <w:r>
        <w:rPr>
          <w:rFonts w:ascii="Arial" w:hAnsi="Arial" w:cs="Arial"/>
        </w:rPr>
        <w:t>needed t</w:t>
      </w:r>
      <w:r w:rsidRPr="00B54896">
        <w:rPr>
          <w:rFonts w:ascii="Arial" w:hAnsi="Arial" w:cs="Arial"/>
        </w:rPr>
        <w:t xml:space="preserve">o ensure </w:t>
      </w:r>
      <w:r>
        <w:rPr>
          <w:rFonts w:ascii="Arial" w:hAnsi="Arial" w:cs="Arial"/>
        </w:rPr>
        <w:t>that</w:t>
      </w:r>
      <w:r w:rsidRPr="00B54896">
        <w:rPr>
          <w:rFonts w:ascii="Arial" w:hAnsi="Arial" w:cs="Arial"/>
        </w:rPr>
        <w:t xml:space="preserve"> forecast</w:t>
      </w:r>
      <w:r>
        <w:rPr>
          <w:rFonts w:ascii="Arial" w:hAnsi="Arial" w:cs="Arial"/>
        </w:rPr>
        <w:t>s accurately reflect a</w:t>
      </w:r>
      <w:r w:rsidRPr="00B54896">
        <w:rPr>
          <w:rFonts w:ascii="Arial" w:hAnsi="Arial" w:cs="Arial"/>
        </w:rPr>
        <w:t xml:space="preserve"> resource</w:t>
      </w:r>
      <w:r>
        <w:rPr>
          <w:rFonts w:ascii="Arial" w:hAnsi="Arial" w:cs="Arial"/>
        </w:rPr>
        <w:t>’s</w:t>
      </w:r>
      <w:r w:rsidRPr="00B54896">
        <w:rPr>
          <w:rFonts w:ascii="Arial" w:hAnsi="Arial" w:cs="Arial"/>
        </w:rPr>
        <w:t xml:space="preserve"> capability</w:t>
      </w:r>
      <w:r>
        <w:rPr>
          <w:rFonts w:ascii="Arial" w:hAnsi="Arial" w:cs="Arial"/>
        </w:rPr>
        <w:t>.</w:t>
      </w:r>
    </w:p>
    <w:p w14:paraId="337D2933" w14:textId="2AB90E05" w:rsidR="00D76BB2" w:rsidRDefault="00D76BB2" w:rsidP="00D76BB2">
      <w:pPr>
        <w:pStyle w:val="ListParagraph"/>
        <w:rPr>
          <w:rFonts w:ascii="Arial" w:hAnsi="Arial" w:cs="Arial"/>
        </w:rPr>
      </w:pPr>
    </w:p>
    <w:p w14:paraId="185BAF82" w14:textId="0189F5F6" w:rsidR="00284271" w:rsidRPr="004C0FCD" w:rsidRDefault="00284271" w:rsidP="00D76BB2">
      <w:pPr>
        <w:pStyle w:val="ListParagraph"/>
        <w:rPr>
          <w:rFonts w:ascii="Arial" w:hAnsi="Arial" w:cs="Arial"/>
        </w:rPr>
      </w:pPr>
      <w:r w:rsidRPr="004C0FCD">
        <w:rPr>
          <w:rFonts w:ascii="Arial" w:hAnsi="Arial" w:cs="Arial"/>
        </w:rPr>
        <w:t xml:space="preserve">No </w:t>
      </w:r>
      <w:r w:rsidR="004C0FCD" w:rsidRPr="004C0FCD">
        <w:rPr>
          <w:rFonts w:ascii="Arial" w:hAnsi="Arial" w:cs="Arial"/>
        </w:rPr>
        <w:t>comment</w:t>
      </w:r>
      <w:r w:rsidRPr="004C0FCD">
        <w:rPr>
          <w:rFonts w:ascii="Arial" w:hAnsi="Arial" w:cs="Arial"/>
        </w:rPr>
        <w:t>.</w:t>
      </w:r>
    </w:p>
    <w:p w14:paraId="6DEC9786" w14:textId="77777777" w:rsidR="00284271" w:rsidRDefault="00284271" w:rsidP="00D76BB2">
      <w:pPr>
        <w:pStyle w:val="ListParagraph"/>
        <w:rPr>
          <w:rFonts w:ascii="Arial" w:hAnsi="Arial" w:cs="Arial"/>
        </w:rPr>
      </w:pPr>
    </w:p>
    <w:p w14:paraId="63A2556E" w14:textId="65B8CF81" w:rsidR="00D76BB2" w:rsidRPr="002D19A3" w:rsidRDefault="00F302F5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Non-24x7 settlement of behind the meter NGR</w:t>
      </w:r>
    </w:p>
    <w:p w14:paraId="2E76BA4B" w14:textId="77777777" w:rsidR="005C627E" w:rsidRPr="00941D92" w:rsidRDefault="005C627E" w:rsidP="00B548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Arial" w:hAnsi="Arial"/>
        </w:rPr>
      </w:pPr>
      <w:r w:rsidRPr="00941D92">
        <w:rPr>
          <w:rFonts w:ascii="Arial" w:hAnsi="Arial"/>
        </w:rPr>
        <w:t xml:space="preserve">As a behind the meter resource under the </w:t>
      </w:r>
      <w:r>
        <w:rPr>
          <w:rFonts w:ascii="Arial" w:hAnsi="Arial"/>
        </w:rPr>
        <w:t>non-generator resource</w:t>
      </w:r>
      <w:r w:rsidRPr="00941D92">
        <w:rPr>
          <w:rFonts w:ascii="Arial" w:hAnsi="Arial"/>
        </w:rPr>
        <w:t xml:space="preserve"> model, any wholesale market activity will affect the load forecast.  How will load serving entities account for changes to </w:t>
      </w:r>
      <w:r>
        <w:rPr>
          <w:rFonts w:ascii="Arial" w:hAnsi="Arial"/>
        </w:rPr>
        <w:t>their load forecast and scheduling</w:t>
      </w:r>
      <w:r w:rsidRPr="00941D92">
        <w:rPr>
          <w:rFonts w:ascii="Arial" w:hAnsi="Arial"/>
        </w:rPr>
        <w:t xml:space="preserve"> due to real time market participation of behind the meter resources?</w:t>
      </w:r>
    </w:p>
    <w:p w14:paraId="1BD5A57E" w14:textId="77777777" w:rsidR="005C627E" w:rsidRPr="00941D92" w:rsidRDefault="005C627E" w:rsidP="00B548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Arial" w:hAnsi="Arial"/>
        </w:rPr>
      </w:pPr>
      <w:r w:rsidRPr="00941D92">
        <w:rPr>
          <w:rFonts w:ascii="Arial" w:hAnsi="Arial"/>
        </w:rPr>
        <w:t xml:space="preserve">How would a utility distribution company </w:t>
      </w:r>
      <w:r>
        <w:rPr>
          <w:rFonts w:ascii="Arial" w:hAnsi="Arial"/>
        </w:rPr>
        <w:t>prevent settling</w:t>
      </w:r>
      <w:r w:rsidRPr="00941D92">
        <w:rPr>
          <w:rFonts w:ascii="Arial" w:hAnsi="Arial"/>
        </w:rPr>
        <w:t xml:space="preserve"> a resource at </w:t>
      </w:r>
      <w:r>
        <w:rPr>
          <w:rFonts w:ascii="Arial" w:hAnsi="Arial"/>
        </w:rPr>
        <w:t xml:space="preserve">the </w:t>
      </w:r>
      <w:r w:rsidRPr="00941D92">
        <w:rPr>
          <w:rFonts w:ascii="Arial" w:hAnsi="Arial"/>
        </w:rPr>
        <w:t xml:space="preserve">retail </w:t>
      </w:r>
      <w:r>
        <w:rPr>
          <w:rFonts w:ascii="Arial" w:hAnsi="Arial"/>
        </w:rPr>
        <w:t xml:space="preserve">rate </w:t>
      </w:r>
      <w:r w:rsidRPr="00941D92">
        <w:rPr>
          <w:rFonts w:ascii="Arial" w:hAnsi="Arial"/>
        </w:rPr>
        <w:t>when the behind-the-meter device is participating in the wholesale market?</w:t>
      </w:r>
    </w:p>
    <w:p w14:paraId="74C5DB83" w14:textId="60A8202D" w:rsidR="005C627E" w:rsidRPr="005C627E" w:rsidRDefault="005C627E" w:rsidP="00B548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Arial" w:hAnsi="Arial"/>
        </w:rPr>
      </w:pPr>
      <w:r w:rsidRPr="00941D92">
        <w:rPr>
          <w:rFonts w:ascii="Arial" w:hAnsi="Arial"/>
        </w:rPr>
        <w:t xml:space="preserve">If a behind-the-meter resource is settled only for wholesale market activity, what would prevent a resource from charging at a wholesale rate and discharging </w:t>
      </w:r>
      <w:r>
        <w:rPr>
          <w:rFonts w:ascii="Arial" w:hAnsi="Arial"/>
        </w:rPr>
        <w:t>to provide retail or</w:t>
      </w:r>
      <w:r w:rsidRPr="00941D92">
        <w:rPr>
          <w:rFonts w:ascii="Arial" w:hAnsi="Arial"/>
        </w:rPr>
        <w:t xml:space="preserve"> non-wholesale </w:t>
      </w:r>
      <w:r>
        <w:rPr>
          <w:rFonts w:ascii="Arial" w:hAnsi="Arial"/>
        </w:rPr>
        <w:t>services?  How would this accounting work</w:t>
      </w:r>
      <w:r w:rsidRPr="00941D92">
        <w:rPr>
          <w:rFonts w:ascii="Arial" w:hAnsi="Arial"/>
        </w:rPr>
        <w:t>?</w:t>
      </w:r>
    </w:p>
    <w:p w14:paraId="2DC0DF69" w14:textId="654DD3BE" w:rsidR="00284271" w:rsidRPr="004C0FCD" w:rsidRDefault="00284271" w:rsidP="004C0FCD">
      <w:pPr>
        <w:pStyle w:val="ListParagraph"/>
        <w:rPr>
          <w:rFonts w:ascii="Arial" w:hAnsi="Arial" w:cs="Arial"/>
        </w:rPr>
      </w:pPr>
      <w:r w:rsidRPr="004C0FCD">
        <w:rPr>
          <w:rFonts w:ascii="Arial" w:hAnsi="Arial" w:cs="Arial"/>
        </w:rPr>
        <w:t>No comment.</w:t>
      </w:r>
    </w:p>
    <w:p w14:paraId="0F0256BA" w14:textId="77777777" w:rsidR="00D76BB2" w:rsidRDefault="00D76BB2" w:rsidP="00D76BB2">
      <w:pPr>
        <w:spacing w:before="120" w:after="120"/>
        <w:rPr>
          <w:rFonts w:ascii="Arial" w:hAnsi="Arial" w:cs="Arial"/>
          <w:b/>
        </w:rPr>
      </w:pPr>
    </w:p>
    <w:p w14:paraId="67C5C5CE" w14:textId="77777777" w:rsidR="00D76BB2" w:rsidRPr="008A0297" w:rsidRDefault="00D76BB2" w:rsidP="00D76BB2">
      <w:pPr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Additional comments</w:t>
      </w:r>
    </w:p>
    <w:p w14:paraId="722D7FB2" w14:textId="671128AC" w:rsidR="00D76BB2" w:rsidRDefault="00D76BB2" w:rsidP="000E77C5">
      <w:pPr>
        <w:spacing w:before="120" w:after="120"/>
        <w:ind w:left="360"/>
        <w:rPr>
          <w:rFonts w:ascii="Arial" w:hAnsi="Arial" w:cs="Arial"/>
        </w:rPr>
      </w:pPr>
      <w:r w:rsidRPr="008A0297">
        <w:rPr>
          <w:rFonts w:ascii="Arial" w:hAnsi="Arial" w:cs="Arial"/>
        </w:rPr>
        <w:t>Please offer any other feedback your organization would like to provide</w:t>
      </w:r>
      <w:r>
        <w:rPr>
          <w:rFonts w:ascii="Arial" w:hAnsi="Arial" w:cs="Arial"/>
        </w:rPr>
        <w:t xml:space="preserve"> from the topics discussed during the working group meeting.</w:t>
      </w:r>
    </w:p>
    <w:p w14:paraId="0613F76A" w14:textId="17E11D2D" w:rsidR="00694B1B" w:rsidRPr="004C0FCD" w:rsidRDefault="00694B1B" w:rsidP="004C0FCD">
      <w:pPr>
        <w:pStyle w:val="ListParagraph"/>
        <w:rPr>
          <w:rFonts w:ascii="Arial" w:hAnsi="Arial" w:cs="Arial"/>
        </w:rPr>
      </w:pPr>
      <w:r w:rsidRPr="004C0FCD">
        <w:rPr>
          <w:rFonts w:ascii="Arial" w:hAnsi="Arial" w:cs="Arial"/>
        </w:rPr>
        <w:t xml:space="preserve">Thank you for the consideration of our comments. </w:t>
      </w:r>
    </w:p>
    <w:sectPr w:rsidR="00694B1B" w:rsidRPr="004C0FCD" w:rsidSect="00CB6C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AA37" w14:textId="77777777" w:rsidR="008F1659" w:rsidRDefault="008F1659">
      <w:r>
        <w:separator/>
      </w:r>
    </w:p>
  </w:endnote>
  <w:endnote w:type="continuationSeparator" w:id="0">
    <w:p w14:paraId="4988C1BC" w14:textId="77777777" w:rsidR="008F1659" w:rsidRDefault="008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D977" w14:textId="77777777" w:rsidR="00277E9A" w:rsidRDefault="00277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2D750246" w:rsidR="00B15412" w:rsidRPr="008A0297" w:rsidRDefault="00B15412">
    <w:pPr>
      <w:pStyle w:val="Footer"/>
      <w:rPr>
        <w:rFonts w:ascii="Arial" w:hAnsi="Arial" w:cs="Arial"/>
      </w:rPr>
    </w:pPr>
    <w:r w:rsidRPr="00211B48">
      <w:rPr>
        <w:rFonts w:ascii="Arial" w:hAnsi="Arial" w:cs="Arial"/>
      </w:rPr>
      <w:t>Draft Final Proposal Comments</w:t>
    </w:r>
    <w:r w:rsidRPr="008A0297">
      <w:rPr>
        <w:rFonts w:ascii="Arial" w:hAnsi="Arial" w:cs="Arial"/>
      </w:rPr>
      <w:tab/>
    </w:r>
    <w:r w:rsidRPr="008A0297">
      <w:rPr>
        <w:rFonts w:ascii="Arial" w:hAnsi="Arial" w:cs="Arial"/>
      </w:rPr>
      <w:tab/>
      <w:t xml:space="preserve">Page </w:t>
    </w:r>
    <w:r w:rsidRPr="008A0297">
      <w:rPr>
        <w:rStyle w:val="PageNumber"/>
        <w:rFonts w:ascii="Arial" w:hAnsi="Arial" w:cs="Arial"/>
      </w:rPr>
      <w:fldChar w:fldCharType="begin"/>
    </w:r>
    <w:r w:rsidRPr="008A0297">
      <w:rPr>
        <w:rStyle w:val="PageNumber"/>
        <w:rFonts w:ascii="Arial" w:hAnsi="Arial" w:cs="Arial"/>
      </w:rPr>
      <w:instrText xml:space="preserve"> PAGE </w:instrText>
    </w:r>
    <w:r w:rsidRPr="008A0297">
      <w:rPr>
        <w:rStyle w:val="PageNumber"/>
        <w:rFonts w:ascii="Arial" w:hAnsi="Arial" w:cs="Arial"/>
      </w:rPr>
      <w:fldChar w:fldCharType="separate"/>
    </w:r>
    <w:r w:rsidR="00AE6893">
      <w:rPr>
        <w:rStyle w:val="PageNumber"/>
        <w:rFonts w:ascii="Arial" w:hAnsi="Arial" w:cs="Arial"/>
        <w:noProof/>
      </w:rPr>
      <w:t>1</w:t>
    </w:r>
    <w:r w:rsidRPr="008A0297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5E41" w14:textId="77777777" w:rsidR="00277E9A" w:rsidRDefault="0027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71F1" w14:textId="77777777" w:rsidR="008F1659" w:rsidRDefault="008F1659">
      <w:r>
        <w:separator/>
      </w:r>
    </w:p>
  </w:footnote>
  <w:footnote w:type="continuationSeparator" w:id="0">
    <w:p w14:paraId="0C1D9B18" w14:textId="77777777" w:rsidR="008F1659" w:rsidRDefault="008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E965" w14:textId="77777777" w:rsidR="00277E9A" w:rsidRDefault="00277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77777777" w:rsidR="00B15412" w:rsidRPr="00A04DAB" w:rsidRDefault="00B15412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  <w:t>ESDER Phase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221D" w14:textId="77777777" w:rsidR="00277E9A" w:rsidRDefault="00277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034"/>
    <w:multiLevelType w:val="hybridMultilevel"/>
    <w:tmpl w:val="B3A2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6A2"/>
    <w:multiLevelType w:val="hybridMultilevel"/>
    <w:tmpl w:val="FEBE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853"/>
    <w:multiLevelType w:val="hybridMultilevel"/>
    <w:tmpl w:val="0DE2F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E6396B"/>
    <w:multiLevelType w:val="hybridMultilevel"/>
    <w:tmpl w:val="0856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85056"/>
    <w:rsid w:val="000E77C5"/>
    <w:rsid w:val="0017607A"/>
    <w:rsid w:val="002257EC"/>
    <w:rsid w:val="00277E9A"/>
    <w:rsid w:val="00284271"/>
    <w:rsid w:val="002A2A93"/>
    <w:rsid w:val="00337A7A"/>
    <w:rsid w:val="003A56DD"/>
    <w:rsid w:val="003B2272"/>
    <w:rsid w:val="00427843"/>
    <w:rsid w:val="00445B5A"/>
    <w:rsid w:val="00463660"/>
    <w:rsid w:val="004730F6"/>
    <w:rsid w:val="004B7775"/>
    <w:rsid w:val="004C0FCD"/>
    <w:rsid w:val="00562348"/>
    <w:rsid w:val="00573C49"/>
    <w:rsid w:val="005C627E"/>
    <w:rsid w:val="00694B1B"/>
    <w:rsid w:val="0069606B"/>
    <w:rsid w:val="006D6059"/>
    <w:rsid w:val="00776EA3"/>
    <w:rsid w:val="007C0558"/>
    <w:rsid w:val="00844BD3"/>
    <w:rsid w:val="008B1708"/>
    <w:rsid w:val="008E3AE0"/>
    <w:rsid w:val="008F1659"/>
    <w:rsid w:val="009507D2"/>
    <w:rsid w:val="009D44CF"/>
    <w:rsid w:val="009E5770"/>
    <w:rsid w:val="00AD6AD7"/>
    <w:rsid w:val="00AE6893"/>
    <w:rsid w:val="00B15412"/>
    <w:rsid w:val="00B1547E"/>
    <w:rsid w:val="00B54896"/>
    <w:rsid w:val="00C47FAB"/>
    <w:rsid w:val="00CB6C21"/>
    <w:rsid w:val="00CD5FF0"/>
    <w:rsid w:val="00D501AA"/>
    <w:rsid w:val="00D76BB2"/>
    <w:rsid w:val="00DD2F8A"/>
    <w:rsid w:val="00F302F5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8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5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5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5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itiativecomments@cais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aiso.com/informed/Pages/StakeholderProcesses/EnergyStorage_DistributedEnergyResource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cdaniel@wellhead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2019-05-07T23:36:37+00:00</PostDate>
    <ExpireDate xmlns="2613f182-e424-487f-ac7f-33bed2fc986a" xsi:nil="true"/>
    <Content_x0020_Owner xmlns="2613f182-e424-487f-ac7f-33bed2fc986a">
      <UserInfo>
        <DisplayName>Serina, Joanne</DisplayName>
        <AccountId>112</AccountId>
        <AccountType/>
      </UserInfo>
    </Content_x0020_Owner>
    <ISOContributor xmlns="2613f182-e424-487f-ac7f-33bed2fc986a">
      <UserInfo>
        <DisplayName>Livesay, Misty</DisplayName>
        <AccountId>684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Livesay, Misty</DisplayName>
        <AccountId>684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Serina, Joanne</ISOOwner>
    <ISOSummary xmlns="2613f182-e424-487f-ac7f-33bed2fc986a">Comments Template - Energy Storage and Distributed Energy Resources Phase 4 - Straw Proposal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Web conference May 7, 2019|c8f257dc-64a2-4e66-a62b-7753b8bc08b8</ParentISOGroups>
    <Orig_x0020_Post_x0020_Date xmlns="5bcbeff6-7c02-4b0f-b125-f1b3d566cc14">2019-05-07T23:32:13+00:00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17A31-014F-4DA5-BC50-77017A2D7774}"/>
</file>

<file path=customXml/itemProps2.xml><?xml version="1.0" encoding="utf-8"?>
<ds:datastoreItem xmlns:ds="http://schemas.openxmlformats.org/officeDocument/2006/customXml" ds:itemID="{F8B645BC-CF84-4CBF-A7F0-62C30C34FA58}"/>
</file>

<file path=customXml/itemProps3.xml><?xml version="1.0" encoding="utf-8"?>
<ds:datastoreItem xmlns:ds="http://schemas.openxmlformats.org/officeDocument/2006/customXml" ds:itemID="{3C694D00-A3C0-4525-9D92-DCE65B73571C}"/>
</file>

<file path=customXml/itemProps4.xml><?xml version="1.0" encoding="utf-8"?>
<ds:datastoreItem xmlns:ds="http://schemas.openxmlformats.org/officeDocument/2006/customXml" ds:itemID="{0EDBC0AF-1736-47CD-80E5-3F9DD4C2BF75}"/>
</file>

<file path=docProps/app.xml><?xml version="1.0" encoding="utf-8"?>
<Properties xmlns="http://schemas.openxmlformats.org/officeDocument/2006/extended-properties" xmlns:vt="http://schemas.openxmlformats.org/officeDocument/2006/docPropsVTypes">
  <Template>42B5E584</Template>
  <TotalTime>0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Template - Energy Storage and Distributed Energy Resources Phase 4 - Straw Proposal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and Distributed Energy Resources Phase 4 - Straw Proposal</dc:title>
  <dc:subject/>
  <dc:creator/>
  <cp:keywords/>
  <dc:description/>
  <cp:lastModifiedBy/>
  <cp:revision>1</cp:revision>
  <dcterms:created xsi:type="dcterms:W3CDTF">2019-05-17T21:13:00Z</dcterms:created>
  <dcterms:modified xsi:type="dcterms:W3CDTF">2019-05-17T21:13:00Z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</Properties>
</file>