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D8B7" w14:textId="77777777" w:rsidR="00BD6258" w:rsidRDefault="00BD6258" w:rsidP="00BD6258">
      <w:pPr>
        <w:pStyle w:val="Heading2"/>
      </w:pPr>
      <w:bookmarkStart w:id="0" w:name="_Toc81398551"/>
      <w:bookmarkStart w:id="1" w:name="_GoBack"/>
      <w:bookmarkEnd w:id="1"/>
      <w:r>
        <w:t>30.5</w:t>
      </w:r>
      <w:r>
        <w:tab/>
        <w:t>Bidding Rules</w:t>
      </w:r>
      <w:bookmarkEnd w:id="0"/>
    </w:p>
    <w:p w14:paraId="05798B99" w14:textId="77777777" w:rsidR="00BD6258" w:rsidRDefault="00BD6258" w:rsidP="00BD6258">
      <w:pPr>
        <w:pStyle w:val="Heading3"/>
      </w:pPr>
      <w:bookmarkStart w:id="2" w:name="_Toc81398552"/>
      <w:r>
        <w:t>30.5.1</w:t>
      </w:r>
      <w:r>
        <w:tab/>
        <w:t>General Bidding Rules</w:t>
      </w:r>
      <w:bookmarkEnd w:id="2"/>
    </w:p>
    <w:p w14:paraId="22ED1904" w14:textId="77777777" w:rsidR="00BD6258" w:rsidRDefault="00BD6258" w:rsidP="00BD6258">
      <w:pPr>
        <w:jc w:val="center"/>
      </w:pPr>
      <w:r>
        <w:t xml:space="preserve">* * * * * </w:t>
      </w:r>
    </w:p>
    <w:p w14:paraId="7CE57D46" w14:textId="77777777" w:rsidR="00BD6258" w:rsidRDefault="00BD6258" w:rsidP="00BD6258">
      <w:pPr>
        <w:jc w:val="center"/>
      </w:pPr>
    </w:p>
    <w:p w14:paraId="0B03E9EF" w14:textId="1E44F201" w:rsidR="00BD6258" w:rsidRDefault="00A9756A" w:rsidP="00BD6258">
      <w:pPr>
        <w:autoSpaceDE w:val="0"/>
        <w:autoSpaceDN w:val="0"/>
        <w:adjustRightInd w:val="0"/>
        <w:spacing w:after="48"/>
        <w:ind w:left="1440" w:hanging="720"/>
        <w:rPr>
          <w:rFonts w:cs="Arial"/>
          <w:color w:val="000000"/>
          <w:szCs w:val="20"/>
        </w:rPr>
      </w:pPr>
      <w:ins w:id="3" w:author="Author">
        <w:r>
          <w:rPr>
            <w:rFonts w:cs="Arial"/>
            <w:color w:val="000000"/>
            <w:szCs w:val="20"/>
          </w:rPr>
          <w:t>(z)</w:t>
        </w:r>
        <w:r>
          <w:rPr>
            <w:rFonts w:cs="Arial"/>
            <w:color w:val="000000"/>
            <w:szCs w:val="20"/>
          </w:rPr>
          <w:tab/>
          <w:t xml:space="preserve">For a Wheeling </w:t>
        </w:r>
        <w:r w:rsidRPr="002005D5">
          <w:rPr>
            <w:rFonts w:cs="Arial"/>
            <w:color w:val="000000"/>
            <w:szCs w:val="20"/>
          </w:rPr>
          <w:t xml:space="preserve">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w:t>
        </w:r>
        <w:r w:rsidR="00DD3395" w:rsidRPr="002005D5">
          <w:rPr>
            <w:rFonts w:cs="Arial"/>
            <w:color w:val="000000"/>
            <w:szCs w:val="20"/>
          </w:rPr>
          <w:t>The Scheduling Coordinator must provide such information to the CAISO by 45 days prior to the applicable month</w:t>
        </w:r>
        <w:r w:rsidR="00DD3395">
          <w:rPr>
            <w:rFonts w:cs="Arial"/>
            <w:color w:val="000000"/>
            <w:szCs w:val="20"/>
          </w:rPr>
          <w:t>.</w:t>
        </w:r>
      </w:ins>
    </w:p>
    <w:p w14:paraId="303220E9" w14:textId="78E94790" w:rsidR="00BD6258" w:rsidRDefault="00BD6258" w:rsidP="00BD6258">
      <w:pPr>
        <w:autoSpaceDE w:val="0"/>
        <w:autoSpaceDN w:val="0"/>
        <w:adjustRightInd w:val="0"/>
        <w:spacing w:after="48"/>
        <w:ind w:left="1440" w:hanging="720"/>
        <w:rPr>
          <w:rFonts w:cs="Arial"/>
          <w:color w:val="000000"/>
          <w:szCs w:val="20"/>
        </w:rPr>
      </w:pPr>
      <w:r>
        <w:rPr>
          <w:rFonts w:cs="Arial"/>
          <w:color w:val="000000"/>
          <w:szCs w:val="20"/>
        </w:rPr>
        <w:t>(aa)</w:t>
      </w:r>
      <w:r>
        <w:rPr>
          <w:rFonts w:cs="Arial"/>
          <w:color w:val="000000"/>
          <w:szCs w:val="20"/>
        </w:rPr>
        <w:tab/>
      </w:r>
      <w:r w:rsidRPr="00FD3771">
        <w:rPr>
          <w:rFonts w:cs="Arial"/>
          <w:color w:val="000000"/>
          <w:szCs w:val="20"/>
        </w:rPr>
        <w:t xml:space="preserve">A Scheduling Coordinator for a CAISO Balancing Authority Area resource will indicate through a resource parameter as prescribed in the Business Practice Manual that it has sold capacity to an out-of-balancing authority area </w:t>
      </w:r>
      <w:r>
        <w:rPr>
          <w:rFonts w:cs="Arial"/>
          <w:szCs w:val="20"/>
        </w:rPr>
        <w:t>Load Serving Entity</w:t>
      </w:r>
      <w:r w:rsidRPr="00FD3771">
        <w:rPr>
          <w:rFonts w:cs="Arial"/>
          <w:color w:val="000000"/>
          <w:szCs w:val="20"/>
        </w:rPr>
        <w:t xml:space="preserve">, and no CAISO Load Serving Entity has a right to such capacity. </w:t>
      </w:r>
      <w:r>
        <w:rPr>
          <w:rFonts w:cs="Arial"/>
          <w:color w:val="000000"/>
          <w:szCs w:val="20"/>
        </w:rPr>
        <w:t xml:space="preserve"> </w:t>
      </w:r>
      <w:r w:rsidRPr="00FD3771">
        <w:rPr>
          <w:rFonts w:cs="Arial"/>
          <w:color w:val="000000"/>
          <w:szCs w:val="20"/>
        </w:rPr>
        <w:t xml:space="preserve">If the Scheduling Coordinator does not indicate this status, the resource cannot be a designated resource for an export Self-Schedule at Scheduling Points backed by non-Resource Adequacy Capacity. </w:t>
      </w:r>
      <w:r>
        <w:rPr>
          <w:rFonts w:cs="Arial"/>
          <w:color w:val="000000"/>
          <w:szCs w:val="20"/>
        </w:rPr>
        <w:t xml:space="preserve"> </w:t>
      </w:r>
      <w:r w:rsidRPr="00FD3771">
        <w:rPr>
          <w:rFonts w:cs="Arial"/>
          <w:color w:val="000000"/>
          <w:szCs w:val="20"/>
        </w:rPr>
        <w:t xml:space="preserve">The CAISO will notify a Scheduling Coordinator hourly, to the extent practicable, that its resource, which is flagged to support an export, is designated by another entity to support export Self-Schedules at Scheduling Points backed by non-Resource </w:t>
      </w:r>
      <w:r w:rsidRPr="00FD3771">
        <w:rPr>
          <w:rFonts w:cs="Arial"/>
          <w:color w:val="000000"/>
          <w:szCs w:val="20"/>
        </w:rPr>
        <w:lastRenderedPageBreak/>
        <w:t>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Self Schedule.  The Scheduling Coordinator for the designated resource and the Scheduling Coordinator for the export Self-Schedule shall designate a resource to support such export only if the resource is expected to have sufficient available capacity to support the export quantity throughout the entire hour.  For Variable Energy Resources, this requirement can only be satisfied if</w:t>
      </w:r>
      <w:ins w:id="4" w:author="Author">
        <w:r w:rsidR="00D8067C">
          <w:rPr>
            <w:rFonts w:cs="Arial"/>
            <w:color w:val="000000"/>
            <w:szCs w:val="20"/>
          </w:rPr>
          <w:t>, based on the most recent forecast,</w:t>
        </w:r>
      </w:ins>
      <w:r w:rsidRPr="00FD3771">
        <w:rPr>
          <w:rFonts w:cs="Arial"/>
          <w:color w:val="000000"/>
          <w:szCs w:val="20"/>
        </w:rPr>
        <w:t xml:space="preserve"> the resource’s forecasted output for each of the applicable four (4) fifteen (15) minute intervals </w:t>
      </w:r>
      <w:ins w:id="5" w:author="Author">
        <w:r w:rsidR="00D8067C">
          <w:rPr>
            <w:rFonts w:cs="Arial"/>
            <w:color w:val="000000"/>
            <w:szCs w:val="20"/>
          </w:rPr>
          <w:t xml:space="preserve">in the applicable hour for which a bid has been submitted </w:t>
        </w:r>
      </w:ins>
      <w:del w:id="6" w:author="Author">
        <w:r w:rsidRPr="00FD3771" w:rsidDel="00981D82">
          <w:rPr>
            <w:rFonts w:cs="Arial"/>
            <w:color w:val="000000"/>
            <w:szCs w:val="20"/>
          </w:rPr>
          <w:delText>at the time of bid submission</w:delText>
        </w:r>
      </w:del>
      <w:r w:rsidRPr="00FD3771">
        <w:rPr>
          <w:rFonts w:cs="Arial"/>
          <w:color w:val="000000"/>
          <w:szCs w:val="20"/>
        </w:rPr>
        <w:t xml:space="preserve"> is for Generation that is equal to or greater than the Self Schedule export quantity.  The designated capacity must be the deliverable capacity of a resource with Full Capacity Deliverability Status, Partial Capacity Deliverability Status, or Interim Deliverability Status that is shown on the CAISO’s NQC list.</w:t>
      </w:r>
    </w:p>
    <w:p w14:paraId="125FDA43" w14:textId="77777777" w:rsidR="00E369C5" w:rsidRDefault="00E369C5" w:rsidP="00E369C5">
      <w:pPr>
        <w:pStyle w:val="Heading3"/>
        <w:jc w:val="center"/>
      </w:pPr>
      <w:r w:rsidRPr="00F4534A">
        <w:rPr>
          <w:b w:val="0"/>
        </w:rPr>
        <w:t>*</w:t>
      </w:r>
      <w:r>
        <w:t xml:space="preserve"> * * * *</w:t>
      </w:r>
    </w:p>
    <w:p w14:paraId="0244ECE6" w14:textId="6108CB83" w:rsidR="00E369C5" w:rsidRDefault="00E369C5" w:rsidP="00E369C5">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ee</w:t>
      </w:r>
      <w:r w:rsidRPr="00FD3771">
        <w:rPr>
          <w:rFonts w:cs="Arial"/>
          <w:color w:val="000000"/>
          <w:szCs w:val="20"/>
        </w:rPr>
        <w:t>)</w:t>
      </w:r>
      <w:r w:rsidRPr="00FD3771">
        <w:rPr>
          <w:rFonts w:cs="Arial"/>
          <w:color w:val="000000"/>
          <w:szCs w:val="20"/>
        </w:rPr>
        <w:tab/>
        <w:t>A Scheduling Co</w:t>
      </w:r>
      <w:r>
        <w:rPr>
          <w:rFonts w:cs="Arial"/>
          <w:color w:val="000000"/>
          <w:szCs w:val="20"/>
        </w:rPr>
        <w:t>ordinator shall not schedule an</w:t>
      </w:r>
      <w:r w:rsidRPr="00FD3771">
        <w:rPr>
          <w:rFonts w:cs="Arial"/>
          <w:color w:val="000000"/>
          <w:szCs w:val="20"/>
        </w:rPr>
        <w:t xml:space="preserve"> import Self-Schedule to support an export Self-Schedule</w:t>
      </w:r>
      <w:ins w:id="7" w:author="Author">
        <w:r w:rsidR="00B255A1">
          <w:rPr>
            <w:rFonts w:cs="Arial"/>
            <w:color w:val="000000"/>
            <w:szCs w:val="20"/>
          </w:rPr>
          <w:t xml:space="preserve"> of exports at Scheduling Points explicitly source</w:t>
        </w:r>
        <w:r w:rsidR="000B4FF3">
          <w:rPr>
            <w:rFonts w:cs="Arial"/>
            <w:color w:val="000000"/>
            <w:szCs w:val="20"/>
          </w:rPr>
          <w:t>d</w:t>
        </w:r>
        <w:r w:rsidR="00B255A1">
          <w:rPr>
            <w:rFonts w:cs="Arial"/>
            <w:color w:val="000000"/>
            <w:szCs w:val="20"/>
          </w:rPr>
          <w:t xml:space="preserve"> by non-RA Capacity. </w:t>
        </w:r>
      </w:ins>
      <w:r w:rsidRPr="00FD3771">
        <w:rPr>
          <w:rFonts w:cs="Arial"/>
          <w:color w:val="000000"/>
          <w:szCs w:val="20"/>
        </w:rPr>
        <w:t xml:space="preserve"> </w:t>
      </w:r>
      <w:del w:id="8" w:author="Author">
        <w:r w:rsidRPr="00D85C3D" w:rsidDel="00686699">
          <w:rPr>
            <w:rFonts w:cs="Arial"/>
            <w:color w:val="000000"/>
            <w:szCs w:val="20"/>
          </w:rPr>
          <w:delText>for a Priority Wheeling Through</w:delText>
        </w:r>
        <w:r w:rsidRPr="00FD3771" w:rsidDel="00686699">
          <w:rPr>
            <w:rFonts w:cs="Arial"/>
            <w:color w:val="000000"/>
            <w:szCs w:val="20"/>
          </w:rPr>
          <w:delText xml:space="preserve">.  </w:delText>
        </w:r>
      </w:del>
      <w:r w:rsidRPr="00FD3771">
        <w:rPr>
          <w:rFonts w:cs="Arial"/>
          <w:color w:val="000000"/>
          <w:szCs w:val="20"/>
        </w:rPr>
        <w:t xml:space="preserve">The transaction is properly scheduled as a Wheeling Through transaction as described in section 30.5.4.  </w:t>
      </w:r>
    </w:p>
    <w:p w14:paraId="2940DBA5" w14:textId="77777777" w:rsidR="00E369C5" w:rsidRDefault="00E369C5" w:rsidP="00E369C5">
      <w:pPr>
        <w:autoSpaceDE w:val="0"/>
        <w:autoSpaceDN w:val="0"/>
        <w:adjustRightInd w:val="0"/>
        <w:spacing w:after="48"/>
        <w:ind w:left="1440" w:hanging="720"/>
        <w:rPr>
          <w:rFonts w:cs="Arial"/>
          <w:color w:val="000000"/>
          <w:szCs w:val="20"/>
        </w:rPr>
      </w:pPr>
    </w:p>
    <w:p w14:paraId="3837033D" w14:textId="77777777" w:rsidR="00E369C5" w:rsidRDefault="00E369C5" w:rsidP="00E369C5">
      <w:pPr>
        <w:pStyle w:val="Heading3"/>
        <w:jc w:val="center"/>
      </w:pPr>
      <w:r w:rsidRPr="00F4534A">
        <w:rPr>
          <w:b w:val="0"/>
        </w:rPr>
        <w:lastRenderedPageBreak/>
        <w:t>*</w:t>
      </w:r>
      <w:r>
        <w:t xml:space="preserve"> * * * *</w:t>
      </w:r>
    </w:p>
    <w:p w14:paraId="0A38BDE4" w14:textId="77777777" w:rsidR="00F4534A" w:rsidRDefault="00F4534A" w:rsidP="00997BBD">
      <w:pPr>
        <w:pStyle w:val="Heading3"/>
      </w:pPr>
    </w:p>
    <w:p w14:paraId="0AD04D37" w14:textId="048C0216" w:rsidR="00997BBD" w:rsidRDefault="00997BBD" w:rsidP="00997BBD">
      <w:pPr>
        <w:pStyle w:val="Heading3"/>
      </w:pPr>
      <w:r>
        <w:t>31.4</w:t>
      </w:r>
      <w:r>
        <w:tab/>
        <w:t>CAISO Market Adjustments to Non-Priced Quantities in the IFM</w:t>
      </w:r>
    </w:p>
    <w:p w14:paraId="71B233D9" w14:textId="628A84C7" w:rsidR="00997BBD" w:rsidRDefault="00997BBD" w:rsidP="00997BBD">
      <w:r>
        <w:t xml:space="preserve">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w:t>
      </w:r>
      <w:r>
        <w:lastRenderedPageBreak/>
        <w:t>be adjusted in the IFM in response to an insufficiency of Effective Economic Bids.  Thus the adjustment sequence for the IFM from highest priority (last to be adjusted) to lowest priority (first to be adjusted), is as follows:</w:t>
      </w:r>
    </w:p>
    <w:tbl>
      <w:tblPr>
        <w:tblStyle w:val="TableGrid"/>
        <w:tblW w:w="0" w:type="auto"/>
        <w:tblLook w:val="04A0" w:firstRow="1" w:lastRow="0" w:firstColumn="1" w:lastColumn="0" w:noHBand="0" w:noVBand="1"/>
      </w:tblPr>
      <w:tblGrid>
        <w:gridCol w:w="4568"/>
        <w:gridCol w:w="2150"/>
        <w:gridCol w:w="2632"/>
      </w:tblGrid>
      <w:tr w:rsidR="00686D9F" w:rsidRPr="00827730" w14:paraId="49D5AFE5" w14:textId="77777777" w:rsidTr="006222B2">
        <w:tc>
          <w:tcPr>
            <w:tcW w:w="4945" w:type="dxa"/>
          </w:tcPr>
          <w:p w14:paraId="157537F4" w14:textId="77777777" w:rsidR="00686D9F" w:rsidRPr="00827730" w:rsidRDefault="00686D9F" w:rsidP="006222B2">
            <w:pPr>
              <w:autoSpaceDE w:val="0"/>
              <w:autoSpaceDN w:val="0"/>
              <w:adjustRightInd w:val="0"/>
              <w:rPr>
                <w:rFonts w:ascii="Arial" w:hAnsi="Arial" w:cs="Arial"/>
                <w:b/>
                <w:color w:val="000000"/>
                <w:highlight w:val="lightGray"/>
              </w:rPr>
            </w:pPr>
            <w:commentRangeStart w:id="9"/>
            <w:r w:rsidRPr="00827730">
              <w:rPr>
                <w:rFonts w:ascii="Arial" w:hAnsi="Arial" w:cs="Arial"/>
                <w:b/>
                <w:color w:val="000000"/>
                <w:highlight w:val="lightGray"/>
              </w:rPr>
              <w:t>Scheduling Run Priority</w:t>
            </w:r>
            <w:commentRangeEnd w:id="9"/>
            <w:r w:rsidR="000D4AA7">
              <w:rPr>
                <w:rStyle w:val="CommentReference"/>
                <w:rFonts w:ascii="Arial" w:eastAsiaTheme="minorHAnsi" w:hAnsi="Arial" w:cstheme="minorBidi"/>
              </w:rPr>
              <w:commentReference w:id="9"/>
            </w:r>
          </w:p>
        </w:tc>
        <w:tc>
          <w:tcPr>
            <w:tcW w:w="2250" w:type="dxa"/>
          </w:tcPr>
          <w:p w14:paraId="4CF05778"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Soft Energy Bid Cap (27.4.3.2)</w:t>
            </w:r>
          </w:p>
        </w:tc>
        <w:tc>
          <w:tcPr>
            <w:tcW w:w="2790" w:type="dxa"/>
          </w:tcPr>
          <w:p w14:paraId="3B58698A"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Hard Energy Bid Cap (27.4.3.3)</w:t>
            </w:r>
          </w:p>
        </w:tc>
      </w:tr>
      <w:tr w:rsidR="00686D9F" w:rsidRPr="00827730" w14:paraId="567F845F" w14:textId="77777777" w:rsidTr="006222B2">
        <w:tc>
          <w:tcPr>
            <w:tcW w:w="4945" w:type="dxa"/>
          </w:tcPr>
          <w:p w14:paraId="25C9B9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Reliability Must Run (RMR) Generation pre-dispatch reduction  </w:t>
            </w:r>
          </w:p>
        </w:tc>
        <w:tc>
          <w:tcPr>
            <w:tcW w:w="2250" w:type="dxa"/>
          </w:tcPr>
          <w:p w14:paraId="46CE531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-$6000</w:t>
            </w:r>
          </w:p>
        </w:tc>
        <w:tc>
          <w:tcPr>
            <w:tcW w:w="2790" w:type="dxa"/>
          </w:tcPr>
          <w:p w14:paraId="74575C5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-$12000</w:t>
            </w:r>
          </w:p>
        </w:tc>
      </w:tr>
      <w:tr w:rsidR="00686D9F" w:rsidRPr="00827730" w14:paraId="14E54B53" w14:textId="77777777" w:rsidTr="006222B2">
        <w:tc>
          <w:tcPr>
            <w:tcW w:w="4945" w:type="dxa"/>
          </w:tcPr>
          <w:p w14:paraId="7506250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TOR Self-Schedules reduction (balanced demand and supply reduction) </w:t>
            </w:r>
          </w:p>
        </w:tc>
        <w:tc>
          <w:tcPr>
            <w:tcW w:w="2250" w:type="dxa"/>
          </w:tcPr>
          <w:p w14:paraId="07C742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$5,900 (demand)/ - $5,900 (supply)</w:t>
            </w:r>
          </w:p>
        </w:tc>
        <w:tc>
          <w:tcPr>
            <w:tcW w:w="2790" w:type="dxa"/>
          </w:tcPr>
          <w:p w14:paraId="024860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$11800 (demand)/ </w:t>
            </w:r>
          </w:p>
          <w:p w14:paraId="2DB50749"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-$11800  (supply)</w:t>
            </w:r>
          </w:p>
        </w:tc>
      </w:tr>
      <w:tr w:rsidR="00686D9F" w:rsidRPr="00827730" w14:paraId="1A24C5D0" w14:textId="77777777" w:rsidTr="006222B2">
        <w:tc>
          <w:tcPr>
            <w:tcW w:w="4945" w:type="dxa"/>
          </w:tcPr>
          <w:p w14:paraId="3B87646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ETC and Converted Rights Self-Schedules reduction; different ETC priority levels will be observed based upon global ETC priorities provided to the CAISO by the Responsible PTOs </w:t>
            </w:r>
          </w:p>
        </w:tc>
        <w:tc>
          <w:tcPr>
            <w:tcW w:w="2250" w:type="dxa"/>
          </w:tcPr>
          <w:p w14:paraId="542489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$5100 to $5900 (demand)/  </w:t>
            </w:r>
          </w:p>
          <w:p w14:paraId="18AAC7A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-$5100 to -$5900 (supply)</w:t>
            </w:r>
          </w:p>
        </w:tc>
        <w:tc>
          <w:tcPr>
            <w:tcW w:w="2790" w:type="dxa"/>
          </w:tcPr>
          <w:p w14:paraId="6ABA759C"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$10200 to $11800 (demand)/ </w:t>
            </w:r>
          </w:p>
          <w:p w14:paraId="0E3ECC00"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-$10200 to -$11800 (supply)</w:t>
            </w:r>
          </w:p>
        </w:tc>
      </w:tr>
      <w:tr w:rsidR="00686D9F" w:rsidRPr="00827730" w14:paraId="0D0F40B4" w14:textId="77777777" w:rsidTr="006222B2">
        <w:tc>
          <w:tcPr>
            <w:tcW w:w="4945" w:type="dxa"/>
          </w:tcPr>
          <w:p w14:paraId="0FC57DA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Internal Transmission Constraint relaxation for the IFM pursuant to Section 27.4.3.1</w:t>
            </w:r>
          </w:p>
        </w:tc>
        <w:tc>
          <w:tcPr>
            <w:tcW w:w="2250" w:type="dxa"/>
          </w:tcPr>
          <w:p w14:paraId="267329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$5000</w:t>
            </w:r>
          </w:p>
        </w:tc>
        <w:tc>
          <w:tcPr>
            <w:tcW w:w="2790" w:type="dxa"/>
          </w:tcPr>
          <w:p w14:paraId="2B162ED4"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$10000</w:t>
            </w:r>
          </w:p>
        </w:tc>
      </w:tr>
      <w:tr w:rsidR="00686D9F" w:rsidRPr="00827730" w14:paraId="0EDA643C" w14:textId="77777777" w:rsidTr="006222B2">
        <w:tc>
          <w:tcPr>
            <w:tcW w:w="4945" w:type="dxa"/>
          </w:tcPr>
          <w:p w14:paraId="1D31EA06" w14:textId="1689F04A" w:rsidR="00686D9F" w:rsidRPr="00827730" w:rsidRDefault="000C5BCF" w:rsidP="006222B2">
            <w:pPr>
              <w:autoSpaceDE w:val="0"/>
              <w:autoSpaceDN w:val="0"/>
              <w:adjustRightInd w:val="0"/>
              <w:rPr>
                <w:rFonts w:ascii="Arial" w:hAnsi="Arial" w:cs="Arial"/>
                <w:color w:val="000000"/>
                <w:highlight w:val="lightGray"/>
              </w:rPr>
            </w:pPr>
            <w:ins w:id="10" w:author="Author">
              <w:r w:rsidRPr="00827730">
                <w:rPr>
                  <w:rFonts w:ascii="Arial" w:hAnsi="Arial" w:cs="Arial"/>
                  <w:color w:val="000000"/>
                  <w:highlight w:val="lightGray"/>
                </w:rPr>
                <w:t xml:space="preserve">The export Self-Schedule of a Priority Wheeling Through; </w:t>
              </w:r>
            </w:ins>
            <w:r w:rsidR="00686D9F" w:rsidRPr="00827730">
              <w:rPr>
                <w:rFonts w:ascii="Arial" w:hAnsi="Arial" w:cs="Arial"/>
                <w:color w:val="000000"/>
                <w:highlight w:val="lightGray"/>
              </w:rPr>
              <w:t>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tc>
        <w:tc>
          <w:tcPr>
            <w:tcW w:w="2250" w:type="dxa"/>
          </w:tcPr>
          <w:p w14:paraId="1EEB973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$1800</w:t>
            </w:r>
          </w:p>
        </w:tc>
        <w:tc>
          <w:tcPr>
            <w:tcW w:w="2790" w:type="dxa"/>
          </w:tcPr>
          <w:p w14:paraId="4F15B5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$3600</w:t>
            </w:r>
          </w:p>
        </w:tc>
      </w:tr>
      <w:tr w:rsidR="00686D9F" w:rsidRPr="00827730" w14:paraId="7FCD7289" w14:textId="77777777" w:rsidTr="006222B2">
        <w:tc>
          <w:tcPr>
            <w:tcW w:w="4945" w:type="dxa"/>
          </w:tcPr>
          <w:p w14:paraId="6B4409EA" w14:textId="44720E09" w:rsidR="00686D9F" w:rsidRPr="00827730" w:rsidRDefault="00686D9F" w:rsidP="000C5BCF">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ins w:id="11" w:author="Author">
              <w:r w:rsidR="000C5BCF" w:rsidRPr="00827730">
                <w:rPr>
                  <w:rFonts w:ascii="Arial" w:hAnsi="Arial" w:cs="Arial"/>
                  <w:color w:val="000000"/>
                  <w:highlight w:val="lightGray"/>
                </w:rPr>
                <w:t xml:space="preserve"> and the export Self-Schedule of a non-Priority Wheeling Through</w:t>
              </w:r>
            </w:ins>
            <w:r w:rsidRPr="00827730">
              <w:rPr>
                <w:rFonts w:ascii="Arial" w:hAnsi="Arial" w:cs="Arial"/>
                <w:color w:val="000000"/>
                <w:highlight w:val="lightGray"/>
              </w:rPr>
              <w:t xml:space="preserve"> </w:t>
            </w:r>
          </w:p>
        </w:tc>
        <w:tc>
          <w:tcPr>
            <w:tcW w:w="2250" w:type="dxa"/>
          </w:tcPr>
          <w:p w14:paraId="2C3D58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$1050</w:t>
            </w:r>
          </w:p>
        </w:tc>
        <w:tc>
          <w:tcPr>
            <w:tcW w:w="2790" w:type="dxa"/>
          </w:tcPr>
          <w:p w14:paraId="486904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$2100</w:t>
            </w:r>
          </w:p>
        </w:tc>
      </w:tr>
      <w:tr w:rsidR="00686D9F" w:rsidRPr="00827730" w14:paraId="19378146" w14:textId="77777777" w:rsidTr="006222B2">
        <w:tc>
          <w:tcPr>
            <w:tcW w:w="4945" w:type="dxa"/>
          </w:tcPr>
          <w:p w14:paraId="07AFEFB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Regulatory Must-Run Generation and Regulatory Must-Take Generation reduction </w:t>
            </w:r>
          </w:p>
        </w:tc>
        <w:tc>
          <w:tcPr>
            <w:tcW w:w="2250" w:type="dxa"/>
          </w:tcPr>
          <w:p w14:paraId="038C73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-$1350</w:t>
            </w:r>
          </w:p>
        </w:tc>
        <w:tc>
          <w:tcPr>
            <w:tcW w:w="2790" w:type="dxa"/>
          </w:tcPr>
          <w:p w14:paraId="3E27D587"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-$2700</w:t>
            </w:r>
          </w:p>
        </w:tc>
      </w:tr>
      <w:tr w:rsidR="00686D9F" w:rsidRPr="00827730" w14:paraId="53C965D5" w14:textId="77777777" w:rsidTr="006222B2">
        <w:tc>
          <w:tcPr>
            <w:tcW w:w="4945" w:type="dxa"/>
          </w:tcPr>
          <w:p w14:paraId="01671D1F" w14:textId="3DD24664" w:rsidR="00686D9F" w:rsidRPr="00827730" w:rsidRDefault="00686D9F" w:rsidP="000C5BCF">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Other Self-Schedules of Supply reduction</w:t>
            </w:r>
            <w:ins w:id="12" w:author="Author">
              <w:r w:rsidR="000C5BCF" w:rsidRPr="00827730">
                <w:rPr>
                  <w:rFonts w:ascii="Arial" w:hAnsi="Arial" w:cs="Arial"/>
                  <w:color w:val="000000"/>
                  <w:highlight w:val="lightGray"/>
                </w:rPr>
                <w:t>, and the import Self-Schedule of a Priority Wheeling Through</w:t>
              </w:r>
            </w:ins>
            <w:r w:rsidRPr="00827730">
              <w:rPr>
                <w:rFonts w:ascii="Arial" w:hAnsi="Arial" w:cs="Arial"/>
                <w:color w:val="000000"/>
                <w:highlight w:val="lightGray"/>
              </w:rPr>
              <w:t xml:space="preserve"> </w:t>
            </w:r>
          </w:p>
        </w:tc>
        <w:tc>
          <w:tcPr>
            <w:tcW w:w="2250" w:type="dxa"/>
          </w:tcPr>
          <w:p w14:paraId="6BD4D4B3"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-$1100</w:t>
            </w:r>
          </w:p>
        </w:tc>
        <w:tc>
          <w:tcPr>
            <w:tcW w:w="2790" w:type="dxa"/>
          </w:tcPr>
          <w:p w14:paraId="5EF0B7D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-$2200</w:t>
            </w:r>
          </w:p>
        </w:tc>
      </w:tr>
      <w:tr w:rsidR="00686D9F" w:rsidRPr="005D3CF8" w14:paraId="62E17799" w14:textId="77777777" w:rsidTr="006222B2">
        <w:tc>
          <w:tcPr>
            <w:tcW w:w="4945" w:type="dxa"/>
          </w:tcPr>
          <w:p w14:paraId="70547517" w14:textId="756E5497" w:rsidR="00686D9F" w:rsidRPr="00827730" w:rsidRDefault="000C5BCF" w:rsidP="006222B2">
            <w:pPr>
              <w:autoSpaceDE w:val="0"/>
              <w:autoSpaceDN w:val="0"/>
              <w:adjustRightInd w:val="0"/>
              <w:rPr>
                <w:rFonts w:ascii="Arial" w:hAnsi="Arial" w:cs="Arial"/>
                <w:color w:val="000000"/>
                <w:highlight w:val="lightGray"/>
              </w:rPr>
            </w:pPr>
            <w:ins w:id="13" w:author="Author">
              <w:r w:rsidRPr="00827730">
                <w:rPr>
                  <w:rFonts w:ascii="Arial" w:hAnsi="Arial" w:cs="Arial"/>
                  <w:color w:val="000000"/>
                  <w:highlight w:val="lightGray"/>
                </w:rPr>
                <w:t xml:space="preserve">The import Self-Schedule of a non-Priority Wheeling Through </w:t>
              </w:r>
            </w:ins>
          </w:p>
        </w:tc>
        <w:tc>
          <w:tcPr>
            <w:tcW w:w="2250" w:type="dxa"/>
          </w:tcPr>
          <w:p w14:paraId="731CF5F4"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$0</w:t>
            </w:r>
          </w:p>
        </w:tc>
        <w:tc>
          <w:tcPr>
            <w:tcW w:w="2790" w:type="dxa"/>
          </w:tcPr>
          <w:p w14:paraId="3914828F" w14:textId="77777777" w:rsidR="00686D9F" w:rsidRPr="005D3CF8" w:rsidRDefault="00686D9F" w:rsidP="006222B2">
            <w:pPr>
              <w:autoSpaceDE w:val="0"/>
              <w:autoSpaceDN w:val="0"/>
              <w:adjustRightInd w:val="0"/>
              <w:rPr>
                <w:rFonts w:ascii="Arial" w:hAnsi="Arial" w:cs="Arial"/>
                <w:color w:val="000000"/>
              </w:rPr>
            </w:pPr>
            <w:r w:rsidRPr="00827730">
              <w:rPr>
                <w:rFonts w:ascii="Arial" w:hAnsi="Arial" w:cs="Arial"/>
                <w:color w:val="000000"/>
                <w:highlight w:val="lightGray"/>
              </w:rPr>
              <w:t>$0</w:t>
            </w:r>
          </w:p>
        </w:tc>
      </w:tr>
    </w:tbl>
    <w:p w14:paraId="77149E8E" w14:textId="77777777" w:rsidR="00686D9F" w:rsidRDefault="00686D9F" w:rsidP="00997BBD"/>
    <w:p w14:paraId="35DDB709" w14:textId="77777777" w:rsidR="00686D9F" w:rsidRPr="00827730" w:rsidRDefault="00686D9F" w:rsidP="00686D9F">
      <w:pPr>
        <w:pStyle w:val="Heading3"/>
        <w:rPr>
          <w:highlight w:val="lightGray"/>
        </w:rPr>
      </w:pPr>
      <w:r w:rsidRPr="00827730">
        <w:rPr>
          <w:highlight w:val="lightGray"/>
        </w:rPr>
        <w:lastRenderedPageBreak/>
        <w:t>31.4.1</w:t>
      </w:r>
      <w:r w:rsidRPr="00827730">
        <w:rPr>
          <w:highlight w:val="lightGray"/>
        </w:rPr>
        <w:tab/>
        <w:t>Temporary Changes to Scheduling Run Parameter Values</w:t>
      </w:r>
    </w:p>
    <w:p w14:paraId="15C3B11C" w14:textId="107228D5" w:rsidR="00686D9F" w:rsidRPr="005D3CF8" w:rsidRDefault="00686D9F" w:rsidP="00686D9F">
      <w:pPr>
        <w:rPr>
          <w:rFonts w:cs="Arial"/>
          <w:szCs w:val="20"/>
        </w:rPr>
      </w:pPr>
      <w:r w:rsidRPr="00827730">
        <w:rPr>
          <w:rFonts w:cs="Arial"/>
          <w:szCs w:val="20"/>
          <w:highlight w:val="lightGray"/>
        </w:rPr>
        <w:t xml:space="preserve">If the CAISO determines it is necessary to modify the scheduling run parameter values in sections 31.4, 34.12.1, or 34.12.2  to ensure the market clearing solution is feasible or avoid operational or reliability  problems the resolution of which would otherwise require recurring operator intervention outside normal scheduling and market procedures, it may temporarily modify the value for a period up to ninety days, provided however CAISO will file such change with FERC under Section 205 of the Federal Power Act  within thirty days of such modification.  If circumstances reasonably allow, CAISO will consult with FERC and the CAISO’s Market Monitoring Unit before implementing such modification.  In all circumstances, the CAISO will (i) consult with those entities as soon as reasonably possible after implementing a temporary modification, and (ii) notify Market Participants of any temporary modification and explain the reasons for the </w:t>
      </w:r>
      <w:r w:rsidRPr="00A21B7E">
        <w:rPr>
          <w:rFonts w:cs="Arial"/>
          <w:szCs w:val="20"/>
          <w:highlight w:val="lightGray"/>
        </w:rPr>
        <w:t xml:space="preserve">change. </w:t>
      </w:r>
      <w:r w:rsidR="00A21B7E" w:rsidRPr="00A21B7E">
        <w:rPr>
          <w:rFonts w:cs="Arial"/>
          <w:szCs w:val="20"/>
          <w:highlight w:val="lightGray"/>
        </w:rPr>
        <w:t xml:space="preserve"> This section does not authorize the CAISO to change the scheduling run parameter values in a manner that changes the relative scheduling run priorities specified in sections 31.4, 34.12.1, and 34.12.2.</w:t>
      </w:r>
      <w:r w:rsidR="00A21B7E">
        <w:rPr>
          <w:color w:val="1F497D"/>
        </w:rPr>
        <w:t xml:space="preserve">  </w:t>
      </w:r>
    </w:p>
    <w:p w14:paraId="64F19589" w14:textId="77777777" w:rsidR="00F627FF" w:rsidRDefault="00F627FF" w:rsidP="00F627FF">
      <w:pPr>
        <w:jc w:val="center"/>
      </w:pPr>
      <w:r>
        <w:t>* * * * *</w:t>
      </w:r>
    </w:p>
    <w:p w14:paraId="2302A7B3" w14:textId="77777777" w:rsidR="00F627FF" w:rsidRDefault="00F627FF" w:rsidP="00F627FF"/>
    <w:p w14:paraId="37E84C54" w14:textId="77777777" w:rsidR="00F627FF" w:rsidRPr="002C65E7" w:rsidRDefault="00F627FF" w:rsidP="00F627FF">
      <w:pPr>
        <w:pStyle w:val="Heading3"/>
        <w:rPr>
          <w:ins w:id="14" w:author="Author"/>
          <w:rFonts w:eastAsiaTheme="minorHAnsi" w:cstheme="minorBidi"/>
          <w:szCs w:val="20"/>
        </w:rPr>
      </w:pPr>
      <w:r w:rsidRPr="002C65E7">
        <w:rPr>
          <w:rFonts w:eastAsiaTheme="minorHAnsi" w:cstheme="minorBidi"/>
          <w:szCs w:val="20"/>
        </w:rPr>
        <w:t>31.5.5 Selection and Commitment of RUC Capacity</w:t>
      </w:r>
    </w:p>
    <w:p w14:paraId="65C5053C" w14:textId="7C35D037" w:rsidR="00F627FF" w:rsidRDefault="00F627FF" w:rsidP="00F627FF">
      <w:pPr>
        <w:spacing w:after="57"/>
      </w:pPr>
      <w:r>
        <w:rPr>
          <w:szCs w:val="20"/>
        </w:rPr>
        <w:t xml:space="preserve">Capacity that is not already scheduled in the IFM may be selected as RUC Capacity through the RUC process of the DAM.  The RUC optimization will select RUC Capacity and produce nodal RUC Prices by minimizing total Bid cost based on RUC Availability Bids and Start-Up, Minimum Load Bids and Transition Costs. </w:t>
      </w:r>
      <w:ins w:id="15" w:author="Author">
        <w:r w:rsidR="00C07281" w:rsidRPr="0059522A">
          <w:t xml:space="preserve">If RUC cannot </w:t>
        </w:r>
        <w:r w:rsidR="00C07281" w:rsidRPr="0059522A">
          <w:lastRenderedPageBreak/>
          <w:t>schedule sufficient capacity to meet the RUC Procurement Target, a RUC Award or RUC Schedule will be issued to imports providing RA Capacity for the full amount of their RA Capacity.</w:t>
        </w:r>
        <w:r w:rsidR="00C07281">
          <w:rPr>
            <w:b/>
          </w:rPr>
          <w:t xml:space="preserve">  </w:t>
        </w:r>
      </w:ins>
      <w:r>
        <w:rPr>
          <w:szCs w:val="20"/>
        </w:rPr>
        <w:t>RUC will not consider Start-Up, Minimum Load Bids, or Transition Costs for resources already committed in the IFM.  The RUC Capacity of a resource is the incremental amount of capacity selected in RUC above the resource’s Day-Ahead Schedule.  The resource’s Day-Ahead Schedule plus its RUC Capacity comprise the resource’s RUC Schedule.  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49675A4C" w14:textId="5266BD04" w:rsidR="00F4534A" w:rsidRDefault="00F627FF" w:rsidP="00F627FF">
      <w:pPr>
        <w:jc w:val="center"/>
      </w:pPr>
      <w:r>
        <w:t xml:space="preserve"> </w:t>
      </w:r>
      <w:r w:rsidR="00F4534A">
        <w:t>* * * * *</w:t>
      </w:r>
    </w:p>
    <w:p w14:paraId="19A2DAB2" w14:textId="17AC96CA" w:rsidR="00F4534A" w:rsidRDefault="00F4534A" w:rsidP="00F4534A">
      <w:pPr>
        <w:jc w:val="center"/>
      </w:pPr>
    </w:p>
    <w:p w14:paraId="4621845C" w14:textId="77777777" w:rsidR="00F4534A" w:rsidRDefault="00F4534A" w:rsidP="00F4534A">
      <w:pPr>
        <w:pStyle w:val="Heading3"/>
      </w:pPr>
      <w:bookmarkStart w:id="16" w:name="_Toc81424607"/>
      <w:r>
        <w:t>34.12.1</w:t>
      </w:r>
      <w:r>
        <w:tab/>
        <w:t>Increasing Supply</w:t>
      </w:r>
      <w:bookmarkEnd w:id="16"/>
    </w:p>
    <w:p w14:paraId="0EDFA2E1" w14:textId="77777777" w:rsidR="00F4534A" w:rsidRDefault="00F4534A" w:rsidP="00F4534A">
      <w:r>
        <w:t>The scheduling priorities as defined in the RTM optimization to meet the need for increasing Supply as reflected from higher to lower priority are as follows:</w:t>
      </w:r>
    </w:p>
    <w:tbl>
      <w:tblPr>
        <w:tblStyle w:val="TableGrid"/>
        <w:tblW w:w="0" w:type="auto"/>
        <w:tblLook w:val="04A0" w:firstRow="1" w:lastRow="0" w:firstColumn="1" w:lastColumn="0" w:noHBand="0" w:noVBand="1"/>
      </w:tblPr>
      <w:tblGrid>
        <w:gridCol w:w="3118"/>
        <w:gridCol w:w="3116"/>
        <w:gridCol w:w="3116"/>
      </w:tblGrid>
      <w:tr w:rsidR="00F4534A" w:rsidRPr="00CD791A" w14:paraId="7DE4B487" w14:textId="77777777" w:rsidTr="00B6205F">
        <w:tc>
          <w:tcPr>
            <w:tcW w:w="3356" w:type="dxa"/>
          </w:tcPr>
          <w:p w14:paraId="347842F8" w14:textId="77777777" w:rsidR="00F4534A" w:rsidRPr="00CD791A" w:rsidRDefault="00F4534A" w:rsidP="00B6205F">
            <w:pPr>
              <w:spacing w:line="480" w:lineRule="auto"/>
              <w:rPr>
                <w:rFonts w:ascii="Arial" w:hAnsi="Arial" w:cs="Arial"/>
                <w:b/>
                <w:highlight w:val="lightGray"/>
              </w:rPr>
            </w:pPr>
            <w:r w:rsidRPr="00CD791A">
              <w:rPr>
                <w:rFonts w:ascii="Arial" w:hAnsi="Arial" w:cs="Arial"/>
                <w:b/>
                <w:highlight w:val="lightGray"/>
              </w:rPr>
              <w:lastRenderedPageBreak/>
              <w:t xml:space="preserve">Scheduling Run Priority </w:t>
            </w:r>
          </w:p>
        </w:tc>
        <w:tc>
          <w:tcPr>
            <w:tcW w:w="3357" w:type="dxa"/>
          </w:tcPr>
          <w:p w14:paraId="04ADE489" w14:textId="77777777" w:rsidR="00F4534A" w:rsidRPr="00CD791A" w:rsidRDefault="00F4534A" w:rsidP="00B6205F">
            <w:pPr>
              <w:rPr>
                <w:rFonts w:ascii="Arial" w:hAnsi="Arial" w:cs="Arial"/>
                <w:b/>
                <w:highlight w:val="lightGray"/>
              </w:rPr>
            </w:pPr>
            <w:r w:rsidRPr="00CD791A">
              <w:rPr>
                <w:rFonts w:ascii="Arial" w:hAnsi="Arial" w:cs="Arial"/>
                <w:b/>
                <w:highlight w:val="lightGray"/>
              </w:rPr>
              <w:t xml:space="preserve">Scheduling  Parameters Under  Soft Energy Bid Cap (27.4.3.2) </w:t>
            </w:r>
          </w:p>
        </w:tc>
        <w:tc>
          <w:tcPr>
            <w:tcW w:w="3357" w:type="dxa"/>
          </w:tcPr>
          <w:p w14:paraId="1E251757" w14:textId="77777777" w:rsidR="00F4534A" w:rsidRPr="00CD791A" w:rsidRDefault="00F4534A" w:rsidP="00B6205F">
            <w:pPr>
              <w:autoSpaceDE w:val="0"/>
              <w:autoSpaceDN w:val="0"/>
              <w:adjustRightInd w:val="0"/>
              <w:rPr>
                <w:rFonts w:ascii="Arial" w:hAnsi="Arial" w:cs="Arial"/>
                <w:b/>
                <w:highlight w:val="lightGray"/>
              </w:rPr>
            </w:pPr>
            <w:r w:rsidRPr="00CD791A">
              <w:rPr>
                <w:rFonts w:ascii="Arial" w:hAnsi="Arial" w:cs="Arial"/>
                <w:b/>
                <w:highlight w:val="lightGray"/>
              </w:rPr>
              <w:t>Scheduling  Parameters Under  Hard  Energy Bid Cap (27.4.3.3)</w:t>
            </w:r>
          </w:p>
          <w:p w14:paraId="0FFD2798" w14:textId="77777777" w:rsidR="00F4534A" w:rsidRPr="00CD791A" w:rsidRDefault="00F4534A" w:rsidP="00B6205F">
            <w:pPr>
              <w:rPr>
                <w:rFonts w:ascii="Arial" w:hAnsi="Arial" w:cs="Arial"/>
                <w:highlight w:val="lightGray"/>
              </w:rPr>
            </w:pPr>
          </w:p>
        </w:tc>
      </w:tr>
      <w:tr w:rsidR="00F4534A" w:rsidRPr="00CD791A" w14:paraId="4650C614" w14:textId="77777777" w:rsidTr="00B6205F">
        <w:tc>
          <w:tcPr>
            <w:tcW w:w="3356" w:type="dxa"/>
          </w:tcPr>
          <w:p w14:paraId="49EE95BB" w14:textId="0455FDD4" w:rsidR="00F4534A" w:rsidRPr="00CD791A" w:rsidRDefault="00F4534A" w:rsidP="000C5BCF">
            <w:pPr>
              <w:rPr>
                <w:rFonts w:ascii="Arial" w:hAnsi="Arial" w:cs="Arial"/>
                <w:highlight w:val="lightGray"/>
              </w:rPr>
            </w:pPr>
            <w:r w:rsidRPr="00CD791A">
              <w:rPr>
                <w:rFonts w:ascii="Arial" w:hAnsi="Arial" w:cs="Arial"/>
                <w:highlight w:val="lightGray"/>
              </w:rPr>
              <w:t>CAISO Forecast of CAISO Demand;</w:t>
            </w:r>
            <w:ins w:id="17" w:author="Author">
              <w:r w:rsidR="000C5BCF" w:rsidRPr="00CD791A">
                <w:rPr>
                  <w:rFonts w:ascii="Arial" w:hAnsi="Arial" w:cs="Arial"/>
                  <w:highlight w:val="lightGray"/>
                </w:rPr>
                <w:t xml:space="preserve"> the export Self-Schedule of a Priority Wheeling Through</w:t>
              </w:r>
            </w:ins>
            <w:r w:rsidR="000C5BCF" w:rsidRPr="00CD791A">
              <w:rPr>
                <w:rFonts w:ascii="Arial" w:hAnsi="Arial" w:cs="Arial"/>
                <w:highlight w:val="lightGray"/>
              </w:rPr>
              <w:t xml:space="preserve">; </w:t>
            </w:r>
            <w:r w:rsidRPr="00CD791A">
              <w:rPr>
                <w:rFonts w:ascii="Arial" w:hAnsi="Arial" w:cs="Arial"/>
                <w:highlight w:val="lightGray"/>
              </w:rPr>
              <w:t xml:space="preserve"> exports explicitly identified in a Resource Adequacy Plan backed by Resource Adequacy Capacity explicitly identified and linked in a Supply Plan to the exports; or Self-Schedules for exports at Scheduling Points </w:t>
            </w:r>
            <w:del w:id="18" w:author="Author">
              <w:r w:rsidRPr="00D85C3D" w:rsidDel="00661865">
                <w:rPr>
                  <w:rFonts w:cs="Arial"/>
                  <w:highlight w:val="lightGray"/>
                </w:rPr>
                <w:delText>in the RTM</w:delText>
              </w:r>
            </w:del>
            <w:r w:rsidRPr="00D85C3D">
              <w:rPr>
                <w:rFonts w:cs="Arial"/>
                <w:highlight w:val="lightGray"/>
              </w:rPr>
              <w:t xml:space="preserve"> </w:t>
            </w:r>
            <w:r w:rsidRPr="00CD791A">
              <w:rPr>
                <w:rFonts w:ascii="Arial" w:hAnsi="Arial" w:cs="Arial"/>
                <w:highlight w:val="lightGray"/>
              </w:rPr>
              <w:t>backed by Generation from non-Resource Adequacy Capacity or from non-RUC Capacity</w:t>
            </w:r>
            <w:r w:rsidRPr="00CD791A">
              <w:rPr>
                <w:rFonts w:ascii="Arial" w:hAnsi="Arial" w:cs="Arial"/>
                <w:color w:val="000000"/>
                <w:highlight w:val="lightGray"/>
              </w:rPr>
              <w:t xml:space="preserve"> </w:t>
            </w:r>
          </w:p>
        </w:tc>
        <w:tc>
          <w:tcPr>
            <w:tcW w:w="3357" w:type="dxa"/>
          </w:tcPr>
          <w:p w14:paraId="60F2F5FB"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$1450</w:t>
            </w:r>
          </w:p>
        </w:tc>
        <w:tc>
          <w:tcPr>
            <w:tcW w:w="3357" w:type="dxa"/>
          </w:tcPr>
          <w:p w14:paraId="63D39039"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$2900</w:t>
            </w:r>
          </w:p>
        </w:tc>
      </w:tr>
      <w:tr w:rsidR="00F4534A" w:rsidRPr="00CD791A" w14:paraId="0760E558" w14:textId="77777777" w:rsidTr="00B6205F">
        <w:tc>
          <w:tcPr>
            <w:tcW w:w="3356" w:type="dxa"/>
          </w:tcPr>
          <w:p w14:paraId="23CBD245" w14:textId="5C6584F4" w:rsidR="00F4534A" w:rsidRPr="00CD791A" w:rsidRDefault="00F4534A" w:rsidP="003B04B6">
            <w:pPr>
              <w:rPr>
                <w:rFonts w:ascii="Arial" w:hAnsi="Arial" w:cs="Arial"/>
                <w:highlight w:val="lightGray"/>
              </w:rPr>
            </w:pPr>
            <w:r w:rsidRPr="00CD791A">
              <w:rPr>
                <w:rFonts w:ascii="Arial" w:hAnsi="Arial" w:cs="Arial"/>
                <w:highlight w:val="lightGray"/>
              </w:rPr>
              <w:t>RUC Schedules that are Self-Schedules of exports at Scheduling Points not backed by Generation from non-Resource Adequacy Capacity</w:t>
            </w:r>
            <w:ins w:id="19" w:author="Author">
              <w:r w:rsidR="003B04B6" w:rsidRPr="00CD791A">
                <w:rPr>
                  <w:rFonts w:ascii="Arial" w:hAnsi="Arial" w:cs="Arial"/>
                  <w:highlight w:val="lightGray"/>
                </w:rPr>
                <w:t>, or the RUC Schedules that are the export Self-Schedules of  non-Priority Wheeling Throughs</w:t>
              </w:r>
            </w:ins>
            <w:r w:rsidRPr="00CD791A">
              <w:rPr>
                <w:rFonts w:ascii="Arial" w:hAnsi="Arial" w:cs="Arial"/>
                <w:color w:val="000000"/>
                <w:highlight w:val="lightGray"/>
              </w:rPr>
              <w:t xml:space="preserve"> </w:t>
            </w:r>
          </w:p>
        </w:tc>
        <w:tc>
          <w:tcPr>
            <w:tcW w:w="3357" w:type="dxa"/>
          </w:tcPr>
          <w:p w14:paraId="5D4E7536"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$1250</w:t>
            </w:r>
          </w:p>
        </w:tc>
        <w:tc>
          <w:tcPr>
            <w:tcW w:w="3357" w:type="dxa"/>
          </w:tcPr>
          <w:p w14:paraId="25F371C9"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$2500</w:t>
            </w:r>
          </w:p>
        </w:tc>
      </w:tr>
      <w:tr w:rsidR="00F4534A" w:rsidRPr="00CD791A" w14:paraId="3CB87D50" w14:textId="77777777" w:rsidTr="00B6205F">
        <w:tc>
          <w:tcPr>
            <w:tcW w:w="3356" w:type="dxa"/>
          </w:tcPr>
          <w:p w14:paraId="2B4B12B9" w14:textId="4F6A2262" w:rsidR="00F4534A" w:rsidRPr="00CD791A" w:rsidRDefault="00F4534A" w:rsidP="003B04B6">
            <w:pPr>
              <w:rPr>
                <w:rFonts w:ascii="Arial" w:hAnsi="Arial" w:cs="Arial"/>
                <w:highlight w:val="lightGray"/>
              </w:rPr>
            </w:pPr>
            <w:r w:rsidRPr="00CD791A">
              <w:rPr>
                <w:rFonts w:ascii="Arial" w:hAnsi="Arial" w:cs="Arial"/>
                <w:highlight w:val="lightGray"/>
              </w:rPr>
              <w:t>Real-Time Market Self-Schedules of exports at Scheduling Points not backed by Generation from non-Resource Adequacy Capacity or non-RUC capacity</w:t>
            </w:r>
            <w:ins w:id="20" w:author="Author">
              <w:r w:rsidR="003B04B6" w:rsidRPr="00CD791A">
                <w:rPr>
                  <w:rFonts w:ascii="Arial" w:hAnsi="Arial" w:cs="Arial"/>
                  <w:highlight w:val="lightGray"/>
                </w:rPr>
                <w:t>, or the Real-Time Market Self-Schedules that are the export Self-Schedules of a non-Priority Wheeling Through</w:t>
              </w:r>
            </w:ins>
            <w:del w:id="21" w:author="Author">
              <w:r w:rsidRPr="00CD791A" w:rsidDel="003B04B6">
                <w:rPr>
                  <w:rFonts w:ascii="Arial" w:hAnsi="Arial" w:cs="Arial"/>
                  <w:highlight w:val="lightGray"/>
                </w:rPr>
                <w:delText xml:space="preserve"> </w:delText>
              </w:r>
            </w:del>
            <w:r w:rsidRPr="00CD791A">
              <w:rPr>
                <w:rFonts w:ascii="Arial" w:hAnsi="Arial" w:cs="Arial"/>
                <w:highlight w:val="lightGray"/>
              </w:rPr>
              <w:t xml:space="preserve"> </w:t>
            </w:r>
          </w:p>
        </w:tc>
        <w:tc>
          <w:tcPr>
            <w:tcW w:w="3357" w:type="dxa"/>
          </w:tcPr>
          <w:p w14:paraId="7A1A0E0F"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$1150</w:t>
            </w:r>
          </w:p>
        </w:tc>
        <w:tc>
          <w:tcPr>
            <w:tcW w:w="3357" w:type="dxa"/>
          </w:tcPr>
          <w:p w14:paraId="549A40E5"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$2300</w:t>
            </w:r>
          </w:p>
        </w:tc>
      </w:tr>
      <w:tr w:rsidR="00F4534A" w:rsidRPr="005D3CF8" w14:paraId="5C412E43" w14:textId="77777777" w:rsidTr="00B6205F">
        <w:tc>
          <w:tcPr>
            <w:tcW w:w="3356" w:type="dxa"/>
          </w:tcPr>
          <w:p w14:paraId="0CAC4407" w14:textId="77777777" w:rsidR="00F4534A" w:rsidRPr="00CD791A" w:rsidRDefault="00F4534A" w:rsidP="00B6205F">
            <w:pPr>
              <w:rPr>
                <w:rFonts w:ascii="Arial" w:hAnsi="Arial" w:cs="Arial"/>
                <w:highlight w:val="lightGray"/>
              </w:rPr>
            </w:pPr>
            <w:r w:rsidRPr="00CD791A">
              <w:rPr>
                <w:rFonts w:ascii="Arial" w:hAnsi="Arial" w:cs="Arial"/>
                <w:highlight w:val="lightGray"/>
              </w:rPr>
              <w:t>Contingency Only Operating Reserve if activated by Operator to provide Energy (as indicated by the Contingency Flag and the Contingency condition)</w:t>
            </w:r>
          </w:p>
        </w:tc>
        <w:tc>
          <w:tcPr>
            <w:tcW w:w="3357" w:type="dxa"/>
          </w:tcPr>
          <w:p w14:paraId="47BA6B7A"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$1000</w:t>
            </w:r>
          </w:p>
        </w:tc>
        <w:tc>
          <w:tcPr>
            <w:tcW w:w="3357" w:type="dxa"/>
          </w:tcPr>
          <w:p w14:paraId="55BA043B" w14:textId="77777777" w:rsidR="00F4534A" w:rsidRPr="005D3CF8" w:rsidRDefault="00F4534A" w:rsidP="00B6205F">
            <w:pPr>
              <w:spacing w:line="480" w:lineRule="auto"/>
              <w:rPr>
                <w:rFonts w:ascii="Arial" w:hAnsi="Arial" w:cs="Arial"/>
              </w:rPr>
            </w:pPr>
            <w:r w:rsidRPr="00CD791A">
              <w:rPr>
                <w:rFonts w:ascii="Arial" w:hAnsi="Arial" w:cs="Arial"/>
                <w:color w:val="000000"/>
                <w:highlight w:val="lightGray"/>
              </w:rPr>
              <w:t>$2000</w:t>
            </w:r>
          </w:p>
        </w:tc>
      </w:tr>
    </w:tbl>
    <w:p w14:paraId="4B98B095" w14:textId="77777777" w:rsidR="00F4534A" w:rsidRDefault="00F4534A" w:rsidP="00F4534A"/>
    <w:p w14:paraId="3BBB21B7" w14:textId="77777777" w:rsidR="00F4534A" w:rsidRDefault="00F4534A" w:rsidP="00F4534A">
      <w:pPr>
        <w:pStyle w:val="Heading3"/>
      </w:pPr>
      <w:bookmarkStart w:id="22" w:name="_Toc81424608"/>
      <w:r>
        <w:t>34.12.2</w:t>
      </w:r>
      <w:r>
        <w:tab/>
        <w:t>Decreasing Supply</w:t>
      </w:r>
      <w:bookmarkEnd w:id="22"/>
    </w:p>
    <w:p w14:paraId="15093E4D" w14:textId="77777777" w:rsidR="00F4534A" w:rsidRDefault="00F4534A" w:rsidP="00F4534A">
      <w:r>
        <w:t xml:space="preserve">The scheduling priorities as defined in the RTM optimization to meet the need for decreasing Supply as reflected </w:t>
      </w:r>
      <w:r>
        <w:lastRenderedPageBreak/>
        <w:t>from higher to lower priority are as follows:</w:t>
      </w:r>
    </w:p>
    <w:tbl>
      <w:tblPr>
        <w:tblStyle w:val="TableGrid"/>
        <w:tblW w:w="0" w:type="auto"/>
        <w:tblLook w:val="04A0" w:firstRow="1" w:lastRow="0" w:firstColumn="1" w:lastColumn="0" w:noHBand="0" w:noVBand="1"/>
      </w:tblPr>
      <w:tblGrid>
        <w:gridCol w:w="4675"/>
        <w:gridCol w:w="1890"/>
        <w:gridCol w:w="2785"/>
      </w:tblGrid>
      <w:tr w:rsidR="00F4534A" w:rsidRPr="00CD791A" w14:paraId="4557FD30" w14:textId="77777777" w:rsidTr="00B6205F">
        <w:tc>
          <w:tcPr>
            <w:tcW w:w="4675" w:type="dxa"/>
          </w:tcPr>
          <w:p w14:paraId="1EA7DB21" w14:textId="77777777" w:rsidR="00F4534A" w:rsidRPr="00CD791A" w:rsidRDefault="00F4534A" w:rsidP="00B6205F">
            <w:pPr>
              <w:spacing w:line="480" w:lineRule="auto"/>
              <w:rPr>
                <w:rFonts w:ascii="Arial" w:hAnsi="Arial" w:cs="Arial"/>
                <w:b/>
                <w:highlight w:val="lightGray"/>
              </w:rPr>
            </w:pPr>
            <w:r w:rsidRPr="00CD791A">
              <w:rPr>
                <w:rFonts w:ascii="Arial" w:hAnsi="Arial" w:cs="Arial"/>
                <w:b/>
                <w:highlight w:val="lightGray"/>
              </w:rPr>
              <w:t>Scheduling Run Priority</w:t>
            </w:r>
          </w:p>
        </w:tc>
        <w:tc>
          <w:tcPr>
            <w:tcW w:w="1890" w:type="dxa"/>
          </w:tcPr>
          <w:p w14:paraId="288E3B95" w14:textId="77777777" w:rsidR="00F4534A" w:rsidRPr="00CD791A" w:rsidRDefault="00F4534A" w:rsidP="00B6205F">
            <w:pPr>
              <w:rPr>
                <w:rFonts w:ascii="Arial" w:hAnsi="Arial" w:cs="Arial"/>
                <w:highlight w:val="lightGray"/>
              </w:rPr>
            </w:pPr>
            <w:r w:rsidRPr="00CD791A">
              <w:rPr>
                <w:rFonts w:ascii="Arial" w:hAnsi="Arial" w:cs="Arial"/>
                <w:b/>
                <w:highlight w:val="lightGray"/>
                <w:u w:val="single"/>
              </w:rPr>
              <w:t xml:space="preserve">Scheduling  Parameters Under  Soft Energy Bid Cap </w:t>
            </w:r>
            <w:r w:rsidRPr="00CD791A">
              <w:rPr>
                <w:rFonts w:ascii="Arial" w:hAnsi="Arial" w:cs="Arial"/>
                <w:b/>
                <w:highlight w:val="lightGray"/>
              </w:rPr>
              <w:t>(27.4.3.2)</w:t>
            </w:r>
          </w:p>
        </w:tc>
        <w:tc>
          <w:tcPr>
            <w:tcW w:w="2785" w:type="dxa"/>
          </w:tcPr>
          <w:p w14:paraId="73909E9D" w14:textId="77777777" w:rsidR="00F4534A" w:rsidRPr="00CD791A" w:rsidRDefault="00F4534A" w:rsidP="00B6205F">
            <w:pPr>
              <w:autoSpaceDE w:val="0"/>
              <w:autoSpaceDN w:val="0"/>
              <w:adjustRightInd w:val="0"/>
              <w:rPr>
                <w:rFonts w:ascii="Arial" w:hAnsi="Arial" w:cs="Arial"/>
                <w:b/>
                <w:highlight w:val="lightGray"/>
                <w:u w:val="single"/>
              </w:rPr>
            </w:pPr>
            <w:r w:rsidRPr="00CD791A">
              <w:rPr>
                <w:rFonts w:ascii="Arial" w:hAnsi="Arial" w:cs="Arial"/>
                <w:b/>
                <w:highlight w:val="lightGray"/>
                <w:u w:val="single"/>
              </w:rPr>
              <w:t xml:space="preserve">Scheduling  Parameters Under  Hard  Energy Bid Cap </w:t>
            </w:r>
            <w:r w:rsidRPr="00CD791A">
              <w:rPr>
                <w:rFonts w:ascii="Arial" w:hAnsi="Arial" w:cs="Arial"/>
                <w:b/>
                <w:highlight w:val="lightGray"/>
              </w:rPr>
              <w:t>(27.4.3.3)</w:t>
            </w:r>
          </w:p>
          <w:p w14:paraId="0E21E4EC" w14:textId="77777777" w:rsidR="00F4534A" w:rsidRPr="00CD791A" w:rsidRDefault="00F4534A" w:rsidP="00B6205F">
            <w:pPr>
              <w:spacing w:line="480" w:lineRule="auto"/>
              <w:rPr>
                <w:rFonts w:ascii="Arial" w:hAnsi="Arial" w:cs="Arial"/>
                <w:highlight w:val="lightGray"/>
              </w:rPr>
            </w:pPr>
          </w:p>
        </w:tc>
      </w:tr>
      <w:tr w:rsidR="00F4534A" w:rsidRPr="00CD791A" w14:paraId="351C5FDD" w14:textId="77777777" w:rsidTr="00B6205F">
        <w:tc>
          <w:tcPr>
            <w:tcW w:w="4675" w:type="dxa"/>
          </w:tcPr>
          <w:p w14:paraId="5B98F0E7" w14:textId="77777777" w:rsidR="00F4534A" w:rsidRPr="00CD791A" w:rsidRDefault="00F4534A" w:rsidP="00B6205F">
            <w:pPr>
              <w:rPr>
                <w:rFonts w:ascii="Arial" w:hAnsi="Arial" w:cs="Arial"/>
                <w:highlight w:val="lightGray"/>
              </w:rPr>
            </w:pPr>
            <w:r w:rsidRPr="00CD791A">
              <w:rPr>
                <w:rFonts w:ascii="Arial" w:hAnsi="Arial" w:cs="Arial"/>
                <w:highlight w:val="lightGray"/>
              </w:rPr>
              <w:t>Non-Participating Load increase</w:t>
            </w:r>
            <w:r w:rsidRPr="00CD791A">
              <w:rPr>
                <w:rFonts w:ascii="Arial" w:hAnsi="Arial" w:cs="Arial"/>
                <w:color w:val="000000"/>
                <w:highlight w:val="lightGray"/>
              </w:rPr>
              <w:t xml:space="preserve"> </w:t>
            </w:r>
          </w:p>
        </w:tc>
        <w:tc>
          <w:tcPr>
            <w:tcW w:w="1890" w:type="dxa"/>
          </w:tcPr>
          <w:p w14:paraId="155EBF4A"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EDD268A"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4E90AE4" w14:textId="77777777" w:rsidTr="00B6205F">
        <w:tc>
          <w:tcPr>
            <w:tcW w:w="4675" w:type="dxa"/>
          </w:tcPr>
          <w:p w14:paraId="1C967223" w14:textId="77777777" w:rsidR="00F4534A" w:rsidRPr="00CD791A" w:rsidRDefault="00F4534A" w:rsidP="00B6205F">
            <w:pPr>
              <w:rPr>
                <w:rFonts w:ascii="Arial" w:hAnsi="Arial" w:cs="Arial"/>
                <w:highlight w:val="lightGray"/>
              </w:rPr>
            </w:pPr>
            <w:r w:rsidRPr="00CD791A">
              <w:rPr>
                <w:rFonts w:ascii="Arial" w:hAnsi="Arial" w:cs="Arial"/>
                <w:highlight w:val="lightGray"/>
              </w:rPr>
              <w:t>Reliability Must Run (RMR) Schedule (Day-Ahead manual pre-dispatch or Manual RMR Dispatches or Dispatches that are flagged as RMR Dispatches following the MPM, for Legacy RMR Units and Exceptional Dispatch for RMR Resources process)</w:t>
            </w:r>
            <w:r w:rsidRPr="00CD791A">
              <w:rPr>
                <w:rFonts w:ascii="Arial" w:hAnsi="Arial" w:cs="Arial"/>
                <w:color w:val="000000"/>
                <w:highlight w:val="lightGray"/>
              </w:rPr>
              <w:t xml:space="preserve"> </w:t>
            </w:r>
          </w:p>
        </w:tc>
        <w:tc>
          <w:tcPr>
            <w:tcW w:w="1890" w:type="dxa"/>
          </w:tcPr>
          <w:p w14:paraId="52A55BD1"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-$6000</w:t>
            </w:r>
          </w:p>
        </w:tc>
        <w:tc>
          <w:tcPr>
            <w:tcW w:w="2785" w:type="dxa"/>
          </w:tcPr>
          <w:p w14:paraId="2CC0361F"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-$12000</w:t>
            </w:r>
          </w:p>
        </w:tc>
      </w:tr>
      <w:tr w:rsidR="00F4534A" w:rsidRPr="00CD791A" w14:paraId="22EE1843" w14:textId="77777777" w:rsidTr="00B6205F">
        <w:tc>
          <w:tcPr>
            <w:tcW w:w="4675" w:type="dxa"/>
          </w:tcPr>
          <w:p w14:paraId="5B53BF8B" w14:textId="77777777" w:rsidR="00F4534A" w:rsidRPr="00CD791A" w:rsidRDefault="00F4534A" w:rsidP="00B6205F">
            <w:pPr>
              <w:rPr>
                <w:rFonts w:ascii="Arial" w:hAnsi="Arial" w:cs="Arial"/>
                <w:highlight w:val="lightGray"/>
              </w:rPr>
            </w:pPr>
            <w:r w:rsidRPr="00CD791A">
              <w:rPr>
                <w:rFonts w:ascii="Arial" w:hAnsi="Arial" w:cs="Arial"/>
                <w:highlight w:val="lightGray"/>
              </w:rPr>
              <w:t>Transmission Ownership Right (TOR) Self-Schedule</w:t>
            </w:r>
            <w:r w:rsidRPr="00CD791A">
              <w:rPr>
                <w:rFonts w:ascii="Arial" w:hAnsi="Arial" w:cs="Arial"/>
                <w:color w:val="000000"/>
                <w:highlight w:val="lightGray"/>
              </w:rPr>
              <w:t xml:space="preserve">   </w:t>
            </w:r>
          </w:p>
        </w:tc>
        <w:tc>
          <w:tcPr>
            <w:tcW w:w="1890" w:type="dxa"/>
          </w:tcPr>
          <w:p w14:paraId="36E814DC"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-$5900</w:t>
            </w:r>
          </w:p>
        </w:tc>
        <w:tc>
          <w:tcPr>
            <w:tcW w:w="2785" w:type="dxa"/>
          </w:tcPr>
          <w:p w14:paraId="0074FBD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-$11800</w:t>
            </w:r>
          </w:p>
        </w:tc>
      </w:tr>
      <w:tr w:rsidR="00F4534A" w:rsidRPr="00CD791A" w14:paraId="58485F3B" w14:textId="77777777" w:rsidTr="00B6205F">
        <w:tc>
          <w:tcPr>
            <w:tcW w:w="4675" w:type="dxa"/>
          </w:tcPr>
          <w:p w14:paraId="23257BD0" w14:textId="77777777" w:rsidR="00F4534A" w:rsidRPr="00CD791A" w:rsidRDefault="00F4534A" w:rsidP="00B6205F">
            <w:pPr>
              <w:rPr>
                <w:rFonts w:ascii="Arial" w:hAnsi="Arial" w:cs="Arial"/>
                <w:highlight w:val="lightGray"/>
              </w:rPr>
            </w:pPr>
            <w:r w:rsidRPr="00CD791A">
              <w:rPr>
                <w:rFonts w:ascii="Arial" w:hAnsi="Arial" w:cs="Arial"/>
                <w:highlight w:val="lightGray"/>
              </w:rPr>
              <w:t>Existing Rights (ETC) Self-Schedule</w:t>
            </w:r>
          </w:p>
        </w:tc>
        <w:tc>
          <w:tcPr>
            <w:tcW w:w="1890" w:type="dxa"/>
          </w:tcPr>
          <w:p w14:paraId="700BA5C0"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-$5100 to -$5900</w:t>
            </w:r>
          </w:p>
        </w:tc>
        <w:tc>
          <w:tcPr>
            <w:tcW w:w="2785" w:type="dxa"/>
          </w:tcPr>
          <w:p w14:paraId="09E2AE60"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-$10200 to -$11800</w:t>
            </w:r>
          </w:p>
        </w:tc>
      </w:tr>
      <w:tr w:rsidR="00F4534A" w:rsidRPr="00CD791A" w14:paraId="78A9BB07" w14:textId="77777777" w:rsidTr="00B6205F">
        <w:tc>
          <w:tcPr>
            <w:tcW w:w="4675" w:type="dxa"/>
          </w:tcPr>
          <w:p w14:paraId="6B7A49C6" w14:textId="77777777" w:rsidR="00F4534A" w:rsidRPr="00CD791A" w:rsidRDefault="00F4534A" w:rsidP="00B6205F">
            <w:pPr>
              <w:rPr>
                <w:rFonts w:ascii="Arial" w:hAnsi="Arial" w:cs="Arial"/>
                <w:highlight w:val="lightGray"/>
              </w:rPr>
            </w:pPr>
            <w:r w:rsidRPr="00CD791A">
              <w:rPr>
                <w:rFonts w:ascii="Arial" w:hAnsi="Arial" w:cs="Arial"/>
                <w:highlight w:val="lightGray"/>
              </w:rPr>
              <w:t>Regulatory Must-Run and Regulatory Must-Take (RMT) Self-Schedule;</w:t>
            </w:r>
          </w:p>
        </w:tc>
        <w:tc>
          <w:tcPr>
            <w:tcW w:w="1890" w:type="dxa"/>
          </w:tcPr>
          <w:p w14:paraId="4D6D2DFC"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-$1400</w:t>
            </w:r>
          </w:p>
        </w:tc>
        <w:tc>
          <w:tcPr>
            <w:tcW w:w="2785" w:type="dxa"/>
          </w:tcPr>
          <w:p w14:paraId="7089FC8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-$2800</w:t>
            </w:r>
          </w:p>
        </w:tc>
      </w:tr>
      <w:tr w:rsidR="00F4534A" w:rsidRPr="00CD791A" w14:paraId="17579AE1" w14:textId="77777777" w:rsidTr="00B6205F">
        <w:tc>
          <w:tcPr>
            <w:tcW w:w="4675" w:type="dxa"/>
          </w:tcPr>
          <w:p w14:paraId="227902A4"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Participating Load increase </w:t>
            </w:r>
            <w:r w:rsidRPr="00CD791A">
              <w:rPr>
                <w:rFonts w:ascii="Arial" w:hAnsi="Arial" w:cs="Arial"/>
                <w:color w:val="000000"/>
                <w:highlight w:val="lightGray"/>
              </w:rPr>
              <w:t xml:space="preserve"> </w:t>
            </w:r>
          </w:p>
        </w:tc>
        <w:tc>
          <w:tcPr>
            <w:tcW w:w="1890" w:type="dxa"/>
          </w:tcPr>
          <w:p w14:paraId="1767143D"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88026A6"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EC3AA27" w14:textId="77777777" w:rsidTr="00B6205F">
        <w:tc>
          <w:tcPr>
            <w:tcW w:w="4675" w:type="dxa"/>
          </w:tcPr>
          <w:p w14:paraId="16DD64C9"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Day-Ahead Supply Schedule   </w:t>
            </w:r>
          </w:p>
        </w:tc>
        <w:tc>
          <w:tcPr>
            <w:tcW w:w="1890" w:type="dxa"/>
          </w:tcPr>
          <w:p w14:paraId="46702B9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-$1200</w:t>
            </w:r>
          </w:p>
        </w:tc>
        <w:tc>
          <w:tcPr>
            <w:tcW w:w="2785" w:type="dxa"/>
          </w:tcPr>
          <w:p w14:paraId="58451F03"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-$2400</w:t>
            </w:r>
          </w:p>
        </w:tc>
      </w:tr>
      <w:tr w:rsidR="00F4534A" w:rsidRPr="00CD791A" w14:paraId="118C054E" w14:textId="77777777" w:rsidTr="00B6205F">
        <w:tc>
          <w:tcPr>
            <w:tcW w:w="4675" w:type="dxa"/>
          </w:tcPr>
          <w:p w14:paraId="636381DE"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Self-Schedule Hourly Block  </w:t>
            </w:r>
          </w:p>
        </w:tc>
        <w:tc>
          <w:tcPr>
            <w:tcW w:w="1890" w:type="dxa"/>
          </w:tcPr>
          <w:p w14:paraId="7B7A0A78" w14:textId="77777777" w:rsidR="00F4534A" w:rsidRPr="00CD791A" w:rsidRDefault="00F4534A" w:rsidP="00B6205F">
            <w:pPr>
              <w:spacing w:line="480" w:lineRule="auto"/>
              <w:rPr>
                <w:rFonts w:ascii="Arial" w:hAnsi="Arial" w:cs="Arial"/>
                <w:color w:val="000000"/>
                <w:highlight w:val="lightGray"/>
              </w:rPr>
            </w:pPr>
            <w:r w:rsidRPr="00CD791A">
              <w:rPr>
                <w:rFonts w:ascii="Arial" w:hAnsi="Arial" w:cs="Arial"/>
                <w:color w:val="000000"/>
                <w:highlight w:val="lightGray"/>
              </w:rPr>
              <w:t>-$1100</w:t>
            </w:r>
          </w:p>
        </w:tc>
        <w:tc>
          <w:tcPr>
            <w:tcW w:w="2785" w:type="dxa"/>
          </w:tcPr>
          <w:p w14:paraId="13F0A238" w14:textId="77777777" w:rsidR="00F4534A" w:rsidRPr="00CD791A" w:rsidRDefault="00F4534A" w:rsidP="00B6205F">
            <w:pPr>
              <w:spacing w:line="480" w:lineRule="auto"/>
              <w:rPr>
                <w:rFonts w:ascii="Arial" w:hAnsi="Arial" w:cs="Arial"/>
                <w:color w:val="000000"/>
                <w:highlight w:val="lightGray"/>
              </w:rPr>
            </w:pPr>
            <w:r w:rsidRPr="00CD791A">
              <w:rPr>
                <w:rFonts w:ascii="Arial" w:hAnsi="Arial" w:cs="Arial"/>
                <w:color w:val="000000"/>
                <w:highlight w:val="lightGray"/>
              </w:rPr>
              <w:t>-$2200</w:t>
            </w:r>
          </w:p>
        </w:tc>
      </w:tr>
      <w:tr w:rsidR="00F4534A" w:rsidRPr="005D3CF8" w14:paraId="507AF515" w14:textId="77777777" w:rsidTr="00B6205F">
        <w:tc>
          <w:tcPr>
            <w:tcW w:w="4675" w:type="dxa"/>
          </w:tcPr>
          <w:p w14:paraId="43B43556" w14:textId="353090BF" w:rsidR="00F4534A" w:rsidRPr="00CD791A" w:rsidRDefault="00170CF9" w:rsidP="00B6205F">
            <w:pPr>
              <w:rPr>
                <w:rFonts w:ascii="Arial" w:hAnsi="Arial" w:cs="Arial"/>
                <w:highlight w:val="lightGray"/>
              </w:rPr>
            </w:pPr>
            <w:ins w:id="23" w:author="Author">
              <w:r w:rsidRPr="00CD791A">
                <w:rPr>
                  <w:rFonts w:ascii="Arial" w:hAnsi="Arial" w:cs="Arial"/>
                  <w:highlight w:val="lightGray"/>
                </w:rPr>
                <w:t xml:space="preserve">Import Self-Schedule of a non-Priority Wheeling Through  </w:t>
              </w:r>
            </w:ins>
          </w:p>
        </w:tc>
        <w:tc>
          <w:tcPr>
            <w:tcW w:w="1890" w:type="dxa"/>
          </w:tcPr>
          <w:p w14:paraId="736F0054" w14:textId="38996AC7" w:rsidR="00F4534A" w:rsidRPr="00CD791A" w:rsidRDefault="007543B8" w:rsidP="00B6205F">
            <w:pPr>
              <w:spacing w:line="480" w:lineRule="auto"/>
              <w:rPr>
                <w:rFonts w:ascii="Arial" w:hAnsi="Arial" w:cs="Arial"/>
                <w:color w:val="000000"/>
                <w:highlight w:val="lightGray"/>
              </w:rPr>
            </w:pPr>
            <w:ins w:id="24" w:author="Author">
              <w:r w:rsidRPr="00CD791A">
                <w:rPr>
                  <w:rFonts w:ascii="Arial" w:hAnsi="Arial" w:cs="Arial"/>
                  <w:color w:val="000000"/>
                  <w:highlight w:val="lightGray"/>
                </w:rPr>
                <w:t>$0</w:t>
              </w:r>
            </w:ins>
          </w:p>
        </w:tc>
        <w:tc>
          <w:tcPr>
            <w:tcW w:w="2785" w:type="dxa"/>
          </w:tcPr>
          <w:p w14:paraId="046C796D" w14:textId="7C0EBD05" w:rsidR="00F4534A" w:rsidRPr="005D3CF8" w:rsidRDefault="00170CF9" w:rsidP="00B6205F">
            <w:pPr>
              <w:spacing w:line="480" w:lineRule="auto"/>
              <w:rPr>
                <w:rFonts w:ascii="Arial" w:hAnsi="Arial" w:cs="Arial"/>
              </w:rPr>
            </w:pPr>
            <w:ins w:id="25" w:author="Author">
              <w:r w:rsidRPr="00CD791A">
                <w:rPr>
                  <w:rFonts w:ascii="Arial" w:hAnsi="Arial" w:cs="Arial"/>
                  <w:color w:val="000000"/>
                  <w:highlight w:val="lightGray"/>
                </w:rPr>
                <w:t>$0</w:t>
              </w:r>
            </w:ins>
          </w:p>
        </w:tc>
      </w:tr>
    </w:tbl>
    <w:p w14:paraId="18190019" w14:textId="77777777" w:rsidR="00F4534A" w:rsidRDefault="00F4534A" w:rsidP="00F4534A"/>
    <w:p w14:paraId="12256DEA" w14:textId="77777777" w:rsidR="00F4534A" w:rsidRDefault="00F4534A" w:rsidP="00F4534A">
      <w:r>
        <w:t>These dispatch priorities as defined in the RTM optimization may be superseded by operator actions and procedures as necessary to ensure reliable operations.</w:t>
      </w:r>
    </w:p>
    <w:p w14:paraId="78A7ABEF" w14:textId="77777777" w:rsidR="00170CF9" w:rsidRDefault="00170CF9" w:rsidP="00170CF9">
      <w:pPr>
        <w:pStyle w:val="Heading3"/>
        <w:rPr>
          <w:ins w:id="26" w:author="Author"/>
        </w:rPr>
      </w:pPr>
      <w:bookmarkStart w:id="27" w:name="_Toc81424609"/>
      <w:ins w:id="28" w:author="Author">
        <w:r>
          <w:t>34.12.3</w:t>
        </w:r>
        <w:r>
          <w:tab/>
        </w:r>
        <w:r>
          <w:tab/>
        </w:r>
      </w:ins>
    </w:p>
    <w:p w14:paraId="537BDBB8" w14:textId="139FB554" w:rsidR="00170CF9" w:rsidRDefault="00170CF9" w:rsidP="00170CF9">
      <w:pPr>
        <w:rPr>
          <w:ins w:id="29" w:author="Author"/>
        </w:rPr>
      </w:pPr>
      <w:ins w:id="30" w:author="Author">
        <w:r w:rsidRPr="00F06A35">
          <w:t xml:space="preserve">In the event an Intertie is constrained in the import direction by a scheduling limit or Path 26 is constrained in the </w:t>
        </w:r>
        <w:r w:rsidRPr="00F06A35">
          <w:lastRenderedPageBreak/>
          <w:t xml:space="preserve">north-south direction, when HASP cannot meet CAISO Forecast of CAISO Demand or fully accommodate a Priority Wheeling Through transaction, the CAISO will perform a post-HASP process to pro rata allocate available transmission capacity between Load </w:t>
        </w:r>
        <w:r>
          <w:t xml:space="preserve">within the CAISO Balancing Authority Area </w:t>
        </w:r>
        <w:r w:rsidRPr="00F06A35">
          <w:t xml:space="preserve">and Priority Wheel Through transactions, as described in the Business Practice Manual.  The Load pro rata share </w:t>
        </w:r>
        <w:r>
          <w:t xml:space="preserve">of Load within the CAISO Balancing Authority Area </w:t>
        </w:r>
        <w:r w:rsidRPr="00F06A35">
          <w:t>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w:t>
        </w:r>
      </w:ins>
    </w:p>
    <w:p w14:paraId="13896455" w14:textId="5F2F32E7" w:rsidR="00F4534A" w:rsidRPr="00F06A35" w:rsidRDefault="00170CF9" w:rsidP="00F4534A">
      <w:r w:rsidDel="00170CF9">
        <w:t xml:space="preserve"> </w:t>
      </w:r>
      <w:bookmarkEnd w:id="27"/>
    </w:p>
    <w:p w14:paraId="532178BB" w14:textId="401788D6" w:rsidR="00F4534A" w:rsidRDefault="00F4534A" w:rsidP="00F4534A">
      <w:pPr>
        <w:jc w:val="center"/>
      </w:pPr>
      <w:r>
        <w:t xml:space="preserve">* * * * * </w:t>
      </w:r>
    </w:p>
    <w:p w14:paraId="61E9560D" w14:textId="77777777" w:rsidR="00BD6258" w:rsidRDefault="00BD6258" w:rsidP="00F4534A">
      <w:pPr>
        <w:jc w:val="center"/>
      </w:pPr>
    </w:p>
    <w:p w14:paraId="32545D62" w14:textId="3407C21A" w:rsidR="00F4534A" w:rsidRDefault="00F4534A" w:rsidP="00F4534A">
      <w:pPr>
        <w:rPr>
          <w:b/>
        </w:rPr>
      </w:pPr>
      <w:r w:rsidRPr="00F4534A">
        <w:rPr>
          <w:b/>
        </w:rPr>
        <w:t>Appendix A</w:t>
      </w:r>
    </w:p>
    <w:p w14:paraId="28AE419A" w14:textId="77777777" w:rsidR="00BD6258" w:rsidRPr="00F4534A" w:rsidRDefault="00BD6258" w:rsidP="00F4534A">
      <w:pPr>
        <w:rPr>
          <w:b/>
        </w:rPr>
      </w:pPr>
    </w:p>
    <w:p w14:paraId="77A91A1E" w14:textId="25C6E0E4" w:rsidR="00F4534A" w:rsidRDefault="00F4534A" w:rsidP="00F4534A">
      <w:pPr>
        <w:jc w:val="center"/>
      </w:pPr>
      <w:r>
        <w:lastRenderedPageBreak/>
        <w:t>* * * * *</w:t>
      </w:r>
    </w:p>
    <w:p w14:paraId="2484DBB9" w14:textId="77777777" w:rsidR="00A9756A" w:rsidRDefault="00A9756A" w:rsidP="00A9756A">
      <w:pPr>
        <w:pStyle w:val="Heading1"/>
        <w:rPr>
          <w:ins w:id="31" w:author="Author"/>
        </w:rPr>
      </w:pPr>
      <w:bookmarkStart w:id="32" w:name="_Toc81341580"/>
      <w:ins w:id="33" w:author="Author">
        <w:r>
          <w:t xml:space="preserve">Priority Wheeling Through </w:t>
        </w:r>
        <w:r w:rsidRPr="00A204E2">
          <w:t xml:space="preserve"> </w:t>
        </w:r>
      </w:ins>
    </w:p>
    <w:p w14:paraId="17EDFC36" w14:textId="77777777" w:rsidR="00A9756A" w:rsidRDefault="00A9756A" w:rsidP="00A9756A">
      <w:pPr>
        <w:rPr>
          <w:ins w:id="34" w:author="Author"/>
        </w:rPr>
      </w:pPr>
      <w:ins w:id="35" w:author="Author">
        <w:r>
          <w:t xml:space="preserve">A Self-Schedule that is part of a </w:t>
        </w:r>
        <w:r w:rsidRPr="00302116">
          <w:rPr>
            <w:rFonts w:cs="Arial"/>
          </w:rPr>
          <w:t xml:space="preserve">Wheeling Through </w:t>
        </w:r>
        <w:r w:rsidRPr="003B67C4">
          <w:rPr>
            <w:rFonts w:cs="Arial"/>
          </w:rPr>
          <w:t>transaction</w:t>
        </w:r>
        <w:r>
          <w:rPr>
            <w:rFonts w:cs="Arial"/>
          </w:rPr>
          <w:t xml:space="preserve"> consistent with Section 30.5.4</w:t>
        </w:r>
        <w:r w:rsidRPr="00302116">
          <w:rPr>
            <w:rFonts w:cs="Arial"/>
          </w:rPr>
          <w:t xml:space="preserve"> that is supported by (1) a firm power supply contract to serve an external </w:t>
        </w:r>
        <w:r>
          <w:rPr>
            <w:rFonts w:cs="Arial"/>
          </w:rPr>
          <w:t>L</w:t>
        </w:r>
        <w:r w:rsidRPr="00302116">
          <w:rPr>
            <w:rFonts w:cs="Arial"/>
          </w:rPr>
          <w:t xml:space="preserve">oad </w:t>
        </w:r>
        <w:r>
          <w:rPr>
            <w:rFonts w:cs="Arial"/>
          </w:rPr>
          <w:t>S</w:t>
        </w:r>
        <w:r w:rsidRPr="00302116">
          <w:rPr>
            <w:rFonts w:cs="Arial"/>
          </w:rPr>
          <w:t xml:space="preserve">erving </w:t>
        </w:r>
        <w:r>
          <w:rPr>
            <w:rFonts w:cs="Arial"/>
          </w:rPr>
          <w:t>E</w:t>
        </w:r>
        <w:r w:rsidRPr="00302116">
          <w:rPr>
            <w:rFonts w:cs="Arial"/>
          </w:rPr>
          <w:t xml:space="preserve">ntity’s load </w:t>
        </w:r>
        <w:r>
          <w:rPr>
            <w:rFonts w:cs="Arial"/>
          </w:rPr>
          <w:t xml:space="preserve">throughout </w:t>
        </w:r>
        <w:r w:rsidRPr="00302116">
          <w:rPr>
            <w:rFonts w:cs="Arial"/>
          </w:rPr>
          <w:t xml:space="preserve">  the calendar month and (2) monthly firm transmission</w:t>
        </w:r>
        <w:r>
          <w:rPr>
            <w:rFonts w:cs="Arial"/>
          </w:rPr>
          <w:t xml:space="preserve"> </w:t>
        </w:r>
        <w:r w:rsidRPr="00D35E41">
          <w:rPr>
            <w:rFonts w:cs="Arial"/>
          </w:rPr>
          <w:t xml:space="preserve">the external </w:t>
        </w:r>
        <w:r>
          <w:rPr>
            <w:rFonts w:cs="Arial"/>
          </w:rPr>
          <w:t>L</w:t>
        </w:r>
        <w:r w:rsidRPr="00D35E41">
          <w:rPr>
            <w:rFonts w:cs="Arial"/>
          </w:rPr>
          <w:t xml:space="preserve">oad </w:t>
        </w:r>
        <w:r>
          <w:rPr>
            <w:rFonts w:cs="Arial"/>
          </w:rPr>
          <w:t>S</w:t>
        </w:r>
        <w:r w:rsidRPr="00D35E41">
          <w:rPr>
            <w:rFonts w:cs="Arial"/>
          </w:rPr>
          <w:t xml:space="preserve">erving </w:t>
        </w:r>
        <w:r>
          <w:rPr>
            <w:rFonts w:cs="Arial"/>
          </w:rPr>
          <w:t>E</w:t>
        </w:r>
        <w:r w:rsidRPr="00D35E41">
          <w:rPr>
            <w:rFonts w:cs="Arial"/>
          </w:rPr>
          <w:t xml:space="preserve">ntity has procured under applicable open access tariffs, or comparable transmission tariffs, </w:t>
        </w:r>
        <w:r>
          <w:rPr>
            <w:rFonts w:cs="Arial"/>
          </w:rPr>
          <w:t xml:space="preserve">for Hours Ending 07:00 through 22:00, Monday through Saturday </w:t>
        </w:r>
        <w:r w:rsidRPr="00CE4EE5">
          <w:rPr>
            <w:rFonts w:cs="Arial"/>
          </w:rPr>
          <w:t>excluding NERC holidays,</w:t>
        </w:r>
        <w:r>
          <w:rPr>
            <w:rFonts w:cs="Arial"/>
          </w:rPr>
          <w:t xml:space="preserve"> </w:t>
        </w:r>
        <w:r w:rsidRPr="00D35E41">
          <w:rPr>
            <w:rFonts w:cs="Arial"/>
          </w:rPr>
          <w:t xml:space="preserve">from the source to </w:t>
        </w:r>
        <w:r>
          <w:rPr>
            <w:rFonts w:cs="Arial"/>
          </w:rPr>
          <w:t>a</w:t>
        </w:r>
        <w:r w:rsidRPr="00D35E41">
          <w:rPr>
            <w:rFonts w:cs="Arial"/>
          </w:rPr>
          <w:t xml:space="preserve"> CAISO </w:t>
        </w:r>
        <w:r>
          <w:rPr>
            <w:rFonts w:cs="Arial"/>
          </w:rPr>
          <w:t>Scheduling Point.</w:t>
        </w:r>
      </w:ins>
    </w:p>
    <w:bookmarkEnd w:id="32"/>
    <w:p w14:paraId="35D8FF47" w14:textId="684DAA56" w:rsidR="00F4534A" w:rsidRDefault="00F4534A" w:rsidP="00A9756A">
      <w:pPr>
        <w:pStyle w:val="Heading1"/>
      </w:pPr>
    </w:p>
    <w:p w14:paraId="3F67814C" w14:textId="77777777" w:rsidR="00F4534A" w:rsidRDefault="00F4534A" w:rsidP="00F4534A">
      <w:pPr>
        <w:jc w:val="center"/>
      </w:pPr>
      <w:r>
        <w:t>* * * * *</w:t>
      </w:r>
    </w:p>
    <w:p w14:paraId="3C5CB743" w14:textId="77777777" w:rsidR="00F4534A" w:rsidRPr="00F4534A" w:rsidRDefault="00F4534A" w:rsidP="00F4534A"/>
    <w:sectPr w:rsidR="00F4534A" w:rsidRPr="00F4534A">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uthor" w:initials="A">
    <w:p w14:paraId="5FA3799D" w14:textId="02646C68" w:rsidR="00661865" w:rsidRDefault="00661865">
      <w:pPr>
        <w:pStyle w:val="CommentText"/>
      </w:pPr>
      <w:r>
        <w:rPr>
          <w:rStyle w:val="CommentReference"/>
        </w:rPr>
        <w:annotationRef/>
      </w:r>
      <w:r>
        <w:t xml:space="preserve">All grey text is pending FERC approval in a compliance filing.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379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10AC" w14:textId="77777777" w:rsidR="00661865" w:rsidRDefault="00661865" w:rsidP="00207E6A">
      <w:pPr>
        <w:spacing w:line="240" w:lineRule="auto"/>
      </w:pPr>
      <w:r>
        <w:separator/>
      </w:r>
    </w:p>
  </w:endnote>
  <w:endnote w:type="continuationSeparator" w:id="0">
    <w:p w14:paraId="01DA60A5" w14:textId="77777777" w:rsidR="00661865" w:rsidRDefault="00661865" w:rsidP="00207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4417" w14:textId="77777777" w:rsidR="00661865" w:rsidRDefault="00661865" w:rsidP="00207E6A">
      <w:pPr>
        <w:spacing w:line="240" w:lineRule="auto"/>
      </w:pPr>
      <w:r>
        <w:separator/>
      </w:r>
    </w:p>
  </w:footnote>
  <w:footnote w:type="continuationSeparator" w:id="0">
    <w:p w14:paraId="05E6F8D2" w14:textId="77777777" w:rsidR="00661865" w:rsidRDefault="00661865" w:rsidP="00207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5A3C" w14:textId="5DB00A52" w:rsidR="00661865" w:rsidRPr="000C3DB6" w:rsidRDefault="00661865">
    <w:pPr>
      <w:pStyle w:val="Header"/>
      <w:rPr>
        <w:b/>
      </w:rPr>
    </w:pPr>
    <w:r>
      <w:rPr>
        <w:b/>
      </w:rPr>
      <w:t xml:space="preserve">DRAFT TARIFF LANGUAGE –EFFECTIVE JUNE 1, 2022. FOR ILLUSTRATIVE PURPOSES ONLY. </w:t>
    </w:r>
  </w:p>
  <w:p w14:paraId="5EDBC202" w14:textId="43448B3C" w:rsidR="00661865" w:rsidRDefault="0066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610"/>
    <w:multiLevelType w:val="hybridMultilevel"/>
    <w:tmpl w:val="866ED220"/>
    <w:lvl w:ilvl="0" w:tplc="326A6600">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659B5"/>
    <w:multiLevelType w:val="hybridMultilevel"/>
    <w:tmpl w:val="BD0E6AFE"/>
    <w:lvl w:ilvl="0" w:tplc="CE342E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33334"/>
    <w:multiLevelType w:val="hybridMultilevel"/>
    <w:tmpl w:val="B9580E0E"/>
    <w:lvl w:ilvl="0" w:tplc="8D36D6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A"/>
    <w:rsid w:val="00027A1E"/>
    <w:rsid w:val="000443D5"/>
    <w:rsid w:val="000450E4"/>
    <w:rsid w:val="000A6C9F"/>
    <w:rsid w:val="000B4FF3"/>
    <w:rsid w:val="000C3DB6"/>
    <w:rsid w:val="000C5BCF"/>
    <w:rsid w:val="000D4AA7"/>
    <w:rsid w:val="001420FE"/>
    <w:rsid w:val="0017055B"/>
    <w:rsid w:val="00170CF9"/>
    <w:rsid w:val="00173763"/>
    <w:rsid w:val="001B6453"/>
    <w:rsid w:val="001D6708"/>
    <w:rsid w:val="001D70D2"/>
    <w:rsid w:val="001F22D7"/>
    <w:rsid w:val="00207E6A"/>
    <w:rsid w:val="00230347"/>
    <w:rsid w:val="002802A2"/>
    <w:rsid w:val="00283410"/>
    <w:rsid w:val="002A1976"/>
    <w:rsid w:val="00316033"/>
    <w:rsid w:val="00396DB2"/>
    <w:rsid w:val="003B04B6"/>
    <w:rsid w:val="003D7069"/>
    <w:rsid w:val="003E02A4"/>
    <w:rsid w:val="003E18CE"/>
    <w:rsid w:val="004A010D"/>
    <w:rsid w:val="005341CE"/>
    <w:rsid w:val="005403E3"/>
    <w:rsid w:val="005747D2"/>
    <w:rsid w:val="005A2E5E"/>
    <w:rsid w:val="005B1622"/>
    <w:rsid w:val="005C37EA"/>
    <w:rsid w:val="005D28CC"/>
    <w:rsid w:val="005D692E"/>
    <w:rsid w:val="005E606A"/>
    <w:rsid w:val="006222B2"/>
    <w:rsid w:val="0062319E"/>
    <w:rsid w:val="00633CF4"/>
    <w:rsid w:val="00661865"/>
    <w:rsid w:val="00686699"/>
    <w:rsid w:val="00686D9F"/>
    <w:rsid w:val="006D7645"/>
    <w:rsid w:val="0073474B"/>
    <w:rsid w:val="007543B8"/>
    <w:rsid w:val="007839B4"/>
    <w:rsid w:val="007C26BF"/>
    <w:rsid w:val="00827730"/>
    <w:rsid w:val="00837432"/>
    <w:rsid w:val="0086330F"/>
    <w:rsid w:val="00956E95"/>
    <w:rsid w:val="00975381"/>
    <w:rsid w:val="00975F63"/>
    <w:rsid w:val="00981D82"/>
    <w:rsid w:val="00997BBD"/>
    <w:rsid w:val="009D6D20"/>
    <w:rsid w:val="00A21B7E"/>
    <w:rsid w:val="00A23067"/>
    <w:rsid w:val="00A9756A"/>
    <w:rsid w:val="00AB70BD"/>
    <w:rsid w:val="00AC0247"/>
    <w:rsid w:val="00AC2564"/>
    <w:rsid w:val="00AC4929"/>
    <w:rsid w:val="00B255A1"/>
    <w:rsid w:val="00B46FF6"/>
    <w:rsid w:val="00B5555B"/>
    <w:rsid w:val="00B6205F"/>
    <w:rsid w:val="00BD6258"/>
    <w:rsid w:val="00BD6414"/>
    <w:rsid w:val="00C07281"/>
    <w:rsid w:val="00CB3218"/>
    <w:rsid w:val="00CD24BD"/>
    <w:rsid w:val="00D2309E"/>
    <w:rsid w:val="00D34628"/>
    <w:rsid w:val="00D36713"/>
    <w:rsid w:val="00D626AF"/>
    <w:rsid w:val="00D66891"/>
    <w:rsid w:val="00D8067C"/>
    <w:rsid w:val="00D85C3D"/>
    <w:rsid w:val="00DA6756"/>
    <w:rsid w:val="00DB1920"/>
    <w:rsid w:val="00DD3395"/>
    <w:rsid w:val="00DE0643"/>
    <w:rsid w:val="00E07F48"/>
    <w:rsid w:val="00E23F39"/>
    <w:rsid w:val="00E241B7"/>
    <w:rsid w:val="00E369C5"/>
    <w:rsid w:val="00E50B3F"/>
    <w:rsid w:val="00E70B7D"/>
    <w:rsid w:val="00E97CE9"/>
    <w:rsid w:val="00EC4413"/>
    <w:rsid w:val="00ED0ACA"/>
    <w:rsid w:val="00ED7775"/>
    <w:rsid w:val="00EF039D"/>
    <w:rsid w:val="00F36867"/>
    <w:rsid w:val="00F4534A"/>
    <w:rsid w:val="00F627FF"/>
    <w:rsid w:val="00F63BDC"/>
    <w:rsid w:val="00F822E4"/>
    <w:rsid w:val="00FC4B0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7BFE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207E6A"/>
    <w:pPr>
      <w:tabs>
        <w:tab w:val="center" w:pos="4680"/>
        <w:tab w:val="right" w:pos="9360"/>
      </w:tabs>
      <w:spacing w:line="240" w:lineRule="auto"/>
    </w:pPr>
  </w:style>
  <w:style w:type="character" w:customStyle="1" w:styleId="HeaderChar">
    <w:name w:val="Header Char"/>
    <w:basedOn w:val="DefaultParagraphFont"/>
    <w:link w:val="Header"/>
    <w:uiPriority w:val="99"/>
    <w:rsid w:val="00207E6A"/>
  </w:style>
  <w:style w:type="paragraph" w:styleId="Footer">
    <w:name w:val="footer"/>
    <w:basedOn w:val="Normal"/>
    <w:link w:val="FooterChar"/>
    <w:uiPriority w:val="99"/>
    <w:unhideWhenUsed/>
    <w:rsid w:val="00207E6A"/>
    <w:pPr>
      <w:tabs>
        <w:tab w:val="center" w:pos="4680"/>
        <w:tab w:val="right" w:pos="9360"/>
      </w:tabs>
      <w:spacing w:line="240" w:lineRule="auto"/>
    </w:pPr>
  </w:style>
  <w:style w:type="character" w:customStyle="1" w:styleId="FooterChar">
    <w:name w:val="Footer Char"/>
    <w:basedOn w:val="DefaultParagraphFont"/>
    <w:link w:val="Footer"/>
    <w:uiPriority w:val="99"/>
    <w:rsid w:val="00207E6A"/>
  </w:style>
  <w:style w:type="paragraph" w:styleId="ListParagraph">
    <w:name w:val="List Paragraph"/>
    <w:basedOn w:val="Normal"/>
    <w:uiPriority w:val="34"/>
    <w:qFormat/>
    <w:rsid w:val="00173763"/>
    <w:pPr>
      <w:ind w:left="720"/>
    </w:pPr>
  </w:style>
  <w:style w:type="paragraph" w:styleId="TOCHeading">
    <w:name w:val="TOC Heading"/>
    <w:basedOn w:val="Heading1"/>
    <w:next w:val="Normal"/>
    <w:uiPriority w:val="39"/>
    <w:unhideWhenUsed/>
    <w:qFormat/>
    <w:rsid w:val="005E606A"/>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C4413"/>
    <w:pPr>
      <w:spacing w:line="240" w:lineRule="auto"/>
      <w:contextualSpacing w:val="0"/>
    </w:pPr>
    <w:rPr>
      <w:color w:val="0000FF"/>
      <w:u w:val="single"/>
    </w:rPr>
  </w:style>
  <w:style w:type="paragraph" w:styleId="TOC2">
    <w:name w:val="toc 2"/>
    <w:basedOn w:val="Normal"/>
    <w:next w:val="Normal"/>
    <w:autoRedefine/>
    <w:uiPriority w:val="39"/>
    <w:unhideWhenUsed/>
    <w:rsid w:val="00EC441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C4413"/>
    <w:pPr>
      <w:spacing w:line="240" w:lineRule="auto"/>
      <w:ind w:left="403"/>
      <w:contextualSpacing w:val="0"/>
    </w:pPr>
    <w:rPr>
      <w:color w:val="0000FF"/>
      <w:u w:val="single"/>
    </w:rPr>
  </w:style>
  <w:style w:type="character" w:styleId="Hyperlink">
    <w:name w:val="Hyperlink"/>
    <w:basedOn w:val="DefaultParagraphFont"/>
    <w:uiPriority w:val="99"/>
    <w:unhideWhenUsed/>
    <w:rsid w:val="005E606A"/>
    <w:rPr>
      <w:color w:val="0563C1" w:themeColor="hyperlink"/>
      <w:u w:val="single"/>
    </w:rPr>
  </w:style>
  <w:style w:type="paragraph" w:styleId="BalloonText">
    <w:name w:val="Balloon Text"/>
    <w:basedOn w:val="Normal"/>
    <w:link w:val="BalloonTextChar"/>
    <w:uiPriority w:val="99"/>
    <w:semiHidden/>
    <w:unhideWhenUsed/>
    <w:rsid w:val="00EF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9D"/>
    <w:rPr>
      <w:rFonts w:ascii="Segoe UI" w:hAnsi="Segoe UI" w:cs="Segoe UI"/>
      <w:sz w:val="18"/>
      <w:szCs w:val="18"/>
    </w:rPr>
  </w:style>
  <w:style w:type="table" w:styleId="TableGrid">
    <w:name w:val="Table Grid"/>
    <w:basedOn w:val="TableNormal"/>
    <w:uiPriority w:val="59"/>
    <w:rsid w:val="00686D9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AA7"/>
    <w:rPr>
      <w:sz w:val="16"/>
      <w:szCs w:val="16"/>
    </w:rPr>
  </w:style>
  <w:style w:type="paragraph" w:styleId="CommentText">
    <w:name w:val="annotation text"/>
    <w:basedOn w:val="Normal"/>
    <w:link w:val="CommentTextChar"/>
    <w:uiPriority w:val="99"/>
    <w:semiHidden/>
    <w:unhideWhenUsed/>
    <w:rsid w:val="000D4AA7"/>
    <w:pPr>
      <w:spacing w:line="240" w:lineRule="auto"/>
    </w:pPr>
    <w:rPr>
      <w:szCs w:val="20"/>
    </w:rPr>
  </w:style>
  <w:style w:type="character" w:customStyle="1" w:styleId="CommentTextChar">
    <w:name w:val="Comment Text Char"/>
    <w:basedOn w:val="DefaultParagraphFont"/>
    <w:link w:val="CommentText"/>
    <w:uiPriority w:val="99"/>
    <w:semiHidden/>
    <w:rsid w:val="000D4AA7"/>
    <w:rPr>
      <w:szCs w:val="20"/>
    </w:rPr>
  </w:style>
  <w:style w:type="paragraph" w:styleId="CommentSubject">
    <w:name w:val="annotation subject"/>
    <w:basedOn w:val="CommentText"/>
    <w:next w:val="CommentText"/>
    <w:link w:val="CommentSubjectChar"/>
    <w:uiPriority w:val="99"/>
    <w:semiHidden/>
    <w:unhideWhenUsed/>
    <w:rsid w:val="000D4AA7"/>
    <w:rPr>
      <w:b/>
      <w:bCs/>
    </w:rPr>
  </w:style>
  <w:style w:type="character" w:customStyle="1" w:styleId="CommentSubjectChar">
    <w:name w:val="Comment Subject Char"/>
    <w:basedOn w:val="CommentTextChar"/>
    <w:link w:val="CommentSubject"/>
    <w:uiPriority w:val="99"/>
    <w:semiHidden/>
    <w:rsid w:val="000D4AA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082">
      <w:bodyDiv w:val="1"/>
      <w:marLeft w:val="0"/>
      <w:marRight w:val="0"/>
      <w:marTop w:val="0"/>
      <w:marBottom w:val="0"/>
      <w:divBdr>
        <w:top w:val="none" w:sz="0" w:space="0" w:color="auto"/>
        <w:left w:val="none" w:sz="0" w:space="0" w:color="auto"/>
        <w:bottom w:val="none" w:sz="0" w:space="0" w:color="auto"/>
        <w:right w:val="none" w:sz="0" w:space="0" w:color="auto"/>
      </w:divBdr>
      <w:divsChild>
        <w:div w:id="5627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52A1C-4385-4715-93D7-317DABA31EE3}">
  <ds:schemaRefs>
    <ds:schemaRef ds:uri="http://schemas.microsoft.com/office/2006/customDocumentInformationPanel"/>
  </ds:schemaRefs>
</ds:datastoreItem>
</file>

<file path=customXml/itemProps2.xml><?xml version="1.0" encoding="utf-8"?>
<ds:datastoreItem xmlns:ds="http://schemas.openxmlformats.org/officeDocument/2006/customXml" ds:itemID="{E5545A1F-2701-4852-A52E-C2F6308D6A22}">
  <ds:schemaRefs>
    <ds:schemaRef ds:uri="http://schemas.openxmlformats.org/officeDocument/2006/bibliography"/>
  </ds:schemaRefs>
</ds:datastoreItem>
</file>

<file path=customXml/itemProps3.xml><?xml version="1.0" encoding="utf-8"?>
<ds:datastoreItem xmlns:ds="http://schemas.openxmlformats.org/officeDocument/2006/customXml" ds:itemID="{DEDD06D4-01AB-4CFA-A496-6889C4EC15A0}"/>
</file>

<file path=customXml/itemProps4.xml><?xml version="1.0" encoding="utf-8"?>
<ds:datastoreItem xmlns:ds="http://schemas.openxmlformats.org/officeDocument/2006/customXml" ds:itemID="{458A3A47-1C7A-4EB9-8FF2-4C52DA3FD18A}"/>
</file>

<file path=customXml/itemProps5.xml><?xml version="1.0" encoding="utf-8"?>
<ds:datastoreItem xmlns:ds="http://schemas.openxmlformats.org/officeDocument/2006/customXml" ds:itemID="{9528572D-3B18-439D-A3D1-B7810A7B7B19}"/>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2021-12-10T17:49:00Z</dcterms:created>
  <dcterms:modified xsi:type="dcterms:W3CDTF">2021-12-10T17:49:00Z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