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9EEEA" w14:textId="77777777" w:rsidR="0042010F" w:rsidRDefault="0042010F" w:rsidP="003B0958">
      <w:pPr>
        <w:pStyle w:val="Heading1"/>
        <w:jc w:val="center"/>
      </w:pPr>
      <w:bookmarkStart w:id="0" w:name="_Toc126133623"/>
      <w:bookmarkStart w:id="1" w:name="_GoBack"/>
      <w:bookmarkEnd w:id="1"/>
    </w:p>
    <w:p w14:paraId="474F3EC1" w14:textId="77777777" w:rsidR="0042010F" w:rsidRDefault="0042010F" w:rsidP="003B0958">
      <w:pPr>
        <w:pStyle w:val="Heading1"/>
        <w:jc w:val="center"/>
      </w:pPr>
    </w:p>
    <w:p w14:paraId="46275159" w14:textId="77777777" w:rsidR="0042010F" w:rsidRDefault="0042010F" w:rsidP="003B0958">
      <w:pPr>
        <w:pStyle w:val="Heading1"/>
        <w:jc w:val="center"/>
      </w:pPr>
    </w:p>
    <w:p w14:paraId="6D689800" w14:textId="77777777" w:rsidR="0042010F" w:rsidRDefault="0042010F" w:rsidP="003B0958">
      <w:pPr>
        <w:pStyle w:val="Heading1"/>
        <w:jc w:val="center"/>
      </w:pPr>
    </w:p>
    <w:p w14:paraId="609C1B94" w14:textId="77777777" w:rsidR="0042010F" w:rsidRDefault="0042010F" w:rsidP="003B0958">
      <w:pPr>
        <w:pStyle w:val="Heading1"/>
        <w:jc w:val="center"/>
      </w:pPr>
    </w:p>
    <w:p w14:paraId="5FDAE60A" w14:textId="77777777" w:rsidR="0042010F" w:rsidRDefault="0042010F" w:rsidP="003B0958">
      <w:pPr>
        <w:pStyle w:val="Heading1"/>
        <w:jc w:val="center"/>
      </w:pPr>
      <w:r>
        <w:t>Appendix C - Locational Marginal Price</w:t>
      </w:r>
    </w:p>
    <w:p w14:paraId="6BB7EF56" w14:textId="77777777" w:rsidR="0042010F" w:rsidRPr="0042010F" w:rsidRDefault="0042010F" w:rsidP="0042010F"/>
    <w:p w14:paraId="1E9F2BDC" w14:textId="77777777" w:rsidR="009F61EA" w:rsidRDefault="0042010F" w:rsidP="008C30EC">
      <w:pPr>
        <w:suppressAutoHyphens/>
        <w:spacing w:after="240"/>
        <w:jc w:val="center"/>
        <w:rPr>
          <w:rFonts w:cs="Arial"/>
          <w:b/>
          <w:bCs/>
          <w:i/>
          <w:kern w:val="16"/>
          <w:szCs w:val="20"/>
        </w:rPr>
      </w:pPr>
      <w:r w:rsidRPr="008C30EC">
        <w:rPr>
          <w:rFonts w:cs="Arial"/>
          <w:b/>
          <w:bCs/>
          <w:i/>
          <w:kern w:val="16"/>
          <w:szCs w:val="20"/>
        </w:rPr>
        <w:t>This is an existing appendix.</w:t>
      </w:r>
      <w:r>
        <w:rPr>
          <w:rFonts w:cs="Arial"/>
          <w:bCs/>
          <w:i/>
          <w:kern w:val="16"/>
          <w:szCs w:val="20"/>
        </w:rPr>
        <w:t xml:space="preserve"> </w:t>
      </w:r>
      <w:r w:rsidR="008C30EC">
        <w:rPr>
          <w:rFonts w:cs="Arial"/>
          <w:b/>
          <w:bCs/>
          <w:i/>
          <w:kern w:val="16"/>
          <w:szCs w:val="20"/>
        </w:rPr>
        <w:t>All changes due to the EDAM initiative are added in redline</w:t>
      </w:r>
      <w:r w:rsidR="0095207B">
        <w:rPr>
          <w:rFonts w:cs="Arial"/>
          <w:b/>
          <w:bCs/>
          <w:i/>
          <w:kern w:val="16"/>
          <w:szCs w:val="20"/>
        </w:rPr>
        <w:t xml:space="preserve">.  </w:t>
      </w:r>
    </w:p>
    <w:p w14:paraId="0A65B10E" w14:textId="792E4EC8" w:rsidR="0042010F" w:rsidRPr="009F61EA" w:rsidRDefault="009F61EA" w:rsidP="008C30EC">
      <w:pPr>
        <w:suppressAutoHyphens/>
        <w:spacing w:after="240"/>
        <w:jc w:val="center"/>
        <w:rPr>
          <w:rFonts w:cs="Arial"/>
          <w:b/>
          <w:bCs/>
          <w:i/>
          <w:kern w:val="16"/>
          <w:szCs w:val="20"/>
        </w:rPr>
      </w:pPr>
      <w:ins w:id="2" w:author="Author">
        <w:r w:rsidRPr="009F61EA">
          <w:rPr>
            <w:rFonts w:cs="Arial"/>
            <w:b/>
            <w:bCs/>
            <w:i/>
            <w:kern w:val="16"/>
            <w:szCs w:val="20"/>
          </w:rPr>
          <w:t xml:space="preserve">This document is a redline comparison against the other Appendix C version </w:t>
        </w:r>
        <w:r>
          <w:rPr>
            <w:rFonts w:cs="Arial"/>
            <w:b/>
            <w:bCs/>
            <w:i/>
            <w:kern w:val="16"/>
            <w:szCs w:val="20"/>
          </w:rPr>
          <w:t>currently</w:t>
        </w:r>
        <w:r w:rsidRPr="009F61EA">
          <w:rPr>
            <w:rFonts w:cs="Arial"/>
            <w:b/>
            <w:bCs/>
            <w:i/>
            <w:kern w:val="16"/>
            <w:szCs w:val="20"/>
          </w:rPr>
          <w:t xml:space="preserve"> posted for EDAM</w:t>
        </w:r>
        <w:r>
          <w:rPr>
            <w:rFonts w:cs="Arial"/>
            <w:b/>
            <w:bCs/>
            <w:i/>
            <w:kern w:val="16"/>
            <w:szCs w:val="20"/>
          </w:rPr>
          <w:t xml:space="preserve"> tariff language reviews</w:t>
        </w:r>
        <w:r w:rsidRPr="009F61EA">
          <w:rPr>
            <w:rFonts w:cs="Arial"/>
            <w:b/>
            <w:bCs/>
            <w:i/>
            <w:kern w:val="16"/>
            <w:szCs w:val="20"/>
          </w:rPr>
          <w:t xml:space="preserve">, </w:t>
        </w:r>
        <w:r>
          <w:rPr>
            <w:rFonts w:cs="Arial"/>
            <w:b/>
            <w:bCs/>
            <w:i/>
            <w:kern w:val="16"/>
            <w:szCs w:val="20"/>
          </w:rPr>
          <w:t xml:space="preserve">but this one </w:t>
        </w:r>
        <w:r w:rsidRPr="009F61EA">
          <w:rPr>
            <w:rFonts w:cs="Arial"/>
            <w:b/>
            <w:bCs/>
            <w:i/>
            <w:kern w:val="16"/>
            <w:szCs w:val="20"/>
          </w:rPr>
          <w:t>incorporate</w:t>
        </w:r>
        <w:r>
          <w:rPr>
            <w:rFonts w:cs="Arial"/>
            <w:b/>
            <w:bCs/>
            <w:i/>
            <w:kern w:val="16"/>
            <w:szCs w:val="20"/>
          </w:rPr>
          <w:t>s</w:t>
        </w:r>
        <w:r w:rsidRPr="009F61EA">
          <w:rPr>
            <w:rFonts w:cs="Arial"/>
            <w:b/>
            <w:bCs/>
            <w:i/>
            <w:kern w:val="16"/>
            <w:szCs w:val="20"/>
          </w:rPr>
          <w:t xml:space="preserve"> two new products </w:t>
        </w:r>
        <w:r>
          <w:rPr>
            <w:rFonts w:cs="Arial"/>
            <w:b/>
            <w:bCs/>
            <w:i/>
            <w:kern w:val="16"/>
            <w:szCs w:val="20"/>
          </w:rPr>
          <w:t>which</w:t>
        </w:r>
        <w:r w:rsidRPr="009F61EA">
          <w:rPr>
            <w:rFonts w:cs="Arial"/>
            <w:b/>
            <w:bCs/>
            <w:i/>
            <w:kern w:val="16"/>
            <w:szCs w:val="20"/>
          </w:rPr>
          <w:t xml:space="preserve"> are part of DAME</w:t>
        </w:r>
        <w:r>
          <w:rPr>
            <w:rFonts w:cs="Arial"/>
            <w:b/>
            <w:bCs/>
            <w:i/>
            <w:kern w:val="16"/>
            <w:szCs w:val="20"/>
          </w:rPr>
          <w:t xml:space="preserve"> (1)</w:t>
        </w:r>
        <w:r w:rsidRPr="009F61EA">
          <w:rPr>
            <w:rFonts w:cs="Arial"/>
            <w:b/>
            <w:bCs/>
            <w:i/>
            <w:kern w:val="16"/>
            <w:szCs w:val="20"/>
          </w:rPr>
          <w:t xml:space="preserve"> imbalance reserve and </w:t>
        </w:r>
        <w:r>
          <w:rPr>
            <w:rFonts w:cs="Arial"/>
            <w:b/>
            <w:bCs/>
            <w:i/>
            <w:kern w:val="16"/>
            <w:szCs w:val="20"/>
          </w:rPr>
          <w:t xml:space="preserve">(2) </w:t>
        </w:r>
        <w:r w:rsidRPr="009F61EA">
          <w:rPr>
            <w:rFonts w:cs="Arial"/>
            <w:b/>
            <w:bCs/>
            <w:i/>
            <w:kern w:val="16"/>
            <w:szCs w:val="20"/>
          </w:rPr>
          <w:t xml:space="preserve">reliability capacity. </w:t>
        </w:r>
      </w:ins>
      <w:r w:rsidR="0042010F" w:rsidRPr="009F61EA">
        <w:rPr>
          <w:rFonts w:cs="Arial"/>
          <w:b/>
          <w:bCs/>
          <w:i/>
          <w:kern w:val="16"/>
          <w:szCs w:val="20"/>
        </w:rPr>
        <w:t xml:space="preserve"> </w:t>
      </w:r>
      <w:r w:rsidR="0042010F" w:rsidRPr="009F61EA">
        <w:rPr>
          <w:b/>
        </w:rPr>
        <w:br w:type="page"/>
      </w:r>
    </w:p>
    <w:p w14:paraId="502A338C" w14:textId="77777777" w:rsidR="0096316D" w:rsidRDefault="00264421" w:rsidP="0096316D">
      <w:pPr>
        <w:pStyle w:val="Heading1"/>
        <w:jc w:val="center"/>
        <w:rPr>
          <w:ins w:id="3" w:author="Author"/>
        </w:rPr>
      </w:pPr>
      <w:r>
        <w:lastRenderedPageBreak/>
        <w:t>Appendix C</w:t>
      </w:r>
    </w:p>
    <w:p w14:paraId="7A460E78" w14:textId="7E08613D" w:rsidR="003B0958" w:rsidRDefault="004B187A" w:rsidP="00277577">
      <w:pPr>
        <w:pStyle w:val="Heading2"/>
        <w:numPr>
          <w:ilvl w:val="0"/>
          <w:numId w:val="3"/>
        </w:numPr>
        <w:jc w:val="center"/>
      </w:pPr>
      <w:del w:id="4" w:author="Author">
        <w:r>
          <w:br/>
        </w:r>
      </w:del>
      <w:r w:rsidR="00264421">
        <w:t>Locational Marginal Price</w:t>
      </w:r>
      <w:bookmarkEnd w:id="0"/>
      <w:ins w:id="5" w:author="Author">
        <w:r w:rsidR="0096316D" w:rsidRPr="0096316D">
          <w:t xml:space="preserve"> for Energy</w:t>
        </w:r>
      </w:ins>
    </w:p>
    <w:p w14:paraId="6CA60E1F" w14:textId="77777777" w:rsidR="003B0958" w:rsidRDefault="00264421" w:rsidP="003B0958">
      <w:r w:rsidRPr="003B0958">
        <w:t xml:space="preserve">The CAISO shall calculate the price of Energy at Generation PNodes, Scheduling Points, and Aggregated Pricing Nodes, as provided in the CAISO Tariff.  The CAISO establishes Trading Hub prices and LAPs as provided in the CAISO Tariff.  The LMPs at PNodes, </w:t>
      </w:r>
      <w:r w:rsidRPr="00DC2E9B">
        <w:t>Scheduling Points, and Aggregated Pricing Nodes</w:t>
      </w:r>
      <w:r w:rsidRPr="003B0958">
        <w:t xml:space="preserve"> include separate components for the </w:t>
      </w:r>
      <w:r w:rsidR="00F334C3">
        <w:t>M</w:t>
      </w:r>
      <w:r w:rsidRPr="003B0958">
        <w:t>arginal Energy</w:t>
      </w:r>
      <w:r w:rsidR="00F334C3">
        <w:t xml:space="preserve"> Cost</w:t>
      </w:r>
      <w:r w:rsidRPr="003B0958">
        <w:t>, Marginal Cost of Congestion, Marginal Cost of Losses</w:t>
      </w:r>
      <w:r w:rsidR="00FB45FD">
        <w:t xml:space="preserve">, and Marginal </w:t>
      </w:r>
      <w:r w:rsidR="00D14FF5">
        <w:t xml:space="preserve">GHG </w:t>
      </w:r>
      <w:r w:rsidR="00FB45FD">
        <w:t>Cost</w:t>
      </w:r>
      <w:r w:rsidRPr="003B0958">
        <w:t>.  As provided in Sections 6.5.3.2.2 and 6.5.5.2.4, LMPs are calculated and posted for each hour of the Day-Ahead Market and for each interval of the Real-Time Market.</w:t>
      </w:r>
    </w:p>
    <w:p w14:paraId="3978B745" w14:textId="3FFF4F54" w:rsidR="003B0958" w:rsidRPr="00277577" w:rsidRDefault="00264421" w:rsidP="00277577">
      <w:pPr>
        <w:pStyle w:val="Heading3"/>
        <w:rPr>
          <w:rStyle w:val="Heading3Char"/>
        </w:rPr>
      </w:pPr>
      <w:bookmarkStart w:id="6" w:name="_Toc126133624"/>
      <w:r>
        <w:t>A.</w:t>
      </w:r>
      <w:ins w:id="7" w:author="Author">
        <w:r w:rsidR="005D444E">
          <w:t>1</w:t>
        </w:r>
      </w:ins>
      <w:r>
        <w:tab/>
        <w:t>LMP Composition in the Day-Ahead Market</w:t>
      </w:r>
      <w:bookmarkEnd w:id="6"/>
      <w:r w:rsidR="008372D4">
        <w:t xml:space="preserve"> and the Real-Time Market</w:t>
      </w:r>
    </w:p>
    <w:p w14:paraId="671B9D38" w14:textId="40930D1A" w:rsidR="003B0958" w:rsidRDefault="00264421" w:rsidP="003B0958">
      <w:r>
        <w:rPr>
          <w:rFonts w:cs="Arial"/>
          <w:szCs w:val="20"/>
        </w:rPr>
        <w:t xml:space="preserve">In each hour of the Day-Ahead Market, each 15-minute interval of the </w:t>
      </w:r>
      <w:r w:rsidRPr="006E69AF">
        <w:rPr>
          <w:rFonts w:cs="Arial"/>
          <w:szCs w:val="20"/>
        </w:rPr>
        <w:t>Fifteen</w:t>
      </w:r>
      <w:r w:rsidR="00D57EF6" w:rsidRPr="006E69AF">
        <w:rPr>
          <w:rFonts w:cs="Arial"/>
          <w:szCs w:val="20"/>
        </w:rPr>
        <w:t>-</w:t>
      </w:r>
      <w:r w:rsidRPr="006E69AF">
        <w:rPr>
          <w:rFonts w:cs="Arial"/>
          <w:szCs w:val="20"/>
        </w:rPr>
        <w:t>Minute</w:t>
      </w:r>
      <w:r>
        <w:rPr>
          <w:rFonts w:cs="Arial"/>
          <w:szCs w:val="20"/>
        </w:rPr>
        <w:t xml:space="preserve"> Market, and each 5-minute interval of the Real-Time Dispatch, </w:t>
      </w:r>
      <w:r>
        <w:t>t</w:t>
      </w:r>
      <w:r w:rsidRPr="003B0958">
        <w:t xml:space="preserve">he CAISO calculates the LMP for each PNode, which is based on the Bids of sellers and buyers selected in the Day-Ahead or Real-Time Market as calculated below. </w:t>
      </w:r>
      <w:r w:rsidR="00D57EF6">
        <w:t xml:space="preserve"> </w:t>
      </w:r>
      <w:r w:rsidRPr="003B0958">
        <w:t xml:space="preserve">The CAISO </w:t>
      </w:r>
      <w:r w:rsidR="00563467">
        <w:t>uses</w:t>
      </w:r>
      <w:r w:rsidRPr="003B0958">
        <w:t xml:space="preserve"> a Reference Bus for</w:t>
      </w:r>
      <w:r w:rsidR="00563467">
        <w:t xml:space="preserve"> the</w:t>
      </w:r>
      <w:r w:rsidRPr="003B0958">
        <w:t xml:space="preserve"> calculation of the Locational Marginal Prices.</w:t>
      </w:r>
      <w:r w:rsidR="003E542B">
        <w:t xml:space="preserve">  </w:t>
      </w:r>
      <w:r w:rsidR="00563467" w:rsidRPr="001A67E2">
        <w:t>The Reference Bus</w:t>
      </w:r>
      <w:ins w:id="8" w:author="Author">
        <w:r w:rsidR="004F1B2E" w:rsidRPr="001A67E2">
          <w:t xml:space="preserve"> </w:t>
        </w:r>
        <w:r w:rsidR="002A52B4">
          <w:t>in the base scenario</w:t>
        </w:r>
      </w:ins>
      <w:r w:rsidR="00563467" w:rsidRPr="001A67E2">
        <w:t xml:space="preserve"> is the distribu</w:t>
      </w:r>
      <w:r w:rsidR="00B8561B" w:rsidRPr="001A67E2">
        <w:t>t</w:t>
      </w:r>
      <w:r w:rsidR="00563467" w:rsidRPr="001A67E2">
        <w:t xml:space="preserve">ed load in the Market Area used </w:t>
      </w:r>
      <w:r w:rsidR="00951698" w:rsidRPr="001A67E2">
        <w:t>in the AC</w:t>
      </w:r>
      <w:r w:rsidR="00563467" w:rsidRPr="001A67E2">
        <w:t xml:space="preserve"> power flow solution to</w:t>
      </w:r>
      <w:r w:rsidR="00951698" w:rsidRPr="001A67E2">
        <w:t xml:space="preserve"> distribute the </w:t>
      </w:r>
      <w:r w:rsidR="00D57EF6" w:rsidRPr="001A67E2">
        <w:t>deviations for T</w:t>
      </w:r>
      <w:r w:rsidR="00951698" w:rsidRPr="001A67E2">
        <w:t xml:space="preserve">ransmission </w:t>
      </w:r>
      <w:r w:rsidR="00D57EF6" w:rsidRPr="001A67E2">
        <w:t>L</w:t>
      </w:r>
      <w:r w:rsidR="00951698" w:rsidRPr="001A67E2">
        <w:t>o</w:t>
      </w:r>
      <w:r w:rsidR="00563467" w:rsidRPr="001A67E2">
        <w:t>ss</w:t>
      </w:r>
      <w:r w:rsidR="00BA3ED6" w:rsidRPr="001A67E2">
        <w:t>es</w:t>
      </w:r>
      <w:r w:rsidR="00563467" w:rsidRPr="001A67E2">
        <w:t xml:space="preserve"> between iterations, and </w:t>
      </w:r>
      <w:del w:id="9" w:author="Author">
        <w:r w:rsidR="00563467" w:rsidRPr="001A67E2">
          <w:delText xml:space="preserve">also </w:delText>
        </w:r>
      </w:del>
      <w:r w:rsidR="00563467" w:rsidRPr="001A67E2">
        <w:t xml:space="preserve">in sensitivity calculations that yield </w:t>
      </w:r>
      <w:r w:rsidR="00D57EF6" w:rsidRPr="001A67E2">
        <w:t>rates for M</w:t>
      </w:r>
      <w:r w:rsidR="00563467" w:rsidRPr="001A67E2">
        <w:t xml:space="preserve">arginal </w:t>
      </w:r>
      <w:r w:rsidR="00D57EF6" w:rsidRPr="001A67E2">
        <w:t>L</w:t>
      </w:r>
      <w:r w:rsidR="00563467" w:rsidRPr="001A67E2">
        <w:t>oss</w:t>
      </w:r>
      <w:r w:rsidR="00D57EF6" w:rsidRPr="001A67E2">
        <w:t>es</w:t>
      </w:r>
      <w:r w:rsidR="00951698" w:rsidRPr="001A67E2">
        <w:t xml:space="preserve"> and the Power Transfer Distribution Factors.  If the CAISO Market solution reverts to a DC power flow solution</w:t>
      </w:r>
      <w:r w:rsidR="00D57EF6" w:rsidRPr="001A67E2">
        <w:t>,</w:t>
      </w:r>
      <w:r w:rsidR="00951698" w:rsidRPr="001A67E2">
        <w:t xml:space="preserve"> the Reference Bus is not used because </w:t>
      </w:r>
      <w:r w:rsidR="00D57EF6" w:rsidRPr="001A67E2">
        <w:t>T</w:t>
      </w:r>
      <w:r w:rsidR="00951698" w:rsidRPr="001A67E2">
        <w:t xml:space="preserve">ransmission </w:t>
      </w:r>
      <w:r w:rsidR="00D57EF6" w:rsidRPr="001A67E2">
        <w:t>L</w:t>
      </w:r>
      <w:r w:rsidR="00951698" w:rsidRPr="001A67E2">
        <w:t xml:space="preserve">osses are not included. </w:t>
      </w:r>
      <w:r w:rsidR="00D57EF6" w:rsidRPr="001A67E2">
        <w:t xml:space="preserve"> </w:t>
      </w:r>
      <w:r w:rsidR="00951698" w:rsidRPr="001A67E2">
        <w:t xml:space="preserve">Nevertheless, the CAISO reflects the </w:t>
      </w:r>
      <w:r w:rsidR="00D57EF6" w:rsidRPr="001A67E2">
        <w:t>T</w:t>
      </w:r>
      <w:r w:rsidR="00951698" w:rsidRPr="001A67E2">
        <w:t xml:space="preserve">ransmission </w:t>
      </w:r>
      <w:r w:rsidR="00D57EF6" w:rsidRPr="001A67E2">
        <w:t>L</w:t>
      </w:r>
      <w:r w:rsidR="00951698" w:rsidRPr="001A67E2">
        <w:t>oss</w:t>
      </w:r>
      <w:r w:rsidR="00D57EF6" w:rsidRPr="001A67E2">
        <w:t>es</w:t>
      </w:r>
      <w:r w:rsidR="00951698" w:rsidRPr="001A67E2">
        <w:t xml:space="preserve"> for the Market Area in the DC power flow solution by adjusting the load by the average loss factor.</w:t>
      </w:r>
      <w:r w:rsidR="003E542B">
        <w:t xml:space="preserve"> </w:t>
      </w:r>
      <w:r w:rsidRPr="003B0958">
        <w:t xml:space="preserve"> The Locational Marginal Prices are not determined by resources that are not eligible to set the Locational Marginal Price as defined in Sections 31.3.1.4 and 34.20.2.3.  For each </w:t>
      </w:r>
      <w:r w:rsidR="00FB45FD">
        <w:t>PNode</w:t>
      </w:r>
      <w:r w:rsidRPr="003B0958">
        <w:t xml:space="preserve">, the CAISO determines separate components of the LMP for the </w:t>
      </w:r>
      <w:r w:rsidR="00FB45FD">
        <w:t>M</w:t>
      </w:r>
      <w:r w:rsidR="00FB45FD" w:rsidRPr="003B0958">
        <w:t>arginal Energy</w:t>
      </w:r>
      <w:r w:rsidR="0066792C">
        <w:t xml:space="preserve"> Cost</w:t>
      </w:r>
      <w:r w:rsidR="00FB45FD" w:rsidRPr="003B0958">
        <w:t>, Marginal Cost of Congestion, Marginal Cost of Losses</w:t>
      </w:r>
      <w:r w:rsidR="00FB45FD">
        <w:t xml:space="preserve">, and Marginal </w:t>
      </w:r>
      <w:r w:rsidR="00F478DF">
        <w:t xml:space="preserve">GHG </w:t>
      </w:r>
      <w:r w:rsidR="00FB45FD">
        <w:t>Cost</w:t>
      </w:r>
      <w:r w:rsidRPr="003B0958">
        <w:t xml:space="preserve">, </w:t>
      </w:r>
      <w:r w:rsidR="004309CD">
        <w:t>as follows</w:t>
      </w:r>
      <w:r w:rsidRPr="003B0958">
        <w:t>:</w:t>
      </w:r>
    </w:p>
    <w:p w14:paraId="296B4E4D" w14:textId="77777777" w:rsidR="00A4201F" w:rsidRPr="00A4201F" w:rsidRDefault="00543914" w:rsidP="003B0958">
      <m:oMathPara>
        <m:oMathParaPr>
          <m:jc m:val="left"/>
        </m:oMathParaPr>
        <m:oMath>
          <m:sSub>
            <m:sSubPr>
              <m:ctrlPr>
                <w:rPr>
                  <w:rFonts w:ascii="Cambria Math" w:hAnsi="Cambria Math"/>
                  <w:i/>
                </w:rPr>
              </m:ctrlPr>
            </m:sSubPr>
            <m:e>
              <m:r>
                <w:rPr>
                  <w:rFonts w:ascii="Cambria Math" w:hAnsi="Cambria Math"/>
                </w:rPr>
                <m:t>LMP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MEC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MCC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MCL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MCG</m:t>
              </m:r>
            </m:e>
            <m:sub>
              <m:r>
                <w:rPr>
                  <w:rFonts w:ascii="Cambria Math" w:hAnsi="Cambria Math"/>
                </w:rPr>
                <m:t>i</m:t>
              </m:r>
            </m:sub>
          </m:sSub>
        </m:oMath>
      </m:oMathPara>
    </w:p>
    <w:p w14:paraId="14A7BB77" w14:textId="77777777" w:rsidR="003B0958" w:rsidRPr="003B0958" w:rsidRDefault="00264421" w:rsidP="003B0958">
      <w:r w:rsidRPr="003B0958">
        <w:t>where:</w:t>
      </w:r>
    </w:p>
    <w:p w14:paraId="01CF6F65" w14:textId="77777777" w:rsidR="00FB45FD" w:rsidRPr="0066792C" w:rsidRDefault="00264421" w:rsidP="003B0958">
      <w:pPr>
        <w:pStyle w:val="ListParagraph"/>
        <w:numPr>
          <w:ilvl w:val="0"/>
          <w:numId w:val="1"/>
        </w:numPr>
        <w:ind w:left="1440" w:hanging="720"/>
      </w:pPr>
      <w:r w:rsidRPr="0066792C">
        <w:rPr>
          <w:rFonts w:ascii="Times" w:hAnsi="Times"/>
          <w:i/>
        </w:rPr>
        <w:t>i</w:t>
      </w:r>
      <w:r>
        <w:t xml:space="preserve"> is the PNode </w:t>
      </w:r>
      <w:r w:rsidR="00776465">
        <w:t>index</w:t>
      </w:r>
      <w:r>
        <w:t>.</w:t>
      </w:r>
    </w:p>
    <w:p w14:paraId="0DF11AC9" w14:textId="12C179E5" w:rsidR="003B0958" w:rsidRPr="003B0958" w:rsidRDefault="00543914" w:rsidP="003B0958">
      <w:pPr>
        <w:pStyle w:val="ListParagraph"/>
        <w:numPr>
          <w:ilvl w:val="0"/>
          <w:numId w:val="1"/>
        </w:numPr>
        <w:ind w:left="1440" w:hanging="720"/>
      </w:pPr>
      <m:oMath>
        <m:sSub>
          <m:sSubPr>
            <m:ctrlPr>
              <w:rPr>
                <w:rFonts w:ascii="Cambria Math" w:hAnsi="Cambria Math"/>
                <w:i/>
              </w:rPr>
            </m:ctrlPr>
          </m:sSubPr>
          <m:e>
            <m:r>
              <w:rPr>
                <w:rFonts w:ascii="Cambria Math" w:hAnsi="Cambria Math"/>
              </w:rPr>
              <m:t>MEC</m:t>
            </m:r>
          </m:e>
          <m:sub>
            <m:r>
              <w:rPr>
                <w:rFonts w:ascii="Cambria Math" w:hAnsi="Cambria Math"/>
              </w:rPr>
              <m:t>i</m:t>
            </m:r>
          </m:sub>
        </m:sSub>
      </m:oMath>
      <w:r w:rsidR="00264421">
        <w:rPr>
          <w:rFonts w:cs="Arial"/>
          <w:color w:val="000000"/>
          <w:szCs w:val="20"/>
        </w:rPr>
        <w:t xml:space="preserve"> is the LMP component representing the </w:t>
      </w:r>
      <w:r w:rsidR="00FB45FD">
        <w:rPr>
          <w:rFonts w:cs="Arial"/>
          <w:color w:val="000000"/>
          <w:szCs w:val="20"/>
        </w:rPr>
        <w:t xml:space="preserve">Marginal </w:t>
      </w:r>
      <w:r w:rsidR="006B02DB">
        <w:rPr>
          <w:rFonts w:cs="Arial"/>
          <w:color w:val="000000"/>
          <w:szCs w:val="20"/>
        </w:rPr>
        <w:t xml:space="preserve">Energy </w:t>
      </w:r>
      <w:r w:rsidR="00FB45FD">
        <w:rPr>
          <w:rFonts w:cs="Arial"/>
          <w:color w:val="000000"/>
          <w:szCs w:val="20"/>
        </w:rPr>
        <w:t xml:space="preserve">Cost </w:t>
      </w:r>
      <w:r w:rsidR="00264421">
        <w:rPr>
          <w:rFonts w:cs="Arial"/>
          <w:color w:val="000000"/>
          <w:szCs w:val="20"/>
        </w:rPr>
        <w:t xml:space="preserve">at </w:t>
      </w:r>
      <w:r w:rsidR="00FB45FD">
        <w:rPr>
          <w:rFonts w:cs="Arial"/>
          <w:color w:val="000000"/>
          <w:szCs w:val="20"/>
        </w:rPr>
        <w:t xml:space="preserve">PNode </w:t>
      </w:r>
      <w:r w:rsidR="00A4201F" w:rsidRPr="0066792C">
        <w:rPr>
          <w:rFonts w:ascii="Times" w:hAnsi="Times"/>
          <w:i/>
        </w:rPr>
        <w:t>i</w:t>
      </w:r>
      <w:r w:rsidR="00264421">
        <w:rPr>
          <w:rFonts w:cs="Arial"/>
          <w:color w:val="000000"/>
          <w:szCs w:val="20"/>
        </w:rPr>
        <w:t>.</w:t>
      </w:r>
    </w:p>
    <w:p w14:paraId="759D411F" w14:textId="4BD0D526" w:rsidR="003B0958" w:rsidRPr="003B0958" w:rsidRDefault="00543914" w:rsidP="003B0958">
      <w:pPr>
        <w:pStyle w:val="ListParagraph"/>
        <w:numPr>
          <w:ilvl w:val="0"/>
          <w:numId w:val="1"/>
        </w:numPr>
        <w:ind w:left="1440" w:hanging="720"/>
      </w:pPr>
      <m:oMath>
        <m:sSub>
          <m:sSubPr>
            <m:ctrlPr>
              <w:rPr>
                <w:rFonts w:ascii="Cambria Math" w:hAnsi="Cambria Math"/>
                <w:i/>
              </w:rPr>
            </m:ctrlPr>
          </m:sSubPr>
          <m:e>
            <m:r>
              <w:rPr>
                <w:rFonts w:ascii="Cambria Math" w:hAnsi="Cambria Math"/>
              </w:rPr>
              <m:t>MCC</m:t>
            </m:r>
          </m:e>
          <m:sub>
            <m:r>
              <w:rPr>
                <w:rFonts w:ascii="Cambria Math" w:hAnsi="Cambria Math"/>
              </w:rPr>
              <m:t>i</m:t>
            </m:r>
          </m:sub>
        </m:sSub>
      </m:oMath>
      <w:r w:rsidR="00264421">
        <w:rPr>
          <w:rFonts w:cs="Arial"/>
          <w:color w:val="000000"/>
          <w:szCs w:val="20"/>
        </w:rPr>
        <w:t xml:space="preserve"> is the LMP component representing the Marginal Cost of Congestion at </w:t>
      </w:r>
      <w:r w:rsidR="00FB45FD">
        <w:rPr>
          <w:rFonts w:cs="Arial"/>
          <w:color w:val="000000"/>
          <w:szCs w:val="20"/>
        </w:rPr>
        <w:t xml:space="preserve">PNode </w:t>
      </w:r>
      <w:r w:rsidR="00A4201F" w:rsidRPr="0066792C">
        <w:rPr>
          <w:rFonts w:ascii="Times" w:hAnsi="Times"/>
          <w:i/>
        </w:rPr>
        <w:t>i</w:t>
      </w:r>
      <w:r w:rsidR="00264421">
        <w:rPr>
          <w:rFonts w:cs="Arial"/>
          <w:color w:val="000000"/>
          <w:szCs w:val="20"/>
        </w:rPr>
        <w:t>.</w:t>
      </w:r>
    </w:p>
    <w:p w14:paraId="2CD84AA2" w14:textId="77777777" w:rsidR="003B0958" w:rsidRPr="0066792C" w:rsidRDefault="00543914" w:rsidP="003B0958">
      <w:pPr>
        <w:pStyle w:val="ListParagraph"/>
        <w:numPr>
          <w:ilvl w:val="0"/>
          <w:numId w:val="1"/>
        </w:numPr>
        <w:ind w:left="1440" w:hanging="720"/>
      </w:pPr>
      <m:oMath>
        <m:sSub>
          <m:sSubPr>
            <m:ctrlPr>
              <w:rPr>
                <w:rFonts w:ascii="Cambria Math" w:hAnsi="Cambria Math"/>
                <w:i/>
              </w:rPr>
            </m:ctrlPr>
          </m:sSubPr>
          <m:e>
            <m:r>
              <w:rPr>
                <w:rFonts w:ascii="Cambria Math" w:hAnsi="Cambria Math"/>
              </w:rPr>
              <m:t>MCL</m:t>
            </m:r>
          </m:e>
          <m:sub>
            <m:r>
              <w:rPr>
                <w:rFonts w:ascii="Cambria Math" w:hAnsi="Cambria Math"/>
              </w:rPr>
              <m:t>i</m:t>
            </m:r>
          </m:sub>
        </m:sSub>
      </m:oMath>
      <w:r w:rsidR="00264421">
        <w:rPr>
          <w:rFonts w:cs="Arial"/>
          <w:color w:val="000000"/>
          <w:szCs w:val="20"/>
        </w:rPr>
        <w:t xml:space="preserve"> is the LMP component representing the Marginal Cost of Losses at </w:t>
      </w:r>
      <w:r w:rsidR="00FB45FD">
        <w:rPr>
          <w:rFonts w:cs="Arial"/>
          <w:color w:val="000000"/>
          <w:szCs w:val="20"/>
        </w:rPr>
        <w:t xml:space="preserve">PNode </w:t>
      </w:r>
      <w:r w:rsidR="00A4201F" w:rsidRPr="0066792C">
        <w:rPr>
          <w:rFonts w:ascii="Times" w:hAnsi="Times"/>
          <w:i/>
        </w:rPr>
        <w:t>i</w:t>
      </w:r>
      <w:r w:rsidR="00264421">
        <w:rPr>
          <w:rFonts w:cs="Arial"/>
          <w:color w:val="000000"/>
          <w:szCs w:val="20"/>
        </w:rPr>
        <w:t>.</w:t>
      </w:r>
    </w:p>
    <w:p w14:paraId="00B3F2CF" w14:textId="77777777" w:rsidR="00FB45FD" w:rsidRPr="0066792C" w:rsidRDefault="00543914" w:rsidP="003B0958">
      <w:pPr>
        <w:pStyle w:val="ListParagraph"/>
        <w:numPr>
          <w:ilvl w:val="0"/>
          <w:numId w:val="1"/>
        </w:numPr>
        <w:ind w:left="1440" w:hanging="720"/>
      </w:pPr>
      <m:oMath>
        <m:sSub>
          <m:sSubPr>
            <m:ctrlPr>
              <w:rPr>
                <w:rFonts w:ascii="Cambria Math" w:hAnsi="Cambria Math"/>
                <w:i/>
              </w:rPr>
            </m:ctrlPr>
          </m:sSubPr>
          <m:e>
            <m:r>
              <w:rPr>
                <w:rFonts w:ascii="Cambria Math" w:hAnsi="Cambria Math"/>
              </w:rPr>
              <m:t>MCG</m:t>
            </m:r>
          </m:e>
          <m:sub>
            <m:r>
              <w:rPr>
                <w:rFonts w:ascii="Cambria Math" w:hAnsi="Cambria Math"/>
              </w:rPr>
              <m:t>i</m:t>
            </m:r>
          </m:sub>
        </m:sSub>
      </m:oMath>
      <w:r w:rsidR="00264421">
        <w:rPr>
          <w:rFonts w:cs="Arial"/>
          <w:color w:val="000000"/>
          <w:szCs w:val="20"/>
        </w:rPr>
        <w:t xml:space="preserve"> is the LMP component representing the Marginal </w:t>
      </w:r>
      <w:r w:rsidR="00F478DF">
        <w:rPr>
          <w:rFonts w:cs="Arial"/>
          <w:color w:val="000000"/>
          <w:szCs w:val="20"/>
        </w:rPr>
        <w:t xml:space="preserve">GHG </w:t>
      </w:r>
      <w:r w:rsidR="00264421">
        <w:rPr>
          <w:rFonts w:cs="Arial"/>
          <w:color w:val="000000"/>
          <w:szCs w:val="20"/>
        </w:rPr>
        <w:t xml:space="preserve">Cost at PNode </w:t>
      </w:r>
      <w:r w:rsidR="00A4201F" w:rsidRPr="0066792C">
        <w:rPr>
          <w:rFonts w:ascii="Times" w:hAnsi="Times"/>
          <w:i/>
        </w:rPr>
        <w:t>i</w:t>
      </w:r>
      <w:r w:rsidR="00264421">
        <w:rPr>
          <w:rFonts w:cs="Arial"/>
          <w:color w:val="000000"/>
          <w:szCs w:val="20"/>
        </w:rPr>
        <w:t>.</w:t>
      </w:r>
    </w:p>
    <w:p w14:paraId="6DE6A606" w14:textId="646A7223" w:rsidR="003B0958" w:rsidRDefault="004D38AA" w:rsidP="003B0958">
      <w:pPr>
        <w:pStyle w:val="Heading2"/>
        <w:ind w:firstLine="720"/>
        <w:rPr>
          <w:del w:id="10" w:author="Author"/>
        </w:rPr>
      </w:pPr>
      <w:bookmarkStart w:id="11" w:name="_Toc126133625"/>
      <w:ins w:id="12" w:author="Author">
        <w:r>
          <w:t>A</w:t>
        </w:r>
        <w:r w:rsidR="004F1B2E">
          <w:t>.</w:t>
        </w:r>
        <w:r>
          <w:t>2</w:t>
        </w:r>
      </w:ins>
      <w:del w:id="13" w:author="Author">
        <w:r w:rsidR="00264421">
          <w:delText>B.</w:delText>
        </w:r>
        <w:r w:rsidR="00264421">
          <w:tab/>
        </w:r>
        <w:bookmarkEnd w:id="11"/>
        <w:r w:rsidR="00D57EF6" w:rsidRPr="001A67E2">
          <w:delText>[</w:delText>
        </w:r>
        <w:r w:rsidR="008372D4" w:rsidRPr="001A67E2">
          <w:delText>Not Used</w:delText>
        </w:r>
        <w:r w:rsidR="00D57EF6" w:rsidRPr="001A67E2">
          <w:delText>]</w:delText>
        </w:r>
      </w:del>
    </w:p>
    <w:p w14:paraId="447C3192" w14:textId="77777777" w:rsidR="003B0958" w:rsidRDefault="00264421" w:rsidP="00277577">
      <w:pPr>
        <w:pStyle w:val="Heading3"/>
      </w:pPr>
      <w:bookmarkStart w:id="14" w:name="_Toc126133626"/>
      <w:del w:id="15" w:author="Author">
        <w:r>
          <w:delText>C.</w:delText>
        </w:r>
      </w:del>
      <w:r>
        <w:tab/>
        <w:t xml:space="preserve">Marginal Energy Cost Component of </w:t>
      </w:r>
      <w:r w:rsidR="00F25160">
        <w:t xml:space="preserve">the </w:t>
      </w:r>
      <w:r>
        <w:t>LMP</w:t>
      </w:r>
      <w:bookmarkEnd w:id="14"/>
    </w:p>
    <w:p w14:paraId="6B869A29" w14:textId="503AED6F" w:rsidR="002B7FB9" w:rsidRPr="001A67E2" w:rsidRDefault="00264421" w:rsidP="003B0958">
      <w:r w:rsidRPr="001A67E2">
        <w:t xml:space="preserve">The MEC </w:t>
      </w:r>
      <w:r w:rsidR="00F25160" w:rsidRPr="001A67E2">
        <w:t>is</w:t>
      </w:r>
      <w:r w:rsidRPr="001A67E2">
        <w:t xml:space="preserve"> the same for </w:t>
      </w:r>
      <w:r w:rsidR="00F25160" w:rsidRPr="001A67E2">
        <w:t xml:space="preserve">all </w:t>
      </w:r>
      <w:r w:rsidR="00A94CAB" w:rsidRPr="001A67E2">
        <w:t xml:space="preserve">PNodes </w:t>
      </w:r>
      <w:r w:rsidR="00F25160" w:rsidRPr="001A67E2">
        <w:t xml:space="preserve">in </w:t>
      </w:r>
      <w:r w:rsidR="00B8561B" w:rsidRPr="001A67E2">
        <w:t xml:space="preserve">each </w:t>
      </w:r>
      <w:r w:rsidR="00F25160" w:rsidRPr="001A67E2">
        <w:t>B</w:t>
      </w:r>
      <w:r w:rsidR="00D57EF6" w:rsidRPr="001A67E2">
        <w:t xml:space="preserve">alancing </w:t>
      </w:r>
      <w:r w:rsidR="00F25160" w:rsidRPr="001A67E2">
        <w:t>A</w:t>
      </w:r>
      <w:r w:rsidR="00D57EF6" w:rsidRPr="001A67E2">
        <w:t xml:space="preserve">uthority </w:t>
      </w:r>
      <w:r w:rsidR="00F25160" w:rsidRPr="001A67E2">
        <w:t>A</w:t>
      </w:r>
      <w:r w:rsidR="00D57EF6" w:rsidRPr="001A67E2">
        <w:t>rea</w:t>
      </w:r>
      <w:r w:rsidR="00B8561B" w:rsidRPr="001A67E2">
        <w:t xml:space="preserve"> in the Market Area</w:t>
      </w:r>
      <w:r w:rsidRPr="001A67E2">
        <w:t xml:space="preserve">.  </w:t>
      </w:r>
      <w:r w:rsidR="00F25160" w:rsidRPr="001A67E2">
        <w:t xml:space="preserve">The </w:t>
      </w:r>
      <w:r w:rsidRPr="001A67E2">
        <w:t xml:space="preserve">MEC is the Shadow Price of the power balance constraint </w:t>
      </w:r>
      <w:r w:rsidR="00F25160" w:rsidRPr="001A67E2">
        <w:t>for the respective B</w:t>
      </w:r>
      <w:r w:rsidR="00D57EF6" w:rsidRPr="001A67E2">
        <w:t xml:space="preserve">alancing </w:t>
      </w:r>
      <w:r w:rsidR="00F25160" w:rsidRPr="001A67E2">
        <w:t>A</w:t>
      </w:r>
      <w:r w:rsidR="00D57EF6" w:rsidRPr="001A67E2">
        <w:t xml:space="preserve">uthority </w:t>
      </w:r>
      <w:r w:rsidR="00F25160" w:rsidRPr="001A67E2">
        <w:t>A</w:t>
      </w:r>
      <w:r w:rsidR="00D57EF6" w:rsidRPr="001A67E2">
        <w:t>rea</w:t>
      </w:r>
      <w:r w:rsidR="00F25160" w:rsidRPr="001A67E2">
        <w:t xml:space="preserve"> </w:t>
      </w:r>
      <w:r w:rsidRPr="001A67E2">
        <w:t xml:space="preserve">at the optimal solution.  The power balance constraint </w:t>
      </w:r>
      <w:r w:rsidR="00276964" w:rsidRPr="001A67E2">
        <w:t>for each B</w:t>
      </w:r>
      <w:r w:rsidR="009251B3" w:rsidRPr="001A67E2">
        <w:t xml:space="preserve">alancing </w:t>
      </w:r>
      <w:r w:rsidR="00276964" w:rsidRPr="001A67E2">
        <w:t>A</w:t>
      </w:r>
      <w:r w:rsidR="009251B3" w:rsidRPr="001A67E2">
        <w:t xml:space="preserve">uthority </w:t>
      </w:r>
      <w:r w:rsidR="00276964" w:rsidRPr="001A67E2">
        <w:t>A</w:t>
      </w:r>
      <w:r w:rsidR="009251B3" w:rsidRPr="001A67E2">
        <w:t>rea</w:t>
      </w:r>
      <w:r w:rsidR="00276964" w:rsidRPr="001A67E2">
        <w:t xml:space="preserve"> in the </w:t>
      </w:r>
      <w:r w:rsidR="00B8561B" w:rsidRPr="001A67E2">
        <w:t>M</w:t>
      </w:r>
      <w:r w:rsidR="00276964" w:rsidRPr="001A67E2">
        <w:t xml:space="preserve">arket </w:t>
      </w:r>
      <w:r w:rsidR="00B8561B" w:rsidRPr="001A67E2">
        <w:t>Area</w:t>
      </w:r>
      <w:r w:rsidR="00276964" w:rsidRPr="001A67E2">
        <w:t xml:space="preserve"> </w:t>
      </w:r>
      <w:r w:rsidRPr="001A67E2">
        <w:t>ensures that the physical law of conservation of Energy (the sum of Generation and imports equals the sum of Demand, including exports and Transmission Losses</w:t>
      </w:r>
      <w:r w:rsidR="00276964" w:rsidRPr="001A67E2">
        <w:t xml:space="preserve">, plus the Net </w:t>
      </w:r>
      <w:r w:rsidR="004C6CA1" w:rsidRPr="001A67E2">
        <w:t xml:space="preserve">Market </w:t>
      </w:r>
      <w:r w:rsidR="00276964" w:rsidRPr="001A67E2">
        <w:t>Transfer</w:t>
      </w:r>
      <w:r w:rsidRPr="001A67E2">
        <w:t xml:space="preserve">) is accounted for in the </w:t>
      </w:r>
      <w:r w:rsidR="00276964" w:rsidRPr="001A67E2">
        <w:t xml:space="preserve">market </w:t>
      </w:r>
      <w:r w:rsidRPr="001A67E2">
        <w:t xml:space="preserve">solution.  </w:t>
      </w:r>
      <w:r w:rsidR="00D5364E" w:rsidRPr="001A67E2">
        <w:t>The MEC for the Transfer System Resources (TSRs) on each side of the Market Transfer that they model is the MEC of the respective B</w:t>
      </w:r>
      <w:r w:rsidR="009251B3" w:rsidRPr="001A67E2">
        <w:t xml:space="preserve">alancing </w:t>
      </w:r>
      <w:r w:rsidR="00D5364E" w:rsidRPr="001A67E2">
        <w:t>A</w:t>
      </w:r>
      <w:r w:rsidR="009251B3" w:rsidRPr="001A67E2">
        <w:t xml:space="preserve">uthority </w:t>
      </w:r>
      <w:r w:rsidR="00D5364E" w:rsidRPr="001A67E2">
        <w:t>A</w:t>
      </w:r>
      <w:r w:rsidR="009251B3" w:rsidRPr="001A67E2">
        <w:t>rea</w:t>
      </w:r>
      <w:r w:rsidR="00D5364E" w:rsidRPr="001A67E2">
        <w:t xml:space="preserve">. </w:t>
      </w:r>
      <w:r w:rsidR="006E69AF">
        <w:t xml:space="preserve"> </w:t>
      </w:r>
      <w:r w:rsidR="00BE3CDF" w:rsidRPr="001A67E2">
        <w:t>The MEC may be different between two B</w:t>
      </w:r>
      <w:r w:rsidR="009251B3" w:rsidRPr="001A67E2">
        <w:t xml:space="preserve">alancing </w:t>
      </w:r>
      <w:r w:rsidR="00BE3CDF" w:rsidRPr="001A67E2">
        <w:t>A</w:t>
      </w:r>
      <w:r w:rsidR="009251B3" w:rsidRPr="001A67E2">
        <w:t xml:space="preserve">uthority </w:t>
      </w:r>
      <w:r w:rsidR="00BE3CDF" w:rsidRPr="001A67E2">
        <w:t>A</w:t>
      </w:r>
      <w:r w:rsidR="009251B3" w:rsidRPr="001A67E2">
        <w:t>rea</w:t>
      </w:r>
      <w:r w:rsidR="00BE3CDF" w:rsidRPr="001A67E2">
        <w:t xml:space="preserve">s in the </w:t>
      </w:r>
      <w:r w:rsidR="00D5364E" w:rsidRPr="001A67E2">
        <w:t>M</w:t>
      </w:r>
      <w:r w:rsidR="00BE3CDF" w:rsidRPr="001A67E2">
        <w:t xml:space="preserve">arket </w:t>
      </w:r>
      <w:r w:rsidR="00D5364E" w:rsidRPr="001A67E2">
        <w:t>Area</w:t>
      </w:r>
      <w:r w:rsidR="00BE3CDF" w:rsidRPr="001A67E2">
        <w:t xml:space="preserve"> </w:t>
      </w:r>
      <w:r w:rsidR="00DF0350" w:rsidRPr="001A67E2">
        <w:t>when</w:t>
      </w:r>
      <w:r w:rsidR="00BE3CDF" w:rsidRPr="001A67E2">
        <w:t xml:space="preserve"> </w:t>
      </w:r>
      <w:r w:rsidR="00D5364E" w:rsidRPr="001A67E2">
        <w:t>Market T</w:t>
      </w:r>
      <w:r w:rsidR="00BE3CDF" w:rsidRPr="001A67E2">
        <w:t>ransfers between these B</w:t>
      </w:r>
      <w:r w:rsidR="009251B3" w:rsidRPr="001A67E2">
        <w:t xml:space="preserve">alancing </w:t>
      </w:r>
      <w:r w:rsidR="00BE3CDF" w:rsidRPr="001A67E2">
        <w:t>A</w:t>
      </w:r>
      <w:r w:rsidR="009251B3" w:rsidRPr="001A67E2">
        <w:t xml:space="preserve">uthority </w:t>
      </w:r>
      <w:r w:rsidR="00BE3CDF" w:rsidRPr="001A67E2">
        <w:t>A</w:t>
      </w:r>
      <w:r w:rsidR="009251B3" w:rsidRPr="001A67E2">
        <w:t>rea</w:t>
      </w:r>
      <w:r w:rsidR="00BE3CDF" w:rsidRPr="001A67E2">
        <w:t xml:space="preserve">s are scheduled at their respective scheduling limits.  The MEC difference </w:t>
      </w:r>
      <w:r w:rsidR="00855F77" w:rsidRPr="001A67E2">
        <w:t>between</w:t>
      </w:r>
      <w:r w:rsidR="00BE3CDF" w:rsidRPr="001A67E2">
        <w:t xml:space="preserve"> the B</w:t>
      </w:r>
      <w:r w:rsidR="009251B3" w:rsidRPr="001A67E2">
        <w:t xml:space="preserve">alancing </w:t>
      </w:r>
      <w:r w:rsidR="00BE3CDF" w:rsidRPr="001A67E2">
        <w:t>A</w:t>
      </w:r>
      <w:r w:rsidR="009251B3" w:rsidRPr="001A67E2">
        <w:t xml:space="preserve">uthority </w:t>
      </w:r>
      <w:r w:rsidR="00BE3CDF" w:rsidRPr="001A67E2">
        <w:t>A</w:t>
      </w:r>
      <w:r w:rsidR="009251B3" w:rsidRPr="001A67E2">
        <w:t>rea</w:t>
      </w:r>
      <w:r w:rsidR="00BE3CDF" w:rsidRPr="001A67E2">
        <w:t xml:space="preserve">s </w:t>
      </w:r>
      <w:r w:rsidR="004C6CA1" w:rsidRPr="001A67E2">
        <w:t>on either side of</w:t>
      </w:r>
      <w:r w:rsidR="00BE3CDF" w:rsidRPr="001A67E2">
        <w:t xml:space="preserve"> a specific </w:t>
      </w:r>
      <w:r w:rsidR="004C6CA1" w:rsidRPr="001A67E2">
        <w:t xml:space="preserve">Market </w:t>
      </w:r>
      <w:r w:rsidR="00BE3CDF" w:rsidRPr="001A67E2">
        <w:t xml:space="preserve">Transfer generates </w:t>
      </w:r>
      <w:r w:rsidR="004C6CA1" w:rsidRPr="001A67E2">
        <w:t xml:space="preserve">Market </w:t>
      </w:r>
      <w:r w:rsidR="00BE3CDF" w:rsidRPr="001A67E2">
        <w:t xml:space="preserve">Transfer </w:t>
      </w:r>
      <w:r w:rsidR="004C6CA1" w:rsidRPr="001A67E2">
        <w:t>r</w:t>
      </w:r>
      <w:r w:rsidR="00BE3CDF" w:rsidRPr="001A67E2">
        <w:t>evenue</w:t>
      </w:r>
      <w:r w:rsidR="000646CD" w:rsidRPr="001A67E2">
        <w:t xml:space="preserve">. </w:t>
      </w:r>
    </w:p>
    <w:p w14:paraId="25D4F4DB" w14:textId="62A9A4CB" w:rsidR="003B0958" w:rsidRDefault="004D38AA" w:rsidP="00277577">
      <w:pPr>
        <w:pStyle w:val="Heading3"/>
      </w:pPr>
      <w:bookmarkStart w:id="16" w:name="_Toc126133627"/>
      <w:ins w:id="17" w:author="Author">
        <w:r>
          <w:t>A</w:t>
        </w:r>
        <w:r w:rsidR="004F1B2E">
          <w:t>.</w:t>
        </w:r>
        <w:r>
          <w:t>3</w:t>
        </w:r>
      </w:ins>
      <w:del w:id="18" w:author="Author">
        <w:r w:rsidR="00264421">
          <w:delText>D.</w:delText>
        </w:r>
      </w:del>
      <w:r w:rsidR="00264421">
        <w:tab/>
        <w:t xml:space="preserve">Marginal Congestion Component </w:t>
      </w:r>
      <w:bookmarkEnd w:id="16"/>
      <w:r w:rsidR="00DF0350">
        <w:t>of the LMP</w:t>
      </w:r>
    </w:p>
    <w:p w14:paraId="75C24701" w14:textId="7FB38E57" w:rsidR="003B0958" w:rsidRDefault="00264421" w:rsidP="003B0958">
      <w:r w:rsidRPr="003B0958">
        <w:t xml:space="preserve">The CAISO calculates the Marginal Cost of Congestion at each </w:t>
      </w:r>
      <w:r w:rsidR="00776465">
        <w:t>PNode</w:t>
      </w:r>
      <w:r w:rsidR="00776465" w:rsidRPr="003B0958">
        <w:t xml:space="preserve"> </w:t>
      </w:r>
      <w:r w:rsidRPr="003B0958">
        <w:t xml:space="preserve">as </w:t>
      </w:r>
      <w:r w:rsidR="00776465">
        <w:t xml:space="preserve">the net contribution of the Shadow Prices of the binding Transmission Constraints at the optimal solution, weighed by the respective </w:t>
      </w:r>
      <w:r w:rsidR="00776465">
        <w:rPr>
          <w:rFonts w:cs="Arial"/>
          <w:color w:val="000000"/>
          <w:szCs w:val="20"/>
        </w:rPr>
        <w:t xml:space="preserve">Power Transfer Distribution Factors, as </w:t>
      </w:r>
      <w:r w:rsidR="008135AE">
        <w:rPr>
          <w:rFonts w:cs="Arial"/>
          <w:color w:val="000000"/>
          <w:szCs w:val="20"/>
        </w:rPr>
        <w:t>follows</w:t>
      </w:r>
      <w:r w:rsidRPr="003B0958">
        <w:t>:</w:t>
      </w:r>
    </w:p>
    <w:p w14:paraId="392ADC36" w14:textId="18236346" w:rsidR="00B6337B" w:rsidRDefault="00543914" w:rsidP="00B6337B">
      <w:pPr>
        <w:jc w:val="center"/>
      </w:pPr>
      <m:oMathPara>
        <m:oMath>
          <m:sSub>
            <m:sSubPr>
              <m:ctrlPr>
                <w:rPr>
                  <w:rFonts w:ascii="Cambria Math" w:hAnsi="Cambria Math" w:cs="Arial"/>
                  <w:i/>
                </w:rPr>
              </m:ctrlPr>
            </m:sSubPr>
            <m:e>
              <m:r>
                <w:rPr>
                  <w:rFonts w:ascii="Cambria Math" w:hAnsi="Cambria Math" w:cs="Arial"/>
                </w:rPr>
                <m:t>MCC</m:t>
              </m:r>
            </m:e>
            <m:sub>
              <m:r>
                <w:rPr>
                  <w:rFonts w:ascii="Cambria Math" w:hAnsi="Cambria Math" w:cs="Arial"/>
                </w:rPr>
                <m:t>i</m:t>
              </m:r>
            </m:sub>
          </m:sSub>
          <m:r>
            <w:rPr>
              <w:rFonts w:ascii="Cambria Math" w:hAnsi="Cambria Math" w:cs="Arial"/>
            </w:rPr>
            <m:t>=-</m:t>
          </m:r>
          <m:nary>
            <m:naryPr>
              <m:chr m:val="∑"/>
              <m:limLoc m:val="undOvr"/>
              <m:ctrlPr>
                <w:ins w:id="19" w:author="Author">
                  <w:rPr>
                    <w:rFonts w:ascii="Cambria Math" w:hAnsi="Cambria Math" w:cs="Arial"/>
                    <w:i/>
                  </w:rPr>
                </w:ins>
              </m:ctrlPr>
            </m:naryPr>
            <m:sub>
              <m:r>
                <w:ins w:id="20" w:author="Author">
                  <w:rPr>
                    <w:rFonts w:ascii="Cambria Math" w:hAnsi="Cambria Math" w:cs="Arial"/>
                  </w:rPr>
                  <m:t>k=0</m:t>
                </w:ins>
              </m:r>
            </m:sub>
            <m:sup>
              <m:r>
                <w:ins w:id="21" w:author="Author">
                  <w:rPr>
                    <w:rFonts w:ascii="Cambria Math" w:hAnsi="Cambria Math" w:cs="Arial"/>
                  </w:rPr>
                  <m:t>K</m:t>
                </w:ins>
              </m:r>
            </m:sup>
            <m:e>
              <m:nary>
                <m:naryPr>
                  <m:chr m:val="∑"/>
                  <m:limLoc m:val="undOvr"/>
                  <m:ctrlPr>
                    <w:ins w:id="22" w:author="Author">
                      <w:rPr>
                        <w:rFonts w:ascii="Cambria Math" w:hAnsi="Cambria Math" w:cs="Arial"/>
                        <w:i/>
                      </w:rPr>
                    </w:ins>
                  </m:ctrlPr>
                </m:naryPr>
                <m:sub>
                  <m:r>
                    <w:ins w:id="23" w:author="Author">
                      <w:rPr>
                        <w:rFonts w:ascii="Cambria Math" w:hAnsi="Cambria Math" w:cs="Arial"/>
                      </w:rPr>
                      <m:t>m=1</m:t>
                    </w:ins>
                  </m:r>
                </m:sub>
                <m:sup>
                  <m:r>
                    <w:ins w:id="24" w:author="Author">
                      <w:rPr>
                        <w:rFonts w:ascii="Cambria Math" w:hAnsi="Cambria Math" w:cs="Arial"/>
                      </w:rPr>
                      <m:t>M</m:t>
                    </w:ins>
                  </m:r>
                </m:sup>
                <m:e>
                  <m:nary>
                    <m:naryPr>
                      <m:chr m:val="∑"/>
                      <m:limLoc m:val="undOvr"/>
                      <m:ctrlPr>
                        <w:ins w:id="25" w:author="Author">
                          <w:rPr>
                            <w:rFonts w:ascii="Cambria Math" w:hAnsi="Cambria Math" w:cs="Arial"/>
                            <w:i/>
                          </w:rPr>
                        </w:ins>
                      </m:ctrlPr>
                    </m:naryPr>
                    <m:sub>
                      <m:r>
                        <w:ins w:id="26" w:author="Author">
                          <w:rPr>
                            <w:rFonts w:ascii="Cambria Math" w:hAnsi="Cambria Math" w:cs="Arial"/>
                          </w:rPr>
                          <m:t>j=1</m:t>
                        </w:ins>
                      </m:r>
                    </m:sub>
                    <m:sup>
                      <m:sSub>
                        <m:sSubPr>
                          <m:ctrlPr>
                            <w:ins w:id="27" w:author="Author">
                              <w:rPr>
                                <w:rFonts w:ascii="Cambria Math" w:hAnsi="Cambria Math" w:cs="Arial"/>
                                <w:i/>
                              </w:rPr>
                            </w:ins>
                          </m:ctrlPr>
                        </m:sSubPr>
                        <m:e>
                          <m:r>
                            <w:ins w:id="28" w:author="Author">
                              <w:rPr>
                                <w:rFonts w:ascii="Cambria Math" w:hAnsi="Cambria Math" w:cs="Arial"/>
                              </w:rPr>
                              <m:t>J</m:t>
                            </w:ins>
                          </m:r>
                        </m:e>
                        <m:sub>
                          <m:r>
                            <w:ins w:id="29" w:author="Author">
                              <w:rPr>
                                <w:rFonts w:ascii="Cambria Math" w:hAnsi="Cambria Math" w:cs="Arial"/>
                              </w:rPr>
                              <m:t>m</m:t>
                            </w:ins>
                          </m:r>
                        </m:sub>
                      </m:sSub>
                    </m:sup>
                    <m:e>
                      <m:sSub>
                        <m:sSubPr>
                          <m:ctrlPr>
                            <w:ins w:id="30" w:author="Author">
                              <w:rPr>
                                <w:rFonts w:ascii="Cambria Math" w:hAnsi="Cambria Math" w:cs="Arial"/>
                                <w:i/>
                              </w:rPr>
                            </w:ins>
                          </m:ctrlPr>
                        </m:sSubPr>
                        <m:e>
                          <m:r>
                            <w:ins w:id="31" w:author="Author">
                              <w:rPr>
                                <w:rFonts w:ascii="Cambria Math" w:hAnsi="Cambria Math" w:cs="Arial"/>
                              </w:rPr>
                              <m:t>c</m:t>
                            </w:ins>
                          </m:r>
                        </m:e>
                        <m:sub>
                          <m:r>
                            <w:ins w:id="32" w:author="Author">
                              <w:rPr>
                                <w:rFonts w:ascii="Cambria Math" w:hAnsi="Cambria Math" w:cs="Arial"/>
                              </w:rPr>
                              <m:t>j,m</m:t>
                            </w:ins>
                          </m:r>
                        </m:sub>
                      </m:sSub>
                      <m:r>
                        <w:ins w:id="33" w:author="Author">
                          <w:rPr>
                            <w:rFonts w:ascii="Cambria Math" w:hAnsi="Cambria Math" w:cs="Arial"/>
                          </w:rPr>
                          <m:t xml:space="preserve"> </m:t>
                        </w:ins>
                      </m:r>
                      <m:sSub>
                        <m:sSubPr>
                          <m:ctrlPr>
                            <w:ins w:id="34" w:author="Author">
                              <w:rPr>
                                <w:rFonts w:ascii="Cambria Math" w:hAnsi="Cambria Math" w:cs="Arial"/>
                                <w:i/>
                              </w:rPr>
                            </w:ins>
                          </m:ctrlPr>
                        </m:sSubPr>
                        <m:e>
                          <m:r>
                            <w:ins w:id="35" w:author="Author">
                              <w:rPr>
                                <w:rFonts w:ascii="Cambria Math" w:hAnsi="Cambria Math" w:cs="Arial"/>
                              </w:rPr>
                              <m:t>PTDF</m:t>
                            </w:ins>
                          </m:r>
                        </m:e>
                        <m:sub>
                          <m:r>
                            <w:ins w:id="36" w:author="Author">
                              <w:rPr>
                                <w:rFonts w:ascii="Cambria Math" w:hAnsi="Cambria Math" w:cs="Arial"/>
                              </w:rPr>
                              <m:t>i,j,m,k</m:t>
                            </w:ins>
                          </m:r>
                        </m:sub>
                      </m:sSub>
                      <m:r>
                        <w:ins w:id="37" w:author="Author">
                          <w:rPr>
                            <w:rFonts w:ascii="Cambria Math" w:hAnsi="Cambria Math" w:cs="Arial"/>
                          </w:rPr>
                          <m:t xml:space="preserve"> </m:t>
                        </w:ins>
                      </m:r>
                      <m:sSub>
                        <m:sSubPr>
                          <m:ctrlPr>
                            <w:ins w:id="38" w:author="Author">
                              <w:rPr>
                                <w:rFonts w:ascii="Cambria Math" w:hAnsi="Cambria Math" w:cs="Arial"/>
                                <w:i/>
                              </w:rPr>
                            </w:ins>
                          </m:ctrlPr>
                        </m:sSubPr>
                        <m:e>
                          <m:r>
                            <w:ins w:id="39" w:author="Author">
                              <w:rPr>
                                <w:rFonts w:ascii="Cambria Math" w:hAnsi="Cambria Math" w:cs="Arial"/>
                              </w:rPr>
                              <m:t>μ</m:t>
                            </w:ins>
                          </m:r>
                        </m:e>
                        <m:sub>
                          <m:r>
                            <w:ins w:id="40" w:author="Author">
                              <w:rPr>
                                <w:rFonts w:ascii="Cambria Math" w:hAnsi="Cambria Math" w:cs="Arial"/>
                              </w:rPr>
                              <m:t>m,k</m:t>
                            </w:ins>
                          </m:r>
                        </m:sub>
                      </m:sSub>
                    </m:e>
                  </m:nary>
                </m:e>
              </m:nary>
            </m:e>
          </m:nary>
          <m:r>
            <w:ins w:id="41" w:author="Author">
              <w:rPr>
                <w:rFonts w:ascii="Cambria Math" w:hAnsi="Cambria Math" w:cs="Arial"/>
              </w:rPr>
              <m:t>-</m:t>
            </w:ins>
          </m:r>
          <m:nary>
            <m:naryPr>
              <m:chr m:val="∑"/>
              <m:limLoc m:val="undOvr"/>
              <m:ctrlPr>
                <w:ins w:id="42" w:author="Author">
                  <w:rPr>
                    <w:rFonts w:ascii="Cambria Math" w:hAnsi="Cambria Math" w:cs="Arial"/>
                    <w:i/>
                  </w:rPr>
                </w:ins>
              </m:ctrlPr>
            </m:naryPr>
            <m:sub>
              <m:r>
                <w:ins w:id="43" w:author="Author">
                  <w:rPr>
                    <w:rFonts w:ascii="Cambria Math" w:hAnsi="Cambria Math" w:cs="Arial"/>
                  </w:rPr>
                  <m:t>k=0</m:t>
                </w:ins>
              </m:r>
            </m:sub>
            <m:sup>
              <m:r>
                <w:ins w:id="44" w:author="Author">
                  <w:rPr>
                    <w:rFonts w:ascii="Cambria Math" w:hAnsi="Cambria Math" w:cs="Arial"/>
                  </w:rPr>
                  <m:t>K</m:t>
                </w:ins>
              </m:r>
            </m:sup>
            <m:e>
              <m:nary>
                <m:naryPr>
                  <m:chr m:val="∑"/>
                  <m:limLoc m:val="undOvr"/>
                  <m:ctrlPr>
                    <w:ins w:id="45" w:author="Author">
                      <w:rPr>
                        <w:rFonts w:ascii="Cambria Math" w:hAnsi="Cambria Math" w:cs="Arial"/>
                        <w:i/>
                      </w:rPr>
                    </w:ins>
                  </m:ctrlPr>
                </m:naryPr>
                <m:sub>
                  <m:r>
                    <w:ins w:id="46" w:author="Author">
                      <w:rPr>
                        <w:rFonts w:ascii="Cambria Math" w:hAnsi="Cambria Math" w:cs="Arial"/>
                      </w:rPr>
                      <m:t>m=1</m:t>
                    </w:ins>
                  </m:r>
                </m:sub>
                <m:sup>
                  <m:r>
                    <w:ins w:id="47" w:author="Author">
                      <w:rPr>
                        <w:rFonts w:ascii="Cambria Math" w:hAnsi="Cambria Math" w:cs="Arial"/>
                      </w:rPr>
                      <m:t>M</m:t>
                    </w:ins>
                  </m:r>
                </m:sup>
                <m:e>
                  <m:nary>
                    <m:naryPr>
                      <m:chr m:val="∑"/>
                      <m:limLoc m:val="undOvr"/>
                      <m:ctrlPr>
                        <w:ins w:id="48" w:author="Author">
                          <w:rPr>
                            <w:rFonts w:ascii="Cambria Math" w:hAnsi="Cambria Math" w:cs="Arial"/>
                            <w:i/>
                          </w:rPr>
                        </w:ins>
                      </m:ctrlPr>
                    </m:naryPr>
                    <m:sub>
                      <m:r>
                        <w:ins w:id="49" w:author="Author">
                          <w:rPr>
                            <w:rFonts w:ascii="Cambria Math" w:hAnsi="Cambria Math" w:cs="Arial"/>
                          </w:rPr>
                          <m:t>j=1</m:t>
                        </w:ins>
                      </m:r>
                    </m:sub>
                    <m:sup>
                      <m:sSub>
                        <m:sSubPr>
                          <m:ctrlPr>
                            <w:ins w:id="50" w:author="Author">
                              <w:rPr>
                                <w:rFonts w:ascii="Cambria Math" w:hAnsi="Cambria Math" w:cs="Arial"/>
                                <w:i/>
                              </w:rPr>
                            </w:ins>
                          </m:ctrlPr>
                        </m:sSubPr>
                        <m:e>
                          <m:r>
                            <w:ins w:id="51" w:author="Author">
                              <w:rPr>
                                <w:rFonts w:ascii="Cambria Math" w:hAnsi="Cambria Math" w:cs="Arial"/>
                              </w:rPr>
                              <m:t>J</m:t>
                            </w:ins>
                          </m:r>
                        </m:e>
                        <m:sub>
                          <m:r>
                            <w:ins w:id="52" w:author="Author">
                              <w:rPr>
                                <w:rFonts w:ascii="Cambria Math" w:hAnsi="Cambria Math" w:cs="Arial"/>
                              </w:rPr>
                              <m:t>m</m:t>
                            </w:ins>
                          </m:r>
                        </m:sub>
                      </m:sSub>
                    </m:sup>
                    <m:e>
                      <m:sSub>
                        <m:sSubPr>
                          <m:ctrlPr>
                            <w:ins w:id="53" w:author="Author">
                              <w:rPr>
                                <w:rFonts w:ascii="Cambria Math" w:hAnsi="Cambria Math" w:cs="Arial"/>
                                <w:i/>
                              </w:rPr>
                            </w:ins>
                          </m:ctrlPr>
                        </m:sSubPr>
                        <m:e>
                          <m:r>
                            <w:ins w:id="54" w:author="Author">
                              <w:rPr>
                                <w:rFonts w:ascii="Cambria Math" w:hAnsi="Cambria Math" w:cs="Arial"/>
                              </w:rPr>
                              <m:t>c</m:t>
                            </w:ins>
                          </m:r>
                        </m:e>
                        <m:sub>
                          <m:r>
                            <w:ins w:id="55" w:author="Author">
                              <w:rPr>
                                <w:rFonts w:ascii="Cambria Math" w:hAnsi="Cambria Math" w:cs="Arial"/>
                              </w:rPr>
                              <m:t>j,m</m:t>
                            </w:ins>
                          </m:r>
                        </m:sub>
                      </m:sSub>
                      <m:r>
                        <w:ins w:id="56" w:author="Author">
                          <w:rPr>
                            <w:rFonts w:ascii="Cambria Math" w:hAnsi="Cambria Math" w:cs="Arial"/>
                          </w:rPr>
                          <m:t xml:space="preserve"> </m:t>
                        </w:ins>
                      </m:r>
                      <m:sSubSup>
                        <m:sSubSupPr>
                          <m:ctrlPr>
                            <w:ins w:id="57" w:author="Author">
                              <w:rPr>
                                <w:rFonts w:ascii="Cambria Math" w:hAnsi="Cambria Math"/>
                                <w:i/>
                              </w:rPr>
                            </w:ins>
                          </m:ctrlPr>
                        </m:sSubSupPr>
                        <m:e>
                          <m:r>
                            <w:ins w:id="58" w:author="Author">
                              <w:rPr>
                                <w:rFonts w:ascii="Cambria Math" w:hAnsi="Cambria Math"/>
                              </w:rPr>
                              <m:t>PTDF</m:t>
                            </w:ins>
                          </m:r>
                        </m:e>
                        <m:sub>
                          <m:r>
                            <w:ins w:id="59" w:author="Author">
                              <w:rPr>
                                <w:rFonts w:ascii="Cambria Math" w:hAnsi="Cambria Math"/>
                              </w:rPr>
                              <m:t>i,j,m,k</m:t>
                            </w:ins>
                          </m:r>
                        </m:sub>
                        <m:sup>
                          <m:r>
                            <w:ins w:id="60" w:author="Author">
                              <w:rPr>
                                <w:rFonts w:ascii="Cambria Math" w:hAnsi="Cambria Math"/>
                              </w:rPr>
                              <m:t>(IRU)</m:t>
                            </w:ins>
                          </m:r>
                        </m:sup>
                      </m:sSubSup>
                      <m:r>
                        <w:ins w:id="61" w:author="Author">
                          <w:rPr>
                            <w:rFonts w:ascii="Cambria Math" w:hAnsi="Cambria Math" w:cs="Arial"/>
                          </w:rPr>
                          <m:t xml:space="preserve"> </m:t>
                        </w:ins>
                      </m:r>
                      <m:sSubSup>
                        <m:sSubSupPr>
                          <m:ctrlPr>
                            <w:ins w:id="62" w:author="Author">
                              <w:rPr>
                                <w:rFonts w:ascii="Cambria Math" w:hAnsi="Cambria Math"/>
                                <w:i/>
                              </w:rPr>
                            </w:ins>
                          </m:ctrlPr>
                        </m:sSubSupPr>
                        <m:e>
                          <m:r>
                            <w:ins w:id="63" w:author="Author">
                              <w:rPr>
                                <w:rFonts w:ascii="Cambria Math" w:hAnsi="Cambria Math"/>
                              </w:rPr>
                              <m:t>μ</m:t>
                            </w:ins>
                          </m:r>
                        </m:e>
                        <m:sub>
                          <m:r>
                            <w:ins w:id="64" w:author="Author">
                              <w:rPr>
                                <w:rFonts w:ascii="Cambria Math" w:hAnsi="Cambria Math"/>
                              </w:rPr>
                              <m:t>m,k</m:t>
                            </w:ins>
                          </m:r>
                        </m:sub>
                        <m:sup>
                          <m:r>
                            <w:ins w:id="65" w:author="Author">
                              <w:rPr>
                                <w:rFonts w:ascii="Cambria Math" w:hAnsi="Cambria Math"/>
                              </w:rPr>
                              <m:t>(IRU)</m:t>
                            </w:ins>
                          </m:r>
                        </m:sup>
                      </m:sSubSup>
                    </m:e>
                  </m:nary>
                </m:e>
              </m:nary>
            </m:e>
          </m:nary>
          <m:r>
            <w:ins w:id="66" w:author="Author">
              <w:rPr>
                <w:rFonts w:ascii="Cambria Math" w:hAnsi="Cambria Math" w:cs="Arial"/>
              </w:rPr>
              <m:t>-</m:t>
            </w:ins>
          </m:r>
          <m:nary>
            <m:naryPr>
              <m:chr m:val="∑"/>
              <m:limLoc m:val="undOvr"/>
              <m:ctrlPr>
                <w:ins w:id="67" w:author="Author">
                  <w:rPr>
                    <w:rFonts w:ascii="Cambria Math" w:hAnsi="Cambria Math" w:cs="Arial"/>
                    <w:i/>
                  </w:rPr>
                </w:ins>
              </m:ctrlPr>
            </m:naryPr>
            <m:sub>
              <m:r>
                <w:ins w:id="68" w:author="Author">
                  <w:rPr>
                    <w:rFonts w:ascii="Cambria Math" w:hAnsi="Cambria Math" w:cs="Arial"/>
                  </w:rPr>
                  <m:t>k=0</m:t>
                </w:ins>
              </m:r>
            </m:sub>
            <m:sup>
              <m:r>
                <w:ins w:id="69" w:author="Author">
                  <w:rPr>
                    <w:rFonts w:ascii="Cambria Math" w:hAnsi="Cambria Math" w:cs="Arial"/>
                  </w:rPr>
                  <m:t>K</m:t>
                </w:ins>
              </m:r>
            </m:sup>
            <m:e>
              <m:nary>
                <m:naryPr>
                  <m:chr m:val="∑"/>
                  <m:limLoc m:val="undOvr"/>
                  <m:ctrlPr>
                    <w:ins w:id="70" w:author="Author">
                      <w:rPr>
                        <w:rFonts w:ascii="Cambria Math" w:hAnsi="Cambria Math" w:cs="Arial"/>
                        <w:i/>
                      </w:rPr>
                    </w:ins>
                  </m:ctrlPr>
                </m:naryPr>
                <m:sub>
                  <m:r>
                    <w:ins w:id="71" w:author="Author">
                      <w:rPr>
                        <w:rFonts w:ascii="Cambria Math" w:hAnsi="Cambria Math" w:cs="Arial"/>
                      </w:rPr>
                      <m:t>m=1</m:t>
                    </w:ins>
                  </m:r>
                </m:sub>
                <m:sup>
                  <m:r>
                    <w:ins w:id="72" w:author="Author">
                      <w:rPr>
                        <w:rFonts w:ascii="Cambria Math" w:hAnsi="Cambria Math" w:cs="Arial"/>
                      </w:rPr>
                      <m:t>M</m:t>
                    </w:ins>
                  </m:r>
                </m:sup>
                <m:e>
                  <m:nary>
                    <m:naryPr>
                      <m:chr m:val="∑"/>
                      <m:limLoc m:val="undOvr"/>
                      <m:ctrlPr>
                        <w:ins w:id="73" w:author="Author">
                          <w:rPr>
                            <w:rFonts w:ascii="Cambria Math" w:hAnsi="Cambria Math" w:cs="Arial"/>
                            <w:i/>
                          </w:rPr>
                        </w:ins>
                      </m:ctrlPr>
                    </m:naryPr>
                    <m:sub>
                      <m:r>
                        <w:ins w:id="74" w:author="Author">
                          <w:rPr>
                            <w:rFonts w:ascii="Cambria Math" w:hAnsi="Cambria Math" w:cs="Arial"/>
                          </w:rPr>
                          <m:t>j=1</m:t>
                        </w:ins>
                      </m:r>
                    </m:sub>
                    <m:sup>
                      <m:sSub>
                        <m:sSubPr>
                          <m:ctrlPr>
                            <w:ins w:id="75" w:author="Author">
                              <w:rPr>
                                <w:rFonts w:ascii="Cambria Math" w:hAnsi="Cambria Math" w:cs="Arial"/>
                                <w:i/>
                              </w:rPr>
                            </w:ins>
                          </m:ctrlPr>
                        </m:sSubPr>
                        <m:e>
                          <m:r>
                            <w:ins w:id="76" w:author="Author">
                              <w:rPr>
                                <w:rFonts w:ascii="Cambria Math" w:hAnsi="Cambria Math" w:cs="Arial"/>
                              </w:rPr>
                              <m:t>J</m:t>
                            </w:ins>
                          </m:r>
                        </m:e>
                        <m:sub>
                          <m:r>
                            <w:ins w:id="77" w:author="Author">
                              <w:rPr>
                                <w:rFonts w:ascii="Cambria Math" w:hAnsi="Cambria Math" w:cs="Arial"/>
                              </w:rPr>
                              <m:t>m</m:t>
                            </w:ins>
                          </m:r>
                        </m:sub>
                      </m:sSub>
                    </m:sup>
                    <m:e>
                      <m:sSub>
                        <m:sSubPr>
                          <m:ctrlPr>
                            <w:ins w:id="78" w:author="Author">
                              <w:rPr>
                                <w:rFonts w:ascii="Cambria Math" w:hAnsi="Cambria Math" w:cs="Arial"/>
                                <w:i/>
                              </w:rPr>
                            </w:ins>
                          </m:ctrlPr>
                        </m:sSubPr>
                        <m:e>
                          <m:r>
                            <w:ins w:id="79" w:author="Author">
                              <w:rPr>
                                <w:rFonts w:ascii="Cambria Math" w:hAnsi="Cambria Math" w:cs="Arial"/>
                              </w:rPr>
                              <m:t>c</m:t>
                            </w:ins>
                          </m:r>
                        </m:e>
                        <m:sub>
                          <m:r>
                            <w:ins w:id="80" w:author="Author">
                              <w:rPr>
                                <w:rFonts w:ascii="Cambria Math" w:hAnsi="Cambria Math" w:cs="Arial"/>
                              </w:rPr>
                              <m:t>j,m</m:t>
                            </w:ins>
                          </m:r>
                        </m:sub>
                      </m:sSub>
                      <m:r>
                        <w:ins w:id="81" w:author="Author">
                          <w:rPr>
                            <w:rFonts w:ascii="Cambria Math" w:hAnsi="Cambria Math" w:cs="Arial"/>
                          </w:rPr>
                          <m:t xml:space="preserve"> </m:t>
                        </w:ins>
                      </m:r>
                      <m:sSubSup>
                        <m:sSubSupPr>
                          <m:ctrlPr>
                            <w:ins w:id="82" w:author="Author">
                              <w:rPr>
                                <w:rFonts w:ascii="Cambria Math" w:hAnsi="Cambria Math"/>
                                <w:i/>
                              </w:rPr>
                            </w:ins>
                          </m:ctrlPr>
                        </m:sSubSupPr>
                        <m:e>
                          <m:r>
                            <w:ins w:id="83" w:author="Author">
                              <w:rPr>
                                <w:rFonts w:ascii="Cambria Math" w:hAnsi="Cambria Math"/>
                              </w:rPr>
                              <m:t>PTDF</m:t>
                            </w:ins>
                          </m:r>
                        </m:e>
                        <m:sub>
                          <m:r>
                            <w:ins w:id="84" w:author="Author">
                              <w:rPr>
                                <w:rFonts w:ascii="Cambria Math" w:hAnsi="Cambria Math"/>
                              </w:rPr>
                              <m:t>i,j,m,k</m:t>
                            </w:ins>
                          </m:r>
                        </m:sub>
                        <m:sup>
                          <m:r>
                            <w:ins w:id="85" w:author="Author">
                              <w:rPr>
                                <w:rFonts w:ascii="Cambria Math" w:hAnsi="Cambria Math"/>
                              </w:rPr>
                              <m:t>(IRD)</m:t>
                            </w:ins>
                          </m:r>
                        </m:sup>
                      </m:sSubSup>
                      <m:r>
                        <w:ins w:id="86" w:author="Author">
                          <w:rPr>
                            <w:rFonts w:ascii="Cambria Math" w:hAnsi="Cambria Math" w:cs="Arial"/>
                          </w:rPr>
                          <m:t xml:space="preserve"> </m:t>
                        </w:ins>
                      </m:r>
                      <m:sSubSup>
                        <m:sSubSupPr>
                          <m:ctrlPr>
                            <w:ins w:id="87" w:author="Author">
                              <w:rPr>
                                <w:rFonts w:ascii="Cambria Math" w:hAnsi="Cambria Math"/>
                                <w:i/>
                              </w:rPr>
                            </w:ins>
                          </m:ctrlPr>
                        </m:sSubSupPr>
                        <m:e>
                          <m:r>
                            <w:ins w:id="88" w:author="Author">
                              <w:rPr>
                                <w:rFonts w:ascii="Cambria Math" w:hAnsi="Cambria Math"/>
                              </w:rPr>
                              <m:t>μ</m:t>
                            </w:ins>
                          </m:r>
                        </m:e>
                        <m:sub>
                          <m:r>
                            <w:ins w:id="89" w:author="Author">
                              <w:rPr>
                                <w:rFonts w:ascii="Cambria Math" w:hAnsi="Cambria Math"/>
                              </w:rPr>
                              <m:t>m,k</m:t>
                            </w:ins>
                          </m:r>
                        </m:sub>
                        <m:sup>
                          <m:r>
                            <w:ins w:id="90" w:author="Author">
                              <w:rPr>
                                <w:rFonts w:ascii="Cambria Math" w:hAnsi="Cambria Math"/>
                              </w:rPr>
                              <m:t>(IRD)</m:t>
                            </w:ins>
                          </m:r>
                        </m:sup>
                      </m:sSubSup>
                    </m:e>
                  </m:nary>
                </m:e>
              </m:nary>
            </m:e>
          </m:nary>
          <m:nary>
            <m:naryPr>
              <m:chr m:val="∑"/>
              <m:limLoc m:val="undOvr"/>
              <m:ctrlPr>
                <w:del w:id="91" w:author="Author">
                  <w:rPr>
                    <w:rFonts w:ascii="Cambria Math" w:hAnsi="Cambria Math" w:cs="Arial"/>
                    <w:i/>
                  </w:rPr>
                </w:del>
              </m:ctrlPr>
            </m:naryPr>
            <m:sub>
              <m:r>
                <w:del w:id="92" w:author="Author">
                  <w:rPr>
                    <w:rFonts w:ascii="Cambria Math" w:hAnsi="Cambria Math" w:cs="Arial"/>
                  </w:rPr>
                  <m:t>k=0</m:t>
                </w:del>
              </m:r>
            </m:sub>
            <m:sup>
              <m:r>
                <w:del w:id="93" w:author="Author">
                  <w:rPr>
                    <w:rFonts w:ascii="Cambria Math" w:hAnsi="Cambria Math" w:cs="Arial"/>
                  </w:rPr>
                  <m:t>K</m:t>
                </w:del>
              </m:r>
            </m:sup>
            <m:e>
              <m:nary>
                <m:naryPr>
                  <m:chr m:val="∑"/>
                  <m:limLoc m:val="undOvr"/>
                  <m:ctrlPr>
                    <w:del w:id="94" w:author="Author">
                      <w:rPr>
                        <w:rFonts w:ascii="Cambria Math" w:hAnsi="Cambria Math" w:cs="Arial"/>
                        <w:i/>
                      </w:rPr>
                    </w:del>
                  </m:ctrlPr>
                </m:naryPr>
                <m:sub>
                  <m:r>
                    <w:del w:id="95" w:author="Author">
                      <w:rPr>
                        <w:rFonts w:ascii="Cambria Math" w:hAnsi="Cambria Math" w:cs="Arial"/>
                      </w:rPr>
                      <m:t>m=1</m:t>
                    </w:del>
                  </m:r>
                </m:sub>
                <m:sup>
                  <m:r>
                    <w:del w:id="96" w:author="Author">
                      <w:rPr>
                        <w:rFonts w:ascii="Cambria Math" w:hAnsi="Cambria Math" w:cs="Arial"/>
                      </w:rPr>
                      <m:t>M</m:t>
                    </w:del>
                  </m:r>
                </m:sup>
                <m:e>
                  <m:nary>
                    <m:naryPr>
                      <m:chr m:val="∑"/>
                      <m:limLoc m:val="undOvr"/>
                      <m:ctrlPr>
                        <w:del w:id="97" w:author="Author">
                          <w:rPr>
                            <w:rFonts w:ascii="Cambria Math" w:hAnsi="Cambria Math" w:cs="Arial"/>
                            <w:i/>
                          </w:rPr>
                        </w:del>
                      </m:ctrlPr>
                    </m:naryPr>
                    <m:sub>
                      <m:r>
                        <w:del w:id="98" w:author="Author">
                          <w:rPr>
                            <w:rFonts w:ascii="Cambria Math" w:hAnsi="Cambria Math" w:cs="Arial"/>
                          </w:rPr>
                          <m:t>j=1</m:t>
                        </w:del>
                      </m:r>
                    </m:sub>
                    <m:sup>
                      <m:sSub>
                        <m:sSubPr>
                          <m:ctrlPr>
                            <w:del w:id="99" w:author="Author">
                              <w:rPr>
                                <w:rFonts w:ascii="Cambria Math" w:hAnsi="Cambria Math" w:cs="Arial"/>
                                <w:i/>
                              </w:rPr>
                            </w:del>
                          </m:ctrlPr>
                        </m:sSubPr>
                        <m:e>
                          <m:r>
                            <w:del w:id="100" w:author="Author">
                              <w:rPr>
                                <w:rFonts w:ascii="Cambria Math" w:hAnsi="Cambria Math" w:cs="Arial"/>
                              </w:rPr>
                              <m:t>J</m:t>
                            </w:del>
                          </m:r>
                        </m:e>
                        <m:sub>
                          <m:r>
                            <w:del w:id="101" w:author="Author">
                              <w:rPr>
                                <w:rFonts w:ascii="Cambria Math" w:hAnsi="Cambria Math" w:cs="Arial"/>
                              </w:rPr>
                              <m:t>m</m:t>
                            </w:del>
                          </m:r>
                        </m:sub>
                      </m:sSub>
                    </m:sup>
                    <m:e>
                      <m:sSub>
                        <m:sSubPr>
                          <m:ctrlPr>
                            <w:del w:id="102" w:author="Author">
                              <w:rPr>
                                <w:rFonts w:ascii="Cambria Math" w:hAnsi="Cambria Math" w:cs="Arial"/>
                                <w:i/>
                              </w:rPr>
                            </w:del>
                          </m:ctrlPr>
                        </m:sSubPr>
                        <m:e>
                          <m:r>
                            <w:del w:id="103" w:author="Author">
                              <w:rPr>
                                <w:rFonts w:ascii="Cambria Math" w:hAnsi="Cambria Math" w:cs="Arial"/>
                              </w:rPr>
                              <m:t>c</m:t>
                            </w:del>
                          </m:r>
                        </m:e>
                        <m:sub>
                          <m:r>
                            <w:del w:id="104" w:author="Author">
                              <w:rPr>
                                <w:rFonts w:ascii="Cambria Math" w:hAnsi="Cambria Math" w:cs="Arial"/>
                              </w:rPr>
                              <m:t>j,m</m:t>
                            </w:del>
                          </m:r>
                        </m:sub>
                      </m:sSub>
                      <m:r>
                        <w:del w:id="105" w:author="Author">
                          <w:rPr>
                            <w:rFonts w:ascii="Cambria Math" w:hAnsi="Cambria Math" w:cs="Arial"/>
                          </w:rPr>
                          <m:t xml:space="preserve"> </m:t>
                        </w:del>
                      </m:r>
                      <m:sSub>
                        <m:sSubPr>
                          <m:ctrlPr>
                            <w:del w:id="106" w:author="Author">
                              <w:rPr>
                                <w:rFonts w:ascii="Cambria Math" w:hAnsi="Cambria Math" w:cs="Arial"/>
                                <w:i/>
                              </w:rPr>
                            </w:del>
                          </m:ctrlPr>
                        </m:sSubPr>
                        <m:e>
                          <m:r>
                            <w:del w:id="107" w:author="Author">
                              <w:rPr>
                                <w:rFonts w:ascii="Cambria Math" w:hAnsi="Cambria Math" w:cs="Arial"/>
                              </w:rPr>
                              <m:t>PTDF</m:t>
                            </w:del>
                          </m:r>
                        </m:e>
                        <m:sub>
                          <m:r>
                            <w:del w:id="108" w:author="Author">
                              <w:rPr>
                                <w:rFonts w:ascii="Cambria Math" w:hAnsi="Cambria Math" w:cs="Arial"/>
                              </w:rPr>
                              <m:t>i,j,k</m:t>
                            </w:del>
                          </m:r>
                        </m:sub>
                      </m:sSub>
                      <m:r>
                        <w:del w:id="109" w:author="Author">
                          <w:rPr>
                            <w:rFonts w:ascii="Cambria Math" w:hAnsi="Cambria Math" w:cs="Arial"/>
                          </w:rPr>
                          <m:t xml:space="preserve"> </m:t>
                        </w:del>
                      </m:r>
                      <m:sSub>
                        <m:sSubPr>
                          <m:ctrlPr>
                            <w:del w:id="110" w:author="Author">
                              <w:rPr>
                                <w:rFonts w:ascii="Cambria Math" w:hAnsi="Cambria Math" w:cs="Arial"/>
                                <w:i/>
                              </w:rPr>
                            </w:del>
                          </m:ctrlPr>
                        </m:sSubPr>
                        <m:e>
                          <m:r>
                            <w:del w:id="111" w:author="Author">
                              <w:rPr>
                                <w:rFonts w:ascii="Cambria Math" w:hAnsi="Cambria Math" w:cs="Arial"/>
                              </w:rPr>
                              <m:t>μ</m:t>
                            </w:del>
                          </m:r>
                        </m:e>
                        <m:sub>
                          <m:r>
                            <w:del w:id="112" w:author="Author">
                              <w:rPr>
                                <w:rFonts w:ascii="Cambria Math" w:hAnsi="Cambria Math" w:cs="Arial"/>
                              </w:rPr>
                              <m:t>m,k</m:t>
                            </w:del>
                          </m:r>
                        </m:sub>
                      </m:sSub>
                    </m:e>
                  </m:nary>
                </m:e>
              </m:nary>
            </m:e>
          </m:nary>
        </m:oMath>
      </m:oMathPara>
    </w:p>
    <w:p w14:paraId="3C4EDE5B" w14:textId="0D499241" w:rsidR="003B0958" w:rsidRDefault="00264421" w:rsidP="003B0958">
      <w:del w:id="113" w:author="Author">
        <w:r w:rsidDel="00F3073F">
          <w:delText>where</w:delText>
        </w:r>
      </w:del>
      <w:ins w:id="114" w:author="Author">
        <w:r w:rsidR="00F3073F">
          <w:t>Where</w:t>
        </w:r>
      </w:ins>
      <w:r>
        <w:t>:</w:t>
      </w:r>
    </w:p>
    <w:p w14:paraId="38B521A0" w14:textId="7BF3EC65"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i</w:t>
      </w:r>
      <w:r w:rsidRPr="00277577">
        <w:rPr>
          <w:color w:val="000000"/>
        </w:rPr>
        <w:t xml:space="preserve"> </w:t>
      </w:r>
      <w:r>
        <w:rPr>
          <w:rFonts w:cs="Arial"/>
          <w:color w:val="000000"/>
          <w:szCs w:val="20"/>
        </w:rPr>
        <w:t xml:space="preserve">is </w:t>
      </w:r>
      <w:r w:rsidR="00776465">
        <w:rPr>
          <w:rFonts w:cs="Arial"/>
          <w:color w:val="000000"/>
          <w:szCs w:val="20"/>
        </w:rPr>
        <w:t>th</w:t>
      </w:r>
      <w:r w:rsidR="00776465" w:rsidRPr="009F61EA">
        <w:rPr>
          <w:rFonts w:cs="Arial"/>
          <w:color w:val="000000"/>
          <w:szCs w:val="20"/>
        </w:rPr>
        <w:t xml:space="preserve">e </w:t>
      </w:r>
      <w:r w:rsidR="0095207B" w:rsidRPr="009F61EA">
        <w:rPr>
          <w:color w:val="000000"/>
        </w:rPr>
        <w:t>P</w:t>
      </w:r>
      <w:ins w:id="115" w:author="Author">
        <w:r w:rsidR="004F1B2E" w:rsidRPr="009F61EA">
          <w:rPr>
            <w:rFonts w:cs="Arial"/>
            <w:color w:val="000000"/>
            <w:szCs w:val="20"/>
          </w:rPr>
          <w:t>n</w:t>
        </w:r>
      </w:ins>
      <w:del w:id="116" w:author="Author">
        <w:r w:rsidR="0095207B" w:rsidRPr="009F61EA">
          <w:rPr>
            <w:rFonts w:cs="Arial"/>
            <w:color w:val="000000"/>
            <w:szCs w:val="20"/>
          </w:rPr>
          <w:delText>N</w:delText>
        </w:r>
      </w:del>
      <w:r w:rsidR="0095207B" w:rsidRPr="009F61EA">
        <w:rPr>
          <w:rFonts w:cs="Arial"/>
          <w:color w:val="000000"/>
          <w:szCs w:val="20"/>
        </w:rPr>
        <w:t xml:space="preserve">ode </w:t>
      </w:r>
      <w:r w:rsidRPr="009F61EA">
        <w:rPr>
          <w:rFonts w:cs="Arial"/>
          <w:color w:val="000000"/>
          <w:szCs w:val="20"/>
        </w:rPr>
        <w:t>i</w:t>
      </w:r>
      <w:r>
        <w:rPr>
          <w:rFonts w:cs="Arial"/>
          <w:color w:val="000000"/>
          <w:szCs w:val="20"/>
        </w:rPr>
        <w:t>ndex.</w:t>
      </w:r>
    </w:p>
    <w:p w14:paraId="17D7C56E" w14:textId="77777777"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r>
        <w:rPr>
          <w:rFonts w:ascii="Times New Roman" w:hAnsi="Times New Roman" w:cs="Times New Roman"/>
          <w:i/>
          <w:color w:val="000000"/>
          <w:szCs w:val="20"/>
        </w:rPr>
        <w:t>m</w:t>
      </w:r>
      <w:r w:rsidRPr="00277577">
        <w:rPr>
          <w:color w:val="000000"/>
        </w:rPr>
        <w:t xml:space="preserve"> </w:t>
      </w:r>
      <w:r>
        <w:rPr>
          <w:rFonts w:cs="Arial"/>
          <w:color w:val="000000"/>
          <w:szCs w:val="20"/>
        </w:rPr>
        <w:t xml:space="preserve">is the </w:t>
      </w:r>
      <w:r w:rsidR="00916714">
        <w:rPr>
          <w:rFonts w:cs="Arial"/>
          <w:color w:val="000000"/>
          <w:szCs w:val="20"/>
        </w:rPr>
        <w:t xml:space="preserve">Transmission Constraint </w:t>
      </w:r>
      <w:r>
        <w:rPr>
          <w:rFonts w:cs="Arial"/>
          <w:color w:val="000000"/>
          <w:szCs w:val="20"/>
        </w:rPr>
        <w:t>index</w:t>
      </w:r>
      <w:r w:rsidR="00B57704">
        <w:rPr>
          <w:rFonts w:cs="Arial"/>
          <w:color w:val="000000"/>
          <w:szCs w:val="20"/>
        </w:rPr>
        <w:t xml:space="preserve"> in the Market Area; transmission constraints outside the Market Area are not enforced</w:t>
      </w:r>
      <w:r>
        <w:rPr>
          <w:rFonts w:cs="Arial"/>
          <w:color w:val="000000"/>
          <w:szCs w:val="20"/>
        </w:rPr>
        <w:t>.</w:t>
      </w:r>
    </w:p>
    <w:p w14:paraId="4BBDB951" w14:textId="77777777"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k</w:t>
      </w:r>
      <w:r w:rsidRPr="00277577">
        <w:rPr>
          <w:color w:val="000000"/>
        </w:rPr>
        <w:t xml:space="preserve"> </w:t>
      </w:r>
      <w:r>
        <w:rPr>
          <w:rFonts w:cs="Arial"/>
          <w:color w:val="000000"/>
          <w:szCs w:val="20"/>
        </w:rPr>
        <w:t>is the</w:t>
      </w:r>
      <w:r w:rsidR="00396559">
        <w:rPr>
          <w:rFonts w:cs="Arial"/>
          <w:color w:val="000000"/>
          <w:szCs w:val="20"/>
        </w:rPr>
        <w:t xml:space="preserve"> constraint case index;</w:t>
      </w:r>
      <w:r>
        <w:rPr>
          <w:rFonts w:cs="Arial"/>
          <w:color w:val="000000"/>
          <w:szCs w:val="20"/>
        </w:rPr>
        <w:t xml:space="preserve"> </w:t>
      </w:r>
      <w:r w:rsidR="00396559">
        <w:rPr>
          <w:rFonts w:cs="Arial"/>
          <w:color w:val="000000"/>
          <w:szCs w:val="20"/>
        </w:rPr>
        <w:t>zero (0) indicates the base case</w:t>
      </w:r>
      <w:r w:rsidR="00C02934">
        <w:rPr>
          <w:rFonts w:cs="Arial"/>
          <w:color w:val="000000"/>
          <w:szCs w:val="20"/>
        </w:rPr>
        <w:t xml:space="preserve"> where all transmission </w:t>
      </w:r>
      <w:r w:rsidR="00D0412F">
        <w:rPr>
          <w:rFonts w:cs="Arial"/>
          <w:color w:val="000000"/>
          <w:szCs w:val="20"/>
        </w:rPr>
        <w:t xml:space="preserve">and generation </w:t>
      </w:r>
      <w:r w:rsidR="00C02934">
        <w:rPr>
          <w:rFonts w:cs="Arial"/>
          <w:color w:val="000000"/>
          <w:szCs w:val="20"/>
        </w:rPr>
        <w:t>facilities are in service</w:t>
      </w:r>
      <w:r w:rsidR="00396559">
        <w:rPr>
          <w:rFonts w:cs="Arial"/>
          <w:color w:val="000000"/>
          <w:szCs w:val="20"/>
        </w:rPr>
        <w:t xml:space="preserve">, whereas a positive case indicates a </w:t>
      </w:r>
      <w:r w:rsidRPr="00941AB8">
        <w:rPr>
          <w:rFonts w:cs="Arial"/>
          <w:color w:val="000000"/>
          <w:szCs w:val="20"/>
        </w:rPr>
        <w:t xml:space="preserve">preventive </w:t>
      </w:r>
      <w:r w:rsidR="00396559">
        <w:rPr>
          <w:rFonts w:cs="Arial"/>
          <w:color w:val="000000"/>
          <w:szCs w:val="20"/>
        </w:rPr>
        <w:t xml:space="preserve">transmission or generation </w:t>
      </w:r>
      <w:r>
        <w:rPr>
          <w:rFonts w:cs="Arial"/>
          <w:color w:val="000000"/>
          <w:szCs w:val="20"/>
        </w:rPr>
        <w:t>contingency case</w:t>
      </w:r>
      <w:r w:rsidR="00396559">
        <w:rPr>
          <w:rFonts w:cs="Arial"/>
          <w:color w:val="000000"/>
          <w:szCs w:val="20"/>
        </w:rPr>
        <w:t xml:space="preserve">, </w:t>
      </w:r>
      <w:del w:id="117" w:author="Author">
        <w:r w:rsidR="00396559">
          <w:rPr>
            <w:rFonts w:cs="Arial"/>
            <w:color w:val="000000"/>
            <w:szCs w:val="20"/>
          </w:rPr>
          <w:delText xml:space="preserve">or a deployment scenario for Uncertainty Awards, </w:delText>
        </w:r>
      </w:del>
      <w:r w:rsidR="00396559">
        <w:rPr>
          <w:rFonts w:cs="Arial"/>
          <w:color w:val="000000"/>
          <w:szCs w:val="20"/>
        </w:rPr>
        <w:t>as applicable</w:t>
      </w:r>
      <w:r>
        <w:rPr>
          <w:rFonts w:cs="Arial"/>
          <w:color w:val="000000"/>
          <w:szCs w:val="20"/>
        </w:rPr>
        <w:t>.</w:t>
      </w:r>
    </w:p>
    <w:p w14:paraId="487B46A5" w14:textId="77777777" w:rsidR="00B6337B" w:rsidRDefault="00264421" w:rsidP="00B6337B">
      <w:pPr>
        <w:tabs>
          <w:tab w:val="left" w:pos="720"/>
        </w:tabs>
        <w:autoSpaceDE w:val="0"/>
        <w:autoSpaceDN w:val="0"/>
        <w:adjustRightInd w:val="0"/>
        <w:ind w:left="1440" w:hanging="720"/>
        <w:rPr>
          <w:rFonts w:cs="Arial"/>
          <w:szCs w:val="20"/>
        </w:rPr>
      </w:pPr>
      <w:r>
        <w:rPr>
          <w:rFonts w:ascii="Symbol" w:hAnsi="Symbol" w:cs="Symbol"/>
          <w:color w:val="000000"/>
          <w:szCs w:val="20"/>
        </w:rPr>
        <w:lastRenderedPageBreak/>
        <w:sym w:font="Symbol" w:char="F0B7"/>
      </w:r>
      <w:r>
        <w:rPr>
          <w:rFonts w:ascii="Symbol" w:hAnsi="Symbol" w:cs="Symbol"/>
          <w:color w:val="000000"/>
          <w:szCs w:val="20"/>
        </w:rPr>
        <w:tab/>
      </w:r>
      <w:r w:rsidRPr="0066792C">
        <w:rPr>
          <w:rFonts w:ascii="Times" w:hAnsi="Times" w:cs="Times New Roman"/>
          <w:i/>
          <w:color w:val="000000"/>
          <w:szCs w:val="20"/>
        </w:rPr>
        <w:t>j</w:t>
      </w:r>
      <w:r w:rsidRPr="00277577">
        <w:rPr>
          <w:color w:val="000000"/>
        </w:rPr>
        <w:t xml:space="preserve"> </w:t>
      </w:r>
      <w:r>
        <w:rPr>
          <w:rFonts w:cs="Arial"/>
          <w:szCs w:val="20"/>
        </w:rPr>
        <w:t xml:space="preserve">is the transmission component index of Transmission Constraint </w:t>
      </w:r>
      <w:r w:rsidRPr="0066792C">
        <w:rPr>
          <w:rFonts w:ascii="Times" w:hAnsi="Times" w:cs="Times New Roman"/>
          <w:i/>
          <w:color w:val="000000"/>
          <w:szCs w:val="20"/>
        </w:rPr>
        <w:t>m</w:t>
      </w:r>
      <w:r>
        <w:rPr>
          <w:rFonts w:cs="Arial"/>
          <w:szCs w:val="20"/>
        </w:rPr>
        <w:t xml:space="preserve">.  When Transmission Constraint </w:t>
      </w:r>
      <w:r>
        <w:rPr>
          <w:rFonts w:ascii="Times New Roman" w:hAnsi="Times New Roman" w:cs="Times New Roman"/>
          <w:i/>
          <w:szCs w:val="20"/>
        </w:rPr>
        <w:t>m</w:t>
      </w:r>
      <w:r>
        <w:rPr>
          <w:rFonts w:cs="Arial"/>
          <w:szCs w:val="20"/>
        </w:rPr>
        <w:t xml:space="preserve"> is a Nomogram, there can be more than one transmission </w:t>
      </w:r>
      <w:r w:rsidRPr="001A67E2">
        <w:rPr>
          <w:rFonts w:cs="Arial"/>
          <w:szCs w:val="20"/>
        </w:rPr>
        <w:t>component</w:t>
      </w:r>
      <w:r w:rsidR="00776465" w:rsidRPr="001A67E2">
        <w:rPr>
          <w:rFonts w:cs="Arial"/>
          <w:szCs w:val="20"/>
        </w:rPr>
        <w:t>s i</w:t>
      </w:r>
      <w:r w:rsidR="00776465">
        <w:rPr>
          <w:rFonts w:cs="Arial"/>
          <w:szCs w:val="20"/>
        </w:rPr>
        <w:t>n it; otherwise</w:t>
      </w:r>
      <w:r>
        <w:rPr>
          <w:rFonts w:cs="Arial"/>
          <w:szCs w:val="20"/>
        </w:rPr>
        <w:t xml:space="preserve">, there </w:t>
      </w:r>
      <w:r w:rsidR="00776465">
        <w:rPr>
          <w:rFonts w:cs="Arial"/>
          <w:szCs w:val="20"/>
        </w:rPr>
        <w:t>is</w:t>
      </w:r>
      <w:r>
        <w:rPr>
          <w:rFonts w:cs="Arial"/>
          <w:szCs w:val="20"/>
        </w:rPr>
        <w:t xml:space="preserve"> only one transmission component.</w:t>
      </w:r>
    </w:p>
    <w:p w14:paraId="3C520933" w14:textId="77777777"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K</w:t>
      </w:r>
      <w:r w:rsidRPr="00277577">
        <w:rPr>
          <w:color w:val="000000"/>
        </w:rPr>
        <w:t xml:space="preserve"> </w:t>
      </w:r>
      <w:r>
        <w:rPr>
          <w:rFonts w:cs="Arial"/>
          <w:color w:val="000000"/>
          <w:szCs w:val="20"/>
        </w:rPr>
        <w:t xml:space="preserve">is the number of </w:t>
      </w:r>
      <w:r w:rsidR="00396559">
        <w:rPr>
          <w:rFonts w:cs="Arial"/>
          <w:color w:val="000000"/>
          <w:szCs w:val="20"/>
        </w:rPr>
        <w:t>constraint cases</w:t>
      </w:r>
      <w:r w:rsidR="00945A1F">
        <w:rPr>
          <w:rFonts w:cs="Arial"/>
          <w:color w:val="000000"/>
          <w:szCs w:val="20"/>
        </w:rPr>
        <w:t xml:space="preserve">, besides </w:t>
      </w:r>
      <w:r w:rsidR="00945A1F" w:rsidRPr="001A67E2">
        <w:rPr>
          <w:rFonts w:cs="Arial"/>
          <w:color w:val="000000"/>
          <w:szCs w:val="20"/>
        </w:rPr>
        <w:t>the base case</w:t>
      </w:r>
      <w:r w:rsidRPr="001A67E2">
        <w:rPr>
          <w:rFonts w:cs="Arial"/>
          <w:color w:val="000000"/>
          <w:szCs w:val="20"/>
        </w:rPr>
        <w:t>.</w:t>
      </w:r>
      <w:del w:id="118" w:author="Author">
        <w:r>
          <w:rPr>
            <w:rFonts w:cs="Arial"/>
            <w:color w:val="000000"/>
            <w:szCs w:val="20"/>
          </w:rPr>
          <w:delText xml:space="preserve"> </w:delText>
        </w:r>
      </w:del>
    </w:p>
    <w:p w14:paraId="3237BA87" w14:textId="2668A9B3"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r w:rsidR="0023017A" w:rsidRPr="00277577">
        <w:rPr>
          <w:rFonts w:ascii="Times" w:hAnsi="Times"/>
          <w:i/>
          <w:color w:val="000000"/>
        </w:rPr>
        <w:t>M</w:t>
      </w:r>
      <w:r w:rsidR="0023017A" w:rsidRPr="00277577">
        <w:rPr>
          <w:color w:val="000000"/>
        </w:rPr>
        <w:t xml:space="preserve"> </w:t>
      </w:r>
      <w:r>
        <w:rPr>
          <w:rFonts w:cs="Arial"/>
          <w:color w:val="000000"/>
          <w:szCs w:val="20"/>
        </w:rPr>
        <w:t xml:space="preserve">is the number of </w:t>
      </w:r>
      <w:r w:rsidR="00916714">
        <w:rPr>
          <w:rFonts w:cs="Arial"/>
          <w:color w:val="000000"/>
          <w:szCs w:val="20"/>
        </w:rPr>
        <w:t>Transmission Constraints</w:t>
      </w:r>
      <w:r>
        <w:rPr>
          <w:rFonts w:cs="Arial"/>
          <w:color w:val="000000"/>
          <w:szCs w:val="20"/>
        </w:rPr>
        <w:t>.</w:t>
      </w:r>
      <w:del w:id="119" w:author="Author">
        <w:r w:rsidDel="00F3073F">
          <w:rPr>
            <w:rFonts w:cs="Arial"/>
            <w:color w:val="000000"/>
            <w:szCs w:val="20"/>
          </w:rPr>
          <w:delText xml:space="preserve"> </w:delText>
        </w:r>
      </w:del>
    </w:p>
    <w:p w14:paraId="37A7F6A5" w14:textId="77777777" w:rsidR="00F3073F" w:rsidRDefault="00264421" w:rsidP="00B6337B">
      <w:pPr>
        <w:tabs>
          <w:tab w:val="left" w:pos="720"/>
        </w:tabs>
        <w:autoSpaceDE w:val="0"/>
        <w:autoSpaceDN w:val="0"/>
        <w:adjustRightInd w:val="0"/>
        <w:ind w:left="1440" w:hanging="720"/>
        <w:rPr>
          <w:ins w:id="120" w:author="Author"/>
          <w:rFonts w:cs="Arial"/>
          <w:color w:val="000000"/>
          <w:szCs w:val="20"/>
        </w:rPr>
      </w:pPr>
      <w:r>
        <w:rPr>
          <w:rFonts w:ascii="Symbol" w:hAnsi="Symbol" w:cs="Symbol"/>
          <w:color w:val="000000"/>
          <w:szCs w:val="20"/>
        </w:rPr>
        <w:sym w:font="Symbol" w:char="F0B7"/>
      </w:r>
      <w:r>
        <w:rPr>
          <w:rFonts w:ascii="Symbol" w:hAnsi="Symbol" w:cs="Symbol"/>
          <w:color w:val="000000"/>
          <w:szCs w:val="20"/>
        </w:rPr>
        <w:tab/>
      </w:r>
      <m:oMath>
        <m:sSub>
          <m:sSubPr>
            <m:ctrlPr>
              <w:rPr>
                <w:rFonts w:ascii="Cambria Math" w:hAnsi="Cambria Math" w:cs="Arial"/>
                <w:i/>
              </w:rPr>
            </m:ctrlPr>
          </m:sSubPr>
          <m:e>
            <m:r>
              <w:rPr>
                <w:rFonts w:ascii="Cambria Math" w:hAnsi="Cambria Math" w:cs="Arial"/>
              </w:rPr>
              <m:t>J</m:t>
            </m:r>
          </m:e>
          <m:sub>
            <m:r>
              <w:rPr>
                <w:rFonts w:ascii="Cambria Math" w:hAnsi="Cambria Math" w:cs="Arial"/>
              </w:rPr>
              <m:t>m</m:t>
            </m:r>
          </m:sub>
        </m:sSub>
      </m:oMath>
      <w:r w:rsidRPr="00277577">
        <w:rPr>
          <w:color w:val="000000"/>
        </w:rPr>
        <w:t xml:space="preserve"> </w:t>
      </w:r>
      <w:r>
        <w:rPr>
          <w:rFonts w:cs="Arial"/>
          <w:color w:val="000000"/>
          <w:szCs w:val="20"/>
        </w:rPr>
        <w:t xml:space="preserve">is the number of transmission components </w:t>
      </w:r>
      <w:r w:rsidR="00A4201F">
        <w:rPr>
          <w:rFonts w:cs="Arial"/>
          <w:color w:val="000000"/>
          <w:szCs w:val="20"/>
        </w:rPr>
        <w:t xml:space="preserve">of </w:t>
      </w:r>
      <w:r w:rsidR="00396559">
        <w:rPr>
          <w:rFonts w:cs="Arial"/>
          <w:color w:val="000000"/>
          <w:szCs w:val="20"/>
        </w:rPr>
        <w:t>Transmission C</w:t>
      </w:r>
      <w:r>
        <w:rPr>
          <w:rFonts w:cs="Arial"/>
          <w:color w:val="000000"/>
          <w:szCs w:val="20"/>
        </w:rPr>
        <w:t xml:space="preserve">onstraint </w:t>
      </w:r>
      <w:r w:rsidRPr="0066792C">
        <w:rPr>
          <w:rFonts w:ascii="Times" w:hAnsi="Times" w:cs="Times New Roman"/>
          <w:i/>
          <w:color w:val="000000"/>
          <w:szCs w:val="20"/>
        </w:rPr>
        <w:t>m</w:t>
      </w:r>
      <w:r>
        <w:rPr>
          <w:rFonts w:cs="Arial"/>
          <w:color w:val="000000"/>
          <w:szCs w:val="20"/>
        </w:rPr>
        <w:t>.</w:t>
      </w:r>
    </w:p>
    <w:p w14:paraId="33868895" w14:textId="393E6A95" w:rsidR="00B6337B" w:rsidRDefault="00264421" w:rsidP="00B6337B">
      <w:pPr>
        <w:tabs>
          <w:tab w:val="left" w:pos="720"/>
        </w:tabs>
        <w:autoSpaceDE w:val="0"/>
        <w:autoSpaceDN w:val="0"/>
        <w:adjustRightInd w:val="0"/>
        <w:ind w:left="1440" w:hanging="720"/>
        <w:rPr>
          <w:rFonts w:cs="Arial"/>
          <w:szCs w:val="20"/>
        </w:rPr>
      </w:pPr>
      <w:r>
        <w:rPr>
          <w:rFonts w:ascii="Symbol" w:hAnsi="Symbol" w:cs="Symbol"/>
          <w:color w:val="000000"/>
          <w:szCs w:val="20"/>
        </w:rPr>
        <w:sym w:font="Symbol" w:char="F0B7"/>
      </w:r>
      <w:r>
        <w:rPr>
          <w:rFonts w:ascii="Symbol" w:hAnsi="Symbol" w:cs="Symbol"/>
          <w:color w:val="000000"/>
          <w:szCs w:val="20"/>
        </w:rPr>
        <w:tab/>
      </w:r>
      <m:oMath>
        <m:sSub>
          <m:sSubPr>
            <m:ctrlPr>
              <w:ins w:id="121" w:author="Author">
                <w:rPr>
                  <w:rFonts w:ascii="Cambria Math" w:hAnsi="Cambria Math" w:cs="Arial"/>
                  <w:i/>
                </w:rPr>
              </w:ins>
            </m:ctrlPr>
          </m:sSubPr>
          <m:e>
            <m:r>
              <w:ins w:id="122" w:author="Author">
                <w:rPr>
                  <w:rFonts w:ascii="Cambria Math" w:hAnsi="Cambria Math" w:cs="Arial"/>
                </w:rPr>
                <m:t>PTDF</m:t>
              </w:ins>
            </m:r>
          </m:e>
          <m:sub>
            <m:r>
              <w:ins w:id="123" w:author="Author">
                <w:rPr>
                  <w:rFonts w:ascii="Cambria Math" w:hAnsi="Cambria Math" w:cs="Arial"/>
                </w:rPr>
                <m:t>i,j,m,k</m:t>
              </w:ins>
            </m:r>
          </m:sub>
        </m:sSub>
      </m:oMath>
      <w:ins w:id="124" w:author="Author">
        <w:r w:rsidR="0043230E">
          <w:rPr>
            <w:rFonts w:cs="Arial"/>
            <w:color w:val="000000"/>
            <w:szCs w:val="20"/>
          </w:rPr>
          <w:t xml:space="preserve">, </w:t>
        </w:r>
        <m:oMath>
          <m:sSubSup>
            <m:sSubSupPr>
              <m:ctrlPr>
                <w:rPr>
                  <w:rFonts w:ascii="Cambria Math" w:hAnsi="Cambria Math"/>
                  <w:i/>
                </w:rPr>
              </m:ctrlPr>
            </m:sSubSupPr>
            <m:e>
              <m:r>
                <w:rPr>
                  <w:rFonts w:ascii="Cambria Math" w:hAnsi="Cambria Math"/>
                </w:rPr>
                <m:t>PTDF</m:t>
              </m:r>
            </m:e>
            <m:sub>
              <m:r>
                <w:rPr>
                  <w:rFonts w:ascii="Cambria Math" w:hAnsi="Cambria Math"/>
                </w:rPr>
                <m:t>i,j,m,k</m:t>
              </m:r>
            </m:sub>
            <m:sup>
              <m:r>
                <w:rPr>
                  <w:rFonts w:ascii="Cambria Math" w:hAnsi="Cambria Math"/>
                </w:rPr>
                <m:t>(IRU)</m:t>
              </m:r>
            </m:sup>
          </m:sSubSup>
        </m:oMath>
        <w:r w:rsidR="0043230E">
          <w:rPr>
            <w:rFonts w:cs="Arial"/>
            <w:color w:val="000000"/>
            <w:szCs w:val="20"/>
          </w:rPr>
          <w:t xml:space="preserve">, and </w:t>
        </w:r>
        <m:oMath>
          <m:sSubSup>
            <m:sSubSupPr>
              <m:ctrlPr>
                <w:rPr>
                  <w:rFonts w:ascii="Cambria Math" w:hAnsi="Cambria Math"/>
                  <w:i/>
                </w:rPr>
              </m:ctrlPr>
            </m:sSubSupPr>
            <m:e>
              <m:r>
                <w:rPr>
                  <w:rFonts w:ascii="Cambria Math" w:hAnsi="Cambria Math"/>
                </w:rPr>
                <m:t>PTDF</m:t>
              </m:r>
            </m:e>
            <m:sub>
              <m:r>
                <w:rPr>
                  <w:rFonts w:ascii="Cambria Math" w:hAnsi="Cambria Math"/>
                </w:rPr>
                <m:t>i,j,m,k</m:t>
              </m:r>
            </m:sub>
            <m:sup>
              <m:r>
                <w:rPr>
                  <w:rFonts w:ascii="Cambria Math" w:hAnsi="Cambria Math"/>
                </w:rPr>
                <m:t>(IRD)</m:t>
              </m:r>
            </m:sup>
          </m:sSubSup>
        </m:oMath>
      </w:ins>
      <m:oMath>
        <m:sSub>
          <m:sSubPr>
            <m:ctrlPr>
              <w:del w:id="125" w:author="Author">
                <w:rPr>
                  <w:rFonts w:ascii="Cambria Math" w:hAnsi="Cambria Math" w:cs="Arial"/>
                  <w:i/>
                </w:rPr>
              </w:del>
            </m:ctrlPr>
          </m:sSubPr>
          <m:e>
            <m:r>
              <w:del w:id="126" w:author="Author">
                <w:rPr>
                  <w:rFonts w:ascii="Cambria Math" w:hAnsi="Cambria Math" w:cs="Arial"/>
                </w:rPr>
                <m:t>PTDF</m:t>
              </w:del>
            </m:r>
          </m:e>
          <m:sub>
            <m:r>
              <w:del w:id="127" w:author="Author">
                <w:rPr>
                  <w:rFonts w:ascii="Cambria Math" w:hAnsi="Cambria Math" w:cs="Arial"/>
                </w:rPr>
                <m:t>i,j,k</m:t>
              </w:del>
            </m:r>
          </m:sub>
        </m:sSub>
      </m:oMath>
      <w:r>
        <w:rPr>
          <w:rFonts w:cs="Arial"/>
          <w:color w:val="000000"/>
          <w:szCs w:val="20"/>
        </w:rPr>
        <w:t xml:space="preserve"> </w:t>
      </w:r>
      <w:r w:rsidR="00396559">
        <w:rPr>
          <w:rFonts w:cs="Arial"/>
          <w:color w:val="000000"/>
          <w:szCs w:val="20"/>
        </w:rPr>
        <w:t xml:space="preserve">is </w:t>
      </w:r>
      <w:r>
        <w:rPr>
          <w:rFonts w:cs="Arial"/>
          <w:color w:val="000000"/>
          <w:szCs w:val="20"/>
        </w:rPr>
        <w:t xml:space="preserve">the Power Transfer Distribution Factor </w:t>
      </w:r>
      <w:r w:rsidR="005455E7">
        <w:rPr>
          <w:rFonts w:cs="Arial"/>
          <w:color w:val="000000"/>
          <w:szCs w:val="20"/>
        </w:rPr>
        <w:t xml:space="preserve">(PTDF) </w:t>
      </w:r>
      <w:r>
        <w:rPr>
          <w:rFonts w:cs="Arial"/>
          <w:color w:val="000000"/>
          <w:szCs w:val="20"/>
        </w:rPr>
        <w:t xml:space="preserve">for </w:t>
      </w:r>
      <w:r w:rsidR="00396559">
        <w:rPr>
          <w:rFonts w:cs="Arial"/>
          <w:color w:val="000000"/>
          <w:szCs w:val="20"/>
        </w:rPr>
        <w:t>PNode</w:t>
      </w:r>
      <w:r>
        <w:rPr>
          <w:rFonts w:cs="Arial"/>
          <w:color w:val="000000"/>
          <w:szCs w:val="20"/>
        </w:rPr>
        <w:t xml:space="preserve"> </w:t>
      </w:r>
      <w:r w:rsidRPr="002C7CB9">
        <w:rPr>
          <w:rFonts w:ascii="Times New Roman" w:hAnsi="Times New Roman" w:cs="Times New Roman"/>
          <w:i/>
          <w:iCs/>
          <w:color w:val="000000"/>
          <w:szCs w:val="20"/>
        </w:rPr>
        <w:t>i</w:t>
      </w:r>
      <w:r>
        <w:rPr>
          <w:rFonts w:cs="Arial"/>
          <w:color w:val="000000"/>
          <w:szCs w:val="20"/>
        </w:rPr>
        <w:t xml:space="preserve"> on transmission component </w:t>
      </w:r>
      <w:r w:rsidRPr="0066792C">
        <w:rPr>
          <w:rFonts w:ascii="Times" w:hAnsi="Times" w:cs="Times New Roman"/>
          <w:i/>
          <w:color w:val="000000"/>
          <w:szCs w:val="20"/>
        </w:rPr>
        <w:t>j</w:t>
      </w:r>
      <w:r w:rsidRPr="002C7CB9">
        <w:rPr>
          <w:rFonts w:ascii="Times New Roman" w:hAnsi="Times New Roman" w:cs="Times New Roman"/>
          <w:i/>
          <w:color w:val="000000"/>
          <w:szCs w:val="20"/>
        </w:rPr>
        <w:t xml:space="preserve"> </w:t>
      </w:r>
      <w:r>
        <w:rPr>
          <w:rFonts w:cs="Arial"/>
          <w:color w:val="000000"/>
          <w:szCs w:val="20"/>
        </w:rPr>
        <w:t xml:space="preserve">of Transmission Constraint </w:t>
      </w:r>
      <w:r w:rsidR="00396559" w:rsidRPr="0066792C">
        <w:rPr>
          <w:rFonts w:ascii="Times" w:hAnsi="Times" w:cs="Times New Roman"/>
          <w:i/>
          <w:color w:val="000000"/>
          <w:szCs w:val="20"/>
        </w:rPr>
        <w:t>m</w:t>
      </w:r>
      <w:r w:rsidR="00396559">
        <w:rPr>
          <w:rFonts w:cs="Arial"/>
          <w:color w:val="000000"/>
          <w:szCs w:val="20"/>
        </w:rPr>
        <w:t xml:space="preserve"> </w:t>
      </w:r>
      <w:r w:rsidR="007929E6">
        <w:rPr>
          <w:rFonts w:cs="Arial"/>
          <w:color w:val="000000"/>
          <w:szCs w:val="20"/>
        </w:rPr>
        <w:t>in</w:t>
      </w:r>
      <w:r w:rsidR="007F2DD5">
        <w:rPr>
          <w:rFonts w:cs="Arial"/>
          <w:color w:val="000000"/>
          <w:szCs w:val="20"/>
        </w:rPr>
        <w:t xml:space="preserve"> constraint case </w:t>
      </w:r>
      <w:r w:rsidR="007F2DD5" w:rsidRPr="0066792C">
        <w:rPr>
          <w:rFonts w:ascii="Times" w:hAnsi="Times" w:cs="Times New Roman"/>
          <w:i/>
          <w:color w:val="000000"/>
          <w:szCs w:val="20"/>
        </w:rPr>
        <w:t>k</w:t>
      </w:r>
      <w:ins w:id="128" w:author="Author">
        <w:r w:rsidR="0043230E" w:rsidRPr="0043230E">
          <w:rPr>
            <w:rFonts w:cs="Arial"/>
            <w:color w:val="000000"/>
            <w:szCs w:val="20"/>
          </w:rPr>
          <w:t xml:space="preserve"> </w:t>
        </w:r>
        <w:r w:rsidR="00517719">
          <w:rPr>
            <w:rFonts w:cs="Arial"/>
            <w:color w:val="000000"/>
            <w:szCs w:val="20"/>
          </w:rPr>
          <w:t>in</w:t>
        </w:r>
        <w:r w:rsidR="0043230E">
          <w:rPr>
            <w:rFonts w:cs="Arial"/>
            <w:color w:val="000000"/>
            <w:szCs w:val="20"/>
          </w:rPr>
          <w:t xml:space="preserve"> the base, IRU deployment, or IRD deployment scenario, respectively</w:t>
        </w:r>
      </w:ins>
      <w:r w:rsidR="007F2DD5">
        <w:rPr>
          <w:rFonts w:cs="Arial"/>
          <w:color w:val="000000"/>
          <w:szCs w:val="20"/>
        </w:rPr>
        <w:t xml:space="preserve">; it </w:t>
      </w:r>
      <w:r w:rsidR="007929E6">
        <w:rPr>
          <w:rFonts w:cs="Arial"/>
          <w:color w:val="000000"/>
          <w:szCs w:val="20"/>
        </w:rPr>
        <w:t xml:space="preserve">is </w:t>
      </w:r>
      <w:r>
        <w:rPr>
          <w:rFonts w:cs="Arial"/>
          <w:color w:val="000000"/>
          <w:szCs w:val="20"/>
        </w:rPr>
        <w:t xml:space="preserve">the flow </w:t>
      </w:r>
      <w:r w:rsidR="007F2DD5">
        <w:rPr>
          <w:rFonts w:cs="Arial"/>
          <w:color w:val="000000"/>
          <w:szCs w:val="20"/>
        </w:rPr>
        <w:t xml:space="preserve">contribution on </w:t>
      </w:r>
      <w:r>
        <w:rPr>
          <w:rFonts w:cs="Arial"/>
          <w:color w:val="000000"/>
          <w:szCs w:val="20"/>
        </w:rPr>
        <w:t xml:space="preserve">that transmission component </w:t>
      </w:r>
      <w:r w:rsidRPr="0066792C">
        <w:rPr>
          <w:rFonts w:ascii="Times" w:hAnsi="Times" w:cs="Times New Roman"/>
          <w:i/>
          <w:color w:val="000000"/>
          <w:szCs w:val="20"/>
        </w:rPr>
        <w:t>j</w:t>
      </w:r>
      <w:r w:rsidRPr="002C7CB9">
        <w:rPr>
          <w:rFonts w:ascii="Times New Roman" w:hAnsi="Times New Roman" w:cs="Times New Roman"/>
          <w:i/>
          <w:color w:val="000000"/>
          <w:szCs w:val="20"/>
        </w:rPr>
        <w:t xml:space="preserve"> </w:t>
      </w:r>
      <w:r>
        <w:rPr>
          <w:rFonts w:cs="Arial"/>
          <w:color w:val="000000"/>
          <w:szCs w:val="20"/>
        </w:rPr>
        <w:t xml:space="preserve">when an increment of power is injected at </w:t>
      </w:r>
      <w:r w:rsidR="007F2DD5">
        <w:rPr>
          <w:rFonts w:cs="Arial"/>
          <w:color w:val="000000"/>
          <w:szCs w:val="20"/>
        </w:rPr>
        <w:t xml:space="preserve">PNode </w:t>
      </w:r>
      <w:r w:rsidRPr="0066792C">
        <w:rPr>
          <w:rFonts w:ascii="Times" w:hAnsi="Times" w:cs="Times New Roman"/>
          <w:i/>
          <w:color w:val="000000"/>
          <w:szCs w:val="20"/>
        </w:rPr>
        <w:t>i</w:t>
      </w:r>
      <w:r w:rsidRPr="00941AB8">
        <w:rPr>
          <w:rFonts w:ascii="Times New Roman" w:hAnsi="Times New Roman" w:cs="Times New Roman"/>
          <w:color w:val="000000"/>
          <w:szCs w:val="20"/>
        </w:rPr>
        <w:t xml:space="preserve"> </w:t>
      </w:r>
      <w:r>
        <w:rPr>
          <w:rFonts w:cs="Arial"/>
          <w:color w:val="000000"/>
          <w:szCs w:val="20"/>
        </w:rPr>
        <w:t xml:space="preserve">and an equivalent amount of power is withdrawn at the Reference Bus.  </w:t>
      </w:r>
      <w:r w:rsidR="007B6672">
        <w:rPr>
          <w:rFonts w:cs="Arial"/>
          <w:color w:val="000000"/>
          <w:szCs w:val="20"/>
        </w:rPr>
        <w:t xml:space="preserve">For </w:t>
      </w:r>
      <w:r w:rsidR="00B23DD9">
        <w:rPr>
          <w:rFonts w:cs="Arial"/>
          <w:color w:val="000000"/>
          <w:szCs w:val="20"/>
        </w:rPr>
        <w:t xml:space="preserve">Market Area </w:t>
      </w:r>
      <w:r w:rsidR="007B6672">
        <w:rPr>
          <w:rFonts w:cs="Arial"/>
          <w:color w:val="000000"/>
          <w:szCs w:val="20"/>
        </w:rPr>
        <w:t xml:space="preserve">Intertie </w:t>
      </w:r>
      <w:ins w:id="129" w:author="Author">
        <w:r w:rsidR="002A52B4">
          <w:rPr>
            <w:rFonts w:cs="Arial"/>
            <w:color w:val="000000"/>
            <w:szCs w:val="20"/>
          </w:rPr>
          <w:t>R</w:t>
        </w:r>
      </w:ins>
      <w:del w:id="130" w:author="Author">
        <w:r w:rsidR="00B23DD9">
          <w:rPr>
            <w:rFonts w:cs="Arial"/>
            <w:color w:val="000000"/>
            <w:szCs w:val="20"/>
          </w:rPr>
          <w:delText>r</w:delText>
        </w:r>
      </w:del>
      <w:r w:rsidR="007B6672">
        <w:rPr>
          <w:rFonts w:cs="Arial"/>
          <w:color w:val="000000"/>
          <w:szCs w:val="20"/>
        </w:rPr>
        <w:t xml:space="preserve">esources at a Scheduling Point, </w:t>
      </w:r>
      <w:r w:rsidR="00D5364E">
        <w:rPr>
          <w:rFonts w:cs="Arial"/>
          <w:color w:val="000000"/>
          <w:szCs w:val="20"/>
        </w:rPr>
        <w:t>and TSRs at a Transfer Location</w:t>
      </w:r>
      <w:r w:rsidR="007B6672">
        <w:rPr>
          <w:rFonts w:cs="Arial"/>
          <w:color w:val="000000"/>
          <w:szCs w:val="20"/>
        </w:rPr>
        <w:t xml:space="preserve">, the PTDF </w:t>
      </w:r>
      <w:r w:rsidR="007208B4" w:rsidRPr="001A67E2">
        <w:rPr>
          <w:rFonts w:cs="Arial"/>
          <w:color w:val="000000"/>
          <w:szCs w:val="20"/>
        </w:rPr>
        <w:t>to</w:t>
      </w:r>
      <w:r w:rsidR="007B6672" w:rsidRPr="001A67E2">
        <w:rPr>
          <w:rFonts w:cs="Arial"/>
          <w:color w:val="000000"/>
          <w:szCs w:val="20"/>
        </w:rPr>
        <w:t xml:space="preserve"> a</w:t>
      </w:r>
      <w:r w:rsidR="006C5234" w:rsidRPr="001A67E2">
        <w:rPr>
          <w:rFonts w:cs="Arial"/>
          <w:color w:val="000000"/>
          <w:szCs w:val="20"/>
        </w:rPr>
        <w:t xml:space="preserve">n </w:t>
      </w:r>
      <w:r w:rsidR="003E542B" w:rsidRPr="001A67E2">
        <w:rPr>
          <w:rFonts w:cs="Arial"/>
          <w:color w:val="000000"/>
          <w:szCs w:val="20"/>
        </w:rPr>
        <w:t>i</w:t>
      </w:r>
      <w:r w:rsidR="006C5234" w:rsidRPr="001A67E2">
        <w:rPr>
          <w:rFonts w:cs="Arial"/>
          <w:color w:val="000000"/>
          <w:szCs w:val="20"/>
        </w:rPr>
        <w:t xml:space="preserve">ntertie constraint or </w:t>
      </w:r>
      <w:r w:rsidR="003E542B" w:rsidRPr="001A67E2">
        <w:rPr>
          <w:rFonts w:cs="Arial"/>
          <w:color w:val="000000"/>
          <w:szCs w:val="20"/>
        </w:rPr>
        <w:t>i</w:t>
      </w:r>
      <w:r w:rsidR="006C5234" w:rsidRPr="001A67E2">
        <w:rPr>
          <w:rFonts w:cs="Arial"/>
          <w:color w:val="000000"/>
          <w:szCs w:val="20"/>
        </w:rPr>
        <w:t>ntertie</w:t>
      </w:r>
      <w:r w:rsidR="007B6672" w:rsidRPr="001A67E2">
        <w:rPr>
          <w:rFonts w:cs="Arial"/>
          <w:color w:val="000000"/>
          <w:szCs w:val="20"/>
        </w:rPr>
        <w:t xml:space="preserve"> scheduling limit</w:t>
      </w:r>
      <w:r w:rsidR="007208B4" w:rsidRPr="001A67E2">
        <w:rPr>
          <w:rFonts w:cs="Arial"/>
          <w:color w:val="000000"/>
          <w:szCs w:val="20"/>
        </w:rPr>
        <w:t xml:space="preserve"> at that Scheduling Point is +1 for </w:t>
      </w:r>
      <w:r w:rsidR="006C5234" w:rsidRPr="001A67E2">
        <w:rPr>
          <w:rFonts w:cs="Arial"/>
          <w:color w:val="000000"/>
          <w:szCs w:val="20"/>
        </w:rPr>
        <w:t xml:space="preserve">an </w:t>
      </w:r>
      <w:r w:rsidR="007208B4" w:rsidRPr="001A67E2">
        <w:rPr>
          <w:rFonts w:cs="Arial"/>
          <w:color w:val="000000"/>
          <w:szCs w:val="20"/>
        </w:rPr>
        <w:t xml:space="preserve">import and –1 for </w:t>
      </w:r>
      <w:r w:rsidR="006C5234" w:rsidRPr="001A67E2">
        <w:rPr>
          <w:rFonts w:cs="Arial"/>
          <w:color w:val="000000"/>
          <w:szCs w:val="20"/>
        </w:rPr>
        <w:t xml:space="preserve">an </w:t>
      </w:r>
      <w:r w:rsidR="007208B4" w:rsidRPr="001A67E2">
        <w:rPr>
          <w:rFonts w:cs="Arial"/>
          <w:color w:val="000000"/>
          <w:szCs w:val="20"/>
        </w:rPr>
        <w:t xml:space="preserve">export. </w:t>
      </w:r>
      <w:r w:rsidR="006C5234" w:rsidRPr="001A67E2">
        <w:rPr>
          <w:rFonts w:cs="Arial"/>
          <w:color w:val="000000"/>
          <w:szCs w:val="20"/>
        </w:rPr>
        <w:t xml:space="preserve"> </w:t>
      </w:r>
      <w:r w:rsidRPr="001A67E2">
        <w:rPr>
          <w:rFonts w:cs="Arial"/>
          <w:color w:val="000000"/>
          <w:szCs w:val="20"/>
        </w:rPr>
        <w:t xml:space="preserve">The CAISO does not consider the effect of </w:t>
      </w:r>
      <w:r w:rsidR="00D57EF6" w:rsidRPr="001A67E2">
        <w:rPr>
          <w:rFonts w:cs="Arial"/>
          <w:color w:val="000000"/>
          <w:szCs w:val="20"/>
        </w:rPr>
        <w:t>T</w:t>
      </w:r>
      <w:r w:rsidR="007F2DD5" w:rsidRPr="001A67E2">
        <w:rPr>
          <w:rFonts w:cs="Arial"/>
          <w:color w:val="000000"/>
          <w:szCs w:val="20"/>
        </w:rPr>
        <w:t xml:space="preserve">ransmission </w:t>
      </w:r>
      <w:r w:rsidR="00D57EF6" w:rsidRPr="001A67E2">
        <w:rPr>
          <w:rFonts w:cs="Arial"/>
          <w:color w:val="000000"/>
          <w:szCs w:val="20"/>
        </w:rPr>
        <w:t>L</w:t>
      </w:r>
      <w:r w:rsidRPr="001A67E2">
        <w:rPr>
          <w:rFonts w:cs="Arial"/>
          <w:color w:val="000000"/>
          <w:szCs w:val="20"/>
        </w:rPr>
        <w:t xml:space="preserve">osses in the </w:t>
      </w:r>
      <w:r w:rsidR="007F2DD5" w:rsidRPr="001A67E2">
        <w:rPr>
          <w:rFonts w:cs="Arial"/>
          <w:color w:val="000000"/>
          <w:szCs w:val="20"/>
        </w:rPr>
        <w:t xml:space="preserve">calculation </w:t>
      </w:r>
      <w:r w:rsidRPr="001A67E2">
        <w:rPr>
          <w:rFonts w:cs="Arial"/>
          <w:color w:val="000000"/>
          <w:szCs w:val="20"/>
        </w:rPr>
        <w:t>of PTDFs</w:t>
      </w:r>
      <w:r w:rsidR="0099791D" w:rsidRPr="001A67E2">
        <w:rPr>
          <w:rFonts w:cs="Arial"/>
          <w:color w:val="000000"/>
          <w:szCs w:val="20"/>
        </w:rPr>
        <w:t>; they depend only on the network configuration</w:t>
      </w:r>
      <w:r w:rsidRPr="001A67E2">
        <w:rPr>
          <w:rFonts w:cs="Arial"/>
          <w:color w:val="000000"/>
          <w:szCs w:val="20"/>
        </w:rPr>
        <w:t>.</w:t>
      </w:r>
      <w:r w:rsidR="0099791D" w:rsidRPr="001A67E2">
        <w:rPr>
          <w:rFonts w:cs="Arial"/>
          <w:color w:val="000000"/>
          <w:szCs w:val="20"/>
        </w:rPr>
        <w:t xml:space="preserve"> Furthermore, the difference between the PTDFs at two PNodes with respect to any binding Transmission Constraint, </w:t>
      </w:r>
      <w:r w:rsidR="006C5234" w:rsidRPr="001A67E2">
        <w:rPr>
          <w:rFonts w:cs="Arial"/>
          <w:color w:val="000000"/>
          <w:szCs w:val="20"/>
        </w:rPr>
        <w:t xml:space="preserve">and </w:t>
      </w:r>
      <w:r w:rsidR="0099791D" w:rsidRPr="001A67E2">
        <w:rPr>
          <w:rFonts w:cs="Arial"/>
          <w:color w:val="000000"/>
          <w:szCs w:val="20"/>
        </w:rPr>
        <w:t>thus the difference between the MC</w:t>
      </w:r>
      <w:r w:rsidR="0099791D">
        <w:rPr>
          <w:rFonts w:cs="Arial"/>
          <w:color w:val="000000"/>
          <w:szCs w:val="20"/>
        </w:rPr>
        <w:t>Cs of the LMPs at these PNodes, is independent from the selection of the Reference Bus.</w:t>
      </w:r>
    </w:p>
    <w:p w14:paraId="4B328482" w14:textId="77777777" w:rsidR="00B6337B" w:rsidRDefault="00264421" w:rsidP="00B6337B">
      <w:pPr>
        <w:tabs>
          <w:tab w:val="left" w:pos="720"/>
        </w:tabs>
        <w:autoSpaceDE w:val="0"/>
        <w:autoSpaceDN w:val="0"/>
        <w:adjustRightInd w:val="0"/>
        <w:ind w:left="1440" w:hanging="720"/>
        <w:rPr>
          <w:rFonts w:cs="Arial"/>
          <w:szCs w:val="20"/>
        </w:rPr>
      </w:pPr>
      <w:r>
        <w:rPr>
          <w:rFonts w:ascii="Symbol" w:hAnsi="Symbol" w:cs="Symbol"/>
          <w:color w:val="000000"/>
          <w:szCs w:val="20"/>
        </w:rPr>
        <w:sym w:font="Symbol" w:char="F0B7"/>
      </w:r>
      <w:r>
        <w:rPr>
          <w:rFonts w:ascii="Symbol" w:hAnsi="Symbol" w:cs="Symbol"/>
          <w:color w:val="000000"/>
          <w:szCs w:val="20"/>
        </w:rPr>
        <w:tab/>
      </w:r>
      <m:oMath>
        <m:sSub>
          <m:sSubPr>
            <m:ctrlPr>
              <w:rPr>
                <w:rFonts w:ascii="Cambria Math" w:hAnsi="Cambria Math" w:cs="Arial"/>
                <w:i/>
              </w:rPr>
            </m:ctrlPr>
          </m:sSubPr>
          <m:e>
            <m:r>
              <w:rPr>
                <w:rFonts w:ascii="Cambria Math" w:hAnsi="Cambria Math" w:cs="Arial"/>
              </w:rPr>
              <m:t>c</m:t>
            </m:r>
          </m:e>
          <m:sub>
            <m:r>
              <w:rPr>
                <w:rFonts w:ascii="Cambria Math" w:hAnsi="Cambria Math" w:cs="Arial"/>
              </w:rPr>
              <m:t>j,m</m:t>
            </m:r>
          </m:sub>
        </m:sSub>
      </m:oMath>
      <w:r w:rsidRPr="00277577">
        <w:rPr>
          <w:color w:val="000000"/>
        </w:rPr>
        <w:t xml:space="preserve"> </w:t>
      </w:r>
      <w:r>
        <w:rPr>
          <w:rFonts w:cs="Arial"/>
          <w:szCs w:val="20"/>
        </w:rPr>
        <w:t xml:space="preserve">is the constraint coefficient for transmission component </w:t>
      </w:r>
      <w:r w:rsidRPr="0066792C">
        <w:rPr>
          <w:rFonts w:ascii="Times" w:hAnsi="Times" w:cs="Times New Roman"/>
          <w:i/>
          <w:color w:val="000000"/>
          <w:szCs w:val="20"/>
        </w:rPr>
        <w:t>j</w:t>
      </w:r>
      <w:r w:rsidRPr="002C7CB9">
        <w:rPr>
          <w:rFonts w:ascii="Times New Roman" w:hAnsi="Times New Roman" w:cs="Times New Roman"/>
          <w:i/>
          <w:szCs w:val="20"/>
        </w:rPr>
        <w:t xml:space="preserve"> </w:t>
      </w:r>
      <w:r w:rsidR="007F2DD5">
        <w:rPr>
          <w:rFonts w:cs="Arial"/>
          <w:szCs w:val="20"/>
        </w:rPr>
        <w:t xml:space="preserve">of Transmission Constraint </w:t>
      </w:r>
      <w:r w:rsidRPr="0066792C">
        <w:rPr>
          <w:rFonts w:ascii="Times" w:hAnsi="Times" w:cs="Times New Roman"/>
          <w:i/>
          <w:color w:val="000000"/>
          <w:szCs w:val="20"/>
        </w:rPr>
        <w:t>m</w:t>
      </w:r>
      <w:r>
        <w:rPr>
          <w:rFonts w:cs="Arial"/>
          <w:szCs w:val="20"/>
        </w:rPr>
        <w:t xml:space="preserve"> </w:t>
      </w:r>
      <w:r w:rsidR="007F2DD5">
        <w:rPr>
          <w:rFonts w:cs="Arial"/>
          <w:szCs w:val="20"/>
        </w:rPr>
        <w:t>w</w:t>
      </w:r>
      <w:r>
        <w:rPr>
          <w:rFonts w:cs="Arial"/>
          <w:szCs w:val="20"/>
        </w:rPr>
        <w:t xml:space="preserve">hen </w:t>
      </w:r>
      <w:r w:rsidR="007F2DD5">
        <w:rPr>
          <w:rFonts w:cs="Arial"/>
          <w:szCs w:val="20"/>
        </w:rPr>
        <w:t>Transmission C</w:t>
      </w:r>
      <w:r>
        <w:rPr>
          <w:rFonts w:cs="Arial"/>
          <w:szCs w:val="20"/>
        </w:rPr>
        <w:t xml:space="preserve">onstraint </w:t>
      </w:r>
      <w:r w:rsidRPr="0066792C">
        <w:rPr>
          <w:rFonts w:ascii="Times" w:hAnsi="Times" w:cs="Times New Roman"/>
          <w:i/>
          <w:color w:val="000000"/>
          <w:szCs w:val="20"/>
        </w:rPr>
        <w:t>m</w:t>
      </w:r>
      <w:r>
        <w:rPr>
          <w:rFonts w:cs="Arial"/>
          <w:szCs w:val="20"/>
        </w:rPr>
        <w:t xml:space="preserve"> is a Nomogram</w:t>
      </w:r>
      <w:r w:rsidR="007F2DD5">
        <w:rPr>
          <w:rFonts w:cs="Arial"/>
          <w:szCs w:val="20"/>
        </w:rPr>
        <w:t>;</w:t>
      </w:r>
      <w:r>
        <w:rPr>
          <w:rFonts w:cs="Arial"/>
          <w:szCs w:val="20"/>
        </w:rPr>
        <w:t xml:space="preserve"> </w:t>
      </w:r>
      <w:r w:rsidR="007F2DD5">
        <w:rPr>
          <w:rFonts w:cs="Arial"/>
          <w:szCs w:val="20"/>
        </w:rPr>
        <w:t xml:space="preserve">otherwise, </w:t>
      </w:r>
      <w:r>
        <w:rPr>
          <w:rFonts w:cs="Arial"/>
          <w:szCs w:val="20"/>
        </w:rPr>
        <w:t xml:space="preserve">this </w:t>
      </w:r>
      <w:r w:rsidR="007F2DD5">
        <w:rPr>
          <w:rFonts w:cs="Arial"/>
          <w:szCs w:val="20"/>
        </w:rPr>
        <w:t xml:space="preserve">constraint </w:t>
      </w:r>
      <w:r>
        <w:rPr>
          <w:rFonts w:cs="Arial"/>
          <w:szCs w:val="20"/>
        </w:rPr>
        <w:t xml:space="preserve">coefficient </w:t>
      </w:r>
      <w:r w:rsidR="007F2DD5">
        <w:rPr>
          <w:rFonts w:cs="Arial"/>
          <w:szCs w:val="20"/>
        </w:rPr>
        <w:t xml:space="preserve">is </w:t>
      </w:r>
      <w:r>
        <w:rPr>
          <w:rFonts w:cs="Arial"/>
          <w:szCs w:val="20"/>
        </w:rPr>
        <w:t>always one.</w:t>
      </w:r>
      <w:del w:id="131" w:author="Author">
        <w:r>
          <w:rPr>
            <w:rFonts w:cs="Arial"/>
            <w:szCs w:val="20"/>
          </w:rPr>
          <w:delText xml:space="preserve">  </w:delText>
        </w:r>
      </w:del>
    </w:p>
    <w:p w14:paraId="6C125AE5" w14:textId="4869B71D" w:rsidR="00B57704"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m:oMath>
        <m:sSub>
          <m:sSubPr>
            <m:ctrlPr>
              <w:rPr>
                <w:rFonts w:ascii="Cambria Math" w:hAnsi="Cambria Math" w:cs="Arial"/>
                <w:i/>
              </w:rPr>
            </m:ctrlPr>
          </m:sSubPr>
          <m:e>
            <m:r>
              <w:rPr>
                <w:rFonts w:ascii="Cambria Math" w:hAnsi="Cambria Math" w:cs="Arial"/>
              </w:rPr>
              <m:t>μ</m:t>
            </m:r>
          </m:e>
          <m:sub>
            <m:r>
              <w:rPr>
                <w:rFonts w:ascii="Cambria Math" w:hAnsi="Cambria Math" w:cs="Arial"/>
              </w:rPr>
              <m:t>m,k</m:t>
            </m:r>
          </m:sub>
        </m:sSub>
      </m:oMath>
      <w:ins w:id="132" w:author="Author">
        <w:r w:rsidR="00517719">
          <w:rPr>
            <w:rFonts w:cs="Arial"/>
            <w:color w:val="000000"/>
            <w:szCs w:val="20"/>
          </w:rPr>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m,k</m:t>
              </m:r>
            </m:sub>
            <m:sup>
              <m:r>
                <w:rPr>
                  <w:rFonts w:ascii="Cambria Math" w:hAnsi="Cambria Math"/>
                </w:rPr>
                <m:t>(IRU)</m:t>
              </m:r>
            </m:sup>
          </m:sSubSup>
        </m:oMath>
        <w:r w:rsidR="00517719">
          <w:rPr>
            <w:rFonts w:cs="Arial"/>
            <w:color w:val="000000"/>
            <w:szCs w:val="20"/>
          </w:rPr>
          <w:t xml:space="preserve">, and </w:t>
        </w:r>
        <m:oMath>
          <m:sSubSup>
            <m:sSubSupPr>
              <m:ctrlPr>
                <w:rPr>
                  <w:rFonts w:ascii="Cambria Math" w:hAnsi="Cambria Math"/>
                  <w:i/>
                </w:rPr>
              </m:ctrlPr>
            </m:sSubSupPr>
            <m:e>
              <m:r>
                <w:rPr>
                  <w:rFonts w:ascii="Cambria Math" w:hAnsi="Cambria Math"/>
                </w:rPr>
                <m:t>μ</m:t>
              </m:r>
            </m:e>
            <m:sub>
              <m:r>
                <w:rPr>
                  <w:rFonts w:ascii="Cambria Math" w:hAnsi="Cambria Math"/>
                </w:rPr>
                <m:t>m,k</m:t>
              </m:r>
            </m:sub>
            <m:sup>
              <m:r>
                <w:rPr>
                  <w:rFonts w:ascii="Cambria Math" w:hAnsi="Cambria Math"/>
                </w:rPr>
                <m:t>(IRD)</m:t>
              </m:r>
            </m:sup>
          </m:sSubSup>
        </m:oMath>
      </w:ins>
      <w:r>
        <w:rPr>
          <w:rFonts w:cs="Arial"/>
          <w:color w:val="000000"/>
          <w:szCs w:val="20"/>
        </w:rPr>
        <w:t xml:space="preserve"> is the Shadow Price </w:t>
      </w:r>
      <w:r w:rsidR="007F2DD5">
        <w:rPr>
          <w:rFonts w:cs="Arial"/>
          <w:color w:val="000000"/>
          <w:szCs w:val="20"/>
        </w:rPr>
        <w:t xml:space="preserve">of Transmission </w:t>
      </w:r>
      <w:r w:rsidR="007929E6">
        <w:rPr>
          <w:rFonts w:cs="Arial"/>
          <w:color w:val="000000"/>
          <w:szCs w:val="20"/>
        </w:rPr>
        <w:t xml:space="preserve">Constraint </w:t>
      </w:r>
      <w:r w:rsidRPr="0066792C">
        <w:rPr>
          <w:rFonts w:ascii="Times" w:hAnsi="Times" w:cs="Times New Roman"/>
          <w:i/>
          <w:color w:val="000000"/>
          <w:szCs w:val="20"/>
        </w:rPr>
        <w:t>m</w:t>
      </w:r>
      <w:r>
        <w:rPr>
          <w:rFonts w:cs="Arial"/>
          <w:color w:val="000000"/>
          <w:szCs w:val="20"/>
        </w:rPr>
        <w:t xml:space="preserve"> </w:t>
      </w:r>
      <w:r w:rsidR="007929E6">
        <w:rPr>
          <w:rFonts w:cs="Arial"/>
          <w:color w:val="000000"/>
          <w:szCs w:val="20"/>
        </w:rPr>
        <w:t xml:space="preserve">in constraint case </w:t>
      </w:r>
      <w:r w:rsidR="007929E6" w:rsidRPr="0066792C">
        <w:rPr>
          <w:rFonts w:ascii="Times" w:hAnsi="Times" w:cs="Times New Roman"/>
          <w:i/>
          <w:color w:val="000000"/>
          <w:szCs w:val="20"/>
        </w:rPr>
        <w:t>k</w:t>
      </w:r>
      <w:ins w:id="133" w:author="Author">
        <w:r w:rsidR="00517719" w:rsidRPr="00517719">
          <w:rPr>
            <w:rFonts w:cs="Arial"/>
            <w:color w:val="000000"/>
            <w:szCs w:val="20"/>
          </w:rPr>
          <w:t xml:space="preserve"> </w:t>
        </w:r>
        <w:r w:rsidR="00517719">
          <w:rPr>
            <w:rFonts w:cs="Arial"/>
            <w:color w:val="000000"/>
            <w:szCs w:val="20"/>
          </w:rPr>
          <w:t>in the base, IRU deployment, or IRD deployment scenario, respectively</w:t>
        </w:r>
      </w:ins>
      <w:r w:rsidR="007929E6">
        <w:rPr>
          <w:rFonts w:cs="Arial"/>
          <w:color w:val="000000"/>
          <w:szCs w:val="20"/>
        </w:rPr>
        <w:t>.</w:t>
      </w:r>
    </w:p>
    <w:p w14:paraId="17360412" w14:textId="1AA2C0B5" w:rsidR="001712CE" w:rsidRDefault="004D38AA" w:rsidP="00277577">
      <w:pPr>
        <w:pStyle w:val="Heading3"/>
      </w:pPr>
      <w:bookmarkStart w:id="134" w:name="_Toc126133628"/>
      <w:ins w:id="135" w:author="Author">
        <w:r>
          <w:t>A</w:t>
        </w:r>
        <w:r w:rsidR="004F1B2E">
          <w:t>.</w:t>
        </w:r>
        <w:r>
          <w:t>4</w:t>
        </w:r>
      </w:ins>
      <w:del w:id="136" w:author="Author">
        <w:r w:rsidR="00264421">
          <w:delText>E.</w:delText>
        </w:r>
      </w:del>
      <w:r w:rsidR="00264421">
        <w:tab/>
        <w:t xml:space="preserve">Marginal </w:t>
      </w:r>
      <w:r w:rsidR="00264421" w:rsidRPr="001A67E2">
        <w:t>Losses Component</w:t>
      </w:r>
      <w:r w:rsidR="00264421">
        <w:t xml:space="preserve"> </w:t>
      </w:r>
      <w:bookmarkEnd w:id="134"/>
      <w:r w:rsidR="006B02DB">
        <w:t>of the LMP</w:t>
      </w:r>
      <w:del w:id="137" w:author="Author">
        <w:r w:rsidR="006B02DB">
          <w:delText xml:space="preserve"> </w:delText>
        </w:r>
      </w:del>
    </w:p>
    <w:p w14:paraId="0E46EA34" w14:textId="77777777" w:rsidR="001712CE" w:rsidRDefault="00264421" w:rsidP="003B0958">
      <w:pPr>
        <w:rPr>
          <w:rFonts w:cs="Arial"/>
          <w:color w:val="000000"/>
          <w:szCs w:val="20"/>
        </w:rPr>
      </w:pPr>
      <w:r>
        <w:rPr>
          <w:rFonts w:cs="Arial"/>
          <w:color w:val="000000"/>
          <w:szCs w:val="20"/>
        </w:rPr>
        <w:t xml:space="preserve">The CAISO calculates the Marginal </w:t>
      </w:r>
      <w:r w:rsidRPr="001A67E2">
        <w:rPr>
          <w:rFonts w:cs="Arial"/>
          <w:color w:val="000000"/>
          <w:szCs w:val="20"/>
        </w:rPr>
        <w:t xml:space="preserve">Cost of Losses at each </w:t>
      </w:r>
      <w:r w:rsidR="00A53457">
        <w:rPr>
          <w:rFonts w:cs="Arial"/>
          <w:color w:val="000000"/>
          <w:szCs w:val="20"/>
        </w:rPr>
        <w:t>PNode</w:t>
      </w:r>
      <w:r w:rsidRPr="001A67E2">
        <w:rPr>
          <w:rFonts w:cs="Arial"/>
          <w:color w:val="000000"/>
          <w:szCs w:val="20"/>
        </w:rPr>
        <w:t xml:space="preserve"> as </w:t>
      </w:r>
      <w:r w:rsidR="00444E7D" w:rsidRPr="001A67E2">
        <w:rPr>
          <w:rFonts w:cs="Arial"/>
          <w:color w:val="000000"/>
          <w:szCs w:val="20"/>
        </w:rPr>
        <w:t xml:space="preserve">the product of the MEC and the </w:t>
      </w:r>
      <w:r w:rsidR="00D57EF6" w:rsidRPr="001A67E2">
        <w:rPr>
          <w:rFonts w:cs="Arial"/>
          <w:color w:val="000000"/>
          <w:szCs w:val="20"/>
        </w:rPr>
        <w:t>rate for M</w:t>
      </w:r>
      <w:r w:rsidR="00444E7D" w:rsidRPr="001A67E2">
        <w:rPr>
          <w:rFonts w:cs="Arial"/>
          <w:color w:val="000000"/>
          <w:szCs w:val="20"/>
        </w:rPr>
        <w:t xml:space="preserve">arginal </w:t>
      </w:r>
      <w:r w:rsidR="00D57EF6" w:rsidRPr="001A67E2">
        <w:rPr>
          <w:rFonts w:cs="Arial"/>
          <w:color w:val="000000"/>
          <w:szCs w:val="20"/>
        </w:rPr>
        <w:t>L</w:t>
      </w:r>
      <w:r w:rsidR="00444E7D" w:rsidRPr="001A67E2">
        <w:rPr>
          <w:rFonts w:cs="Arial"/>
          <w:color w:val="000000"/>
          <w:szCs w:val="20"/>
        </w:rPr>
        <w:t>oss</w:t>
      </w:r>
      <w:r w:rsidR="00D57EF6" w:rsidRPr="001A67E2">
        <w:rPr>
          <w:rFonts w:cs="Arial"/>
          <w:color w:val="000000"/>
          <w:szCs w:val="20"/>
        </w:rPr>
        <w:t>es</w:t>
      </w:r>
      <w:r w:rsidR="00444E7D" w:rsidRPr="001A67E2">
        <w:rPr>
          <w:rFonts w:cs="Arial"/>
          <w:color w:val="000000"/>
          <w:szCs w:val="20"/>
        </w:rPr>
        <w:t xml:space="preserve"> at that PNode, as </w:t>
      </w:r>
      <w:r w:rsidR="005826DB" w:rsidRPr="001A67E2">
        <w:rPr>
          <w:rFonts w:cs="Arial"/>
          <w:color w:val="000000"/>
          <w:szCs w:val="20"/>
        </w:rPr>
        <w:t>follows:</w:t>
      </w:r>
    </w:p>
    <w:p w14:paraId="51938131" w14:textId="77777777" w:rsidR="005826DB" w:rsidRPr="005826DB" w:rsidRDefault="00543914" w:rsidP="003B0958">
      <w:pPr>
        <w:rPr>
          <w:rFonts w:cs="Arial"/>
          <w:color w:val="000000"/>
          <w:szCs w:val="20"/>
        </w:rPr>
      </w:pPr>
      <m:oMathPara>
        <m:oMathParaPr>
          <m:jc m:val="left"/>
        </m:oMathParaPr>
        <m:oMath>
          <m:sSub>
            <m:sSubPr>
              <m:ctrlPr>
                <w:rPr>
                  <w:rFonts w:ascii="Cambria Math" w:hAnsi="Cambria Math" w:cs="Arial"/>
                  <w:i/>
                  <w:color w:val="000000"/>
                  <w:szCs w:val="20"/>
                </w:rPr>
              </m:ctrlPr>
            </m:sSubPr>
            <m:e>
              <m:r>
                <w:rPr>
                  <w:rFonts w:ascii="Cambria Math" w:hAnsi="Cambria Math" w:cs="Arial"/>
                  <w:color w:val="000000"/>
                  <w:szCs w:val="20"/>
                </w:rPr>
                <m:t>MCL</m:t>
              </m:r>
            </m:e>
            <m:sub>
              <m:r>
                <w:rPr>
                  <w:rFonts w:ascii="Cambria Math" w:hAnsi="Cambria Math" w:cs="Arial"/>
                  <w:color w:val="000000"/>
                  <w:szCs w:val="20"/>
                </w:rPr>
                <m:t>i</m:t>
              </m:r>
            </m:sub>
          </m:sSub>
          <m:r>
            <w:rPr>
              <w:rFonts w:ascii="Cambria Math" w:hAnsi="Cambria Math" w:cs="Arial"/>
              <w:color w:val="000000"/>
              <w:szCs w:val="20"/>
            </w:rPr>
            <m:t>=-</m:t>
          </m:r>
          <m:sSub>
            <m:sSubPr>
              <m:ctrlPr>
                <w:rPr>
                  <w:rFonts w:ascii="Cambria Math" w:hAnsi="Cambria Math" w:cs="Arial"/>
                  <w:i/>
                  <w:color w:val="000000"/>
                  <w:szCs w:val="20"/>
                </w:rPr>
              </m:ctrlPr>
            </m:sSubPr>
            <m:e>
              <m:r>
                <w:rPr>
                  <w:rFonts w:ascii="Cambria Math" w:hAnsi="Cambria Math" w:cs="Arial"/>
                  <w:color w:val="000000"/>
                  <w:szCs w:val="20"/>
                </w:rPr>
                <m:t>MEC</m:t>
              </m:r>
            </m:e>
            <m:sub>
              <m:r>
                <w:rPr>
                  <w:rFonts w:ascii="Cambria Math" w:hAnsi="Cambria Math" w:cs="Arial"/>
                  <w:color w:val="000000"/>
                  <w:szCs w:val="20"/>
                </w:rPr>
                <m:t>i</m:t>
              </m:r>
            </m:sub>
          </m:sSub>
          <m:r>
            <w:rPr>
              <w:rFonts w:ascii="Cambria Math" w:hAnsi="Cambria Math" w:cs="Arial"/>
              <w:color w:val="000000"/>
              <w:szCs w:val="20"/>
            </w:rPr>
            <m:t xml:space="preserve"> </m:t>
          </m:r>
          <m:f>
            <m:fPr>
              <m:ctrlPr>
                <w:rPr>
                  <w:rFonts w:ascii="Cambria Math" w:hAnsi="Cambria Math" w:cs="Arial"/>
                  <w:i/>
                  <w:color w:val="000000"/>
                  <w:szCs w:val="20"/>
                </w:rPr>
              </m:ctrlPr>
            </m:fPr>
            <m:num>
              <m:r>
                <w:rPr>
                  <w:rFonts w:ascii="Cambria Math" w:hAnsi="Cambria Math" w:cs="Arial"/>
                  <w:color w:val="000000"/>
                  <w:szCs w:val="20"/>
                </w:rPr>
                <m:t>∂L</m:t>
              </m:r>
            </m:num>
            <m:den>
              <m:r>
                <w:rPr>
                  <w:rFonts w:ascii="Cambria Math" w:hAnsi="Cambria Math" w:cs="Arial"/>
                  <w:color w:val="000000"/>
                  <w:szCs w:val="20"/>
                </w:rPr>
                <m:t>∂</m:t>
              </m:r>
              <m:sSub>
                <m:sSubPr>
                  <m:ctrlPr>
                    <w:rPr>
                      <w:rFonts w:ascii="Cambria Math" w:hAnsi="Cambria Math" w:cs="Arial"/>
                      <w:i/>
                      <w:color w:val="000000"/>
                      <w:szCs w:val="20"/>
                    </w:rPr>
                  </m:ctrlPr>
                </m:sSubPr>
                <m:e>
                  <m:r>
                    <w:rPr>
                      <w:rFonts w:ascii="Cambria Math" w:hAnsi="Cambria Math" w:cs="Arial"/>
                      <w:color w:val="000000"/>
                      <w:szCs w:val="20"/>
                    </w:rPr>
                    <m:t>P</m:t>
                  </m:r>
                </m:e>
                <m:sub>
                  <m:r>
                    <w:rPr>
                      <w:rFonts w:ascii="Cambria Math" w:hAnsi="Cambria Math" w:cs="Arial"/>
                      <w:color w:val="000000"/>
                      <w:szCs w:val="20"/>
                    </w:rPr>
                    <m:t>i</m:t>
                  </m:r>
                </m:sub>
              </m:sSub>
            </m:den>
          </m:f>
        </m:oMath>
      </m:oMathPara>
    </w:p>
    <w:p w14:paraId="22D00666" w14:textId="19DECEA2" w:rsidR="005A60DD" w:rsidRDefault="00264421" w:rsidP="0066792C">
      <w:pPr>
        <w:rPr>
          <w:rFonts w:cs="Arial"/>
          <w:color w:val="000000"/>
          <w:szCs w:val="20"/>
        </w:rPr>
      </w:pPr>
      <w:r w:rsidRPr="001712CE">
        <w:rPr>
          <w:rFonts w:cs="Arial"/>
          <w:szCs w:val="20"/>
        </w:rPr>
        <w:lastRenderedPageBreak/>
        <w:t>Where</w:t>
      </w:r>
      <w:r w:rsidR="00444E7D">
        <w:rPr>
          <w:rFonts w:cs="Arial"/>
          <w:szCs w:val="20"/>
        </w:rPr>
        <w:t xml:space="preserve"> </w:t>
      </w:r>
      <w:r w:rsidR="00444E7D" w:rsidRPr="001A67E2">
        <w:rPr>
          <w:rFonts w:cs="Arial"/>
          <w:szCs w:val="20"/>
        </w:rPr>
        <w:t xml:space="preserve">the </w:t>
      </w:r>
      <w:r w:rsidR="00D57EF6" w:rsidRPr="001A67E2">
        <w:rPr>
          <w:rFonts w:cs="Arial"/>
          <w:szCs w:val="20"/>
        </w:rPr>
        <w:t>rate for M</w:t>
      </w:r>
      <w:r w:rsidR="00444E7D" w:rsidRPr="001A67E2">
        <w:rPr>
          <w:rFonts w:cs="Arial"/>
          <w:szCs w:val="20"/>
        </w:rPr>
        <w:t xml:space="preserve">arginal </w:t>
      </w:r>
      <w:r w:rsidR="00D57EF6" w:rsidRPr="001A67E2">
        <w:rPr>
          <w:rFonts w:cs="Arial"/>
          <w:szCs w:val="20"/>
        </w:rPr>
        <w:t>L</w:t>
      </w:r>
      <w:r w:rsidR="00444E7D" w:rsidRPr="001A67E2">
        <w:rPr>
          <w:rFonts w:cs="Arial"/>
          <w:szCs w:val="20"/>
        </w:rPr>
        <w:t>oss</w:t>
      </w:r>
      <w:r w:rsidR="00D57EF6" w:rsidRPr="001A67E2">
        <w:rPr>
          <w:rFonts w:cs="Arial"/>
          <w:szCs w:val="20"/>
        </w:rPr>
        <w:t>es</w:t>
      </w:r>
      <w:r w:rsidR="00444E7D" w:rsidRPr="001A67E2">
        <w:rPr>
          <w:rFonts w:cs="Arial"/>
          <w:szCs w:val="20"/>
        </w:rPr>
        <w:t xml:space="preserve"> </w:t>
      </w:r>
      <w:r w:rsidR="00444E7D" w:rsidRPr="001A67E2">
        <w:rPr>
          <w:rFonts w:cs="Arial"/>
          <w:color w:val="000000"/>
          <w:szCs w:val="20"/>
        </w:rPr>
        <w:t>at</w:t>
      </w:r>
      <w:r w:rsidR="00444E7D">
        <w:rPr>
          <w:rFonts w:cs="Arial"/>
          <w:color w:val="000000"/>
          <w:szCs w:val="20"/>
        </w:rPr>
        <w:t xml:space="preserve"> PNode </w:t>
      </w:r>
      <w:r w:rsidR="00444E7D" w:rsidRPr="00D3434B">
        <w:rPr>
          <w:rFonts w:ascii="Times" w:hAnsi="Times" w:cs="Arial"/>
          <w:i/>
          <w:color w:val="000000"/>
          <w:szCs w:val="20"/>
        </w:rPr>
        <w:t>i</w:t>
      </w:r>
      <w:r w:rsidR="00444E7D">
        <w:rPr>
          <w:rFonts w:cs="Arial"/>
          <w:szCs w:val="20"/>
        </w:rPr>
        <w:t xml:space="preserve"> (</w:t>
      </w:r>
      <m:oMath>
        <m:f>
          <m:fPr>
            <m:type m:val="lin"/>
            <m:ctrlPr>
              <w:rPr>
                <w:rFonts w:ascii="Cambria Math" w:hAnsi="Cambria Math" w:cs="Arial"/>
                <w:i/>
                <w:szCs w:val="20"/>
              </w:rPr>
            </m:ctrlPr>
          </m:fPr>
          <m:num>
            <m:r>
              <w:rPr>
                <w:rFonts w:ascii="Cambria Math" w:hAnsi="Cambria Math" w:cs="Arial"/>
                <w:color w:val="000000"/>
                <w:szCs w:val="20"/>
              </w:rPr>
              <m:t>∂L</m:t>
            </m:r>
          </m:num>
          <m:den>
            <m:r>
              <w:rPr>
                <w:rFonts w:ascii="Cambria Math" w:hAnsi="Cambria Math" w:cs="Arial"/>
                <w:color w:val="000000"/>
                <w:szCs w:val="20"/>
              </w:rPr>
              <m:t>∂</m:t>
            </m:r>
            <m:sSub>
              <m:sSubPr>
                <m:ctrlPr>
                  <w:rPr>
                    <w:rFonts w:ascii="Cambria Math" w:hAnsi="Cambria Math" w:cs="Arial"/>
                    <w:i/>
                    <w:color w:val="000000"/>
                    <w:szCs w:val="20"/>
                  </w:rPr>
                </m:ctrlPr>
              </m:sSubPr>
              <m:e>
                <m:r>
                  <w:rPr>
                    <w:rFonts w:ascii="Cambria Math" w:hAnsi="Cambria Math" w:cs="Arial"/>
                    <w:color w:val="000000"/>
                    <w:szCs w:val="20"/>
                  </w:rPr>
                  <m:t>P</m:t>
                </m:r>
              </m:e>
              <m:sub>
                <m:r>
                  <w:rPr>
                    <w:rFonts w:ascii="Cambria Math" w:hAnsi="Cambria Math" w:cs="Arial"/>
                    <w:color w:val="000000"/>
                    <w:szCs w:val="20"/>
                  </w:rPr>
                  <m:t>i</m:t>
                </m:r>
              </m:sub>
            </m:sSub>
          </m:den>
        </m:f>
      </m:oMath>
      <w:r>
        <w:rPr>
          <w:rFonts w:eastAsiaTheme="minorEastAsia" w:cs="Arial"/>
          <w:color w:val="000000"/>
          <w:szCs w:val="20"/>
        </w:rPr>
        <w:t>)</w:t>
      </w:r>
      <w:r w:rsidR="001712CE">
        <w:rPr>
          <w:rFonts w:cs="Arial"/>
          <w:color w:val="000000"/>
          <w:szCs w:val="20"/>
        </w:rPr>
        <w:t xml:space="preserve"> </w:t>
      </w:r>
      <w:r>
        <w:rPr>
          <w:rFonts w:cs="Arial"/>
          <w:color w:val="000000"/>
          <w:szCs w:val="20"/>
        </w:rPr>
        <w:t xml:space="preserve">is the sensitivity (partial derivative) of </w:t>
      </w:r>
      <w:r w:rsidR="00666A3B">
        <w:rPr>
          <w:rFonts w:cs="Arial"/>
          <w:color w:val="000000"/>
          <w:szCs w:val="20"/>
        </w:rPr>
        <w:t>system loss</w:t>
      </w:r>
      <w:r>
        <w:rPr>
          <w:rFonts w:cs="Arial"/>
          <w:color w:val="000000"/>
          <w:szCs w:val="20"/>
        </w:rPr>
        <w:t>es (</w:t>
      </w:r>
      <w:r w:rsidRPr="0066792C">
        <w:rPr>
          <w:rFonts w:ascii="Times" w:hAnsi="Times" w:cs="Arial"/>
          <w:i/>
          <w:color w:val="000000"/>
          <w:szCs w:val="20"/>
        </w:rPr>
        <w:t>L</w:t>
      </w:r>
      <w:r>
        <w:rPr>
          <w:rFonts w:cs="Arial"/>
          <w:color w:val="000000"/>
          <w:szCs w:val="20"/>
        </w:rPr>
        <w:t>) to</w:t>
      </w:r>
      <w:r w:rsidR="001712CE">
        <w:rPr>
          <w:rFonts w:cs="Arial"/>
          <w:color w:val="000000"/>
          <w:szCs w:val="20"/>
        </w:rPr>
        <w:t xml:space="preserve"> </w:t>
      </w:r>
      <w:r w:rsidR="00666A3B">
        <w:rPr>
          <w:rFonts w:cs="Arial"/>
          <w:color w:val="000000"/>
          <w:szCs w:val="20"/>
        </w:rPr>
        <w:t>a</w:t>
      </w:r>
      <w:r w:rsidR="001643D0">
        <w:rPr>
          <w:rFonts w:cs="Arial"/>
          <w:color w:val="000000"/>
          <w:szCs w:val="20"/>
        </w:rPr>
        <w:t>n increment of</w:t>
      </w:r>
      <w:r w:rsidR="00666A3B">
        <w:rPr>
          <w:rFonts w:cs="Arial"/>
          <w:color w:val="000000"/>
          <w:szCs w:val="20"/>
        </w:rPr>
        <w:t xml:space="preserve"> power inject</w:t>
      </w:r>
      <w:r w:rsidR="001643D0">
        <w:rPr>
          <w:rFonts w:cs="Arial"/>
          <w:color w:val="000000"/>
          <w:szCs w:val="20"/>
        </w:rPr>
        <w:t>ed</w:t>
      </w:r>
      <w:r>
        <w:rPr>
          <w:rFonts w:cs="Arial"/>
          <w:color w:val="000000"/>
          <w:szCs w:val="20"/>
        </w:rPr>
        <w:t xml:space="preserve"> at that </w:t>
      </w:r>
      <w:r w:rsidR="0095207B" w:rsidRPr="009F61EA">
        <w:rPr>
          <w:color w:val="000000"/>
        </w:rPr>
        <w:t>P</w:t>
      </w:r>
      <w:ins w:id="138" w:author="Author">
        <w:r w:rsidR="004F1B2E" w:rsidRPr="009F61EA">
          <w:rPr>
            <w:rFonts w:cs="Arial"/>
            <w:color w:val="000000"/>
            <w:szCs w:val="20"/>
          </w:rPr>
          <w:t>n</w:t>
        </w:r>
      </w:ins>
      <w:del w:id="139" w:author="Author">
        <w:r w:rsidR="0095207B" w:rsidRPr="009F61EA">
          <w:rPr>
            <w:rFonts w:cs="Arial"/>
            <w:color w:val="000000"/>
            <w:szCs w:val="20"/>
          </w:rPr>
          <w:delText>N</w:delText>
        </w:r>
      </w:del>
      <w:r w:rsidR="0095207B" w:rsidRPr="009F61EA">
        <w:rPr>
          <w:color w:val="000000"/>
        </w:rPr>
        <w:t>ode</w:t>
      </w:r>
      <w:r w:rsidR="001643D0">
        <w:rPr>
          <w:rFonts w:cs="Arial"/>
          <w:color w:val="000000"/>
          <w:szCs w:val="20"/>
        </w:rPr>
        <w:t xml:space="preserve"> </w:t>
      </w:r>
      <w:r>
        <w:rPr>
          <w:rFonts w:cs="Arial"/>
          <w:color w:val="000000"/>
          <w:szCs w:val="20"/>
        </w:rPr>
        <w:t>(</w:t>
      </w:r>
      <m:oMath>
        <m:sSub>
          <m:sSubPr>
            <m:ctrlPr>
              <w:rPr>
                <w:rFonts w:ascii="Cambria Math" w:hAnsi="Cambria Math" w:cs="Arial"/>
                <w:i/>
                <w:color w:val="000000"/>
                <w:szCs w:val="20"/>
              </w:rPr>
            </m:ctrlPr>
          </m:sSubPr>
          <m:e>
            <m:r>
              <w:rPr>
                <w:rFonts w:ascii="Cambria Math" w:hAnsi="Cambria Math" w:cs="Arial"/>
                <w:color w:val="000000"/>
                <w:szCs w:val="20"/>
              </w:rPr>
              <m:t>P</m:t>
            </m:r>
          </m:e>
          <m:sub>
            <m:r>
              <w:rPr>
                <w:rFonts w:ascii="Cambria Math" w:hAnsi="Cambria Math" w:cs="Arial"/>
                <w:color w:val="000000"/>
                <w:szCs w:val="20"/>
              </w:rPr>
              <m:t>i</m:t>
            </m:r>
          </m:sub>
        </m:sSub>
      </m:oMath>
      <w:r>
        <w:rPr>
          <w:rFonts w:cs="Arial"/>
          <w:color w:val="000000"/>
          <w:szCs w:val="20"/>
        </w:rPr>
        <w:t xml:space="preserve">) </w:t>
      </w:r>
      <w:r w:rsidR="001643D0">
        <w:rPr>
          <w:rFonts w:cs="Arial"/>
          <w:color w:val="000000"/>
          <w:szCs w:val="20"/>
        </w:rPr>
        <w:t xml:space="preserve">and </w:t>
      </w:r>
      <w:r>
        <w:rPr>
          <w:rFonts w:cs="Arial"/>
          <w:color w:val="000000"/>
          <w:szCs w:val="20"/>
        </w:rPr>
        <w:t>absorbed by</w:t>
      </w:r>
      <w:r w:rsidR="00666A3B">
        <w:rPr>
          <w:rFonts w:cs="Arial"/>
          <w:color w:val="000000"/>
          <w:szCs w:val="20"/>
        </w:rPr>
        <w:t xml:space="preserve"> </w:t>
      </w:r>
      <w:r w:rsidR="001712CE">
        <w:rPr>
          <w:rFonts w:cs="Arial"/>
          <w:color w:val="000000"/>
          <w:szCs w:val="20"/>
        </w:rPr>
        <w:t xml:space="preserve">the </w:t>
      </w:r>
      <w:ins w:id="140" w:author="Author">
        <w:r w:rsidR="004D38AA">
          <w:rPr>
            <w:rFonts w:cs="Arial"/>
            <w:color w:val="000000"/>
            <w:szCs w:val="20"/>
          </w:rPr>
          <w:t>R</w:t>
        </w:r>
        <w:r w:rsidR="004F1B2E">
          <w:rPr>
            <w:rFonts w:cs="Arial"/>
            <w:color w:val="000000"/>
            <w:szCs w:val="20"/>
          </w:rPr>
          <w:t>eference</w:t>
        </w:r>
        <w:r w:rsidR="004D38AA">
          <w:rPr>
            <w:rFonts w:cs="Arial"/>
            <w:color w:val="000000"/>
            <w:szCs w:val="20"/>
          </w:rPr>
          <w:t xml:space="preserve"> Bus</w:t>
        </w:r>
      </w:ins>
      <w:del w:id="141" w:author="Author">
        <w:r w:rsidR="00B53EB6">
          <w:rPr>
            <w:rFonts w:cs="Arial"/>
            <w:color w:val="000000"/>
            <w:szCs w:val="20"/>
          </w:rPr>
          <w:delText>distributed load reference</w:delText>
        </w:r>
        <w:r>
          <w:rPr>
            <w:rFonts w:cs="Arial"/>
            <w:color w:val="000000"/>
            <w:szCs w:val="20"/>
          </w:rPr>
          <w:delText xml:space="preserve">. </w:delText>
        </w:r>
        <w:r w:rsidR="00200CE1">
          <w:rPr>
            <w:rFonts w:cs="Arial"/>
            <w:color w:val="000000"/>
            <w:szCs w:val="20"/>
          </w:rPr>
          <w:delText xml:space="preserve"> </w:delText>
        </w:r>
        <w:r>
          <w:rPr>
            <w:rFonts w:cs="Arial"/>
            <w:color w:val="000000"/>
            <w:szCs w:val="20"/>
          </w:rPr>
          <w:delText xml:space="preserve">The </w:delText>
        </w:r>
        <w:r w:rsidR="00B53EB6">
          <w:rPr>
            <w:rFonts w:cs="Arial"/>
            <w:color w:val="000000"/>
            <w:szCs w:val="20"/>
          </w:rPr>
          <w:delText xml:space="preserve">distributed load reference </w:delText>
        </w:r>
        <w:r w:rsidR="00B53EB6" w:rsidRPr="001A67E2">
          <w:rPr>
            <w:rFonts w:cs="Arial"/>
            <w:color w:val="000000"/>
            <w:szCs w:val="20"/>
          </w:rPr>
          <w:delText xml:space="preserve">is the scheduled load in the IFM and the distributed demand forecast in the RUC and RTM, within the </w:delText>
        </w:r>
        <w:r w:rsidR="006C5234" w:rsidRPr="001A67E2">
          <w:rPr>
            <w:rFonts w:cs="Arial"/>
            <w:color w:val="000000"/>
            <w:szCs w:val="20"/>
          </w:rPr>
          <w:delText>M</w:delText>
        </w:r>
        <w:r w:rsidR="00B53EB6" w:rsidRPr="001A67E2">
          <w:rPr>
            <w:rFonts w:cs="Arial"/>
            <w:color w:val="000000"/>
            <w:szCs w:val="20"/>
          </w:rPr>
          <w:delText xml:space="preserve">arket </w:delText>
        </w:r>
        <w:r w:rsidR="006C5234" w:rsidRPr="001A67E2">
          <w:rPr>
            <w:rFonts w:cs="Arial"/>
            <w:color w:val="000000"/>
            <w:szCs w:val="20"/>
          </w:rPr>
          <w:delText>Area</w:delText>
        </w:r>
      </w:del>
      <w:r w:rsidR="00B53EB6" w:rsidRPr="001A67E2">
        <w:rPr>
          <w:rFonts w:cs="Arial"/>
          <w:color w:val="000000"/>
          <w:szCs w:val="20"/>
        </w:rPr>
        <w:t>.</w:t>
      </w:r>
      <w:r w:rsidR="00200CE1" w:rsidRPr="001A67E2">
        <w:rPr>
          <w:rFonts w:cs="Arial"/>
          <w:color w:val="000000"/>
          <w:szCs w:val="20"/>
        </w:rPr>
        <w:t xml:space="preserve"> </w:t>
      </w:r>
      <w:r w:rsidR="005E2545" w:rsidRPr="001A67E2">
        <w:rPr>
          <w:rFonts w:cs="Arial"/>
          <w:color w:val="000000"/>
          <w:szCs w:val="20"/>
        </w:rPr>
        <w:t xml:space="preserve"> </w:t>
      </w:r>
      <w:r w:rsidR="00EB726E" w:rsidRPr="001A67E2">
        <w:rPr>
          <w:rFonts w:cs="Arial"/>
          <w:color w:val="000000"/>
          <w:szCs w:val="20"/>
        </w:rPr>
        <w:t xml:space="preserve">This calculation reflects the </w:t>
      </w:r>
      <w:r w:rsidR="0099674C" w:rsidRPr="001A67E2">
        <w:rPr>
          <w:rFonts w:cs="Arial"/>
          <w:color w:val="000000"/>
          <w:szCs w:val="20"/>
        </w:rPr>
        <w:t>a</w:t>
      </w:r>
      <w:r w:rsidR="00EB726E" w:rsidRPr="001A67E2">
        <w:rPr>
          <w:rFonts w:cs="Arial"/>
          <w:color w:val="000000"/>
          <w:szCs w:val="20"/>
        </w:rPr>
        <w:t xml:space="preserve">rea </w:t>
      </w:r>
      <w:r w:rsidR="0099674C" w:rsidRPr="001A67E2">
        <w:rPr>
          <w:rFonts w:cs="Arial"/>
          <w:color w:val="000000"/>
          <w:szCs w:val="20"/>
        </w:rPr>
        <w:t>i</w:t>
      </w:r>
      <w:r w:rsidR="00EB726E" w:rsidRPr="001A67E2">
        <w:rPr>
          <w:rFonts w:cs="Arial"/>
          <w:color w:val="000000"/>
          <w:szCs w:val="20"/>
        </w:rPr>
        <w:t xml:space="preserve">nterchange </w:t>
      </w:r>
      <w:r w:rsidR="0099674C" w:rsidRPr="001A67E2">
        <w:rPr>
          <w:rFonts w:cs="Arial"/>
          <w:color w:val="000000"/>
          <w:szCs w:val="20"/>
        </w:rPr>
        <w:t>c</w:t>
      </w:r>
      <w:r w:rsidR="00EB726E" w:rsidRPr="001A67E2">
        <w:rPr>
          <w:rFonts w:cs="Arial"/>
          <w:color w:val="000000"/>
          <w:szCs w:val="20"/>
        </w:rPr>
        <w:t xml:space="preserve">ontrol feature of the AC </w:t>
      </w:r>
      <w:r w:rsidR="0099674C" w:rsidRPr="001A67E2">
        <w:rPr>
          <w:rFonts w:cs="Arial"/>
          <w:color w:val="000000"/>
          <w:szCs w:val="20"/>
        </w:rPr>
        <w:t>p</w:t>
      </w:r>
      <w:r w:rsidR="00EB726E" w:rsidRPr="001A67E2">
        <w:rPr>
          <w:rFonts w:cs="Arial"/>
          <w:color w:val="000000"/>
          <w:szCs w:val="20"/>
        </w:rPr>
        <w:t xml:space="preserve">ower </w:t>
      </w:r>
      <w:r w:rsidR="0099674C" w:rsidRPr="001A67E2">
        <w:rPr>
          <w:rFonts w:cs="Arial"/>
          <w:color w:val="000000"/>
          <w:szCs w:val="20"/>
        </w:rPr>
        <w:t>f</w:t>
      </w:r>
      <w:r w:rsidR="00EB726E" w:rsidRPr="001A67E2">
        <w:rPr>
          <w:rFonts w:cs="Arial"/>
          <w:color w:val="000000"/>
          <w:szCs w:val="20"/>
        </w:rPr>
        <w:t xml:space="preserve">low where the </w:t>
      </w:r>
      <w:r w:rsidR="0099674C" w:rsidRPr="001A67E2">
        <w:rPr>
          <w:rFonts w:cs="Arial"/>
          <w:color w:val="000000"/>
          <w:szCs w:val="20"/>
        </w:rPr>
        <w:t>n</w:t>
      </w:r>
      <w:r w:rsidR="00EB726E" w:rsidRPr="001A67E2">
        <w:rPr>
          <w:rFonts w:cs="Arial"/>
          <w:color w:val="000000"/>
          <w:szCs w:val="20"/>
        </w:rPr>
        <w:t xml:space="preserve">et </w:t>
      </w:r>
      <w:r w:rsidR="0099674C" w:rsidRPr="001A67E2">
        <w:rPr>
          <w:rFonts w:cs="Arial"/>
          <w:color w:val="000000"/>
          <w:szCs w:val="20"/>
        </w:rPr>
        <w:t>s</w:t>
      </w:r>
      <w:r w:rsidR="00EB726E" w:rsidRPr="001A67E2">
        <w:rPr>
          <w:rFonts w:cs="Arial"/>
          <w:color w:val="000000"/>
          <w:szCs w:val="20"/>
        </w:rPr>
        <w:t xml:space="preserve">cheduled </w:t>
      </w:r>
      <w:r w:rsidR="0099674C" w:rsidRPr="001A67E2">
        <w:rPr>
          <w:rFonts w:cs="Arial"/>
          <w:color w:val="000000"/>
          <w:szCs w:val="20"/>
        </w:rPr>
        <w:t>i</w:t>
      </w:r>
      <w:r w:rsidR="00EB726E" w:rsidRPr="001A67E2">
        <w:rPr>
          <w:rFonts w:cs="Arial"/>
          <w:color w:val="000000"/>
          <w:szCs w:val="20"/>
        </w:rPr>
        <w:t xml:space="preserve">nterchange (NSI) </w:t>
      </w:r>
      <w:r w:rsidR="00E62424" w:rsidRPr="001A67E2">
        <w:rPr>
          <w:rFonts w:cs="Arial"/>
          <w:color w:val="000000"/>
          <w:szCs w:val="20"/>
        </w:rPr>
        <w:t>of</w:t>
      </w:r>
      <w:r w:rsidR="00EB726E" w:rsidRPr="001A67E2">
        <w:rPr>
          <w:rFonts w:cs="Arial"/>
          <w:color w:val="000000"/>
          <w:szCs w:val="20"/>
        </w:rPr>
        <w:t xml:space="preserve"> a B</w:t>
      </w:r>
      <w:r w:rsidR="009251B3" w:rsidRPr="001A67E2">
        <w:rPr>
          <w:rFonts w:cs="Arial"/>
          <w:color w:val="000000"/>
          <w:szCs w:val="20"/>
        </w:rPr>
        <w:t xml:space="preserve">alancing </w:t>
      </w:r>
      <w:r w:rsidR="00EB726E" w:rsidRPr="001A67E2">
        <w:rPr>
          <w:rFonts w:cs="Arial"/>
          <w:color w:val="000000"/>
          <w:szCs w:val="20"/>
        </w:rPr>
        <w:t>A</w:t>
      </w:r>
      <w:r w:rsidR="009251B3" w:rsidRPr="001A67E2">
        <w:rPr>
          <w:rFonts w:cs="Arial"/>
          <w:color w:val="000000"/>
          <w:szCs w:val="20"/>
        </w:rPr>
        <w:t xml:space="preserve">uthority </w:t>
      </w:r>
      <w:r w:rsidR="00EB726E" w:rsidRPr="001A67E2">
        <w:rPr>
          <w:rFonts w:cs="Arial"/>
          <w:color w:val="000000"/>
          <w:szCs w:val="20"/>
        </w:rPr>
        <w:t>A</w:t>
      </w:r>
      <w:r w:rsidR="009251B3" w:rsidRPr="001A67E2">
        <w:rPr>
          <w:rFonts w:cs="Arial"/>
          <w:color w:val="000000"/>
          <w:szCs w:val="20"/>
        </w:rPr>
        <w:t>rea</w:t>
      </w:r>
      <w:r w:rsidR="0099674C" w:rsidRPr="001A67E2">
        <w:rPr>
          <w:rFonts w:cs="Arial"/>
          <w:color w:val="000000"/>
          <w:szCs w:val="20"/>
        </w:rPr>
        <w:t xml:space="preserve"> in the FNM</w:t>
      </w:r>
      <w:r w:rsidR="00EB726E" w:rsidRPr="001A67E2">
        <w:rPr>
          <w:rFonts w:cs="Arial"/>
          <w:color w:val="000000"/>
          <w:szCs w:val="20"/>
        </w:rPr>
        <w:t xml:space="preserve"> is kept constant </w:t>
      </w:r>
      <w:r w:rsidR="00E62424" w:rsidRPr="001A67E2">
        <w:rPr>
          <w:rFonts w:cs="Arial"/>
          <w:color w:val="000000"/>
          <w:szCs w:val="20"/>
        </w:rPr>
        <w:t xml:space="preserve">while the iterative solution distributes loss deviation from the previous iteration to the </w:t>
      </w:r>
      <w:ins w:id="142" w:author="Author">
        <w:r w:rsidR="008A018E">
          <w:rPr>
            <w:rFonts w:cs="Arial"/>
            <w:color w:val="000000"/>
            <w:szCs w:val="20"/>
          </w:rPr>
          <w:t>Reference Bus</w:t>
        </w:r>
        <w:r w:rsidR="004F1B2E" w:rsidRPr="001A67E2">
          <w:rPr>
            <w:rFonts w:cs="Arial"/>
            <w:color w:val="000000"/>
            <w:szCs w:val="20"/>
          </w:rPr>
          <w:t>.</w:t>
        </w:r>
      </w:ins>
      <w:del w:id="143" w:author="Author">
        <w:r w:rsidR="00E62424" w:rsidRPr="001A67E2">
          <w:rPr>
            <w:rFonts w:cs="Arial"/>
            <w:color w:val="000000"/>
            <w:szCs w:val="20"/>
          </w:rPr>
          <w:delText>distributed load reference.</w:delText>
        </w:r>
      </w:del>
      <w:r w:rsidR="00E62424" w:rsidRPr="001A67E2">
        <w:rPr>
          <w:rFonts w:cs="Arial"/>
          <w:color w:val="000000"/>
          <w:szCs w:val="20"/>
        </w:rPr>
        <w:t xml:space="preserve"> </w:t>
      </w:r>
      <w:r w:rsidR="009C32BF" w:rsidRPr="001A67E2">
        <w:rPr>
          <w:rFonts w:cs="Arial"/>
          <w:color w:val="000000"/>
          <w:szCs w:val="20"/>
        </w:rPr>
        <w:t xml:space="preserve"> Consequently, the </w:t>
      </w:r>
      <w:ins w:id="144" w:author="Author">
        <w:r w:rsidR="008A018E">
          <w:rPr>
            <w:rFonts w:cs="Arial"/>
            <w:color w:val="000000"/>
            <w:szCs w:val="20"/>
          </w:rPr>
          <w:t>rate for Marginal Losses</w:t>
        </w:r>
      </w:ins>
      <w:del w:id="145" w:author="Author">
        <w:r w:rsidR="009C32BF" w:rsidRPr="001A67E2">
          <w:rPr>
            <w:rFonts w:cs="Arial"/>
            <w:color w:val="000000"/>
            <w:szCs w:val="20"/>
          </w:rPr>
          <w:delText>MCLs</w:delText>
        </w:r>
      </w:del>
      <w:r w:rsidR="009C32BF" w:rsidRPr="001A67E2">
        <w:rPr>
          <w:rFonts w:cs="Arial"/>
          <w:color w:val="000000"/>
          <w:szCs w:val="20"/>
        </w:rPr>
        <w:t xml:space="preserve"> of the TSRs that model a Market Transfer at a Transfer Location between two B</w:t>
      </w:r>
      <w:r w:rsidR="009251B3" w:rsidRPr="001A67E2">
        <w:rPr>
          <w:rFonts w:cs="Arial"/>
          <w:color w:val="000000"/>
          <w:szCs w:val="20"/>
        </w:rPr>
        <w:t xml:space="preserve">alancing </w:t>
      </w:r>
      <w:r w:rsidR="009C32BF" w:rsidRPr="001A67E2">
        <w:rPr>
          <w:rFonts w:cs="Arial"/>
          <w:color w:val="000000"/>
          <w:szCs w:val="20"/>
        </w:rPr>
        <w:t>A</w:t>
      </w:r>
      <w:r w:rsidR="009251B3" w:rsidRPr="001A67E2">
        <w:rPr>
          <w:rFonts w:cs="Arial"/>
          <w:color w:val="000000"/>
          <w:szCs w:val="20"/>
        </w:rPr>
        <w:t xml:space="preserve">uthority </w:t>
      </w:r>
      <w:r w:rsidR="009C32BF" w:rsidRPr="001A67E2">
        <w:rPr>
          <w:rFonts w:cs="Arial"/>
          <w:color w:val="000000"/>
          <w:szCs w:val="20"/>
        </w:rPr>
        <w:t>A</w:t>
      </w:r>
      <w:r w:rsidR="009251B3" w:rsidRPr="001A67E2">
        <w:rPr>
          <w:rFonts w:cs="Arial"/>
          <w:color w:val="000000"/>
          <w:szCs w:val="20"/>
        </w:rPr>
        <w:t>rea</w:t>
      </w:r>
      <w:r w:rsidR="009C32BF" w:rsidRPr="001A67E2">
        <w:rPr>
          <w:rFonts w:cs="Arial"/>
          <w:color w:val="000000"/>
          <w:szCs w:val="20"/>
        </w:rPr>
        <w:t>s in the Market Area may be different because these TSRs belong to different B</w:t>
      </w:r>
      <w:r w:rsidR="009251B3" w:rsidRPr="001A67E2">
        <w:rPr>
          <w:rFonts w:cs="Arial"/>
          <w:color w:val="000000"/>
          <w:szCs w:val="20"/>
        </w:rPr>
        <w:t xml:space="preserve">alancing </w:t>
      </w:r>
      <w:r w:rsidR="009C32BF" w:rsidRPr="001A67E2">
        <w:rPr>
          <w:rFonts w:cs="Arial"/>
          <w:color w:val="000000"/>
          <w:szCs w:val="20"/>
        </w:rPr>
        <w:t>A</w:t>
      </w:r>
      <w:r w:rsidR="009251B3" w:rsidRPr="001A67E2">
        <w:rPr>
          <w:rFonts w:cs="Arial"/>
          <w:color w:val="000000"/>
          <w:szCs w:val="20"/>
        </w:rPr>
        <w:t xml:space="preserve">uthority </w:t>
      </w:r>
      <w:r w:rsidR="009C32BF" w:rsidRPr="001A67E2">
        <w:rPr>
          <w:rFonts w:cs="Arial"/>
          <w:color w:val="000000"/>
          <w:szCs w:val="20"/>
        </w:rPr>
        <w:t>A</w:t>
      </w:r>
      <w:r w:rsidR="009251B3" w:rsidRPr="001A67E2">
        <w:rPr>
          <w:rFonts w:cs="Arial"/>
          <w:color w:val="000000"/>
          <w:szCs w:val="20"/>
        </w:rPr>
        <w:t>rea</w:t>
      </w:r>
      <w:r w:rsidR="009C32BF" w:rsidRPr="001A67E2">
        <w:rPr>
          <w:rFonts w:cs="Arial"/>
          <w:color w:val="000000"/>
          <w:szCs w:val="20"/>
        </w:rPr>
        <w:t xml:space="preserve">s.  </w:t>
      </w:r>
      <w:ins w:id="146" w:author="Author">
        <w:r w:rsidR="008A018E">
          <w:rPr>
            <w:rFonts w:cs="Arial"/>
            <w:color w:val="000000"/>
            <w:szCs w:val="20"/>
          </w:rPr>
          <w:t xml:space="preserve">The CAISO sets the MCL for both of these TSRs </w:t>
        </w:r>
        <w:r w:rsidR="008A018E">
          <w:t xml:space="preserve">to the average </w:t>
        </w:r>
        <w:r w:rsidR="008A018E">
          <w:rPr>
            <w:rFonts w:cs="Arial"/>
            <w:color w:val="000000"/>
            <w:szCs w:val="20"/>
          </w:rPr>
          <w:t>rate for Marginal Losses between the two so that there is no</w:t>
        </w:r>
      </w:ins>
      <w:del w:id="147" w:author="Author">
        <w:r w:rsidR="009C32BF" w:rsidRPr="001A67E2">
          <w:delText>The</w:delText>
        </w:r>
      </w:del>
      <w:r w:rsidR="009C32BF" w:rsidRPr="001A67E2">
        <w:t xml:space="preserve"> MCL difference between the TSRs on either side of a specific Market Transfer</w:t>
      </w:r>
      <w:del w:id="148" w:author="Author">
        <w:r w:rsidR="009C32BF" w:rsidRPr="001A67E2">
          <w:delText xml:space="preserve"> generates Market Transfer revenue</w:delText>
        </w:r>
      </w:del>
      <w:r w:rsidR="009C32BF" w:rsidRPr="001A67E2">
        <w:t xml:space="preserve">. </w:t>
      </w:r>
      <w:r w:rsidR="00E62424" w:rsidRPr="001A67E2">
        <w:t xml:space="preserve"> </w:t>
      </w:r>
      <w:r w:rsidR="00E62424" w:rsidRPr="001A67E2">
        <w:rPr>
          <w:rFonts w:cs="Arial"/>
          <w:color w:val="000000"/>
          <w:szCs w:val="20"/>
        </w:rPr>
        <w:t xml:space="preserve">The </w:t>
      </w:r>
      <w:r w:rsidR="00D57EF6" w:rsidRPr="001A67E2">
        <w:rPr>
          <w:rFonts w:cs="Arial"/>
          <w:color w:val="000000"/>
          <w:szCs w:val="20"/>
        </w:rPr>
        <w:t>M</w:t>
      </w:r>
      <w:r w:rsidR="005E2545" w:rsidRPr="001A67E2">
        <w:rPr>
          <w:rFonts w:cs="Arial"/>
          <w:color w:val="000000"/>
          <w:szCs w:val="20"/>
        </w:rPr>
        <w:t xml:space="preserve">arginal </w:t>
      </w:r>
      <w:r w:rsidR="00D57EF6" w:rsidRPr="001A67E2">
        <w:rPr>
          <w:rFonts w:cs="Arial"/>
          <w:color w:val="000000"/>
          <w:szCs w:val="20"/>
        </w:rPr>
        <w:t>L</w:t>
      </w:r>
      <w:r w:rsidR="005E2545" w:rsidRPr="001A67E2">
        <w:rPr>
          <w:rFonts w:cs="Arial"/>
          <w:color w:val="000000"/>
          <w:szCs w:val="20"/>
        </w:rPr>
        <w:t>osses on transmission</w:t>
      </w:r>
      <w:r w:rsidR="005E2545">
        <w:rPr>
          <w:rFonts w:cs="Arial"/>
          <w:color w:val="000000"/>
          <w:szCs w:val="20"/>
        </w:rPr>
        <w:t xml:space="preserve"> facilities outside the </w:t>
      </w:r>
      <w:r w:rsidR="0099674C">
        <w:rPr>
          <w:rFonts w:cs="Arial"/>
          <w:color w:val="000000"/>
          <w:szCs w:val="20"/>
        </w:rPr>
        <w:t>M</w:t>
      </w:r>
      <w:r w:rsidR="005E2545">
        <w:rPr>
          <w:rFonts w:cs="Arial"/>
          <w:color w:val="000000"/>
          <w:szCs w:val="20"/>
        </w:rPr>
        <w:t xml:space="preserve">arket </w:t>
      </w:r>
      <w:r w:rsidR="0099674C">
        <w:rPr>
          <w:rFonts w:cs="Arial"/>
          <w:color w:val="000000"/>
          <w:szCs w:val="20"/>
        </w:rPr>
        <w:t>Area</w:t>
      </w:r>
      <w:r w:rsidR="005E2545">
        <w:rPr>
          <w:rFonts w:cs="Arial"/>
          <w:color w:val="000000"/>
          <w:szCs w:val="20"/>
        </w:rPr>
        <w:t xml:space="preserve"> are ignored</w:t>
      </w:r>
      <w:r w:rsidR="00E62424">
        <w:rPr>
          <w:rFonts w:cs="Arial"/>
          <w:color w:val="000000"/>
          <w:szCs w:val="20"/>
        </w:rPr>
        <w:t xml:space="preserve"> in the calculation of the MCL</w:t>
      </w:r>
      <w:r w:rsidR="005E2545">
        <w:rPr>
          <w:rFonts w:cs="Arial"/>
          <w:color w:val="000000"/>
          <w:szCs w:val="20"/>
        </w:rPr>
        <w:t>.</w:t>
      </w:r>
    </w:p>
    <w:p w14:paraId="2192497A" w14:textId="13A9EEAD" w:rsidR="001712CE" w:rsidRDefault="008A018E" w:rsidP="00277577">
      <w:pPr>
        <w:pStyle w:val="Heading3"/>
      </w:pPr>
      <w:bookmarkStart w:id="149" w:name="_Toc126133629"/>
      <w:ins w:id="150" w:author="Author">
        <w:r>
          <w:t>A</w:t>
        </w:r>
        <w:r w:rsidR="004F1B2E">
          <w:t>.</w:t>
        </w:r>
        <w:r>
          <w:t>5</w:t>
        </w:r>
      </w:ins>
      <w:del w:id="151" w:author="Author">
        <w:r w:rsidR="00264421">
          <w:delText>F.</w:delText>
        </w:r>
      </w:del>
      <w:r w:rsidR="00264421">
        <w:tab/>
        <w:t xml:space="preserve">Marginal Greenhouse Gas Cost Component </w:t>
      </w:r>
      <w:bookmarkEnd w:id="149"/>
      <w:r w:rsidR="00200CE1">
        <w:t>of the LMP</w:t>
      </w:r>
      <w:del w:id="152" w:author="Author">
        <w:r w:rsidR="00200CE1">
          <w:delText xml:space="preserve"> </w:delText>
        </w:r>
      </w:del>
    </w:p>
    <w:p w14:paraId="04199FAC" w14:textId="333DCA6A" w:rsidR="00F022B2" w:rsidRDefault="00264421" w:rsidP="001712CE">
      <w:pPr>
        <w:rPr>
          <w:rFonts w:cs="Arial"/>
          <w:color w:val="000000"/>
          <w:szCs w:val="20"/>
        </w:rPr>
      </w:pPr>
      <w:r>
        <w:rPr>
          <w:rFonts w:cs="Arial"/>
          <w:color w:val="000000"/>
          <w:szCs w:val="20"/>
        </w:rPr>
        <w:t xml:space="preserve">The CAISO employs a GHG model in the </w:t>
      </w:r>
      <w:r w:rsidR="00571ADF">
        <w:rPr>
          <w:rFonts w:cs="Arial"/>
          <w:color w:val="000000"/>
          <w:szCs w:val="20"/>
        </w:rPr>
        <w:t>DAM</w:t>
      </w:r>
      <w:r>
        <w:rPr>
          <w:rFonts w:cs="Arial"/>
          <w:color w:val="000000"/>
          <w:szCs w:val="20"/>
        </w:rPr>
        <w:t xml:space="preserve"> and RTM as described in Section</w:t>
      </w:r>
      <w:r w:rsidR="0086224E">
        <w:rPr>
          <w:rFonts w:cs="Arial"/>
          <w:color w:val="000000"/>
          <w:szCs w:val="20"/>
        </w:rPr>
        <w:t>s 29.32 and 33.32</w:t>
      </w:r>
      <w:r w:rsidR="006E4F7C">
        <w:rPr>
          <w:rFonts w:cs="Arial"/>
          <w:color w:val="000000"/>
          <w:szCs w:val="20"/>
        </w:rPr>
        <w:t>.</w:t>
      </w:r>
      <w:r>
        <w:rPr>
          <w:rFonts w:cs="Arial"/>
          <w:color w:val="000000"/>
          <w:szCs w:val="20"/>
        </w:rPr>
        <w:t xml:space="preserve"> </w:t>
      </w:r>
      <w:r w:rsidR="006E4F7C">
        <w:rPr>
          <w:rFonts w:cs="Arial"/>
          <w:color w:val="000000"/>
          <w:szCs w:val="20"/>
        </w:rPr>
        <w:t xml:space="preserve"> </w:t>
      </w:r>
      <w:r>
        <w:rPr>
          <w:rFonts w:cs="Arial"/>
          <w:color w:val="000000"/>
          <w:szCs w:val="20"/>
        </w:rPr>
        <w:t>The GHG model calculates an optimal GHG Transfer for each GHG Regulation Ar</w:t>
      </w:r>
      <w:r w:rsidR="007B6672">
        <w:rPr>
          <w:rFonts w:cs="Arial"/>
          <w:color w:val="000000"/>
          <w:szCs w:val="20"/>
        </w:rPr>
        <w:t>ea</w:t>
      </w:r>
      <w:r>
        <w:rPr>
          <w:rFonts w:cs="Arial"/>
          <w:color w:val="000000"/>
          <w:szCs w:val="20"/>
        </w:rPr>
        <w:t xml:space="preserve">.  If the GHG Transfer </w:t>
      </w:r>
      <w:r w:rsidR="00316E1F">
        <w:rPr>
          <w:rFonts w:cs="Arial"/>
          <w:color w:val="000000"/>
          <w:szCs w:val="20"/>
        </w:rPr>
        <w:t xml:space="preserve">for a GHG Regulation Area </w:t>
      </w:r>
      <w:r>
        <w:rPr>
          <w:rFonts w:cs="Arial"/>
          <w:color w:val="000000"/>
          <w:szCs w:val="20"/>
        </w:rPr>
        <w:t xml:space="preserve">is </w:t>
      </w:r>
      <w:del w:id="153" w:author="Author">
        <w:r w:rsidRPr="00A53457">
          <w:rPr>
            <w:rFonts w:cs="Arial"/>
            <w:color w:val="000000"/>
            <w:szCs w:val="20"/>
          </w:rPr>
          <w:delText>positive (</w:delText>
        </w:r>
        <w:r w:rsidR="006E4F7C" w:rsidRPr="00A53457">
          <w:rPr>
            <w:rFonts w:cs="Arial"/>
            <w:color w:val="000000"/>
            <w:szCs w:val="20"/>
          </w:rPr>
          <w:delText xml:space="preserve">denoting </w:delText>
        </w:r>
      </w:del>
      <w:r w:rsidR="006E4F7C" w:rsidRPr="00A53457">
        <w:rPr>
          <w:rFonts w:cs="Arial"/>
          <w:color w:val="000000"/>
          <w:szCs w:val="20"/>
        </w:rPr>
        <w:t xml:space="preserve">an </w:t>
      </w:r>
      <w:r w:rsidRPr="00A53457">
        <w:rPr>
          <w:rFonts w:cs="Arial"/>
          <w:color w:val="000000"/>
          <w:szCs w:val="20"/>
        </w:rPr>
        <w:t>import</w:t>
      </w:r>
      <w:ins w:id="154" w:author="Author">
        <w:r w:rsidR="004F1B2E" w:rsidRPr="00A53457">
          <w:rPr>
            <w:rFonts w:cs="Arial"/>
            <w:color w:val="000000"/>
            <w:szCs w:val="20"/>
          </w:rPr>
          <w:t>,</w:t>
        </w:r>
      </w:ins>
      <w:del w:id="155" w:author="Author">
        <w:r w:rsidRPr="00A53457">
          <w:rPr>
            <w:rFonts w:cs="Arial"/>
            <w:color w:val="000000"/>
            <w:szCs w:val="20"/>
          </w:rPr>
          <w:delText>),</w:delText>
        </w:r>
      </w:del>
      <w:r w:rsidRPr="00A53457">
        <w:rPr>
          <w:rFonts w:cs="Arial"/>
          <w:color w:val="000000"/>
          <w:szCs w:val="20"/>
        </w:rPr>
        <w:t xml:space="preserve"> it is allocated optimally to </w:t>
      </w:r>
      <w:r w:rsidR="006E4F7C" w:rsidRPr="00A53457">
        <w:rPr>
          <w:rFonts w:cs="Arial"/>
          <w:color w:val="000000"/>
          <w:szCs w:val="20"/>
        </w:rPr>
        <w:t>re</w:t>
      </w:r>
      <w:r w:rsidRPr="00A53457">
        <w:rPr>
          <w:rFonts w:cs="Arial"/>
          <w:color w:val="000000"/>
          <w:szCs w:val="20"/>
        </w:rPr>
        <w:t>sources outside th</w:t>
      </w:r>
      <w:ins w:id="156" w:author="Author">
        <w:r w:rsidR="008A018E">
          <w:rPr>
            <w:rFonts w:cs="Arial"/>
            <w:color w:val="000000"/>
            <w:szCs w:val="20"/>
          </w:rPr>
          <w:t>at</w:t>
        </w:r>
      </w:ins>
      <w:del w:id="157" w:author="Author">
        <w:r w:rsidRPr="00A53457">
          <w:rPr>
            <w:rFonts w:cs="Arial"/>
            <w:color w:val="000000"/>
            <w:szCs w:val="20"/>
          </w:rPr>
          <w:delText>e</w:delText>
        </w:r>
      </w:del>
      <w:r w:rsidRPr="00A53457">
        <w:rPr>
          <w:rFonts w:cs="Arial"/>
          <w:color w:val="000000"/>
          <w:szCs w:val="20"/>
        </w:rPr>
        <w:t xml:space="preserve"> GHG Regulation Area based on </w:t>
      </w:r>
      <w:r w:rsidR="006E4F7C" w:rsidRPr="00A53457">
        <w:rPr>
          <w:rFonts w:cs="Arial"/>
          <w:color w:val="000000"/>
          <w:szCs w:val="20"/>
        </w:rPr>
        <w:t xml:space="preserve">those </w:t>
      </w:r>
      <w:r w:rsidR="00385A4B" w:rsidRPr="00A53457">
        <w:rPr>
          <w:rFonts w:cs="Arial"/>
          <w:color w:val="000000"/>
          <w:szCs w:val="20"/>
        </w:rPr>
        <w:t>resources’</w:t>
      </w:r>
      <w:r w:rsidRPr="00A53457">
        <w:rPr>
          <w:rFonts w:cs="Arial"/>
          <w:color w:val="000000"/>
          <w:szCs w:val="20"/>
        </w:rPr>
        <w:t xml:space="preserve"> GHG Bid Adders.</w:t>
      </w:r>
      <w:r w:rsidR="007B3A84" w:rsidRPr="00A53457">
        <w:rPr>
          <w:rFonts w:cs="Arial"/>
          <w:color w:val="000000"/>
          <w:szCs w:val="20"/>
        </w:rPr>
        <w:t xml:space="preserve"> </w:t>
      </w:r>
      <w:r w:rsidR="006E4F7C" w:rsidRPr="00A53457">
        <w:rPr>
          <w:rFonts w:cs="Arial"/>
          <w:color w:val="000000"/>
          <w:szCs w:val="20"/>
        </w:rPr>
        <w:t xml:space="preserve"> </w:t>
      </w:r>
      <w:r w:rsidR="00316E1F" w:rsidRPr="00A53457">
        <w:rPr>
          <w:rFonts w:cs="Arial"/>
          <w:color w:val="000000"/>
          <w:szCs w:val="20"/>
        </w:rPr>
        <w:t>In th</w:t>
      </w:r>
      <w:r w:rsidR="006E4F7C" w:rsidRPr="00A53457">
        <w:rPr>
          <w:rFonts w:cs="Arial"/>
          <w:color w:val="000000"/>
          <w:szCs w:val="20"/>
        </w:rPr>
        <w:t>at</w:t>
      </w:r>
      <w:r w:rsidR="00316E1F" w:rsidRPr="00A53457">
        <w:rPr>
          <w:rFonts w:cs="Arial"/>
          <w:color w:val="000000"/>
          <w:szCs w:val="20"/>
        </w:rPr>
        <w:t xml:space="preserve"> case, t</w:t>
      </w:r>
      <w:r w:rsidR="007B3A84" w:rsidRPr="00A53457">
        <w:rPr>
          <w:rFonts w:cs="Arial"/>
          <w:color w:val="000000"/>
          <w:szCs w:val="20"/>
        </w:rPr>
        <w:t xml:space="preserve">he Marginal </w:t>
      </w:r>
      <w:r w:rsidR="00385A4B" w:rsidRPr="00A53457">
        <w:rPr>
          <w:rFonts w:cs="Arial"/>
          <w:color w:val="000000"/>
          <w:szCs w:val="20"/>
        </w:rPr>
        <w:t xml:space="preserve">GHG </w:t>
      </w:r>
      <w:r w:rsidR="007B3A84" w:rsidRPr="00A53457">
        <w:rPr>
          <w:rFonts w:cs="Arial"/>
          <w:color w:val="000000"/>
          <w:szCs w:val="20"/>
        </w:rPr>
        <w:t>Cost</w:t>
      </w:r>
      <w:r w:rsidR="006E4F7C" w:rsidRPr="00A53457">
        <w:rPr>
          <w:rFonts w:cs="Arial"/>
          <w:color w:val="000000"/>
          <w:szCs w:val="20"/>
        </w:rPr>
        <w:t xml:space="preserve"> </w:t>
      </w:r>
      <w:r w:rsidR="007B3A84" w:rsidRPr="00A53457">
        <w:rPr>
          <w:rFonts w:cs="Arial"/>
          <w:color w:val="000000"/>
          <w:szCs w:val="20"/>
        </w:rPr>
        <w:t xml:space="preserve">for all PNodes in </w:t>
      </w:r>
      <w:r w:rsidR="00385A4B" w:rsidRPr="00A53457">
        <w:rPr>
          <w:rFonts w:cs="Arial"/>
          <w:color w:val="000000"/>
          <w:szCs w:val="20"/>
        </w:rPr>
        <w:t>a specific</w:t>
      </w:r>
      <w:r w:rsidR="007B3A84" w:rsidRPr="00A53457">
        <w:rPr>
          <w:rFonts w:cs="Arial"/>
          <w:color w:val="000000"/>
          <w:szCs w:val="20"/>
        </w:rPr>
        <w:t xml:space="preserve"> GHG Regulation Area is the Shadow Price of the GHG Transfer allocation constraint </w:t>
      </w:r>
      <w:r w:rsidR="00316E1F" w:rsidRPr="00A53457">
        <w:rPr>
          <w:rFonts w:cs="Arial"/>
          <w:color w:val="000000"/>
          <w:szCs w:val="20"/>
        </w:rPr>
        <w:t xml:space="preserve">for that </w:t>
      </w:r>
      <w:r w:rsidR="006E4F7C" w:rsidRPr="00A53457">
        <w:rPr>
          <w:rFonts w:cs="Arial"/>
          <w:color w:val="000000"/>
          <w:szCs w:val="20"/>
        </w:rPr>
        <w:t>GHG Regulation A</w:t>
      </w:r>
      <w:r w:rsidR="00316E1F" w:rsidRPr="00A53457">
        <w:rPr>
          <w:rFonts w:cs="Arial"/>
          <w:color w:val="000000"/>
          <w:szCs w:val="20"/>
        </w:rPr>
        <w:t>rea</w:t>
      </w:r>
      <w:ins w:id="158" w:author="Author">
        <w:r w:rsidR="008A018E">
          <w:rPr>
            <w:rFonts w:cs="Arial"/>
            <w:color w:val="000000"/>
            <w:szCs w:val="20"/>
          </w:rPr>
          <w:t xml:space="preserve"> and it represents the marginal cost of GHG regulation for net import transfer into that GHG Regulation Area</w:t>
        </w:r>
        <w:r w:rsidR="004F1B2E" w:rsidRPr="00A53457">
          <w:rPr>
            <w:rFonts w:cs="Arial"/>
            <w:color w:val="000000"/>
            <w:szCs w:val="20"/>
          </w:rPr>
          <w:t>.</w:t>
        </w:r>
      </w:ins>
      <w:del w:id="159" w:author="Author">
        <w:r w:rsidR="00316E1F" w:rsidRPr="00A53457">
          <w:rPr>
            <w:rFonts w:cs="Arial"/>
            <w:color w:val="000000"/>
            <w:szCs w:val="20"/>
          </w:rPr>
          <w:delText>.</w:delText>
        </w:r>
      </w:del>
      <w:r w:rsidR="00316E1F" w:rsidRPr="00A53457">
        <w:rPr>
          <w:rFonts w:cs="Arial"/>
          <w:color w:val="000000"/>
          <w:szCs w:val="20"/>
        </w:rPr>
        <w:t xml:space="preserve"> </w:t>
      </w:r>
      <w:r w:rsidR="006E4F7C" w:rsidRPr="00A53457">
        <w:rPr>
          <w:rFonts w:cs="Arial"/>
          <w:color w:val="000000"/>
          <w:szCs w:val="20"/>
        </w:rPr>
        <w:t xml:space="preserve"> </w:t>
      </w:r>
      <w:r w:rsidR="00316E1F" w:rsidRPr="00A53457">
        <w:rPr>
          <w:rFonts w:cs="Arial"/>
          <w:color w:val="000000"/>
          <w:szCs w:val="20"/>
        </w:rPr>
        <w:t xml:space="preserve">If the GHG Transfer is </w:t>
      </w:r>
      <w:del w:id="160" w:author="Author">
        <w:r w:rsidR="00316E1F" w:rsidRPr="00A53457">
          <w:rPr>
            <w:rFonts w:cs="Arial"/>
            <w:color w:val="000000"/>
            <w:szCs w:val="20"/>
          </w:rPr>
          <w:delText>negative (</w:delText>
        </w:r>
        <w:r w:rsidR="006E4F7C" w:rsidRPr="00A53457">
          <w:rPr>
            <w:rFonts w:cs="Arial"/>
            <w:color w:val="000000"/>
            <w:szCs w:val="20"/>
          </w:rPr>
          <w:delText xml:space="preserve">denoting </w:delText>
        </w:r>
      </w:del>
      <w:r w:rsidR="006E4F7C" w:rsidRPr="00A53457">
        <w:rPr>
          <w:rFonts w:cs="Arial"/>
          <w:color w:val="000000"/>
          <w:szCs w:val="20"/>
        </w:rPr>
        <w:t xml:space="preserve">an </w:t>
      </w:r>
      <w:r w:rsidR="00316E1F" w:rsidRPr="00A53457">
        <w:rPr>
          <w:rFonts w:cs="Arial"/>
          <w:color w:val="000000"/>
          <w:szCs w:val="20"/>
        </w:rPr>
        <w:t>export</w:t>
      </w:r>
      <w:ins w:id="161" w:author="Author">
        <w:r w:rsidR="004F1B2E" w:rsidRPr="00A53457">
          <w:rPr>
            <w:rFonts w:cs="Arial"/>
            <w:color w:val="000000"/>
            <w:szCs w:val="20"/>
          </w:rPr>
          <w:t>,</w:t>
        </w:r>
      </w:ins>
      <w:del w:id="162" w:author="Author">
        <w:r w:rsidR="00316E1F" w:rsidRPr="00A53457">
          <w:rPr>
            <w:rFonts w:cs="Arial"/>
            <w:color w:val="000000"/>
            <w:szCs w:val="20"/>
          </w:rPr>
          <w:delText>)</w:delText>
        </w:r>
        <w:r w:rsidR="002E41BD" w:rsidRPr="00A53457">
          <w:rPr>
            <w:rFonts w:cs="Arial"/>
            <w:color w:val="000000"/>
            <w:szCs w:val="20"/>
          </w:rPr>
          <w:delText>,</w:delText>
        </w:r>
      </w:del>
      <w:r w:rsidR="002E41BD" w:rsidRPr="00A53457">
        <w:rPr>
          <w:rFonts w:cs="Arial"/>
          <w:color w:val="000000"/>
          <w:szCs w:val="20"/>
        </w:rPr>
        <w:t xml:space="preserve"> the GHG Transfer allocation constraint</w:t>
      </w:r>
      <w:r w:rsidR="00316E1F" w:rsidRPr="00A53457">
        <w:rPr>
          <w:rFonts w:cs="Arial"/>
          <w:color w:val="000000"/>
          <w:szCs w:val="20"/>
        </w:rPr>
        <w:t xml:space="preserve"> </w:t>
      </w:r>
      <w:r w:rsidR="002E41BD" w:rsidRPr="00A53457">
        <w:rPr>
          <w:rFonts w:cs="Arial"/>
          <w:color w:val="000000"/>
          <w:szCs w:val="20"/>
        </w:rPr>
        <w:t xml:space="preserve">is not binding, all GHG attributions are zero for that </w:t>
      </w:r>
      <w:r w:rsidR="006E4F7C" w:rsidRPr="00A53457">
        <w:rPr>
          <w:rFonts w:cs="Arial"/>
          <w:color w:val="000000"/>
          <w:szCs w:val="20"/>
        </w:rPr>
        <w:t>GHG Regulation A</w:t>
      </w:r>
      <w:r w:rsidR="002E41BD" w:rsidRPr="00A53457">
        <w:rPr>
          <w:rFonts w:cs="Arial"/>
          <w:color w:val="000000"/>
          <w:szCs w:val="20"/>
        </w:rPr>
        <w:t>rea, and the Marginal</w:t>
      </w:r>
      <w:r w:rsidR="00385A4B" w:rsidRPr="00A53457">
        <w:rPr>
          <w:rFonts w:cs="Arial"/>
          <w:color w:val="000000"/>
          <w:szCs w:val="20"/>
        </w:rPr>
        <w:t xml:space="preserve"> GHG</w:t>
      </w:r>
      <w:r w:rsidR="002E41BD" w:rsidRPr="00A53457">
        <w:rPr>
          <w:rFonts w:cs="Arial"/>
          <w:color w:val="000000"/>
          <w:szCs w:val="20"/>
        </w:rPr>
        <w:t xml:space="preserve"> Cost for all PNodes in th</w:t>
      </w:r>
      <w:ins w:id="163" w:author="Author">
        <w:r w:rsidR="008A018E">
          <w:rPr>
            <w:rFonts w:cs="Arial"/>
            <w:color w:val="000000"/>
            <w:szCs w:val="20"/>
          </w:rPr>
          <w:t>at</w:t>
        </w:r>
      </w:ins>
      <w:del w:id="164" w:author="Author">
        <w:r w:rsidR="002E41BD" w:rsidRPr="00A53457">
          <w:rPr>
            <w:rFonts w:cs="Arial"/>
            <w:color w:val="000000"/>
            <w:szCs w:val="20"/>
          </w:rPr>
          <w:delText>e</w:delText>
        </w:r>
      </w:del>
      <w:r w:rsidR="002E41BD" w:rsidRPr="00A53457">
        <w:rPr>
          <w:rFonts w:cs="Arial"/>
          <w:color w:val="000000"/>
          <w:szCs w:val="20"/>
        </w:rPr>
        <w:t xml:space="preserve"> GHG Regulation Area is </w:t>
      </w:r>
      <w:del w:id="165" w:author="Author">
        <w:r w:rsidR="002E41BD" w:rsidRPr="00A53457">
          <w:rPr>
            <w:rFonts w:cs="Arial"/>
            <w:color w:val="000000"/>
            <w:szCs w:val="20"/>
          </w:rPr>
          <w:delText xml:space="preserve">also </w:delText>
        </w:r>
      </w:del>
      <w:r w:rsidR="002E41BD" w:rsidRPr="00A53457">
        <w:rPr>
          <w:rFonts w:cs="Arial"/>
          <w:color w:val="000000"/>
          <w:szCs w:val="20"/>
        </w:rPr>
        <w:t xml:space="preserve">zero. </w:t>
      </w:r>
      <w:r w:rsidR="006E4F7C" w:rsidRPr="00A53457">
        <w:rPr>
          <w:rFonts w:cs="Arial"/>
          <w:color w:val="000000"/>
          <w:szCs w:val="20"/>
        </w:rPr>
        <w:t xml:space="preserve"> </w:t>
      </w:r>
      <w:r w:rsidR="00316E1F" w:rsidRPr="00A53457">
        <w:rPr>
          <w:rFonts w:cs="Arial"/>
          <w:color w:val="000000"/>
          <w:szCs w:val="20"/>
        </w:rPr>
        <w:t xml:space="preserve">The Marginal </w:t>
      </w:r>
      <w:r w:rsidR="00385A4B" w:rsidRPr="00A53457">
        <w:rPr>
          <w:rFonts w:cs="Arial"/>
          <w:color w:val="000000"/>
          <w:szCs w:val="20"/>
        </w:rPr>
        <w:t xml:space="preserve">GHG </w:t>
      </w:r>
      <w:r w:rsidR="00316E1F" w:rsidRPr="00A53457">
        <w:rPr>
          <w:rFonts w:cs="Arial"/>
          <w:color w:val="000000"/>
          <w:szCs w:val="20"/>
        </w:rPr>
        <w:t xml:space="preserve">Cost outside </w:t>
      </w:r>
      <w:r w:rsidR="00571ADF" w:rsidRPr="00A53457">
        <w:rPr>
          <w:rFonts w:cs="Arial"/>
          <w:color w:val="000000"/>
          <w:szCs w:val="20"/>
        </w:rPr>
        <w:t xml:space="preserve">of </w:t>
      </w:r>
      <w:ins w:id="166" w:author="Author">
        <w:r w:rsidR="008A018E">
          <w:rPr>
            <w:rFonts w:cs="Arial"/>
            <w:color w:val="000000"/>
            <w:szCs w:val="20"/>
          </w:rPr>
          <w:t xml:space="preserve">all </w:t>
        </w:r>
      </w:ins>
      <w:r w:rsidR="00316E1F" w:rsidRPr="00A53457">
        <w:rPr>
          <w:rFonts w:cs="Arial"/>
          <w:color w:val="000000"/>
          <w:szCs w:val="20"/>
        </w:rPr>
        <w:t xml:space="preserve">GHG Regulation Areas </w:t>
      </w:r>
      <w:ins w:id="167" w:author="Author">
        <w:r w:rsidR="008A018E">
          <w:rPr>
            <w:rFonts w:cs="Arial"/>
            <w:color w:val="000000"/>
            <w:szCs w:val="20"/>
          </w:rPr>
          <w:t>is</w:t>
        </w:r>
      </w:ins>
      <w:del w:id="168" w:author="Author">
        <w:r w:rsidR="00571ADF" w:rsidRPr="00A53457">
          <w:rPr>
            <w:rFonts w:cs="Arial"/>
            <w:color w:val="000000"/>
            <w:szCs w:val="20"/>
          </w:rPr>
          <w:delText>will</w:delText>
        </w:r>
      </w:del>
      <w:r w:rsidR="00316E1F" w:rsidRPr="00A53457">
        <w:rPr>
          <w:rFonts w:cs="Arial"/>
          <w:color w:val="000000"/>
          <w:szCs w:val="20"/>
        </w:rPr>
        <w:t xml:space="preserve"> </w:t>
      </w:r>
      <w:r w:rsidR="002E41BD" w:rsidRPr="00A53457">
        <w:rPr>
          <w:rFonts w:cs="Arial"/>
          <w:color w:val="000000"/>
          <w:szCs w:val="20"/>
        </w:rPr>
        <w:t xml:space="preserve">always </w:t>
      </w:r>
      <w:del w:id="169" w:author="Author">
        <w:r w:rsidR="00571ADF" w:rsidRPr="00A53457">
          <w:rPr>
            <w:rFonts w:cs="Arial"/>
            <w:color w:val="000000"/>
            <w:szCs w:val="20"/>
          </w:rPr>
          <w:delText xml:space="preserve">be </w:delText>
        </w:r>
      </w:del>
      <w:r w:rsidR="00316E1F" w:rsidRPr="00A53457">
        <w:rPr>
          <w:rFonts w:cs="Arial"/>
          <w:color w:val="000000"/>
          <w:szCs w:val="20"/>
        </w:rPr>
        <w:t>zero.</w:t>
      </w:r>
      <w:r w:rsidR="00B57704" w:rsidRPr="00A53457">
        <w:rPr>
          <w:rFonts w:cs="Arial"/>
          <w:color w:val="000000"/>
          <w:szCs w:val="20"/>
        </w:rPr>
        <w:t xml:space="preserve"> </w:t>
      </w:r>
      <w:r w:rsidR="006E4F7C" w:rsidRPr="00A53457">
        <w:rPr>
          <w:rFonts w:cs="Arial"/>
          <w:color w:val="000000"/>
          <w:szCs w:val="20"/>
        </w:rPr>
        <w:t xml:space="preserve"> </w:t>
      </w:r>
      <w:r w:rsidR="00B57704" w:rsidRPr="00A53457">
        <w:rPr>
          <w:rFonts w:cs="Arial"/>
          <w:color w:val="000000"/>
          <w:szCs w:val="20"/>
        </w:rPr>
        <w:t xml:space="preserve">Furthermore, the Marginal GHG Cost of </w:t>
      </w:r>
      <w:r w:rsidR="006E4F7C" w:rsidRPr="00A53457">
        <w:rPr>
          <w:rFonts w:cs="Arial"/>
          <w:color w:val="000000"/>
          <w:szCs w:val="20"/>
        </w:rPr>
        <w:t xml:space="preserve">a </w:t>
      </w:r>
      <w:r w:rsidR="00B57704" w:rsidRPr="00A53457">
        <w:rPr>
          <w:rFonts w:cs="Arial"/>
          <w:color w:val="000000"/>
          <w:szCs w:val="20"/>
        </w:rPr>
        <w:t xml:space="preserve">TSR is always zero, even when </w:t>
      </w:r>
      <w:r w:rsidR="006E4F7C" w:rsidRPr="00A53457">
        <w:rPr>
          <w:rFonts w:cs="Arial"/>
          <w:color w:val="000000"/>
          <w:szCs w:val="20"/>
        </w:rPr>
        <w:t>its</w:t>
      </w:r>
      <w:r w:rsidR="00B57704" w:rsidRPr="00A53457">
        <w:rPr>
          <w:rFonts w:cs="Arial"/>
          <w:color w:val="000000"/>
          <w:szCs w:val="20"/>
        </w:rPr>
        <w:t xml:space="preserve"> Transfer Location is within or at the border of a GHG Regulation Area</w:t>
      </w:r>
      <w:r w:rsidR="006E4F7C" w:rsidRPr="00A53457">
        <w:rPr>
          <w:rFonts w:cs="Arial"/>
          <w:color w:val="000000"/>
          <w:szCs w:val="20"/>
        </w:rPr>
        <w:t>,</w:t>
      </w:r>
      <w:r w:rsidR="00B57704" w:rsidRPr="00A53457">
        <w:rPr>
          <w:rFonts w:cs="Arial"/>
          <w:color w:val="000000"/>
          <w:szCs w:val="20"/>
        </w:rPr>
        <w:t xml:space="preserve"> because the associated GHG regulation cost is collected from the </w:t>
      </w:r>
      <w:ins w:id="170" w:author="Author">
        <w:r w:rsidR="004D36F0">
          <w:rPr>
            <w:rFonts w:cs="Arial"/>
            <w:color w:val="000000"/>
            <w:szCs w:val="20"/>
          </w:rPr>
          <w:t>LMP</w:t>
        </w:r>
      </w:ins>
      <w:del w:id="171" w:author="Author">
        <w:r w:rsidR="006E4F7C" w:rsidRPr="00A53457">
          <w:rPr>
            <w:rFonts w:cs="Arial"/>
            <w:color w:val="000000"/>
            <w:szCs w:val="20"/>
          </w:rPr>
          <w:delText>E</w:delText>
        </w:r>
        <w:r w:rsidR="00B57704" w:rsidRPr="00A53457">
          <w:rPr>
            <w:rFonts w:cs="Arial"/>
            <w:color w:val="000000"/>
            <w:szCs w:val="20"/>
          </w:rPr>
          <w:delText>nergy</w:delText>
        </w:r>
      </w:del>
      <w:r w:rsidR="00B57704" w:rsidRPr="00A53457">
        <w:rPr>
          <w:rFonts w:cs="Arial"/>
          <w:color w:val="000000"/>
          <w:szCs w:val="20"/>
        </w:rPr>
        <w:t xml:space="preserve"> settlement of all physical resources within the GHG Regulation Area</w:t>
      </w:r>
      <w:r w:rsidR="00AA423A" w:rsidRPr="00A53457">
        <w:rPr>
          <w:rFonts w:cs="Arial"/>
          <w:color w:val="000000"/>
          <w:szCs w:val="20"/>
        </w:rPr>
        <w:t xml:space="preserve"> and paid explicitly to the respective </w:t>
      </w:r>
      <w:r w:rsidR="006E4F7C" w:rsidRPr="00A53457">
        <w:rPr>
          <w:rFonts w:cs="Arial"/>
          <w:color w:val="000000"/>
          <w:szCs w:val="20"/>
        </w:rPr>
        <w:t>resources</w:t>
      </w:r>
      <w:r w:rsidR="00AA423A" w:rsidRPr="00A53457">
        <w:rPr>
          <w:rFonts w:cs="Arial"/>
          <w:color w:val="000000"/>
          <w:szCs w:val="20"/>
        </w:rPr>
        <w:t xml:space="preserve"> </w:t>
      </w:r>
      <w:ins w:id="172" w:author="Author">
        <w:r w:rsidR="004D36F0">
          <w:rPr>
            <w:rFonts w:cs="Arial"/>
            <w:color w:val="000000"/>
            <w:szCs w:val="20"/>
          </w:rPr>
          <w:t>outside</w:t>
        </w:r>
        <w:r w:rsidR="004F1B2E" w:rsidRPr="00A53457">
          <w:rPr>
            <w:rFonts w:cs="Arial"/>
            <w:color w:val="000000"/>
            <w:szCs w:val="20"/>
          </w:rPr>
          <w:t xml:space="preserve"> the GHG Regulation Area</w:t>
        </w:r>
        <w:r w:rsidR="004D36F0">
          <w:rPr>
            <w:rFonts w:cs="Arial"/>
            <w:color w:val="000000"/>
            <w:szCs w:val="20"/>
          </w:rPr>
          <w:t xml:space="preserve"> with GHG Attributions for that</w:t>
        </w:r>
      </w:ins>
      <w:del w:id="173" w:author="Author">
        <w:r w:rsidR="00AA423A" w:rsidRPr="00A53457">
          <w:rPr>
            <w:rFonts w:cs="Arial"/>
            <w:color w:val="000000"/>
            <w:szCs w:val="20"/>
          </w:rPr>
          <w:delText>or to the load in the</w:delText>
        </w:r>
      </w:del>
      <w:r w:rsidR="00AA423A" w:rsidRPr="00A53457">
        <w:rPr>
          <w:rFonts w:cs="Arial"/>
          <w:color w:val="000000"/>
          <w:szCs w:val="20"/>
        </w:rPr>
        <w:t xml:space="preserve"> GHG Regulation Area</w:t>
      </w:r>
      <w:r w:rsidR="006E4F7C" w:rsidRPr="00A53457">
        <w:rPr>
          <w:rFonts w:cs="Arial"/>
          <w:color w:val="000000"/>
          <w:szCs w:val="20"/>
        </w:rPr>
        <w:t>.</w:t>
      </w:r>
    </w:p>
    <w:p w14:paraId="660F2E7F" w14:textId="648B0C83" w:rsidR="001712CE" w:rsidRDefault="004D36F0" w:rsidP="00277577">
      <w:pPr>
        <w:pStyle w:val="Heading3"/>
      </w:pPr>
      <w:bookmarkStart w:id="174" w:name="_Toc126133630"/>
      <w:ins w:id="175" w:author="Author">
        <w:r>
          <w:t>A</w:t>
        </w:r>
        <w:r w:rsidR="004F1B2E">
          <w:t>.</w:t>
        </w:r>
        <w:r>
          <w:t>6</w:t>
        </w:r>
      </w:ins>
      <w:del w:id="176" w:author="Author">
        <w:r w:rsidR="00264421">
          <w:delText>G.</w:delText>
        </w:r>
      </w:del>
      <w:r w:rsidR="00264421">
        <w:tab/>
        <w:t>Trading Hub Price Calculation</w:t>
      </w:r>
      <w:bookmarkEnd w:id="174"/>
      <w:del w:id="177" w:author="Author">
        <w:r w:rsidR="00264421">
          <w:delText xml:space="preserve"> </w:delText>
        </w:r>
      </w:del>
    </w:p>
    <w:p w14:paraId="6F77B3FF" w14:textId="77777777" w:rsidR="001712CE" w:rsidRDefault="00264421" w:rsidP="001712CE">
      <w:r w:rsidRPr="001712CE">
        <w:t>The CAISO calculates Existing Zone Generation Trading Hub prices, as provided in Section 27.3, based on the LMP calculations described in this Attachment and in Section 27.2.</w:t>
      </w:r>
    </w:p>
    <w:p w14:paraId="5E41331F" w14:textId="5867A3C6" w:rsidR="001712CE" w:rsidRDefault="004D36F0" w:rsidP="00277577">
      <w:pPr>
        <w:pStyle w:val="Heading3"/>
      </w:pPr>
      <w:bookmarkStart w:id="178" w:name="_Toc126133631"/>
      <w:ins w:id="179" w:author="Author">
        <w:r>
          <w:t>A</w:t>
        </w:r>
        <w:r w:rsidR="004F1B2E">
          <w:t>.</w:t>
        </w:r>
        <w:r>
          <w:t>7</w:t>
        </w:r>
      </w:ins>
      <w:del w:id="180" w:author="Author">
        <w:r w:rsidR="00264421">
          <w:delText>H.</w:delText>
        </w:r>
      </w:del>
      <w:r w:rsidR="00264421">
        <w:tab/>
        <w:t xml:space="preserve">Load </w:t>
      </w:r>
      <w:ins w:id="181" w:author="Author">
        <w:r w:rsidR="00D22029">
          <w:t>Aggregation Point</w:t>
        </w:r>
      </w:ins>
      <w:del w:id="182" w:author="Author">
        <w:r w:rsidR="00264421">
          <w:delText>Zone</w:delText>
        </w:r>
      </w:del>
      <w:r w:rsidR="00264421">
        <w:t xml:space="preserve"> Price Calculation</w:t>
      </w:r>
      <w:bookmarkEnd w:id="178"/>
      <w:del w:id="183" w:author="Author">
        <w:r w:rsidR="00264421">
          <w:delText xml:space="preserve"> </w:delText>
        </w:r>
      </w:del>
    </w:p>
    <w:p w14:paraId="06532546" w14:textId="1B02CB15" w:rsidR="001712CE" w:rsidRDefault="00264421" w:rsidP="001712CE">
      <w:r w:rsidRPr="001712CE">
        <w:lastRenderedPageBreak/>
        <w:t>The CAISO calculates LAP prices as described in Section</w:t>
      </w:r>
      <w:del w:id="184" w:author="Author">
        <w:r w:rsidRPr="001712CE">
          <w:delText>s</w:delText>
        </w:r>
      </w:del>
      <w:r w:rsidRPr="001712CE">
        <w:t xml:space="preserve"> 27.2.2</w:t>
      </w:r>
      <w:ins w:id="185" w:author="Author">
        <w:r w:rsidR="004D36F0">
          <w:t>.</w:t>
        </w:r>
      </w:ins>
    </w:p>
    <w:p w14:paraId="3EC9AF51" w14:textId="5535AA89" w:rsidR="001712CE" w:rsidRPr="00CF0587" w:rsidRDefault="00D22029" w:rsidP="00277577">
      <w:pPr>
        <w:pStyle w:val="Heading3"/>
      </w:pPr>
      <w:bookmarkStart w:id="186" w:name="_Toc126133632"/>
      <w:ins w:id="187" w:author="Author">
        <w:r>
          <w:t>A</w:t>
        </w:r>
        <w:r w:rsidR="004F1B2E">
          <w:t>.</w:t>
        </w:r>
        <w:r>
          <w:t>8</w:t>
        </w:r>
      </w:ins>
      <w:del w:id="188" w:author="Author">
        <w:r w:rsidR="00264421">
          <w:delText>I.</w:delText>
        </w:r>
      </w:del>
      <w:r w:rsidR="00264421">
        <w:tab/>
      </w:r>
      <w:r w:rsidR="00264421" w:rsidRPr="00CF0587">
        <w:t>Intertie Scheduling Point Price Calculation</w:t>
      </w:r>
      <w:bookmarkEnd w:id="186"/>
      <w:r w:rsidR="00264421" w:rsidRPr="00CF0587">
        <w:t xml:space="preserve"> </w:t>
      </w:r>
    </w:p>
    <w:p w14:paraId="5A579BCD" w14:textId="77777777" w:rsidR="00B546A6" w:rsidRPr="00175EF7" w:rsidRDefault="00264421" w:rsidP="001712CE">
      <w:r w:rsidRPr="00CF0587">
        <w:t xml:space="preserve">The CAISO calculates LMPs for </w:t>
      </w:r>
      <w:r w:rsidR="00A96895" w:rsidRPr="00CF0587">
        <w:t>i</w:t>
      </w:r>
      <w:r w:rsidR="0000430E" w:rsidRPr="00CF0587">
        <w:t xml:space="preserve">ntertie </w:t>
      </w:r>
      <w:r w:rsidR="00A96895" w:rsidRPr="00CF0587">
        <w:t>r</w:t>
      </w:r>
      <w:r w:rsidR="0000430E" w:rsidRPr="00CF0587">
        <w:t xml:space="preserve">esources at </w:t>
      </w:r>
      <w:r w:rsidRPr="00CF0587">
        <w:t xml:space="preserve">Scheduling Points, which are represented in the FNM as PNodes or aggregations of PNodes external to the </w:t>
      </w:r>
      <w:r w:rsidR="00D0412F" w:rsidRPr="00CF0587">
        <w:t xml:space="preserve">Market </w:t>
      </w:r>
      <w:r w:rsidRPr="00CF0587">
        <w:t>Area</w:t>
      </w:r>
      <w:r w:rsidR="00D0412F" w:rsidRPr="00CF0587">
        <w:t xml:space="preserve"> </w:t>
      </w:r>
      <w:r w:rsidR="00A96895" w:rsidRPr="00CF0587">
        <w:t>(</w:t>
      </w:r>
      <w:r w:rsidR="00D0412F" w:rsidRPr="00CF0587">
        <w:rPr>
          <w:i/>
        </w:rPr>
        <w:t>i.e.</w:t>
      </w:r>
      <w:r w:rsidR="00D0412F" w:rsidRPr="00CF0587">
        <w:t xml:space="preserve">, </w:t>
      </w:r>
      <w:r w:rsidR="00137906" w:rsidRPr="00CF0587">
        <w:t>at the boundary of a B</w:t>
      </w:r>
      <w:r w:rsidR="009251B3" w:rsidRPr="00CF0587">
        <w:t xml:space="preserve">alancing </w:t>
      </w:r>
      <w:r w:rsidR="00137906" w:rsidRPr="00CF0587">
        <w:t>A</w:t>
      </w:r>
      <w:r w:rsidR="009251B3" w:rsidRPr="00CF0587">
        <w:t xml:space="preserve">uthority </w:t>
      </w:r>
      <w:r w:rsidR="00137906" w:rsidRPr="00CF0587">
        <w:t>A</w:t>
      </w:r>
      <w:r w:rsidR="009251B3" w:rsidRPr="00CF0587">
        <w:t>rea</w:t>
      </w:r>
      <w:r w:rsidR="00D0412F" w:rsidRPr="00CF0587">
        <w:t xml:space="preserve"> inside the Market Area </w:t>
      </w:r>
      <w:r w:rsidR="0099674C" w:rsidRPr="00CF0587">
        <w:t>with</w:t>
      </w:r>
      <w:r w:rsidR="00D0412F" w:rsidRPr="00CF0587">
        <w:t xml:space="preserve"> a B</w:t>
      </w:r>
      <w:r w:rsidR="009251B3" w:rsidRPr="00CF0587">
        <w:t xml:space="preserve">alancing </w:t>
      </w:r>
      <w:r w:rsidR="00D0412F" w:rsidRPr="00CF0587">
        <w:t>A</w:t>
      </w:r>
      <w:r w:rsidR="009251B3" w:rsidRPr="00CF0587">
        <w:t xml:space="preserve">uthority </w:t>
      </w:r>
      <w:r w:rsidR="00D0412F" w:rsidRPr="00CF0587">
        <w:t>A</w:t>
      </w:r>
      <w:r w:rsidR="009251B3" w:rsidRPr="00CF0587">
        <w:t>rea</w:t>
      </w:r>
      <w:r w:rsidR="00D0412F" w:rsidRPr="00CF0587">
        <w:t xml:space="preserve"> outside the Market Area</w:t>
      </w:r>
      <w:r w:rsidR="00A96895" w:rsidRPr="00CF0587">
        <w:t>)</w:t>
      </w:r>
      <w:r w:rsidR="00137906" w:rsidRPr="00CF0587">
        <w:t>,</w:t>
      </w:r>
      <w:r w:rsidRPr="00CF0587">
        <w:t xml:space="preserve"> through the same process that is used to calculate LMPs </w:t>
      </w:r>
      <w:r w:rsidR="00137906" w:rsidRPr="00CF0587">
        <w:t xml:space="preserve">for PNodes </w:t>
      </w:r>
      <w:r w:rsidRPr="00CF0587">
        <w:t xml:space="preserve">within </w:t>
      </w:r>
      <w:r w:rsidR="00CB6B99" w:rsidRPr="00CF0587">
        <w:t>the Market Area</w:t>
      </w:r>
      <w:r w:rsidRPr="00CF0587">
        <w:t xml:space="preserve">.  In some cases, facilities that are part of the CAISO Controlled Grid but are external to the CAISO Balancing Authority Area connect some </w:t>
      </w:r>
      <w:r w:rsidR="00054704" w:rsidRPr="00CF0587">
        <w:t>i</w:t>
      </w:r>
      <w:r w:rsidRPr="00CF0587">
        <w:t>ntertie Scheduling Points to the CAISO Balancing Authority Area, and</w:t>
      </w:r>
      <w:r w:rsidRPr="001712CE">
        <w:t xml:space="preserve"> in these cases</w:t>
      </w:r>
      <w:r w:rsidR="00137906">
        <w:t>,</w:t>
      </w:r>
      <w:r w:rsidRPr="001712CE">
        <w:t xml:space="preserve"> the Scheduling Points are within external Balancing Authority Areas</w:t>
      </w:r>
      <w:r w:rsidRPr="00175EF7">
        <w:t>.  In these cases, the Scheduling Points are represented in the FNM</w:t>
      </w:r>
      <w:r w:rsidR="0000430E" w:rsidRPr="00175EF7">
        <w:t xml:space="preserve"> at the relevant </w:t>
      </w:r>
      <w:r w:rsidR="00A96895" w:rsidRPr="00175EF7">
        <w:t>L</w:t>
      </w:r>
      <w:r w:rsidR="0000430E" w:rsidRPr="00175EF7">
        <w:t>ocations and used to schedule imports and exports to/from the CAISO Balancing Authority Area</w:t>
      </w:r>
      <w:r w:rsidRPr="00175EF7">
        <w:t xml:space="preserve">.  </w:t>
      </w:r>
      <w:r w:rsidR="0000430E" w:rsidRPr="00175EF7">
        <w:t xml:space="preserve">The MCC of the LMP at a Scheduling Point includes contributions from binding </w:t>
      </w:r>
      <w:r w:rsidR="006C5234" w:rsidRPr="00175EF7">
        <w:t xml:space="preserve">intertie constraints and intertie </w:t>
      </w:r>
      <w:r w:rsidR="0000430E" w:rsidRPr="00175EF7">
        <w:t xml:space="preserve">scheduling limits that constrain import/export </w:t>
      </w:r>
      <w:r w:rsidR="00A96895" w:rsidRPr="00175EF7">
        <w:t>S</w:t>
      </w:r>
      <w:r w:rsidR="0000430E" w:rsidRPr="00175EF7">
        <w:t>chedules at the relevant Scheduling Point.</w:t>
      </w:r>
      <w:r w:rsidR="00F31E90" w:rsidRPr="00175EF7">
        <w:t xml:space="preserve">  </w:t>
      </w:r>
      <w:r w:rsidR="0000430E" w:rsidRPr="00175EF7">
        <w:t xml:space="preserve">Normally, </w:t>
      </w:r>
      <w:r w:rsidR="00DA010C" w:rsidRPr="00175EF7">
        <w:t>System</w:t>
      </w:r>
      <w:r w:rsidR="0000430E" w:rsidRPr="00175EF7">
        <w:t xml:space="preserve"> Resources </w:t>
      </w:r>
      <w:r w:rsidR="00E800A4" w:rsidRPr="00175EF7">
        <w:t xml:space="preserve">are registered </w:t>
      </w:r>
      <w:r w:rsidR="0000430E" w:rsidRPr="00175EF7">
        <w:t xml:space="preserve">at a Scheduling Point </w:t>
      </w:r>
      <w:r w:rsidR="00FB579A" w:rsidRPr="00175EF7">
        <w:t>to a B</w:t>
      </w:r>
      <w:r w:rsidR="009251B3" w:rsidRPr="00175EF7">
        <w:t xml:space="preserve">alancing </w:t>
      </w:r>
      <w:r w:rsidR="00FB579A" w:rsidRPr="00175EF7">
        <w:t>A</w:t>
      </w:r>
      <w:r w:rsidR="009251B3" w:rsidRPr="00175EF7">
        <w:t xml:space="preserve">uthority </w:t>
      </w:r>
      <w:r w:rsidR="00FB579A" w:rsidRPr="00175EF7">
        <w:t>A</w:t>
      </w:r>
      <w:r w:rsidR="009251B3" w:rsidRPr="00175EF7">
        <w:t>rea</w:t>
      </w:r>
      <w:r w:rsidR="00FB579A" w:rsidRPr="00175EF7">
        <w:t xml:space="preserve"> in the </w:t>
      </w:r>
      <w:r w:rsidR="00A96895" w:rsidRPr="00175EF7">
        <w:t>M</w:t>
      </w:r>
      <w:r w:rsidR="00FB579A" w:rsidRPr="00175EF7">
        <w:t xml:space="preserve">arket </w:t>
      </w:r>
      <w:r w:rsidR="00A96895" w:rsidRPr="00175EF7">
        <w:t>Area</w:t>
      </w:r>
      <w:r w:rsidR="00FB579A" w:rsidRPr="00175EF7">
        <w:t xml:space="preserve"> to model </w:t>
      </w:r>
      <w:r w:rsidR="009251B3" w:rsidRPr="00175EF7">
        <w:t>E</w:t>
      </w:r>
      <w:r w:rsidR="00FB579A" w:rsidRPr="00175EF7">
        <w:t xml:space="preserve">nergy or capacity </w:t>
      </w:r>
      <w:r w:rsidR="00E800A4" w:rsidRPr="00175EF7">
        <w:t>imports/exports from/to a B</w:t>
      </w:r>
      <w:r w:rsidR="009251B3" w:rsidRPr="00175EF7">
        <w:t xml:space="preserve">alancing </w:t>
      </w:r>
      <w:r w:rsidR="00E800A4" w:rsidRPr="00175EF7">
        <w:t>A</w:t>
      </w:r>
      <w:r w:rsidR="009251B3" w:rsidRPr="00175EF7">
        <w:t xml:space="preserve">uthority </w:t>
      </w:r>
      <w:r w:rsidR="00E800A4" w:rsidRPr="00175EF7">
        <w:t>A</w:t>
      </w:r>
      <w:r w:rsidR="009251B3" w:rsidRPr="00175EF7">
        <w:t>rea</w:t>
      </w:r>
      <w:r w:rsidR="00E800A4" w:rsidRPr="00175EF7">
        <w:t xml:space="preserve"> outside the </w:t>
      </w:r>
      <w:r w:rsidR="00CB6B99" w:rsidRPr="00175EF7">
        <w:t>M</w:t>
      </w:r>
      <w:r w:rsidR="00E800A4" w:rsidRPr="00175EF7">
        <w:t xml:space="preserve">arket </w:t>
      </w:r>
      <w:r w:rsidR="00CB6B99" w:rsidRPr="00175EF7">
        <w:t>Area</w:t>
      </w:r>
      <w:r w:rsidR="00E800A4" w:rsidRPr="00175EF7">
        <w:t xml:space="preserve">.  </w:t>
      </w:r>
      <w:r w:rsidR="008D4D27" w:rsidRPr="00175EF7">
        <w:t xml:space="preserve">In this case, the CAISO distributes the import/export </w:t>
      </w:r>
      <w:r w:rsidR="00A96895" w:rsidRPr="00175EF7">
        <w:t>E</w:t>
      </w:r>
      <w:r w:rsidR="008D4D27" w:rsidRPr="00175EF7">
        <w:t xml:space="preserve">nergy </w:t>
      </w:r>
      <w:r w:rsidR="00A96895" w:rsidRPr="00175EF7">
        <w:t>S</w:t>
      </w:r>
      <w:r w:rsidR="008D4D27" w:rsidRPr="00175EF7">
        <w:t xml:space="preserve">chedule or capacity award of the </w:t>
      </w:r>
      <w:r w:rsidR="00DA010C" w:rsidRPr="00175EF7">
        <w:t>System</w:t>
      </w:r>
      <w:r w:rsidR="008D4D27" w:rsidRPr="00175EF7">
        <w:t xml:space="preserve"> Resource to the Default Generation Aggregation Point (DGAP) of the B</w:t>
      </w:r>
      <w:r w:rsidR="009251B3" w:rsidRPr="00175EF7">
        <w:t xml:space="preserve">alancing </w:t>
      </w:r>
      <w:r w:rsidR="008D4D27" w:rsidRPr="00175EF7">
        <w:t>A</w:t>
      </w:r>
      <w:r w:rsidR="009251B3" w:rsidRPr="00175EF7">
        <w:t xml:space="preserve">uthority </w:t>
      </w:r>
      <w:r w:rsidR="008D4D27" w:rsidRPr="00175EF7">
        <w:t>A</w:t>
      </w:r>
      <w:r w:rsidR="009251B3" w:rsidRPr="00175EF7">
        <w:t>rea</w:t>
      </w:r>
      <w:r w:rsidR="008D4D27" w:rsidRPr="00175EF7">
        <w:t xml:space="preserve"> outside the </w:t>
      </w:r>
      <w:r w:rsidR="00CB6B99" w:rsidRPr="00175EF7">
        <w:t>M</w:t>
      </w:r>
      <w:r w:rsidR="008D4D27" w:rsidRPr="00175EF7">
        <w:t xml:space="preserve">arket </w:t>
      </w:r>
      <w:r w:rsidR="00CB6B99" w:rsidRPr="00175EF7">
        <w:t>Area</w:t>
      </w:r>
      <w:r w:rsidR="008D4D27" w:rsidRPr="00175EF7">
        <w:t xml:space="preserve"> that is the source/sink. </w:t>
      </w:r>
      <w:r w:rsidR="00A96895" w:rsidRPr="00175EF7">
        <w:t xml:space="preserve"> </w:t>
      </w:r>
      <w:r w:rsidR="008D4D27" w:rsidRPr="00175EF7">
        <w:t>If the source/sink B</w:t>
      </w:r>
      <w:r w:rsidR="009251B3" w:rsidRPr="00175EF7">
        <w:t xml:space="preserve">alancing </w:t>
      </w:r>
      <w:r w:rsidR="008D4D27" w:rsidRPr="00175EF7">
        <w:t>A</w:t>
      </w:r>
      <w:r w:rsidR="009251B3" w:rsidRPr="00175EF7">
        <w:t xml:space="preserve">uthority </w:t>
      </w:r>
      <w:r w:rsidR="008D4D27" w:rsidRPr="00175EF7">
        <w:t>A</w:t>
      </w:r>
      <w:r w:rsidR="009251B3" w:rsidRPr="00175EF7">
        <w:t>rea</w:t>
      </w:r>
      <w:r w:rsidR="008D4D27" w:rsidRPr="00175EF7">
        <w:t xml:space="preserve"> is unknown at the time the </w:t>
      </w:r>
      <w:r w:rsidR="00A96895" w:rsidRPr="00175EF7">
        <w:t>CAISO M</w:t>
      </w:r>
      <w:r w:rsidR="008D4D27" w:rsidRPr="00175EF7">
        <w:t xml:space="preserve">arket runs, the CAISO distributes the import/export </w:t>
      </w:r>
      <w:r w:rsidR="00A96895" w:rsidRPr="00175EF7">
        <w:t>E</w:t>
      </w:r>
      <w:r w:rsidR="008D4D27" w:rsidRPr="00175EF7">
        <w:t xml:space="preserve">nergy </w:t>
      </w:r>
      <w:r w:rsidR="00A96895" w:rsidRPr="00175EF7">
        <w:t>S</w:t>
      </w:r>
      <w:r w:rsidR="008D4D27" w:rsidRPr="00175EF7">
        <w:t xml:space="preserve">chedule or capacity award of the relevant </w:t>
      </w:r>
      <w:r w:rsidR="00DA010C" w:rsidRPr="00175EF7">
        <w:t xml:space="preserve">System </w:t>
      </w:r>
      <w:r w:rsidR="008D4D27" w:rsidRPr="00175EF7">
        <w:t>Resource t</w:t>
      </w:r>
      <w:r w:rsidR="00925D7B" w:rsidRPr="00175EF7">
        <w:t xml:space="preserve">o the </w:t>
      </w:r>
      <w:r w:rsidR="0004375D" w:rsidRPr="00175EF7">
        <w:t>Generic</w:t>
      </w:r>
      <w:r w:rsidR="00925D7B" w:rsidRPr="00175EF7">
        <w:t xml:space="preserve"> Generation Aggregation Point (</w:t>
      </w:r>
      <w:r w:rsidR="0004375D" w:rsidRPr="00175EF7">
        <w:t>G</w:t>
      </w:r>
      <w:r w:rsidR="00925D7B" w:rsidRPr="00175EF7">
        <w:t>GAP)</w:t>
      </w:r>
      <w:r w:rsidR="0004375D" w:rsidRPr="00175EF7">
        <w:t xml:space="preserve"> for the relevant Scheduling Point</w:t>
      </w:r>
      <w:r w:rsidR="00C1054A" w:rsidRPr="00175EF7">
        <w:t>,</w:t>
      </w:r>
      <w:r w:rsidRPr="00175EF7">
        <w:t xml:space="preserve"> and</w:t>
      </w:r>
      <w:r w:rsidR="00C1054A" w:rsidRPr="00175EF7">
        <w:t xml:space="preserve"> </w:t>
      </w:r>
      <w:r w:rsidR="003B5379" w:rsidRPr="00175EF7">
        <w:t xml:space="preserve">the MCL and MCC of the LMP of the </w:t>
      </w:r>
      <w:r w:rsidR="00DA010C" w:rsidRPr="00175EF7">
        <w:t xml:space="preserve">System </w:t>
      </w:r>
      <w:r w:rsidR="003B5379" w:rsidRPr="00175EF7">
        <w:t xml:space="preserve">Resource reflect the </w:t>
      </w:r>
      <w:r w:rsidR="00D57EF6" w:rsidRPr="00175EF7">
        <w:t>M</w:t>
      </w:r>
      <w:r w:rsidR="003B5379" w:rsidRPr="00175EF7">
        <w:t xml:space="preserve">arginal </w:t>
      </w:r>
      <w:r w:rsidR="00D57EF6" w:rsidRPr="00175EF7">
        <w:t>L</w:t>
      </w:r>
      <w:r w:rsidR="003B5379" w:rsidRPr="00175EF7">
        <w:t>oss</w:t>
      </w:r>
      <w:r w:rsidR="00D57EF6" w:rsidRPr="00175EF7">
        <w:t>es</w:t>
      </w:r>
      <w:r w:rsidR="003B5379" w:rsidRPr="00175EF7">
        <w:t xml:space="preserve"> and </w:t>
      </w:r>
      <w:r w:rsidR="00D57EF6" w:rsidRPr="00175EF7">
        <w:t>C</w:t>
      </w:r>
      <w:r w:rsidR="003B5379" w:rsidRPr="00175EF7">
        <w:t>ongestion at the relevant DGAP or GGAP</w:t>
      </w:r>
      <w:r w:rsidRPr="00175EF7">
        <w:t>, respectively</w:t>
      </w:r>
      <w:r w:rsidR="003B5379" w:rsidRPr="00175EF7">
        <w:t>.</w:t>
      </w:r>
    </w:p>
    <w:p w14:paraId="6E00FE75" w14:textId="77777777" w:rsidR="00CF0587" w:rsidRDefault="00CF0587" w:rsidP="001712CE">
      <w:pPr>
        <w:rPr>
          <w:del w:id="189" w:author="Author"/>
        </w:rPr>
      </w:pPr>
    </w:p>
    <w:p w14:paraId="372EB96D" w14:textId="77777777" w:rsidR="001712CE" w:rsidRDefault="00F31E90" w:rsidP="001712CE">
      <w:r w:rsidRPr="00175EF7">
        <w:t>I</w:t>
      </w:r>
      <w:r w:rsidR="00264421" w:rsidRPr="00175EF7">
        <w:t>n</w:t>
      </w:r>
      <w:r w:rsidRPr="00175EF7">
        <w:t xml:space="preserve"> certain cases, </w:t>
      </w:r>
      <w:r w:rsidR="00DA010C" w:rsidRPr="00175EF7">
        <w:t xml:space="preserve">System </w:t>
      </w:r>
      <w:r w:rsidRPr="00175EF7">
        <w:t>Resources are registered at a Scheduling Point to a B</w:t>
      </w:r>
      <w:r w:rsidR="009251B3" w:rsidRPr="00175EF7">
        <w:t xml:space="preserve">alancing </w:t>
      </w:r>
      <w:r w:rsidRPr="00175EF7">
        <w:t>A</w:t>
      </w:r>
      <w:r w:rsidR="009251B3" w:rsidRPr="00175EF7">
        <w:t xml:space="preserve">uthority </w:t>
      </w:r>
      <w:r w:rsidRPr="00175EF7">
        <w:t>A</w:t>
      </w:r>
      <w:r w:rsidR="009251B3" w:rsidRPr="00175EF7">
        <w:t>rea</w:t>
      </w:r>
      <w:r w:rsidRPr="00175EF7">
        <w:t xml:space="preserve"> in the </w:t>
      </w:r>
      <w:r w:rsidR="00C1054A" w:rsidRPr="00175EF7">
        <w:t>M</w:t>
      </w:r>
      <w:r w:rsidRPr="00175EF7">
        <w:t xml:space="preserve">arket </w:t>
      </w:r>
      <w:r w:rsidR="00C1054A" w:rsidRPr="00175EF7">
        <w:t>Area</w:t>
      </w:r>
      <w:r w:rsidRPr="00175EF7">
        <w:t xml:space="preserve"> to model </w:t>
      </w:r>
      <w:r w:rsidR="00C1054A" w:rsidRPr="00175EF7">
        <w:t>E</w:t>
      </w:r>
      <w:r w:rsidRPr="00175EF7">
        <w:t>nergy imports/exports from/to another B</w:t>
      </w:r>
      <w:r w:rsidR="009251B3" w:rsidRPr="00175EF7">
        <w:t xml:space="preserve">alancing </w:t>
      </w:r>
      <w:r w:rsidRPr="00175EF7">
        <w:t>A</w:t>
      </w:r>
      <w:r w:rsidR="009251B3" w:rsidRPr="00175EF7">
        <w:t xml:space="preserve">uthority </w:t>
      </w:r>
      <w:r w:rsidRPr="00175EF7">
        <w:t>A</w:t>
      </w:r>
      <w:r w:rsidR="009251B3" w:rsidRPr="00175EF7">
        <w:t>rea</w:t>
      </w:r>
      <w:r w:rsidRPr="00175EF7">
        <w:t xml:space="preserve"> inside the </w:t>
      </w:r>
      <w:r w:rsidR="0025736F" w:rsidRPr="00175EF7">
        <w:t>M</w:t>
      </w:r>
      <w:r w:rsidRPr="00175EF7">
        <w:t xml:space="preserve">arket </w:t>
      </w:r>
      <w:r w:rsidR="0025736F" w:rsidRPr="00175EF7">
        <w:t>Area</w:t>
      </w:r>
      <w:r w:rsidRPr="00175EF7">
        <w:t xml:space="preserve">.  This occurs because of differences in the </w:t>
      </w:r>
      <w:r w:rsidR="0025736F" w:rsidRPr="00175EF7">
        <w:t>M</w:t>
      </w:r>
      <w:r w:rsidRPr="00175EF7">
        <w:t xml:space="preserve">arket </w:t>
      </w:r>
      <w:r w:rsidR="0025736F" w:rsidRPr="00175EF7">
        <w:t>Area</w:t>
      </w:r>
      <w:r w:rsidRPr="00175EF7">
        <w:t xml:space="preserve"> between the Day-Ahead Market and the Real-Time Market when a B</w:t>
      </w:r>
      <w:r w:rsidR="009251B3" w:rsidRPr="00175EF7">
        <w:t xml:space="preserve">alancing </w:t>
      </w:r>
      <w:r w:rsidRPr="00175EF7">
        <w:t>A</w:t>
      </w:r>
      <w:r w:rsidR="009251B3" w:rsidRPr="00175EF7">
        <w:t xml:space="preserve">uthority </w:t>
      </w:r>
      <w:r w:rsidRPr="00175EF7">
        <w:t>A</w:t>
      </w:r>
      <w:r w:rsidR="009251B3" w:rsidRPr="00175EF7">
        <w:t>rea</w:t>
      </w:r>
      <w:r w:rsidRPr="00175EF7">
        <w:t xml:space="preserve"> is outside the </w:t>
      </w:r>
      <w:r w:rsidR="0025736F" w:rsidRPr="00175EF7">
        <w:t>EDAM Area</w:t>
      </w:r>
      <w:r w:rsidRPr="00175EF7">
        <w:t xml:space="preserve"> in the Day-Ahead Market, but inside the </w:t>
      </w:r>
      <w:r w:rsidR="0025736F" w:rsidRPr="00175EF7">
        <w:t>EIM Area</w:t>
      </w:r>
      <w:r w:rsidRPr="00175EF7">
        <w:t xml:space="preserve"> in the Real-Time Market.</w:t>
      </w:r>
      <w:r w:rsidR="00C1054A" w:rsidRPr="00175EF7">
        <w:t xml:space="preserve"> </w:t>
      </w:r>
      <w:r w:rsidRPr="00175EF7">
        <w:t xml:space="preserve"> In this case, the </w:t>
      </w:r>
      <w:r w:rsidR="00C1054A" w:rsidRPr="00175EF7">
        <w:t>day-ahead</w:t>
      </w:r>
      <w:r w:rsidRPr="00175EF7">
        <w:t xml:space="preserve"> </w:t>
      </w:r>
      <w:r w:rsidR="00C1054A" w:rsidRPr="00175EF7">
        <w:t>E</w:t>
      </w:r>
      <w:r w:rsidRPr="00175EF7">
        <w:t xml:space="preserve">nergy schedule of </w:t>
      </w:r>
      <w:r w:rsidR="00264421" w:rsidRPr="00175EF7">
        <w:t xml:space="preserve">the </w:t>
      </w:r>
      <w:r w:rsidRPr="00175EF7">
        <w:t xml:space="preserve">relevant </w:t>
      </w:r>
      <w:r w:rsidR="00DA010C" w:rsidRPr="00175EF7">
        <w:t xml:space="preserve">System </w:t>
      </w:r>
      <w:r w:rsidRPr="00175EF7">
        <w:t>Resource</w:t>
      </w:r>
      <w:r w:rsidR="00264421" w:rsidRPr="00175EF7">
        <w:t xml:space="preserve"> cannot be distributed in the Real-Time Market to the DGAP of the source/sink B</w:t>
      </w:r>
      <w:r w:rsidR="009251B3" w:rsidRPr="00175EF7">
        <w:t xml:space="preserve">alancing </w:t>
      </w:r>
      <w:r w:rsidR="00264421" w:rsidRPr="00175EF7">
        <w:t>A</w:t>
      </w:r>
      <w:r w:rsidR="009251B3" w:rsidRPr="00175EF7">
        <w:t xml:space="preserve">uthority </w:t>
      </w:r>
      <w:r w:rsidR="00264421" w:rsidRPr="00175EF7">
        <w:t>A</w:t>
      </w:r>
      <w:r w:rsidR="009251B3" w:rsidRPr="00175EF7">
        <w:t>rea</w:t>
      </w:r>
      <w:r w:rsidR="00264421" w:rsidRPr="00175EF7">
        <w:t xml:space="preserve"> that is in the </w:t>
      </w:r>
      <w:r w:rsidR="009B7506" w:rsidRPr="00175EF7">
        <w:t>EIM</w:t>
      </w:r>
      <w:r w:rsidR="00264421" w:rsidRPr="00175EF7">
        <w:t xml:space="preserve"> </w:t>
      </w:r>
      <w:r w:rsidR="009B7506" w:rsidRPr="00175EF7">
        <w:t>Area</w:t>
      </w:r>
      <w:r w:rsidR="00264421" w:rsidRPr="00175EF7">
        <w:t xml:space="preserve"> because the resources in that B</w:t>
      </w:r>
      <w:r w:rsidR="009251B3" w:rsidRPr="00175EF7">
        <w:t>al</w:t>
      </w:r>
      <w:r w:rsidR="009251B3" w:rsidRPr="00175EF7">
        <w:lastRenderedPageBreak/>
        <w:t xml:space="preserve">ancing </w:t>
      </w:r>
      <w:r w:rsidR="00264421" w:rsidRPr="00175EF7">
        <w:t>A</w:t>
      </w:r>
      <w:r w:rsidR="009251B3" w:rsidRPr="00175EF7">
        <w:t xml:space="preserve">uthority </w:t>
      </w:r>
      <w:r w:rsidR="00264421" w:rsidRPr="00175EF7">
        <w:t>A</w:t>
      </w:r>
      <w:r w:rsidR="009251B3" w:rsidRPr="00175EF7">
        <w:t>rea</w:t>
      </w:r>
      <w:r w:rsidR="00264421" w:rsidRPr="00175EF7">
        <w:t xml:space="preserve"> are optimally dispatched.  Instead, the day-ahead </w:t>
      </w:r>
      <w:r w:rsidR="008E79D5" w:rsidRPr="00175EF7">
        <w:t>E</w:t>
      </w:r>
      <w:r w:rsidR="00264421" w:rsidRPr="00175EF7">
        <w:t xml:space="preserve">nergy schedule of the relevant </w:t>
      </w:r>
      <w:r w:rsidR="00DA010C" w:rsidRPr="00175EF7">
        <w:t xml:space="preserve">System </w:t>
      </w:r>
      <w:r w:rsidR="00264421" w:rsidRPr="00175EF7">
        <w:t xml:space="preserve">Resource is distributed to the PNode(s) of the relevant Scheduling Point, but cancelled with </w:t>
      </w:r>
      <w:r w:rsidR="00DA010C" w:rsidRPr="00175EF7">
        <w:t xml:space="preserve">an </w:t>
      </w:r>
      <w:r w:rsidR="00207FF8" w:rsidRPr="00175EF7">
        <w:t>opposite</w:t>
      </w:r>
      <w:r w:rsidR="00DA010C" w:rsidRPr="00175EF7">
        <w:t xml:space="preserve"> </w:t>
      </w:r>
      <w:r w:rsidR="0099791D" w:rsidRPr="00175EF7">
        <w:t xml:space="preserve">base </w:t>
      </w:r>
      <w:r w:rsidR="008E79D5" w:rsidRPr="00175EF7">
        <w:t>E</w:t>
      </w:r>
      <w:r w:rsidR="00DA010C" w:rsidRPr="00175EF7">
        <w:t>nergy schedule of a</w:t>
      </w:r>
      <w:r w:rsidR="009B7506" w:rsidRPr="00175EF7">
        <w:t>n EIM</w:t>
      </w:r>
      <w:r w:rsidR="00DA010C" w:rsidRPr="00175EF7">
        <w:t xml:space="preserve"> Mirror System Resource at the same Scheduling Point. </w:t>
      </w:r>
      <w:r w:rsidR="00C1054A" w:rsidRPr="00175EF7">
        <w:t xml:space="preserve"> </w:t>
      </w:r>
      <w:r w:rsidR="00DA010C" w:rsidRPr="00175EF7">
        <w:t xml:space="preserve">The </w:t>
      </w:r>
      <w:r w:rsidR="009B7506" w:rsidRPr="00175EF7">
        <w:t xml:space="preserve">EIM </w:t>
      </w:r>
      <w:r w:rsidR="00DA010C" w:rsidRPr="00175EF7">
        <w:t>Mirror System Resource belongs to the source/sink B</w:t>
      </w:r>
      <w:r w:rsidR="009251B3" w:rsidRPr="00175EF7">
        <w:t xml:space="preserve">alancing </w:t>
      </w:r>
      <w:r w:rsidR="00DA010C" w:rsidRPr="00175EF7">
        <w:t>A</w:t>
      </w:r>
      <w:r w:rsidR="009251B3" w:rsidRPr="00175EF7">
        <w:t xml:space="preserve">uthority </w:t>
      </w:r>
      <w:r w:rsidR="00DA010C" w:rsidRPr="00175EF7">
        <w:t>A</w:t>
      </w:r>
      <w:r w:rsidR="009251B3" w:rsidRPr="00175EF7">
        <w:t>rea</w:t>
      </w:r>
      <w:r w:rsidR="00DA010C" w:rsidRPr="00175EF7">
        <w:t xml:space="preserve"> and its </w:t>
      </w:r>
      <w:r w:rsidR="0099791D" w:rsidRPr="00175EF7">
        <w:t xml:space="preserve">base </w:t>
      </w:r>
      <w:r w:rsidR="008E79D5" w:rsidRPr="00175EF7">
        <w:t xml:space="preserve">Energy </w:t>
      </w:r>
      <w:r w:rsidR="00DA010C" w:rsidRPr="00175EF7">
        <w:t xml:space="preserve">schedule matches the day-ahead </w:t>
      </w:r>
      <w:r w:rsidR="008E79D5" w:rsidRPr="00175EF7">
        <w:t>E</w:t>
      </w:r>
      <w:r w:rsidR="00DA010C" w:rsidRPr="00175EF7">
        <w:t xml:space="preserve">nergy schedule of the System Resource it mirrors. </w:t>
      </w:r>
      <w:r w:rsidR="00C1054A" w:rsidRPr="00175EF7">
        <w:t xml:space="preserve"> </w:t>
      </w:r>
      <w:r w:rsidR="00DA010C" w:rsidRPr="00175EF7">
        <w:t xml:space="preserve">The </w:t>
      </w:r>
      <w:r w:rsidR="009B7506" w:rsidRPr="00175EF7">
        <w:t xml:space="preserve">EIM </w:t>
      </w:r>
      <w:r w:rsidR="00DA010C" w:rsidRPr="00175EF7">
        <w:t xml:space="preserve">Mirror System Resource that mirrors a System Resource has an export </w:t>
      </w:r>
      <w:r w:rsidR="0099791D" w:rsidRPr="00175EF7">
        <w:t xml:space="preserve">base </w:t>
      </w:r>
      <w:r w:rsidR="00DA010C" w:rsidRPr="00175EF7">
        <w:t xml:space="preserve">schedule that matches the </w:t>
      </w:r>
      <w:r w:rsidR="0099791D" w:rsidRPr="00175EF7">
        <w:t xml:space="preserve">day-ahead </w:t>
      </w:r>
      <w:r w:rsidR="00DA010C" w:rsidRPr="00175EF7">
        <w:t>import schedule of its mirrored</w:t>
      </w:r>
      <w:r w:rsidR="0099791D" w:rsidRPr="00175EF7">
        <w:t xml:space="preserve"> System Resource, or a base</w:t>
      </w:r>
      <w:r w:rsidR="00DA010C" w:rsidRPr="00175EF7">
        <w:t xml:space="preserve"> import schedule that matches the </w:t>
      </w:r>
      <w:r w:rsidR="0099791D" w:rsidRPr="00175EF7">
        <w:t xml:space="preserve">day-ahead </w:t>
      </w:r>
      <w:r w:rsidR="00DA010C" w:rsidRPr="00175EF7">
        <w:t xml:space="preserve">export schedule of its mirrored System Resource. </w:t>
      </w:r>
      <w:r w:rsidR="00C1054A" w:rsidRPr="00175EF7">
        <w:t xml:space="preserve"> </w:t>
      </w:r>
      <w:r w:rsidR="00DA010C" w:rsidRPr="00175EF7">
        <w:t xml:space="preserve">The LMPs of the </w:t>
      </w:r>
      <w:r w:rsidR="009B7506" w:rsidRPr="00175EF7">
        <w:t xml:space="preserve">EIM </w:t>
      </w:r>
      <w:r w:rsidR="0099791D" w:rsidRPr="00175EF7">
        <w:t xml:space="preserve">Mirror System Resource and </w:t>
      </w:r>
      <w:r w:rsidR="00D84C0A" w:rsidRPr="00175EF7">
        <w:t xml:space="preserve">the </w:t>
      </w:r>
      <w:r w:rsidR="0099791D" w:rsidRPr="00175EF7">
        <w:t>System Resource</w:t>
      </w:r>
      <w:r w:rsidR="00D84C0A" w:rsidRPr="00175EF7">
        <w:t xml:space="preserve"> it </w:t>
      </w:r>
      <w:r w:rsidR="009B7506" w:rsidRPr="00175EF7">
        <w:t>mirrors</w:t>
      </w:r>
      <w:r w:rsidR="0099791D" w:rsidRPr="00175EF7">
        <w:t xml:space="preserve"> are different in general because the MEC, MCL, and MCC components differ</w:t>
      </w:r>
      <w:r w:rsidR="00207FF8" w:rsidRPr="00175EF7">
        <w:t xml:space="preserve"> since the two resources belong to different B</w:t>
      </w:r>
      <w:r w:rsidR="009251B3" w:rsidRPr="00175EF7">
        <w:t xml:space="preserve">alancing </w:t>
      </w:r>
      <w:r w:rsidR="00207FF8" w:rsidRPr="00175EF7">
        <w:t>A</w:t>
      </w:r>
      <w:r w:rsidR="009251B3" w:rsidRPr="00175EF7">
        <w:t xml:space="preserve">uthority </w:t>
      </w:r>
      <w:r w:rsidR="00207FF8" w:rsidRPr="00175EF7">
        <w:t>A</w:t>
      </w:r>
      <w:r w:rsidR="009251B3" w:rsidRPr="00175EF7">
        <w:t>rea</w:t>
      </w:r>
      <w:r w:rsidR="00207FF8" w:rsidRPr="00175EF7">
        <w:t>s</w:t>
      </w:r>
      <w:r w:rsidR="009B7506" w:rsidRPr="00175EF7">
        <w:t xml:space="preserve"> in the Market Area</w:t>
      </w:r>
      <w:r w:rsidR="0099791D" w:rsidRPr="00175EF7">
        <w:t>.</w:t>
      </w:r>
    </w:p>
    <w:p w14:paraId="168C6C3B" w14:textId="06DC35AC" w:rsidR="001712CE" w:rsidRDefault="00D22029" w:rsidP="00277577">
      <w:pPr>
        <w:pStyle w:val="Heading3"/>
        <w:ind w:firstLine="720"/>
      </w:pPr>
      <w:bookmarkStart w:id="190" w:name="_Toc126133633"/>
      <w:ins w:id="191" w:author="Author">
        <w:r>
          <w:t>A.8</w:t>
        </w:r>
      </w:ins>
      <w:del w:id="192" w:author="Author">
        <w:r w:rsidR="00264421">
          <w:delText>I</w:delText>
        </w:r>
      </w:del>
      <w:r w:rsidR="00264421">
        <w:t>.1</w:t>
      </w:r>
      <w:r w:rsidR="00264421">
        <w:tab/>
        <w:t>Intertie Scheduling Point Price Calculation for IBAAs</w:t>
      </w:r>
      <w:bookmarkEnd w:id="190"/>
    </w:p>
    <w:p w14:paraId="2420E0E9" w14:textId="4903AA2D" w:rsidR="001712CE" w:rsidRDefault="00D22029" w:rsidP="00277577">
      <w:pPr>
        <w:pStyle w:val="Heading3"/>
        <w:ind w:firstLine="720"/>
      </w:pPr>
      <w:bookmarkStart w:id="193" w:name="_Toc126133634"/>
      <w:ins w:id="194" w:author="Author">
        <w:r>
          <w:t>A.8</w:t>
        </w:r>
      </w:ins>
      <w:del w:id="195" w:author="Author">
        <w:r w:rsidR="00264421">
          <w:delText>I</w:delText>
        </w:r>
      </w:del>
      <w:r w:rsidR="00264421">
        <w:t>.1.1</w:t>
      </w:r>
      <w:r w:rsidR="00264421">
        <w:tab/>
        <w:t>Scheduling Point Prices</w:t>
      </w:r>
      <w:bookmarkEnd w:id="193"/>
      <w:del w:id="196" w:author="Author">
        <w:r w:rsidR="00264421">
          <w:delText xml:space="preserve"> </w:delText>
        </w:r>
      </w:del>
    </w:p>
    <w:p w14:paraId="1C611D71" w14:textId="77777777" w:rsidR="001712CE" w:rsidRDefault="00264421" w:rsidP="001712CE">
      <w:r w:rsidRPr="001712CE">
        <w:t xml:space="preserve">As described in Section 27.5.3, the CAISO’s FNM includes a full model of the network topology of each IBAA.  The CAISO will specify Resource IDs that associate Intertie Scheduling Point Bids and Schedules with supporting injection and withdrawal locations on the FNM.  These Resource IDs may be specified by the CAISO based on the information available to it, or developed pursuant to a Market Efficiency Enhancement Agreement. Once these Resource IDs are established, the CAISO will determine Intertie Scheduling Point LMPs based on the injection and withdrawal locations associated with each Intertie Scheduling Point Bid and Schedule by the appropriate Resource ID.  In calculating these LMPs the CAISO follows the provisions specified in Section 27.5.3 regarding the treatment of Transmission Constraints and losses on the IBAA network facilities.  Unless otherwise required pursuant to an effective MEEA, the default pricing for all imports from the IBAA(s) to the CAISO Balancing Authority Area will be based on the SMUD/TID IBAA Import LMP and all exports to the IBAA(s) from the CAISO Balancing Authority Area will be based on the SMUD/TID IBAA Export LMP.  The SMUD/TID IBAA Import LMP will be calculated based on modeling of supply resources that assumes all supply is from the Captain Jack substation as defined by WECC.  The SMUD/TID IBAA Export LMP will be calculated based on the Sacramento Municipal Utility District hub that reflects Intertie distribution factors developed from a seasonal power flow base case study of the WECC region using an equivalencing technique that requires the Sacramento Municipal Utility District hub to be equivalenced to only the buses that comprise </w:t>
      </w:r>
      <w:r w:rsidRPr="001712CE">
        <w:lastRenderedPageBreak/>
        <w:t>the aggregated set of load resources in the IBAA, with all generation also being retained at its buses within the IBAA.  The resulting load distribution within each aggregated set of load resources within the IBAA defines the Intertie distribution factors for exports from the CAISO Balancing Authority Area.</w:t>
      </w:r>
    </w:p>
    <w:p w14:paraId="54B346E0" w14:textId="2CA45E02" w:rsidR="001712CE" w:rsidRDefault="00D22029" w:rsidP="00277577">
      <w:pPr>
        <w:pStyle w:val="Heading3"/>
        <w:ind w:firstLine="720"/>
      </w:pPr>
      <w:bookmarkStart w:id="197" w:name="_Toc126133635"/>
      <w:ins w:id="198" w:author="Author">
        <w:r>
          <w:t>A.8</w:t>
        </w:r>
      </w:ins>
      <w:del w:id="199" w:author="Author">
        <w:r w:rsidR="00264421">
          <w:delText>I</w:delText>
        </w:r>
      </w:del>
      <w:r w:rsidR="00264421">
        <w:t>.1.2</w:t>
      </w:r>
      <w:r w:rsidR="00264421">
        <w:tab/>
        <w:t xml:space="preserve">Applicable Marginal </w:t>
      </w:r>
      <w:r w:rsidR="00264421" w:rsidRPr="00A01C80">
        <w:t>Loss</w:t>
      </w:r>
      <w:r w:rsidR="00D57EF6" w:rsidRPr="00A01C80">
        <w:t>es</w:t>
      </w:r>
      <w:r w:rsidR="00264421" w:rsidRPr="00A01C80">
        <w:t xml:space="preserve"> A</w:t>
      </w:r>
      <w:r w:rsidR="00264421">
        <w:t>djustment</w:t>
      </w:r>
      <w:bookmarkEnd w:id="197"/>
    </w:p>
    <w:p w14:paraId="7CB2DC82" w14:textId="77777777" w:rsidR="001712CE" w:rsidRDefault="00264421" w:rsidP="001712CE">
      <w:r w:rsidRPr="001712CE">
        <w:t>For import Schedules to the CAISO Balancing Authority Area at the southern terminus of the California-Oregon Transmission Project at the Tracy substation or at the applicable Scheduling Point that connects the CAISO Balancing Authority and the Western Area Power Administration system, the CAISO will replace the Marginal Cost of Losses at the otherwise applicable source for such Schedules with the Marginal Cost of Losses at the Tracy substation or at the applicable Scheduling point that connects the CAISO Balancing Authority Area and the Western Area Power Administration system, provided that the Scheduling Coordinators certify as discussed further below that the Schedules originate from transactions that use: (a) the California-Oregon Transmission Project; or (b) transmission facilities owned by the Western Area Power Administration within the SMUD/TID IBAA.  In addition, as described further below, the Scheduling Coordinator must certify that the Schedules are subject to: (a) charges for losses by the Western Area Power Administration for the use of transmission facilities owned by the Western Area Power Administration within the SMUD/TID IBAA; or (b) charges for losses by the Transmission Agency of Northern California for the use of the California-Oregon Transmission Project. The CAISO will establish Resource IDs that are to be used only to submit Bids, including Self-Schedules, for the purpose of establishing Schedules that are eligible for this loss adjustment.</w:t>
      </w:r>
    </w:p>
    <w:p w14:paraId="74C25EF6" w14:textId="77777777" w:rsidR="001712CE" w:rsidRDefault="00264421" w:rsidP="001712CE">
      <w:r w:rsidRPr="001712CE">
        <w:t xml:space="preserve">Prior to obtaining such Resource IDs, the relevant Scheduling Coordinator shall certify that it will only use this established Resource ID for Bids, including Self-Schedules, that originate from transactions that use: (a) the California-Oregon Transmission Project; or (b) transmission facilities owned by the Western Area Power Administration within the SMUD/TID IBAA.  In addition, the Scheduling Coordinator must certify that the Schedules are subject to: (a) charges for losses by the Western Area Power Administration for the use of transmission facilities owned by the Western Area Power Administration within the SMUD/TID IBAA; or (b) Transmission Agency of Northern California for the use of the California-Oregon Transmission Project.  Further, by actually using such Resource ID, the Scheduling Coordinator represents that such Bids, including Self-Schedules, that originate from transactions that use: (a) the California-Oregon Transmission Project; or (b) transmission facilities owned by the Western Area Power Administration within the SMUD/TID IBAA.  In addition, the Scheduling Coordinator must certify </w:t>
      </w:r>
      <w:r w:rsidRPr="001712CE">
        <w:lastRenderedPageBreak/>
        <w:t xml:space="preserve">that the Schedules are subject to: (a) charges for losses by the Western Area Power Administration for the use of transmission facilities owned by the Western Area Power Administration within the SMUD/TID IBAA; or (b) Transmission Agency of Northern California for the use of the California-Oregon Transmission Project.  Schedules and Dispatches settled under such Resource IDs shall be subject to an LMP which has accounted for the Marginal Cost of Losses as if there were an actual physical generation facility at the Tracy Scheduling Point or at the applicable Scheduling Point that connects the CAISO Balancing Authority Area and the Western Area Power Administration system as opposed to the Marginal Cost of Losses under the IBAA LMPs specified in Section </w:t>
      </w:r>
      <w:r w:rsidR="00DF55AA">
        <w:t>I</w:t>
      </w:r>
      <w:r w:rsidRPr="001712CE">
        <w:t>.1.1 of this Appendix.  The CAISO may request information on a monthly basis from such Scheduling Coordinators to verify these certifications.  Any such request shall be limited to transactions that use the designated Resource IDs during the six month prior period to the date of the request.  The CAISO will calculate a re-adjustment of the Marginal Cost of Losses at the Tracy substation or at the applicable Scheduling Point that connects the CAISO Balancing Authority Area and the Western Area Power Administration system to reflect the otherwise applicable source for such Schedules for any Settlement Interval in which the CAISO has determined that the Scheduling Coordinator’s payments did not reflect transactions that meet the above specified certification requirements.  Any amounts owed to the CAISO for such Marginal Cost of Losses re-adjustments will be recovered by the CAISO from the affected Scheduling Coordinator by netting the amounts owed from payments due in subsequent Settlements Statements until the outstanding amounts are fully recovered.</w:t>
      </w:r>
    </w:p>
    <w:p w14:paraId="5FC1E765" w14:textId="77777777" w:rsidR="001712CE" w:rsidRDefault="00264421" w:rsidP="001712CE">
      <w:r w:rsidRPr="00907903">
        <w:t xml:space="preserve">For export Schedules from the CAISO Balancing Authority Area at the southern terminus of the California-Oregon Transmission Project at the Tracy substation or at the applicable Scheduling Point that connects the CAISO Balancing Authority Area and the Western Area Power Administration system, the CAISO will replace the Marginal Cost of Losses at the otherwise applicable sink for such Schedules with the Marginal Cost of Losses at the Tracy substation or at the applicable Scheduling Point that connects the CAISO Balancing Authority Area and the Western Area Power Administration system, provided that the Scheduling Coordinator certifies, as discussed below, where the export Schedules use: (a) the California-Oregon Transmission Project; or (b) any transmission facilities owned by the Western Area Power Administration within the SMUD/TID IBAA.  In addition, the Scheduling Coordinator must certify that the affected Schedules are charged losses by: (a) the Western Area Power Administration for the use of transmission facilities owned by the Western Area Power Administration within the </w:t>
      </w:r>
      <w:r w:rsidRPr="00907903">
        <w:lastRenderedPageBreak/>
        <w:t>SMUD/TID IBAA; or (b) Transmission Agency of Northern California for the use of the California-Oregon Transmission Project.  The CAISO will establish Resource IDs that are to be used only to submit Bids, including Self-Schedules, for the purpose of establishing Schedules that are eligible for this loss adjustment.  Prior to obtaining such Resource IDs, the relevant Scheduling Coordinator shall certify that it will only use this established Resource ID for Bids, including Self-Schedules, where the export Schedules use: (a) the California-Oregon Transmission Project; or (b) any transmission facilities owned by the Western Area Power Administration within the SMUD/TID IBAA.  In addition the Scheduling Coordinator must certify that the affected Schedules are charged losses by: (a) the Western Area Power Administration for the use of transmission facilities owned by the Western Area Power Administration within the SMUD/TID IBAA; or (b) Transmission Agency of Northern California for the use of the California-Oregon Transmission Project.  Further, by actually using such Resource ID, the Scheduling Coordinator represents that such Bids, including Self-Schedules, are used for the above specified conditions.</w:t>
      </w:r>
    </w:p>
    <w:p w14:paraId="2CD6FA6A" w14:textId="77777777" w:rsidR="00907903" w:rsidRDefault="00264421" w:rsidP="001712CE">
      <w:r w:rsidRPr="00907903">
        <w:t xml:space="preserve">Schedules and Dispatches settled under such Resource IDs shall be subject to an LMP which has accounted for the Marginal Cost of Losses as if there were an actual physical generation facility at the Tracy Scheduling Point or at the applicable Scheduling Point that connects the CAISO Balancing Authority Area and the Western Area Power Administration system as opposed to the Marginal Cost of Losses under the IBAA LMPs specified in Section </w:t>
      </w:r>
      <w:r w:rsidR="00B27046">
        <w:t>I</w:t>
      </w:r>
      <w:r w:rsidRPr="00907903">
        <w:t>.1.1 of this Appendix.  The CAISO may request information on a monthly basis from such Scheduling Coordinators to verify that schedules for such Resource IDs meet the above specified conditions.  Any such request shall be limited to transactions that use the designated Resource IDs during the six month prior period to the date of the request.</w:t>
      </w:r>
    </w:p>
    <w:p w14:paraId="38B74E84" w14:textId="77777777" w:rsidR="004F1B2E" w:rsidRDefault="00264421" w:rsidP="004F1B2E">
      <w:pPr>
        <w:rPr>
          <w:ins w:id="200" w:author="Author"/>
        </w:rPr>
      </w:pPr>
      <w:r w:rsidRPr="00907903">
        <w:t>The CAISO will calculate a re-adjustment of the Marginal Cost of Losses at the Tracy substation or at the applicable Scheduling Point that connects the CAISO Balancing Authority Area and the Western Area Power Administration system to reflect the otherwise applicable sink for such Schedules for any Settlement Interval in which the CAISO has determined that the Scheduling Coordinator’s payments did not reflect transactions that met the above specified conditions.  Any amounts owed to the CAISO for such Marginal Cost of Losses re-adjustments will be recovered by the CAISO from the affected Scheduling Coordinator by netting the amounts owed from payments due in subsequent Settlements Statements until the outstanding amounts are fully recovered.</w:t>
      </w:r>
    </w:p>
    <w:p w14:paraId="6B4BE4FC" w14:textId="77777777" w:rsidR="004F1B2E" w:rsidRDefault="004F1B2E" w:rsidP="00302C69">
      <w:pPr>
        <w:pStyle w:val="Heading2"/>
        <w:numPr>
          <w:ilvl w:val="0"/>
          <w:numId w:val="3"/>
        </w:numPr>
        <w:rPr>
          <w:ins w:id="201" w:author="Author"/>
        </w:rPr>
      </w:pPr>
      <w:ins w:id="202" w:author="Author">
        <w:r>
          <w:t>Locational Marginal Price for Imbalance Reserves</w:t>
        </w:r>
      </w:ins>
    </w:p>
    <w:p w14:paraId="599C78E1" w14:textId="77777777" w:rsidR="00302C69" w:rsidRDefault="00302C69" w:rsidP="00302C69">
      <w:pPr>
        <w:rPr>
          <w:ins w:id="203" w:author="Author"/>
        </w:rPr>
      </w:pPr>
      <w:ins w:id="204" w:author="Author">
        <w:r w:rsidRPr="003B0958">
          <w:lastRenderedPageBreak/>
          <w:t xml:space="preserve">The CAISO shall calculate the </w:t>
        </w:r>
        <w:r>
          <w:t xml:space="preserve">Locational IRU </w:t>
        </w:r>
        <w:r w:rsidRPr="003B0958">
          <w:t xml:space="preserve">Price </w:t>
        </w:r>
        <w:r>
          <w:t xml:space="preserve">and Locational IRD </w:t>
        </w:r>
        <w:r w:rsidRPr="003B0958">
          <w:t xml:space="preserve">Price at Generation PNodes, Scheduling Points, and Aggregated Pricing Nodes, as provided in the CAISO Tariff.  The </w:t>
        </w:r>
        <w:r>
          <w:t xml:space="preserve">Locational IRU </w:t>
        </w:r>
        <w:r w:rsidRPr="003B0958">
          <w:t xml:space="preserve">Price </w:t>
        </w:r>
        <w:r>
          <w:t xml:space="preserve">and Locational IRD </w:t>
        </w:r>
        <w:r w:rsidRPr="003B0958">
          <w:t>Price</w:t>
        </w:r>
        <w:r>
          <w:t xml:space="preserve"> </w:t>
        </w:r>
        <w:r w:rsidRPr="003B0958">
          <w:t xml:space="preserve">at PNodes, </w:t>
        </w:r>
        <w:r w:rsidRPr="00DC2E9B">
          <w:t>Scheduling Points, and Aggregated Pricing Nodes</w:t>
        </w:r>
        <w:r w:rsidRPr="003B0958">
          <w:t xml:space="preserve"> include separate components for the </w:t>
        </w:r>
        <w:r>
          <w:t>M</w:t>
        </w:r>
        <w:r w:rsidRPr="003B0958">
          <w:t xml:space="preserve">arginal </w:t>
        </w:r>
        <w:r>
          <w:t>IRU or IRD Cost</w:t>
        </w:r>
        <w:r w:rsidR="000A6F75">
          <w:t>,</w:t>
        </w:r>
        <w:r w:rsidRPr="003B0958">
          <w:t xml:space="preserve"> </w:t>
        </w:r>
        <w:r w:rsidRPr="00FB7403">
          <w:t xml:space="preserve">and </w:t>
        </w:r>
        <w:r>
          <w:t xml:space="preserve">the </w:t>
        </w:r>
        <w:r w:rsidRPr="003B0958">
          <w:t xml:space="preserve">Marginal </w:t>
        </w:r>
        <w:r>
          <w:t xml:space="preserve">IRU or IRD </w:t>
        </w:r>
        <w:r w:rsidRPr="003B0958">
          <w:t xml:space="preserve">Cost of Congestion, </w:t>
        </w:r>
        <w:r>
          <w:t>respectively.  As provided in Section</w:t>
        </w:r>
        <w:r w:rsidRPr="003B0958">
          <w:t xml:space="preserve"> 6.5.3.2.2, </w:t>
        </w:r>
        <w:r>
          <w:t xml:space="preserve">Locational IRU </w:t>
        </w:r>
        <w:r w:rsidRPr="003B0958">
          <w:t>Price</w:t>
        </w:r>
        <w:r>
          <w:t>s</w:t>
        </w:r>
        <w:r w:rsidRPr="003B0958">
          <w:t xml:space="preserve"> </w:t>
        </w:r>
        <w:r>
          <w:t xml:space="preserve">and Locational IRD </w:t>
        </w:r>
        <w:r w:rsidRPr="003B0958">
          <w:t>Prices are calculated and posted for each hour of the Day-Ahead Market.</w:t>
        </w:r>
        <w:r>
          <w:t xml:space="preserve">  There are different Locational Marginal Prices for IRU and IRD at any given Location in the Market Area.</w:t>
        </w:r>
      </w:ins>
    </w:p>
    <w:p w14:paraId="62D627C7" w14:textId="77777777" w:rsidR="00302C69" w:rsidRDefault="00302C69" w:rsidP="00302C69">
      <w:pPr>
        <w:pStyle w:val="Heading3"/>
        <w:ind w:firstLine="720"/>
        <w:rPr>
          <w:ins w:id="205" w:author="Author"/>
        </w:rPr>
      </w:pPr>
      <w:ins w:id="206" w:author="Author">
        <w:r>
          <w:t>B.1.</w:t>
        </w:r>
        <w:r>
          <w:tab/>
          <w:t>Locational IRU and IRD Price Composition</w:t>
        </w:r>
      </w:ins>
    </w:p>
    <w:p w14:paraId="4CC0E78A" w14:textId="77777777" w:rsidR="00302C69" w:rsidRDefault="00302C69" w:rsidP="00302C69">
      <w:pPr>
        <w:rPr>
          <w:ins w:id="207" w:author="Author"/>
        </w:rPr>
      </w:pPr>
      <w:ins w:id="208" w:author="Author">
        <w:r>
          <w:rPr>
            <w:rFonts w:cs="Arial"/>
            <w:szCs w:val="20"/>
          </w:rPr>
          <w:t xml:space="preserve">In each hour of the Day-Ahead Market, </w:t>
        </w:r>
        <w:r>
          <w:t>t</w:t>
        </w:r>
        <w:r w:rsidRPr="003B0958">
          <w:t xml:space="preserve">he CAISO calculates the </w:t>
        </w:r>
        <w:r>
          <w:t xml:space="preserve">Locational IRU </w:t>
        </w:r>
        <w:r w:rsidRPr="003B0958">
          <w:t xml:space="preserve">Price </w:t>
        </w:r>
        <w:r>
          <w:t xml:space="preserve">and Locational IRD </w:t>
        </w:r>
        <w:r w:rsidRPr="003B0958">
          <w:t xml:space="preserve">Price for each PNode, which is based on the </w:t>
        </w:r>
        <w:r>
          <w:t xml:space="preserve">IRU and IRD </w:t>
        </w:r>
        <w:r w:rsidRPr="003B0958">
          <w:t xml:space="preserve">Bids of sellers selected in the Day-Ahead Market as calculated below. </w:t>
        </w:r>
        <w:r>
          <w:t xml:space="preserve"> </w:t>
        </w:r>
        <w:r w:rsidRPr="003B0958">
          <w:t xml:space="preserve">The CAISO </w:t>
        </w:r>
        <w:r>
          <w:t>uses</w:t>
        </w:r>
        <w:r w:rsidRPr="003B0958">
          <w:t xml:space="preserve"> a Reference Bus for</w:t>
        </w:r>
        <w:r>
          <w:t xml:space="preserve"> the</w:t>
        </w:r>
        <w:r w:rsidRPr="003B0958">
          <w:t xml:space="preserve"> calculation of the </w:t>
        </w:r>
        <w:r>
          <w:t xml:space="preserve">Locational IRU </w:t>
        </w:r>
        <w:r w:rsidRPr="003B0958">
          <w:t xml:space="preserve">Price </w:t>
        </w:r>
        <w:r>
          <w:t xml:space="preserve">and Locational IRD </w:t>
        </w:r>
        <w:r w:rsidRPr="003B0958">
          <w:t>Price.</w:t>
        </w:r>
        <w:r>
          <w:t xml:space="preserve">  </w:t>
        </w:r>
        <w:r w:rsidRPr="00BD587E">
          <w:t xml:space="preserve">The Reference Bus </w:t>
        </w:r>
        <w:r w:rsidR="00AA7D2E">
          <w:t xml:space="preserve">for the Locational IRU Price </w:t>
        </w:r>
        <w:r w:rsidRPr="00BD587E">
          <w:t xml:space="preserve">is the distributed </w:t>
        </w:r>
        <w:r w:rsidR="00AA7D2E">
          <w:t>IRU requirement</w:t>
        </w:r>
        <w:r w:rsidRPr="00BD587E">
          <w:t xml:space="preserve"> in the Market Area,</w:t>
        </w:r>
        <w:r w:rsidR="00AA7D2E">
          <w:t xml:space="preserve"> whereas the </w:t>
        </w:r>
        <w:r w:rsidR="00AA7D2E" w:rsidRPr="00BD587E">
          <w:t xml:space="preserve">Reference Bus </w:t>
        </w:r>
        <w:r w:rsidR="00AA7D2E">
          <w:t xml:space="preserve">for the Locational IRD Price </w:t>
        </w:r>
        <w:r w:rsidR="00AA7D2E" w:rsidRPr="00BD587E">
          <w:t xml:space="preserve">is the distributed </w:t>
        </w:r>
        <w:r w:rsidR="00AA7D2E">
          <w:t>IRD requirement</w:t>
        </w:r>
        <w:r w:rsidR="00AA7D2E" w:rsidRPr="00BD587E">
          <w:t xml:space="preserve"> in the Market Area</w:t>
        </w:r>
        <w:r w:rsidR="00AA7D2E">
          <w:t xml:space="preserve">. </w:t>
        </w:r>
        <w:r w:rsidRPr="00BD587E">
          <w:t xml:space="preserve"> </w:t>
        </w:r>
        <w:r w:rsidR="00AA7D2E" w:rsidRPr="00BD587E">
          <w:t xml:space="preserve">The Reference Bus </w:t>
        </w:r>
        <w:r w:rsidR="00AA7D2E">
          <w:t xml:space="preserve">is </w:t>
        </w:r>
        <w:r w:rsidRPr="00BD587E">
          <w:t xml:space="preserve">used in sensitivity calculations that yield </w:t>
        </w:r>
        <w:r w:rsidR="00AA7D2E">
          <w:t>t</w:t>
        </w:r>
        <w:r w:rsidRPr="00BD587E">
          <w:t xml:space="preserve">he Power Transfer Distribution Factors.  </w:t>
        </w:r>
        <w:r w:rsidR="00AA7D2E">
          <w:t>T</w:t>
        </w:r>
        <w:r w:rsidRPr="00BD587E">
          <w:t xml:space="preserve">he CAISO </w:t>
        </w:r>
        <w:r w:rsidR="00AA7D2E">
          <w:t xml:space="preserve">does not employ an AC power flow in the IRU and IRD deployment scenarios in the IFM.  The Transmission Constraints in the IRU and IRD deployment scenarios are formulated as linear extensions of the Transmission Constraints in the base scenario using the AC power flow solution for the base scenario.  Therefore, there is no marginal loss component in the </w:t>
        </w:r>
        <w:r w:rsidR="00182C29">
          <w:t xml:space="preserve">Locational IRU </w:t>
        </w:r>
        <w:r w:rsidR="00182C29" w:rsidRPr="003B0958">
          <w:t xml:space="preserve">Price </w:t>
        </w:r>
        <w:r w:rsidR="00182C29">
          <w:t xml:space="preserve">and Locational IRD </w:t>
        </w:r>
        <w:r w:rsidR="00182C29" w:rsidRPr="003B0958">
          <w:t>Price</w:t>
        </w:r>
        <w:r w:rsidR="00182C29">
          <w:t>.</w:t>
        </w:r>
        <w:r w:rsidR="00AA7D2E">
          <w:t xml:space="preserve">  </w:t>
        </w:r>
        <w:r w:rsidRPr="003B0958">
          <w:t xml:space="preserve">For each </w:t>
        </w:r>
        <w:r>
          <w:t>PNode</w:t>
        </w:r>
        <w:r w:rsidRPr="003B0958">
          <w:t xml:space="preserve">, the CAISO determines separate components of the </w:t>
        </w:r>
        <w:r>
          <w:t xml:space="preserve">Locational </w:t>
        </w:r>
        <w:r w:rsidR="00182C29">
          <w:t>IR</w:t>
        </w:r>
        <w:r>
          <w:t xml:space="preserve">U </w:t>
        </w:r>
        <w:r w:rsidRPr="003B0958">
          <w:t xml:space="preserve">Price </w:t>
        </w:r>
        <w:r>
          <w:t xml:space="preserve">and Locational </w:t>
        </w:r>
        <w:r w:rsidR="00182C29">
          <w:t>IR</w:t>
        </w:r>
        <w:r>
          <w:t xml:space="preserve">D </w:t>
        </w:r>
        <w:r w:rsidRPr="003B0958">
          <w:t xml:space="preserve">Price for the </w:t>
        </w:r>
        <w:r>
          <w:t>M</w:t>
        </w:r>
        <w:r w:rsidRPr="003B0958">
          <w:t xml:space="preserve">arginal </w:t>
        </w:r>
        <w:r w:rsidR="00182C29">
          <w:t>IR</w:t>
        </w:r>
        <w:r>
          <w:t xml:space="preserve">U and </w:t>
        </w:r>
        <w:r w:rsidR="00182C29">
          <w:t>IR</w:t>
        </w:r>
        <w:r>
          <w:t>D Cost</w:t>
        </w:r>
        <w:r w:rsidRPr="003B0958">
          <w:t xml:space="preserve">, </w:t>
        </w:r>
        <w:r w:rsidR="00182C29">
          <w:t xml:space="preserve">and the </w:t>
        </w:r>
        <w:r w:rsidRPr="003B0958">
          <w:t>Marginal Cost of Congestion</w:t>
        </w:r>
        <w:r>
          <w:t xml:space="preserve"> for </w:t>
        </w:r>
        <w:r w:rsidR="00182C29">
          <w:t>IR</w:t>
        </w:r>
        <w:r>
          <w:t xml:space="preserve">U and </w:t>
        </w:r>
        <w:r w:rsidR="00182C29">
          <w:t>IR</w:t>
        </w:r>
        <w:r>
          <w:t>D</w:t>
        </w:r>
        <w:r w:rsidRPr="003B0958">
          <w:t xml:space="preserve">, </w:t>
        </w:r>
        <w:r>
          <w:t>as follows</w:t>
        </w:r>
        <w:r w:rsidRPr="003B0958">
          <w:t>:</w:t>
        </w:r>
      </w:ins>
    </w:p>
    <w:p w14:paraId="1F7F88B4" w14:textId="77777777" w:rsidR="00302C69" w:rsidRPr="00182C29" w:rsidRDefault="00543914" w:rsidP="00302C69">
      <w:pPr>
        <w:rPr>
          <w:ins w:id="209" w:author="Author"/>
          <w:rFonts w:eastAsiaTheme="minorEastAsia"/>
        </w:rPr>
      </w:pPr>
      <m:oMathPara>
        <m:oMathParaPr>
          <m:jc m:val="left"/>
        </m:oMathParaPr>
        <m:oMath>
          <m:sSubSup>
            <m:sSubSupPr>
              <m:ctrlPr>
                <w:ins w:id="210" w:author="Author">
                  <w:rPr>
                    <w:rFonts w:ascii="Cambria Math" w:hAnsi="Cambria Math"/>
                    <w:i/>
                  </w:rPr>
                </w:ins>
              </m:ctrlPr>
            </m:sSubSupPr>
            <m:e>
              <m:r>
                <w:ins w:id="211" w:author="Author">
                  <w:rPr>
                    <w:rFonts w:ascii="Cambria Math" w:hAnsi="Cambria Math"/>
                  </w:rPr>
                  <m:t>LMP</m:t>
                </w:ins>
              </m:r>
            </m:e>
            <m:sub>
              <m:r>
                <w:ins w:id="212" w:author="Author">
                  <w:rPr>
                    <w:rFonts w:ascii="Cambria Math" w:hAnsi="Cambria Math"/>
                  </w:rPr>
                  <m:t>i</m:t>
                </w:ins>
              </m:r>
            </m:sub>
            <m:sup>
              <m:d>
                <m:dPr>
                  <m:ctrlPr>
                    <w:ins w:id="213" w:author="Author">
                      <w:rPr>
                        <w:rFonts w:ascii="Cambria Math" w:hAnsi="Cambria Math"/>
                        <w:i/>
                      </w:rPr>
                    </w:ins>
                  </m:ctrlPr>
                </m:dPr>
                <m:e>
                  <m:r>
                    <w:ins w:id="214" w:author="Author">
                      <w:rPr>
                        <w:rFonts w:ascii="Cambria Math" w:hAnsi="Cambria Math"/>
                      </w:rPr>
                      <m:t>IRU</m:t>
                    </w:ins>
                  </m:r>
                </m:e>
              </m:d>
            </m:sup>
          </m:sSubSup>
          <m:r>
            <w:ins w:id="215" w:author="Author">
              <w:rPr>
                <w:rFonts w:ascii="Cambria Math" w:hAnsi="Cambria Math"/>
              </w:rPr>
              <m:t>=</m:t>
            </w:ins>
          </m:r>
          <m:sSubSup>
            <m:sSubSupPr>
              <m:ctrlPr>
                <w:ins w:id="216" w:author="Author">
                  <w:rPr>
                    <w:rFonts w:ascii="Cambria Math" w:hAnsi="Cambria Math"/>
                    <w:i/>
                  </w:rPr>
                </w:ins>
              </m:ctrlPr>
            </m:sSubSupPr>
            <m:e>
              <m:r>
                <w:ins w:id="217" w:author="Author">
                  <w:rPr>
                    <w:rFonts w:ascii="Cambria Math" w:hAnsi="Cambria Math"/>
                  </w:rPr>
                  <m:t>MEC</m:t>
                </w:ins>
              </m:r>
            </m:e>
            <m:sub>
              <m:r>
                <w:ins w:id="218" w:author="Author">
                  <w:rPr>
                    <w:rFonts w:ascii="Cambria Math" w:hAnsi="Cambria Math"/>
                  </w:rPr>
                  <m:t>i</m:t>
                </w:ins>
              </m:r>
            </m:sub>
            <m:sup>
              <m:d>
                <m:dPr>
                  <m:ctrlPr>
                    <w:ins w:id="219" w:author="Author">
                      <w:rPr>
                        <w:rFonts w:ascii="Cambria Math" w:hAnsi="Cambria Math"/>
                        <w:i/>
                      </w:rPr>
                    </w:ins>
                  </m:ctrlPr>
                </m:dPr>
                <m:e>
                  <m:r>
                    <w:ins w:id="220" w:author="Author">
                      <w:rPr>
                        <w:rFonts w:ascii="Cambria Math" w:hAnsi="Cambria Math"/>
                      </w:rPr>
                      <m:t>IRU</m:t>
                    </w:ins>
                  </m:r>
                </m:e>
              </m:d>
            </m:sup>
          </m:sSubSup>
          <m:r>
            <w:ins w:id="221" w:author="Author">
              <w:rPr>
                <w:rFonts w:ascii="Cambria Math" w:hAnsi="Cambria Math"/>
              </w:rPr>
              <m:t>+</m:t>
            </w:ins>
          </m:r>
          <m:sSubSup>
            <m:sSubSupPr>
              <m:ctrlPr>
                <w:ins w:id="222" w:author="Author">
                  <w:rPr>
                    <w:rFonts w:ascii="Cambria Math" w:hAnsi="Cambria Math"/>
                    <w:i/>
                  </w:rPr>
                </w:ins>
              </m:ctrlPr>
            </m:sSubSupPr>
            <m:e>
              <m:r>
                <w:ins w:id="223" w:author="Author">
                  <w:rPr>
                    <w:rFonts w:ascii="Cambria Math" w:hAnsi="Cambria Math"/>
                  </w:rPr>
                  <m:t>MCC</m:t>
                </w:ins>
              </m:r>
            </m:e>
            <m:sub>
              <m:r>
                <w:ins w:id="224" w:author="Author">
                  <w:rPr>
                    <w:rFonts w:ascii="Cambria Math" w:hAnsi="Cambria Math"/>
                  </w:rPr>
                  <m:t>i</m:t>
                </w:ins>
              </m:r>
            </m:sub>
            <m:sup>
              <m:d>
                <m:dPr>
                  <m:ctrlPr>
                    <w:ins w:id="225" w:author="Author">
                      <w:rPr>
                        <w:rFonts w:ascii="Cambria Math" w:hAnsi="Cambria Math"/>
                        <w:i/>
                      </w:rPr>
                    </w:ins>
                  </m:ctrlPr>
                </m:dPr>
                <m:e>
                  <m:r>
                    <w:ins w:id="226" w:author="Author">
                      <w:rPr>
                        <w:rFonts w:ascii="Cambria Math" w:hAnsi="Cambria Math"/>
                      </w:rPr>
                      <m:t>IRU</m:t>
                    </w:ins>
                  </m:r>
                </m:e>
              </m:d>
            </m:sup>
          </m:sSubSup>
        </m:oMath>
      </m:oMathPara>
    </w:p>
    <w:p w14:paraId="7AAC269F" w14:textId="77777777" w:rsidR="00182C29" w:rsidRPr="00182C29" w:rsidRDefault="00543914" w:rsidP="00302C69">
      <w:pPr>
        <w:rPr>
          <w:ins w:id="227" w:author="Author"/>
          <w:rFonts w:eastAsiaTheme="minorEastAsia"/>
        </w:rPr>
      </w:pPr>
      <m:oMathPara>
        <m:oMathParaPr>
          <m:jc m:val="left"/>
        </m:oMathParaPr>
        <m:oMath>
          <m:sSubSup>
            <m:sSubSupPr>
              <m:ctrlPr>
                <w:ins w:id="228" w:author="Author">
                  <w:rPr>
                    <w:rFonts w:ascii="Cambria Math" w:hAnsi="Cambria Math"/>
                    <w:i/>
                  </w:rPr>
                </w:ins>
              </m:ctrlPr>
            </m:sSubSupPr>
            <m:e>
              <m:r>
                <w:ins w:id="229" w:author="Author">
                  <w:rPr>
                    <w:rFonts w:ascii="Cambria Math" w:hAnsi="Cambria Math"/>
                  </w:rPr>
                  <m:t>LMP</m:t>
                </w:ins>
              </m:r>
            </m:e>
            <m:sub>
              <m:r>
                <w:ins w:id="230" w:author="Author">
                  <w:rPr>
                    <w:rFonts w:ascii="Cambria Math" w:hAnsi="Cambria Math"/>
                  </w:rPr>
                  <m:t>i</m:t>
                </w:ins>
              </m:r>
            </m:sub>
            <m:sup>
              <m:r>
                <w:ins w:id="231" w:author="Author">
                  <w:rPr>
                    <w:rFonts w:ascii="Cambria Math" w:hAnsi="Cambria Math"/>
                  </w:rPr>
                  <m:t>(IRD)</m:t>
                </w:ins>
              </m:r>
            </m:sup>
          </m:sSubSup>
          <m:r>
            <w:ins w:id="232" w:author="Author">
              <w:rPr>
                <w:rFonts w:ascii="Cambria Math" w:hAnsi="Cambria Math"/>
              </w:rPr>
              <m:t>=</m:t>
            </w:ins>
          </m:r>
          <m:sSubSup>
            <m:sSubSupPr>
              <m:ctrlPr>
                <w:ins w:id="233" w:author="Author">
                  <w:rPr>
                    <w:rFonts w:ascii="Cambria Math" w:hAnsi="Cambria Math"/>
                    <w:i/>
                  </w:rPr>
                </w:ins>
              </m:ctrlPr>
            </m:sSubSupPr>
            <m:e>
              <m:r>
                <w:ins w:id="234" w:author="Author">
                  <w:rPr>
                    <w:rFonts w:ascii="Cambria Math" w:hAnsi="Cambria Math"/>
                  </w:rPr>
                  <m:t>MEC</m:t>
                </w:ins>
              </m:r>
            </m:e>
            <m:sub>
              <m:r>
                <w:ins w:id="235" w:author="Author">
                  <w:rPr>
                    <w:rFonts w:ascii="Cambria Math" w:hAnsi="Cambria Math"/>
                  </w:rPr>
                  <m:t>i</m:t>
                </w:ins>
              </m:r>
            </m:sub>
            <m:sup>
              <m:r>
                <w:ins w:id="236" w:author="Author">
                  <w:rPr>
                    <w:rFonts w:ascii="Cambria Math" w:hAnsi="Cambria Math"/>
                  </w:rPr>
                  <m:t>(IRD)</m:t>
                </w:ins>
              </m:r>
            </m:sup>
          </m:sSubSup>
          <m:r>
            <w:ins w:id="237" w:author="Author">
              <w:rPr>
                <w:rFonts w:ascii="Cambria Math" w:hAnsi="Cambria Math"/>
              </w:rPr>
              <m:t>+</m:t>
            </w:ins>
          </m:r>
          <m:sSubSup>
            <m:sSubSupPr>
              <m:ctrlPr>
                <w:ins w:id="238" w:author="Author">
                  <w:rPr>
                    <w:rFonts w:ascii="Cambria Math" w:hAnsi="Cambria Math"/>
                    <w:i/>
                  </w:rPr>
                </w:ins>
              </m:ctrlPr>
            </m:sSubSupPr>
            <m:e>
              <m:r>
                <w:ins w:id="239" w:author="Author">
                  <w:rPr>
                    <w:rFonts w:ascii="Cambria Math" w:hAnsi="Cambria Math"/>
                  </w:rPr>
                  <m:t>MCC</m:t>
                </w:ins>
              </m:r>
            </m:e>
            <m:sub>
              <m:r>
                <w:ins w:id="240" w:author="Author">
                  <w:rPr>
                    <w:rFonts w:ascii="Cambria Math" w:hAnsi="Cambria Math"/>
                  </w:rPr>
                  <m:t>i</m:t>
                </w:ins>
              </m:r>
            </m:sub>
            <m:sup>
              <m:r>
                <w:ins w:id="241" w:author="Author">
                  <w:rPr>
                    <w:rFonts w:ascii="Cambria Math" w:hAnsi="Cambria Math"/>
                  </w:rPr>
                  <m:t>(IRD)</m:t>
                </w:ins>
              </m:r>
            </m:sup>
          </m:sSubSup>
        </m:oMath>
      </m:oMathPara>
    </w:p>
    <w:p w14:paraId="39529BAC" w14:textId="77777777" w:rsidR="00302C69" w:rsidRPr="003B0958" w:rsidRDefault="00302C69" w:rsidP="00302C69">
      <w:pPr>
        <w:rPr>
          <w:ins w:id="242" w:author="Author"/>
        </w:rPr>
      </w:pPr>
      <w:ins w:id="243" w:author="Author">
        <w:r w:rsidRPr="003B0958">
          <w:t>where:</w:t>
        </w:r>
      </w:ins>
    </w:p>
    <w:p w14:paraId="312ADD58" w14:textId="77777777" w:rsidR="00302C69" w:rsidRPr="0066792C" w:rsidRDefault="00302C69" w:rsidP="00302C69">
      <w:pPr>
        <w:pStyle w:val="ListParagraph"/>
        <w:numPr>
          <w:ilvl w:val="0"/>
          <w:numId w:val="1"/>
        </w:numPr>
        <w:rPr>
          <w:ins w:id="244" w:author="Author"/>
        </w:rPr>
      </w:pPr>
      <w:ins w:id="245" w:author="Author">
        <w:r w:rsidRPr="0066792C">
          <w:rPr>
            <w:rFonts w:ascii="Times" w:hAnsi="Times"/>
            <w:i/>
          </w:rPr>
          <w:t>i</w:t>
        </w:r>
        <w:r>
          <w:t xml:space="preserve"> is the PNode index.</w:t>
        </w:r>
      </w:ins>
    </w:p>
    <w:p w14:paraId="547A33DD" w14:textId="77777777" w:rsidR="00302C69" w:rsidRPr="003B0958" w:rsidRDefault="00543914" w:rsidP="00302C69">
      <w:pPr>
        <w:pStyle w:val="ListParagraph"/>
        <w:numPr>
          <w:ilvl w:val="0"/>
          <w:numId w:val="1"/>
        </w:numPr>
        <w:rPr>
          <w:ins w:id="246" w:author="Author"/>
        </w:rPr>
      </w:pPr>
      <m:oMath>
        <m:sSubSup>
          <m:sSubSupPr>
            <m:ctrlPr>
              <w:ins w:id="247" w:author="Author">
                <w:rPr>
                  <w:rFonts w:ascii="Cambria Math" w:hAnsi="Cambria Math"/>
                  <w:i/>
                </w:rPr>
              </w:ins>
            </m:ctrlPr>
          </m:sSubSupPr>
          <m:e>
            <m:r>
              <w:ins w:id="248" w:author="Author">
                <w:rPr>
                  <w:rFonts w:ascii="Cambria Math" w:hAnsi="Cambria Math"/>
                </w:rPr>
                <m:t>MEC</m:t>
              </w:ins>
            </m:r>
          </m:e>
          <m:sub>
            <m:r>
              <w:ins w:id="249" w:author="Author">
                <w:rPr>
                  <w:rFonts w:ascii="Cambria Math" w:hAnsi="Cambria Math"/>
                </w:rPr>
                <m:t>i</m:t>
              </w:ins>
            </m:r>
          </m:sub>
          <m:sup>
            <m:r>
              <w:ins w:id="250" w:author="Author">
                <w:rPr>
                  <w:rFonts w:ascii="Cambria Math" w:hAnsi="Cambria Math"/>
                </w:rPr>
                <m:t>(IRU)</m:t>
              </w:ins>
            </m:r>
          </m:sup>
        </m:sSubSup>
      </m:oMath>
      <w:ins w:id="251" w:author="Author">
        <w:r w:rsidR="00302C69">
          <w:rPr>
            <w:rFonts w:cs="Arial"/>
            <w:color w:val="000000"/>
            <w:szCs w:val="20"/>
          </w:rPr>
          <w:t xml:space="preserve"> is the </w:t>
        </w:r>
        <w:r w:rsidR="00302C69">
          <w:t xml:space="preserve">Locational </w:t>
        </w:r>
        <w:r w:rsidR="00182C29">
          <w:t>IR</w:t>
        </w:r>
        <w:r w:rsidR="00302C69">
          <w:t xml:space="preserve">U </w:t>
        </w:r>
        <w:r w:rsidR="00302C69" w:rsidRPr="003B0958">
          <w:t xml:space="preserve">Price </w:t>
        </w:r>
        <w:r w:rsidR="00302C69">
          <w:rPr>
            <w:rFonts w:cs="Arial"/>
            <w:color w:val="000000"/>
            <w:szCs w:val="20"/>
          </w:rPr>
          <w:t xml:space="preserve">component representing the Marginal </w:t>
        </w:r>
        <w:r w:rsidR="00182C29">
          <w:rPr>
            <w:rFonts w:cs="Arial"/>
            <w:color w:val="000000"/>
            <w:szCs w:val="20"/>
          </w:rPr>
          <w:t>IRU</w:t>
        </w:r>
        <w:r w:rsidR="00302C69">
          <w:rPr>
            <w:rFonts w:cs="Arial"/>
            <w:color w:val="000000"/>
            <w:szCs w:val="20"/>
          </w:rPr>
          <w:t xml:space="preserve"> Cost at PNode </w:t>
        </w:r>
        <w:r w:rsidR="00302C69" w:rsidRPr="0066792C">
          <w:rPr>
            <w:rFonts w:ascii="Times" w:hAnsi="Times"/>
            <w:i/>
          </w:rPr>
          <w:t>i</w:t>
        </w:r>
        <w:r w:rsidR="00302C69">
          <w:rPr>
            <w:rFonts w:cs="Arial"/>
            <w:color w:val="000000"/>
            <w:szCs w:val="20"/>
          </w:rPr>
          <w:t>.</w:t>
        </w:r>
      </w:ins>
    </w:p>
    <w:p w14:paraId="6F247648" w14:textId="77777777" w:rsidR="00302C69" w:rsidRPr="003B0958" w:rsidRDefault="00543914" w:rsidP="00302C69">
      <w:pPr>
        <w:pStyle w:val="ListParagraph"/>
        <w:numPr>
          <w:ilvl w:val="0"/>
          <w:numId w:val="1"/>
        </w:numPr>
        <w:rPr>
          <w:ins w:id="252" w:author="Author"/>
        </w:rPr>
      </w:pPr>
      <m:oMath>
        <m:sSubSup>
          <m:sSubSupPr>
            <m:ctrlPr>
              <w:ins w:id="253" w:author="Author">
                <w:rPr>
                  <w:rFonts w:ascii="Cambria Math" w:hAnsi="Cambria Math"/>
                  <w:i/>
                </w:rPr>
              </w:ins>
            </m:ctrlPr>
          </m:sSubSupPr>
          <m:e>
            <m:r>
              <w:ins w:id="254" w:author="Author">
                <w:rPr>
                  <w:rFonts w:ascii="Cambria Math" w:hAnsi="Cambria Math"/>
                </w:rPr>
                <m:t>MCC</m:t>
              </w:ins>
            </m:r>
          </m:e>
          <m:sub>
            <m:r>
              <w:ins w:id="255" w:author="Author">
                <w:rPr>
                  <w:rFonts w:ascii="Cambria Math" w:hAnsi="Cambria Math"/>
                </w:rPr>
                <m:t>i</m:t>
              </w:ins>
            </m:r>
          </m:sub>
          <m:sup>
            <m:r>
              <w:ins w:id="256" w:author="Author">
                <w:rPr>
                  <w:rFonts w:ascii="Cambria Math" w:hAnsi="Cambria Math"/>
                </w:rPr>
                <m:t>(IRU)</m:t>
              </w:ins>
            </m:r>
          </m:sup>
        </m:sSubSup>
      </m:oMath>
      <w:ins w:id="257" w:author="Author">
        <w:r w:rsidR="00302C69">
          <w:rPr>
            <w:rFonts w:cs="Arial"/>
            <w:color w:val="000000"/>
            <w:szCs w:val="20"/>
          </w:rPr>
          <w:t xml:space="preserve"> is the </w:t>
        </w:r>
        <w:r w:rsidR="00302C69">
          <w:t xml:space="preserve">Locational </w:t>
        </w:r>
        <w:r w:rsidR="00182C29">
          <w:t>IR</w:t>
        </w:r>
        <w:r w:rsidR="00302C69">
          <w:t xml:space="preserve">U </w:t>
        </w:r>
        <w:r w:rsidR="00302C69" w:rsidRPr="003B0958">
          <w:t xml:space="preserve">Price </w:t>
        </w:r>
        <w:r w:rsidR="00302C69">
          <w:rPr>
            <w:rFonts w:cs="Arial"/>
            <w:color w:val="000000"/>
            <w:szCs w:val="20"/>
          </w:rPr>
          <w:t xml:space="preserve">component representing the Marginal Cost of Congestion for </w:t>
        </w:r>
        <w:r w:rsidR="00182C29">
          <w:rPr>
            <w:rFonts w:cs="Arial"/>
            <w:color w:val="000000"/>
            <w:szCs w:val="20"/>
          </w:rPr>
          <w:t>IRU</w:t>
        </w:r>
        <w:r w:rsidR="00302C69">
          <w:rPr>
            <w:rFonts w:cs="Arial"/>
            <w:color w:val="000000"/>
            <w:szCs w:val="20"/>
          </w:rPr>
          <w:t xml:space="preserve"> at PNode </w:t>
        </w:r>
        <w:r w:rsidR="00302C69" w:rsidRPr="0066792C">
          <w:rPr>
            <w:rFonts w:ascii="Times" w:hAnsi="Times"/>
            <w:i/>
          </w:rPr>
          <w:t>i</w:t>
        </w:r>
        <w:r w:rsidR="00302C69">
          <w:rPr>
            <w:rFonts w:cs="Arial"/>
            <w:color w:val="000000"/>
            <w:szCs w:val="20"/>
          </w:rPr>
          <w:t>.</w:t>
        </w:r>
      </w:ins>
    </w:p>
    <w:p w14:paraId="64DA8F8E" w14:textId="77777777" w:rsidR="00182C29" w:rsidRPr="003B0958" w:rsidRDefault="00543914" w:rsidP="00182C29">
      <w:pPr>
        <w:pStyle w:val="ListParagraph"/>
        <w:numPr>
          <w:ilvl w:val="0"/>
          <w:numId w:val="1"/>
        </w:numPr>
        <w:rPr>
          <w:ins w:id="258" w:author="Author"/>
        </w:rPr>
      </w:pPr>
      <m:oMath>
        <m:sSubSup>
          <m:sSubSupPr>
            <m:ctrlPr>
              <w:ins w:id="259" w:author="Author">
                <w:rPr>
                  <w:rFonts w:ascii="Cambria Math" w:hAnsi="Cambria Math"/>
                  <w:i/>
                </w:rPr>
              </w:ins>
            </m:ctrlPr>
          </m:sSubSupPr>
          <m:e>
            <m:r>
              <w:ins w:id="260" w:author="Author">
                <w:rPr>
                  <w:rFonts w:ascii="Cambria Math" w:hAnsi="Cambria Math"/>
                </w:rPr>
                <m:t>MEC</m:t>
              </w:ins>
            </m:r>
          </m:e>
          <m:sub>
            <m:r>
              <w:ins w:id="261" w:author="Author">
                <w:rPr>
                  <w:rFonts w:ascii="Cambria Math" w:hAnsi="Cambria Math"/>
                </w:rPr>
                <m:t>i</m:t>
              </w:ins>
            </m:r>
          </m:sub>
          <m:sup>
            <m:r>
              <w:ins w:id="262" w:author="Author">
                <w:rPr>
                  <w:rFonts w:ascii="Cambria Math" w:hAnsi="Cambria Math"/>
                </w:rPr>
                <m:t>(IRD)</m:t>
              </w:ins>
            </m:r>
          </m:sup>
        </m:sSubSup>
      </m:oMath>
      <w:ins w:id="263" w:author="Author">
        <w:r w:rsidR="00182C29">
          <w:rPr>
            <w:rFonts w:cs="Arial"/>
            <w:color w:val="000000"/>
            <w:szCs w:val="20"/>
          </w:rPr>
          <w:t xml:space="preserve"> is the </w:t>
        </w:r>
        <w:r w:rsidR="00182C29">
          <w:t xml:space="preserve">Locational IRD </w:t>
        </w:r>
        <w:r w:rsidR="00182C29" w:rsidRPr="003B0958">
          <w:t xml:space="preserve">Price </w:t>
        </w:r>
        <w:r w:rsidR="00182C29">
          <w:rPr>
            <w:rFonts w:cs="Arial"/>
            <w:color w:val="000000"/>
            <w:szCs w:val="20"/>
          </w:rPr>
          <w:t xml:space="preserve">component representing the Marginal IRD Cost at PNode </w:t>
        </w:r>
        <w:r w:rsidR="00182C29" w:rsidRPr="0066792C">
          <w:rPr>
            <w:rFonts w:ascii="Times" w:hAnsi="Times"/>
            <w:i/>
          </w:rPr>
          <w:t>i</w:t>
        </w:r>
        <w:r w:rsidR="00182C29">
          <w:rPr>
            <w:rFonts w:cs="Arial"/>
            <w:color w:val="000000"/>
            <w:szCs w:val="20"/>
          </w:rPr>
          <w:t>.</w:t>
        </w:r>
      </w:ins>
    </w:p>
    <w:p w14:paraId="2FC22DE7" w14:textId="77777777" w:rsidR="00182C29" w:rsidRPr="003B0958" w:rsidRDefault="00543914" w:rsidP="00182C29">
      <w:pPr>
        <w:pStyle w:val="ListParagraph"/>
        <w:numPr>
          <w:ilvl w:val="0"/>
          <w:numId w:val="1"/>
        </w:numPr>
        <w:rPr>
          <w:ins w:id="264" w:author="Author"/>
        </w:rPr>
      </w:pPr>
      <m:oMath>
        <m:sSubSup>
          <m:sSubSupPr>
            <m:ctrlPr>
              <w:ins w:id="265" w:author="Author">
                <w:rPr>
                  <w:rFonts w:ascii="Cambria Math" w:hAnsi="Cambria Math"/>
                  <w:i/>
                </w:rPr>
              </w:ins>
            </m:ctrlPr>
          </m:sSubSupPr>
          <m:e>
            <m:r>
              <w:ins w:id="266" w:author="Author">
                <w:rPr>
                  <w:rFonts w:ascii="Cambria Math" w:hAnsi="Cambria Math"/>
                </w:rPr>
                <m:t>MCC</m:t>
              </w:ins>
            </m:r>
          </m:e>
          <m:sub>
            <m:r>
              <w:ins w:id="267" w:author="Author">
                <w:rPr>
                  <w:rFonts w:ascii="Cambria Math" w:hAnsi="Cambria Math"/>
                </w:rPr>
                <m:t>i</m:t>
              </w:ins>
            </m:r>
          </m:sub>
          <m:sup>
            <m:r>
              <w:ins w:id="268" w:author="Author">
                <w:rPr>
                  <w:rFonts w:ascii="Cambria Math" w:hAnsi="Cambria Math"/>
                </w:rPr>
                <m:t>(IRD)</m:t>
              </w:ins>
            </m:r>
          </m:sup>
        </m:sSubSup>
      </m:oMath>
      <w:ins w:id="269" w:author="Author">
        <w:r w:rsidR="00182C29">
          <w:rPr>
            <w:rFonts w:cs="Arial"/>
            <w:color w:val="000000"/>
            <w:szCs w:val="20"/>
          </w:rPr>
          <w:t xml:space="preserve"> is the </w:t>
        </w:r>
        <w:r w:rsidR="00182C29">
          <w:t xml:space="preserve">Locational IRD </w:t>
        </w:r>
        <w:r w:rsidR="00182C29" w:rsidRPr="003B0958">
          <w:t xml:space="preserve">Price </w:t>
        </w:r>
        <w:r w:rsidR="00182C29">
          <w:rPr>
            <w:rFonts w:cs="Arial"/>
            <w:color w:val="000000"/>
            <w:szCs w:val="20"/>
          </w:rPr>
          <w:t xml:space="preserve">component representing the Marginal Cost of Congestion for IRD at PNode </w:t>
        </w:r>
        <w:r w:rsidR="00182C29" w:rsidRPr="0066792C">
          <w:rPr>
            <w:rFonts w:ascii="Times" w:hAnsi="Times"/>
            <w:i/>
          </w:rPr>
          <w:t>i</w:t>
        </w:r>
        <w:r w:rsidR="00182C29">
          <w:rPr>
            <w:rFonts w:cs="Arial"/>
            <w:color w:val="000000"/>
            <w:szCs w:val="20"/>
          </w:rPr>
          <w:t>.</w:t>
        </w:r>
      </w:ins>
    </w:p>
    <w:p w14:paraId="4767BF4C" w14:textId="77777777" w:rsidR="00302C69" w:rsidRDefault="00182C29" w:rsidP="00302C69">
      <w:pPr>
        <w:pStyle w:val="Heading3"/>
        <w:ind w:firstLine="720"/>
        <w:rPr>
          <w:ins w:id="270" w:author="Author"/>
        </w:rPr>
      </w:pPr>
      <w:ins w:id="271" w:author="Author">
        <w:r>
          <w:t>B</w:t>
        </w:r>
        <w:r w:rsidR="00302C69">
          <w:t>.2.</w:t>
        </w:r>
        <w:r w:rsidR="00302C69">
          <w:tab/>
          <w:t xml:space="preserve">Marginal </w:t>
        </w:r>
        <w:r w:rsidR="00863079">
          <w:rPr>
            <w:rFonts w:cs="Arial"/>
            <w:color w:val="000000"/>
            <w:sz w:val="18"/>
            <w:szCs w:val="20"/>
          </w:rPr>
          <w:t>IRU and IRD</w:t>
        </w:r>
        <w:r w:rsidR="00302C69">
          <w:rPr>
            <w:rFonts w:cs="Arial"/>
            <w:color w:val="000000"/>
            <w:szCs w:val="20"/>
          </w:rPr>
          <w:t xml:space="preserve"> </w:t>
        </w:r>
        <w:r w:rsidR="00302C69">
          <w:t>Cost Component</w:t>
        </w:r>
      </w:ins>
    </w:p>
    <w:p w14:paraId="7222B247" w14:textId="77777777" w:rsidR="00302C69" w:rsidRPr="006A08CB" w:rsidRDefault="00302C69" w:rsidP="00302C69">
      <w:pPr>
        <w:rPr>
          <w:ins w:id="272" w:author="Author"/>
          <w:szCs w:val="20"/>
        </w:rPr>
      </w:pPr>
      <w:ins w:id="273" w:author="Author">
        <w:r w:rsidRPr="006A08CB">
          <w:rPr>
            <w:szCs w:val="20"/>
          </w:rPr>
          <w:t xml:space="preserve">The Marginal </w:t>
        </w:r>
        <w:r w:rsidR="00863079">
          <w:rPr>
            <w:rFonts w:cs="Arial"/>
            <w:color w:val="000000"/>
            <w:szCs w:val="20"/>
          </w:rPr>
          <w:t>IRU and IRD</w:t>
        </w:r>
        <w:r w:rsidRPr="006A08CB">
          <w:rPr>
            <w:rFonts w:cs="Arial"/>
            <w:color w:val="000000"/>
            <w:szCs w:val="20"/>
          </w:rPr>
          <w:t xml:space="preserve"> </w:t>
        </w:r>
        <w:r w:rsidRPr="006A08CB">
          <w:rPr>
            <w:szCs w:val="20"/>
          </w:rPr>
          <w:t xml:space="preserve">Cost Component is the same for all PNodes in each Balancing Authority Area in the Market Area.  It is the Shadow Price of the power balance constraint </w:t>
        </w:r>
        <w:r w:rsidR="00863079">
          <w:rPr>
            <w:szCs w:val="20"/>
          </w:rPr>
          <w:t xml:space="preserve">in the IRU or IRD deployment scenario </w:t>
        </w:r>
        <w:r w:rsidRPr="006A08CB">
          <w:rPr>
            <w:szCs w:val="20"/>
          </w:rPr>
          <w:t xml:space="preserve">for the respective Balancing Authority Area at the optimal solution in the </w:t>
        </w:r>
        <w:r w:rsidR="00863079">
          <w:rPr>
            <w:szCs w:val="20"/>
          </w:rPr>
          <w:t>IFM</w:t>
        </w:r>
        <w:r w:rsidRPr="006A08CB">
          <w:rPr>
            <w:szCs w:val="20"/>
          </w:rPr>
          <w:t xml:space="preserve">.  The power balance constraint for each Balancing Authority Area in the Market Area ensures that the physical law of conservation of Energy </w:t>
        </w:r>
        <w:r w:rsidR="00863079">
          <w:rPr>
            <w:szCs w:val="20"/>
          </w:rPr>
          <w:t xml:space="preserve">and deployed capacity </w:t>
        </w:r>
        <w:r w:rsidRPr="006A08CB">
          <w:rPr>
            <w:szCs w:val="20"/>
          </w:rPr>
          <w:t xml:space="preserve">(the sum of physical resource energy schedules from the </w:t>
        </w:r>
        <w:r w:rsidR="00863079">
          <w:rPr>
            <w:szCs w:val="20"/>
          </w:rPr>
          <w:t>base scenario</w:t>
        </w:r>
        <w:r w:rsidRPr="006A08CB">
          <w:rPr>
            <w:szCs w:val="20"/>
          </w:rPr>
          <w:t xml:space="preserve"> plus the deployed </w:t>
        </w:r>
        <w:r w:rsidR="00863079">
          <w:rPr>
            <w:szCs w:val="20"/>
          </w:rPr>
          <w:t>IRU or IRD</w:t>
        </w:r>
        <w:r w:rsidRPr="006A08CB">
          <w:rPr>
            <w:szCs w:val="20"/>
          </w:rPr>
          <w:t xml:space="preserve"> awards equals the </w:t>
        </w:r>
        <w:r w:rsidR="00863079">
          <w:rPr>
            <w:szCs w:val="20"/>
          </w:rPr>
          <w:t>IRU or IRD requirement</w:t>
        </w:r>
        <w:r w:rsidRPr="006A08CB">
          <w:rPr>
            <w:szCs w:val="20"/>
          </w:rPr>
          <w:t xml:space="preserve"> </w:t>
        </w:r>
        <w:r w:rsidR="00ED7D50">
          <w:rPr>
            <w:szCs w:val="20"/>
          </w:rPr>
          <w:t xml:space="preserve">minus the IRU or IRD demand relaxation </w:t>
        </w:r>
        <w:r w:rsidRPr="006A08CB">
          <w:rPr>
            <w:szCs w:val="20"/>
          </w:rPr>
          <w:t xml:space="preserve">plus the Net </w:t>
        </w:r>
        <w:r w:rsidR="00863079">
          <w:rPr>
            <w:szCs w:val="20"/>
          </w:rPr>
          <w:t>IRU or IRD</w:t>
        </w:r>
        <w:r w:rsidRPr="006A08CB">
          <w:rPr>
            <w:szCs w:val="20"/>
          </w:rPr>
          <w:t xml:space="preserve"> Transfer) is accounted for in the </w:t>
        </w:r>
        <w:r w:rsidR="00863079" w:rsidRPr="006A08CB">
          <w:rPr>
            <w:szCs w:val="20"/>
          </w:rPr>
          <w:t>solution</w:t>
        </w:r>
        <w:r w:rsidR="00863079">
          <w:rPr>
            <w:szCs w:val="20"/>
          </w:rPr>
          <w:t xml:space="preserve"> of the IRU or IRD deployment scenario</w:t>
        </w:r>
        <w:r w:rsidRPr="006A08CB">
          <w:rPr>
            <w:szCs w:val="20"/>
          </w:rPr>
          <w:t xml:space="preserve">.  The Marginal </w:t>
        </w:r>
        <w:r w:rsidR="00863079">
          <w:rPr>
            <w:rFonts w:cs="Arial"/>
            <w:color w:val="000000"/>
            <w:szCs w:val="20"/>
          </w:rPr>
          <w:t>IRU or IRD</w:t>
        </w:r>
        <w:r w:rsidRPr="006A08CB">
          <w:rPr>
            <w:rFonts w:cs="Arial"/>
            <w:color w:val="000000"/>
            <w:szCs w:val="20"/>
          </w:rPr>
          <w:t xml:space="preserve"> </w:t>
        </w:r>
        <w:r w:rsidRPr="006A08CB">
          <w:rPr>
            <w:szCs w:val="20"/>
          </w:rPr>
          <w:t xml:space="preserve">Cost for the Transfer System Resources (TSRs) on each side of an EDAM Transfer is the Marginal </w:t>
        </w:r>
        <w:r w:rsidR="00ED7D50">
          <w:rPr>
            <w:rFonts w:cs="Arial"/>
            <w:color w:val="000000"/>
            <w:szCs w:val="20"/>
          </w:rPr>
          <w:t>IRU or IRD</w:t>
        </w:r>
        <w:r w:rsidRPr="006A08CB">
          <w:rPr>
            <w:rFonts w:cs="Arial"/>
            <w:color w:val="000000"/>
            <w:szCs w:val="20"/>
          </w:rPr>
          <w:t xml:space="preserve"> </w:t>
        </w:r>
        <w:r w:rsidRPr="006A08CB">
          <w:rPr>
            <w:szCs w:val="20"/>
          </w:rPr>
          <w:t xml:space="preserve">Cost of the respective Balancing Authority Area.  The Marginal </w:t>
        </w:r>
        <w:r w:rsidR="00ED7D50">
          <w:rPr>
            <w:rFonts w:cs="Arial"/>
            <w:color w:val="000000"/>
            <w:szCs w:val="20"/>
          </w:rPr>
          <w:t>IRU or IRD</w:t>
        </w:r>
        <w:r w:rsidRPr="006A08CB">
          <w:rPr>
            <w:rFonts w:cs="Arial"/>
            <w:color w:val="000000"/>
            <w:szCs w:val="20"/>
          </w:rPr>
          <w:t xml:space="preserve"> </w:t>
        </w:r>
        <w:r w:rsidRPr="006A08CB">
          <w:rPr>
            <w:szCs w:val="20"/>
          </w:rPr>
          <w:t xml:space="preserve">Cost may be different between two Balancing Authority Areas in the Market Area when EDAM Transfers between these Balancing Authority Areas are scheduled at their respective scheduling limits.  The Marginal </w:t>
        </w:r>
        <w:r w:rsidR="00ED7D50">
          <w:rPr>
            <w:rFonts w:cs="Arial"/>
            <w:color w:val="000000"/>
            <w:szCs w:val="20"/>
          </w:rPr>
          <w:t>IRU or IRD</w:t>
        </w:r>
        <w:r w:rsidRPr="006A08CB">
          <w:rPr>
            <w:rFonts w:cs="Arial"/>
            <w:color w:val="000000"/>
            <w:szCs w:val="20"/>
          </w:rPr>
          <w:t xml:space="preserve"> </w:t>
        </w:r>
        <w:r w:rsidRPr="006A08CB">
          <w:rPr>
            <w:szCs w:val="20"/>
          </w:rPr>
          <w:t>Cost difference between the Balancing Authority Areas on either side of a specific EDAM Transfer g</w:t>
        </w:r>
        <w:r w:rsidR="00ED7D50">
          <w:rPr>
            <w:szCs w:val="20"/>
          </w:rPr>
          <w:t>enerates EDAM Transfer revenue.</w:t>
        </w:r>
      </w:ins>
    </w:p>
    <w:p w14:paraId="381E4EAC" w14:textId="77777777" w:rsidR="00302C69" w:rsidRDefault="004B4D60" w:rsidP="00302C69">
      <w:pPr>
        <w:pStyle w:val="Heading3"/>
        <w:ind w:firstLine="720"/>
        <w:rPr>
          <w:ins w:id="274" w:author="Author"/>
        </w:rPr>
      </w:pPr>
      <w:ins w:id="275" w:author="Author">
        <w:r>
          <w:t>B</w:t>
        </w:r>
        <w:r w:rsidR="00302C69">
          <w:t>.3.</w:t>
        </w:r>
        <w:r w:rsidR="00302C69">
          <w:tab/>
          <w:t xml:space="preserve">Marginal Congestion Component for </w:t>
        </w:r>
        <w:r>
          <w:t>IR</w:t>
        </w:r>
        <w:r w:rsidR="00302C69">
          <w:t xml:space="preserve">U and </w:t>
        </w:r>
        <w:r>
          <w:t>IR</w:t>
        </w:r>
        <w:r w:rsidR="00302C69">
          <w:t>D</w:t>
        </w:r>
      </w:ins>
    </w:p>
    <w:p w14:paraId="7DBCE024" w14:textId="77777777" w:rsidR="00302C69" w:rsidRDefault="00302C69" w:rsidP="00302C69">
      <w:pPr>
        <w:rPr>
          <w:ins w:id="276" w:author="Author"/>
        </w:rPr>
      </w:pPr>
      <w:ins w:id="277" w:author="Author">
        <w:r w:rsidRPr="003B0958">
          <w:t>The CAISO calculates the Marginal Cost of Congestion</w:t>
        </w:r>
        <w:r>
          <w:t xml:space="preserve"> for </w:t>
        </w:r>
        <w:r w:rsidR="004B4D60">
          <w:t>IR</w:t>
        </w:r>
        <w:r>
          <w:t xml:space="preserve">U and </w:t>
        </w:r>
        <w:r w:rsidR="004B4D60">
          <w:t>IR</w:t>
        </w:r>
        <w:r>
          <w:t>D</w:t>
        </w:r>
        <w:r w:rsidRPr="003B0958">
          <w:t xml:space="preserve"> at each </w:t>
        </w:r>
        <w:r>
          <w:t>PNode</w:t>
        </w:r>
        <w:r w:rsidRPr="003B0958">
          <w:t xml:space="preserve"> as </w:t>
        </w:r>
        <w:r>
          <w:t xml:space="preserve">the net contribution of the Shadow Prices of the binding Transmission Constraints </w:t>
        </w:r>
        <w:r w:rsidR="004B4D60">
          <w:t xml:space="preserve">in the IRU or IRD deployment scenarios </w:t>
        </w:r>
        <w:r>
          <w:t xml:space="preserve">at the optimal solution for </w:t>
        </w:r>
        <w:r w:rsidR="004B4D60">
          <w:t>IFM</w:t>
        </w:r>
        <w:r>
          <w:t xml:space="preserve">, weighed by the respective </w:t>
        </w:r>
        <w:r>
          <w:rPr>
            <w:rFonts w:cs="Arial"/>
            <w:color w:val="000000"/>
            <w:szCs w:val="20"/>
          </w:rPr>
          <w:t>Power Transfer Distribution Factors, as follows</w:t>
        </w:r>
        <w:r w:rsidRPr="003B0958">
          <w:t>:</w:t>
        </w:r>
      </w:ins>
    </w:p>
    <w:p w14:paraId="51EFC61B" w14:textId="7FC5E129" w:rsidR="00302C69" w:rsidRPr="004557C1" w:rsidRDefault="00543914" w:rsidP="00302C69">
      <w:pPr>
        <w:jc w:val="center"/>
        <w:rPr>
          <w:ins w:id="278" w:author="Author"/>
          <w:rFonts w:eastAsiaTheme="minorEastAsia"/>
        </w:rPr>
      </w:pPr>
      <m:oMathPara>
        <m:oMath>
          <m:sSubSup>
            <m:sSubSupPr>
              <m:ctrlPr>
                <w:ins w:id="279" w:author="Author">
                  <w:rPr>
                    <w:rFonts w:ascii="Cambria Math" w:hAnsi="Cambria Math"/>
                    <w:i/>
                  </w:rPr>
                </w:ins>
              </m:ctrlPr>
            </m:sSubSupPr>
            <m:e>
              <m:r>
                <w:ins w:id="280" w:author="Author">
                  <w:rPr>
                    <w:rFonts w:ascii="Cambria Math" w:hAnsi="Cambria Math"/>
                  </w:rPr>
                  <m:t>MCC</m:t>
                </w:ins>
              </m:r>
            </m:e>
            <m:sub>
              <m:r>
                <w:ins w:id="281" w:author="Author">
                  <w:rPr>
                    <w:rFonts w:ascii="Cambria Math" w:hAnsi="Cambria Math"/>
                  </w:rPr>
                  <m:t>i</m:t>
                </w:ins>
              </m:r>
            </m:sub>
            <m:sup>
              <m:r>
                <w:ins w:id="282" w:author="Author">
                  <w:rPr>
                    <w:rFonts w:ascii="Cambria Math" w:hAnsi="Cambria Math"/>
                  </w:rPr>
                  <m:t>(IRU)</m:t>
                </w:ins>
              </m:r>
            </m:sup>
          </m:sSubSup>
          <m:r>
            <w:ins w:id="283" w:author="Author">
              <w:rPr>
                <w:rFonts w:ascii="Cambria Math" w:hAnsi="Cambria Math" w:cs="Arial"/>
              </w:rPr>
              <m:t>=-</m:t>
            </w:ins>
          </m:r>
          <m:nary>
            <m:naryPr>
              <m:chr m:val="∑"/>
              <m:limLoc m:val="undOvr"/>
              <m:ctrlPr>
                <w:ins w:id="284" w:author="Author">
                  <w:rPr>
                    <w:rFonts w:ascii="Cambria Math" w:hAnsi="Cambria Math" w:cs="Arial"/>
                    <w:i/>
                  </w:rPr>
                </w:ins>
              </m:ctrlPr>
            </m:naryPr>
            <m:sub>
              <m:r>
                <w:ins w:id="285" w:author="Author">
                  <w:rPr>
                    <w:rFonts w:ascii="Cambria Math" w:hAnsi="Cambria Math" w:cs="Arial"/>
                  </w:rPr>
                  <m:t>k=0</m:t>
                </w:ins>
              </m:r>
            </m:sub>
            <m:sup>
              <m:r>
                <w:ins w:id="286" w:author="Author">
                  <w:rPr>
                    <w:rFonts w:ascii="Cambria Math" w:hAnsi="Cambria Math" w:cs="Arial"/>
                  </w:rPr>
                  <m:t>K</m:t>
                </w:ins>
              </m:r>
            </m:sup>
            <m:e>
              <m:nary>
                <m:naryPr>
                  <m:chr m:val="∑"/>
                  <m:limLoc m:val="undOvr"/>
                  <m:ctrlPr>
                    <w:ins w:id="287" w:author="Author">
                      <w:rPr>
                        <w:rFonts w:ascii="Cambria Math" w:hAnsi="Cambria Math" w:cs="Arial"/>
                        <w:i/>
                      </w:rPr>
                    </w:ins>
                  </m:ctrlPr>
                </m:naryPr>
                <m:sub>
                  <m:r>
                    <w:ins w:id="288" w:author="Author">
                      <w:rPr>
                        <w:rFonts w:ascii="Cambria Math" w:hAnsi="Cambria Math" w:cs="Arial"/>
                      </w:rPr>
                      <m:t>m=1</m:t>
                    </w:ins>
                  </m:r>
                </m:sub>
                <m:sup>
                  <m:r>
                    <w:ins w:id="289" w:author="Author">
                      <w:rPr>
                        <w:rFonts w:ascii="Cambria Math" w:hAnsi="Cambria Math" w:cs="Arial"/>
                      </w:rPr>
                      <m:t>M</m:t>
                    </w:ins>
                  </m:r>
                </m:sup>
                <m:e>
                  <m:nary>
                    <m:naryPr>
                      <m:chr m:val="∑"/>
                      <m:limLoc m:val="undOvr"/>
                      <m:ctrlPr>
                        <w:ins w:id="290" w:author="Author">
                          <w:rPr>
                            <w:rFonts w:ascii="Cambria Math" w:hAnsi="Cambria Math" w:cs="Arial"/>
                            <w:i/>
                          </w:rPr>
                        </w:ins>
                      </m:ctrlPr>
                    </m:naryPr>
                    <m:sub>
                      <m:r>
                        <w:ins w:id="291" w:author="Author">
                          <w:rPr>
                            <w:rFonts w:ascii="Cambria Math" w:hAnsi="Cambria Math" w:cs="Arial"/>
                          </w:rPr>
                          <m:t>j=1</m:t>
                        </w:ins>
                      </m:r>
                    </m:sub>
                    <m:sup>
                      <m:sSub>
                        <m:sSubPr>
                          <m:ctrlPr>
                            <w:ins w:id="292" w:author="Author">
                              <w:rPr>
                                <w:rFonts w:ascii="Cambria Math" w:hAnsi="Cambria Math" w:cs="Arial"/>
                                <w:i/>
                              </w:rPr>
                            </w:ins>
                          </m:ctrlPr>
                        </m:sSubPr>
                        <m:e>
                          <m:r>
                            <w:ins w:id="293" w:author="Author">
                              <w:rPr>
                                <w:rFonts w:ascii="Cambria Math" w:hAnsi="Cambria Math" w:cs="Arial"/>
                              </w:rPr>
                              <m:t>J</m:t>
                            </w:ins>
                          </m:r>
                        </m:e>
                        <m:sub>
                          <m:r>
                            <w:ins w:id="294" w:author="Author">
                              <w:rPr>
                                <w:rFonts w:ascii="Cambria Math" w:hAnsi="Cambria Math" w:cs="Arial"/>
                              </w:rPr>
                              <m:t>m</m:t>
                            </w:ins>
                          </m:r>
                        </m:sub>
                      </m:sSub>
                    </m:sup>
                    <m:e>
                      <m:sSub>
                        <m:sSubPr>
                          <m:ctrlPr>
                            <w:ins w:id="295" w:author="Author">
                              <w:rPr>
                                <w:rFonts w:ascii="Cambria Math" w:hAnsi="Cambria Math" w:cs="Arial"/>
                                <w:i/>
                              </w:rPr>
                            </w:ins>
                          </m:ctrlPr>
                        </m:sSubPr>
                        <m:e>
                          <m:r>
                            <w:ins w:id="296" w:author="Author">
                              <w:rPr>
                                <w:rFonts w:ascii="Cambria Math" w:hAnsi="Cambria Math" w:cs="Arial"/>
                              </w:rPr>
                              <m:t>c</m:t>
                            </w:ins>
                          </m:r>
                        </m:e>
                        <m:sub>
                          <m:r>
                            <w:ins w:id="297" w:author="Author">
                              <w:rPr>
                                <w:rFonts w:ascii="Cambria Math" w:hAnsi="Cambria Math" w:cs="Arial"/>
                              </w:rPr>
                              <m:t>j,m</m:t>
                            </w:ins>
                          </m:r>
                        </m:sub>
                      </m:sSub>
                      <m:r>
                        <w:ins w:id="298" w:author="Author">
                          <w:rPr>
                            <w:rFonts w:ascii="Cambria Math" w:hAnsi="Cambria Math" w:cs="Arial"/>
                          </w:rPr>
                          <m:t xml:space="preserve"> </m:t>
                        </w:ins>
                      </m:r>
                      <m:sSubSup>
                        <m:sSubSupPr>
                          <m:ctrlPr>
                            <w:ins w:id="299" w:author="Author">
                              <w:rPr>
                                <w:rFonts w:ascii="Cambria Math" w:hAnsi="Cambria Math"/>
                                <w:i/>
                              </w:rPr>
                            </w:ins>
                          </m:ctrlPr>
                        </m:sSubSupPr>
                        <m:e>
                          <m:r>
                            <w:ins w:id="300" w:author="Author">
                              <w:rPr>
                                <w:rFonts w:ascii="Cambria Math" w:hAnsi="Cambria Math"/>
                              </w:rPr>
                              <m:t>PTDF</m:t>
                            </w:ins>
                          </m:r>
                        </m:e>
                        <m:sub>
                          <m:r>
                            <w:ins w:id="301" w:author="Author">
                              <w:rPr>
                                <w:rFonts w:ascii="Cambria Math" w:hAnsi="Cambria Math"/>
                              </w:rPr>
                              <m:t>i,j,m,k</m:t>
                            </w:ins>
                          </m:r>
                        </m:sub>
                        <m:sup>
                          <m:r>
                            <w:ins w:id="302" w:author="Author">
                              <w:rPr>
                                <w:rFonts w:ascii="Cambria Math" w:hAnsi="Cambria Math"/>
                              </w:rPr>
                              <m:t>(IRU)</m:t>
                            </w:ins>
                          </m:r>
                        </m:sup>
                      </m:sSubSup>
                      <m:r>
                        <w:ins w:id="303" w:author="Author">
                          <w:rPr>
                            <w:rFonts w:ascii="Cambria Math" w:hAnsi="Cambria Math" w:cs="Arial"/>
                          </w:rPr>
                          <m:t xml:space="preserve"> </m:t>
                        </w:ins>
                      </m:r>
                      <m:sSubSup>
                        <m:sSubSupPr>
                          <m:ctrlPr>
                            <w:ins w:id="304" w:author="Author">
                              <w:rPr>
                                <w:rFonts w:ascii="Cambria Math" w:hAnsi="Cambria Math"/>
                                <w:i/>
                              </w:rPr>
                            </w:ins>
                          </m:ctrlPr>
                        </m:sSubSupPr>
                        <m:e>
                          <m:r>
                            <w:ins w:id="305" w:author="Author">
                              <w:rPr>
                                <w:rFonts w:ascii="Cambria Math" w:hAnsi="Cambria Math"/>
                              </w:rPr>
                              <m:t>μ</m:t>
                            </w:ins>
                          </m:r>
                        </m:e>
                        <m:sub>
                          <m:r>
                            <w:ins w:id="306" w:author="Author">
                              <w:rPr>
                                <w:rFonts w:ascii="Cambria Math" w:hAnsi="Cambria Math"/>
                              </w:rPr>
                              <m:t>m,k</m:t>
                            </w:ins>
                          </m:r>
                        </m:sub>
                        <m:sup>
                          <m:r>
                            <w:ins w:id="307" w:author="Author">
                              <w:rPr>
                                <w:rFonts w:ascii="Cambria Math" w:hAnsi="Cambria Math"/>
                              </w:rPr>
                              <m:t>(IRU)</m:t>
                            </w:ins>
                          </m:r>
                        </m:sup>
                      </m:sSubSup>
                    </m:e>
                  </m:nary>
                </m:e>
              </m:nary>
            </m:e>
          </m:nary>
        </m:oMath>
      </m:oMathPara>
    </w:p>
    <w:p w14:paraId="768FCB8D" w14:textId="651666E9" w:rsidR="00A82DC8" w:rsidRDefault="00543914" w:rsidP="00A82DC8">
      <w:pPr>
        <w:jc w:val="center"/>
        <w:rPr>
          <w:ins w:id="308" w:author="Author"/>
        </w:rPr>
      </w:pPr>
      <m:oMathPara>
        <m:oMath>
          <m:sSubSup>
            <m:sSubSupPr>
              <m:ctrlPr>
                <w:ins w:id="309" w:author="Author">
                  <w:rPr>
                    <w:rFonts w:ascii="Cambria Math" w:hAnsi="Cambria Math"/>
                    <w:i/>
                  </w:rPr>
                </w:ins>
              </m:ctrlPr>
            </m:sSubSupPr>
            <m:e>
              <m:r>
                <w:ins w:id="310" w:author="Author">
                  <w:rPr>
                    <w:rFonts w:ascii="Cambria Math" w:hAnsi="Cambria Math"/>
                  </w:rPr>
                  <m:t>MCC</m:t>
                </w:ins>
              </m:r>
            </m:e>
            <m:sub>
              <m:r>
                <w:ins w:id="311" w:author="Author">
                  <w:rPr>
                    <w:rFonts w:ascii="Cambria Math" w:hAnsi="Cambria Math"/>
                  </w:rPr>
                  <m:t>i</m:t>
                </w:ins>
              </m:r>
            </m:sub>
            <m:sup>
              <m:r>
                <w:ins w:id="312" w:author="Author">
                  <w:rPr>
                    <w:rFonts w:ascii="Cambria Math" w:hAnsi="Cambria Math"/>
                  </w:rPr>
                  <m:t>(IRD)</m:t>
                </w:ins>
              </m:r>
            </m:sup>
          </m:sSubSup>
          <m:r>
            <w:ins w:id="313" w:author="Author">
              <w:rPr>
                <w:rFonts w:ascii="Cambria Math" w:hAnsi="Cambria Math" w:cs="Arial"/>
              </w:rPr>
              <m:t>=-</m:t>
            </w:ins>
          </m:r>
          <m:nary>
            <m:naryPr>
              <m:chr m:val="∑"/>
              <m:limLoc m:val="undOvr"/>
              <m:ctrlPr>
                <w:ins w:id="314" w:author="Author">
                  <w:rPr>
                    <w:rFonts w:ascii="Cambria Math" w:hAnsi="Cambria Math" w:cs="Arial"/>
                    <w:i/>
                  </w:rPr>
                </w:ins>
              </m:ctrlPr>
            </m:naryPr>
            <m:sub>
              <m:r>
                <w:ins w:id="315" w:author="Author">
                  <w:rPr>
                    <w:rFonts w:ascii="Cambria Math" w:hAnsi="Cambria Math" w:cs="Arial"/>
                  </w:rPr>
                  <m:t>k=0</m:t>
                </w:ins>
              </m:r>
            </m:sub>
            <m:sup>
              <m:r>
                <w:ins w:id="316" w:author="Author">
                  <w:rPr>
                    <w:rFonts w:ascii="Cambria Math" w:hAnsi="Cambria Math" w:cs="Arial"/>
                  </w:rPr>
                  <m:t>K</m:t>
                </w:ins>
              </m:r>
            </m:sup>
            <m:e>
              <m:nary>
                <m:naryPr>
                  <m:chr m:val="∑"/>
                  <m:limLoc m:val="undOvr"/>
                  <m:ctrlPr>
                    <w:ins w:id="317" w:author="Author">
                      <w:rPr>
                        <w:rFonts w:ascii="Cambria Math" w:hAnsi="Cambria Math" w:cs="Arial"/>
                        <w:i/>
                      </w:rPr>
                    </w:ins>
                  </m:ctrlPr>
                </m:naryPr>
                <m:sub>
                  <m:r>
                    <w:ins w:id="318" w:author="Author">
                      <w:rPr>
                        <w:rFonts w:ascii="Cambria Math" w:hAnsi="Cambria Math" w:cs="Arial"/>
                      </w:rPr>
                      <m:t>m=1</m:t>
                    </w:ins>
                  </m:r>
                </m:sub>
                <m:sup>
                  <m:r>
                    <w:ins w:id="319" w:author="Author">
                      <w:rPr>
                        <w:rFonts w:ascii="Cambria Math" w:hAnsi="Cambria Math" w:cs="Arial"/>
                      </w:rPr>
                      <m:t>M</m:t>
                    </w:ins>
                  </m:r>
                </m:sup>
                <m:e>
                  <m:nary>
                    <m:naryPr>
                      <m:chr m:val="∑"/>
                      <m:limLoc m:val="undOvr"/>
                      <m:ctrlPr>
                        <w:ins w:id="320" w:author="Author">
                          <w:rPr>
                            <w:rFonts w:ascii="Cambria Math" w:hAnsi="Cambria Math" w:cs="Arial"/>
                            <w:i/>
                          </w:rPr>
                        </w:ins>
                      </m:ctrlPr>
                    </m:naryPr>
                    <m:sub>
                      <m:r>
                        <w:ins w:id="321" w:author="Author">
                          <w:rPr>
                            <w:rFonts w:ascii="Cambria Math" w:hAnsi="Cambria Math" w:cs="Arial"/>
                          </w:rPr>
                          <m:t>j=1</m:t>
                        </w:ins>
                      </m:r>
                    </m:sub>
                    <m:sup>
                      <m:sSub>
                        <m:sSubPr>
                          <m:ctrlPr>
                            <w:ins w:id="322" w:author="Author">
                              <w:rPr>
                                <w:rFonts w:ascii="Cambria Math" w:hAnsi="Cambria Math" w:cs="Arial"/>
                                <w:i/>
                              </w:rPr>
                            </w:ins>
                          </m:ctrlPr>
                        </m:sSubPr>
                        <m:e>
                          <m:r>
                            <w:ins w:id="323" w:author="Author">
                              <w:rPr>
                                <w:rFonts w:ascii="Cambria Math" w:hAnsi="Cambria Math" w:cs="Arial"/>
                              </w:rPr>
                              <m:t>J</m:t>
                            </w:ins>
                          </m:r>
                        </m:e>
                        <m:sub>
                          <m:r>
                            <w:ins w:id="324" w:author="Author">
                              <w:rPr>
                                <w:rFonts w:ascii="Cambria Math" w:hAnsi="Cambria Math" w:cs="Arial"/>
                              </w:rPr>
                              <m:t>m</m:t>
                            </w:ins>
                          </m:r>
                        </m:sub>
                      </m:sSub>
                    </m:sup>
                    <m:e>
                      <m:sSub>
                        <m:sSubPr>
                          <m:ctrlPr>
                            <w:ins w:id="325" w:author="Author">
                              <w:rPr>
                                <w:rFonts w:ascii="Cambria Math" w:hAnsi="Cambria Math" w:cs="Arial"/>
                                <w:i/>
                              </w:rPr>
                            </w:ins>
                          </m:ctrlPr>
                        </m:sSubPr>
                        <m:e>
                          <m:r>
                            <w:ins w:id="326" w:author="Author">
                              <w:rPr>
                                <w:rFonts w:ascii="Cambria Math" w:hAnsi="Cambria Math" w:cs="Arial"/>
                              </w:rPr>
                              <m:t>c</m:t>
                            </w:ins>
                          </m:r>
                        </m:e>
                        <m:sub>
                          <m:r>
                            <w:ins w:id="327" w:author="Author">
                              <w:rPr>
                                <w:rFonts w:ascii="Cambria Math" w:hAnsi="Cambria Math" w:cs="Arial"/>
                              </w:rPr>
                              <m:t>j,m</m:t>
                            </w:ins>
                          </m:r>
                        </m:sub>
                      </m:sSub>
                      <m:r>
                        <w:ins w:id="328" w:author="Author">
                          <w:rPr>
                            <w:rFonts w:ascii="Cambria Math" w:hAnsi="Cambria Math" w:cs="Arial"/>
                          </w:rPr>
                          <m:t xml:space="preserve"> </m:t>
                        </w:ins>
                      </m:r>
                      <m:sSubSup>
                        <m:sSubSupPr>
                          <m:ctrlPr>
                            <w:ins w:id="329" w:author="Author">
                              <w:rPr>
                                <w:rFonts w:ascii="Cambria Math" w:hAnsi="Cambria Math"/>
                                <w:i/>
                              </w:rPr>
                            </w:ins>
                          </m:ctrlPr>
                        </m:sSubSupPr>
                        <m:e>
                          <m:r>
                            <w:ins w:id="330" w:author="Author">
                              <w:rPr>
                                <w:rFonts w:ascii="Cambria Math" w:hAnsi="Cambria Math"/>
                              </w:rPr>
                              <m:t>PTDF</m:t>
                            </w:ins>
                          </m:r>
                        </m:e>
                        <m:sub>
                          <m:r>
                            <w:ins w:id="331" w:author="Author">
                              <w:rPr>
                                <w:rFonts w:ascii="Cambria Math" w:hAnsi="Cambria Math"/>
                              </w:rPr>
                              <m:t>i,j,m,k</m:t>
                            </w:ins>
                          </m:r>
                        </m:sub>
                        <m:sup>
                          <m:r>
                            <w:ins w:id="332" w:author="Author">
                              <w:rPr>
                                <w:rFonts w:ascii="Cambria Math" w:hAnsi="Cambria Math"/>
                              </w:rPr>
                              <m:t>(IRD)</m:t>
                            </w:ins>
                          </m:r>
                        </m:sup>
                      </m:sSubSup>
                      <m:r>
                        <w:ins w:id="333" w:author="Author">
                          <w:rPr>
                            <w:rFonts w:ascii="Cambria Math" w:hAnsi="Cambria Math" w:cs="Arial"/>
                          </w:rPr>
                          <m:t xml:space="preserve"> </m:t>
                        </w:ins>
                      </m:r>
                      <m:sSubSup>
                        <m:sSubSupPr>
                          <m:ctrlPr>
                            <w:ins w:id="334" w:author="Author">
                              <w:rPr>
                                <w:rFonts w:ascii="Cambria Math" w:hAnsi="Cambria Math"/>
                                <w:i/>
                              </w:rPr>
                            </w:ins>
                          </m:ctrlPr>
                        </m:sSubSupPr>
                        <m:e>
                          <m:r>
                            <w:ins w:id="335" w:author="Author">
                              <w:rPr>
                                <w:rFonts w:ascii="Cambria Math" w:hAnsi="Cambria Math"/>
                              </w:rPr>
                              <m:t>μ</m:t>
                            </w:ins>
                          </m:r>
                        </m:e>
                        <m:sub>
                          <m:r>
                            <w:ins w:id="336" w:author="Author">
                              <w:rPr>
                                <w:rFonts w:ascii="Cambria Math" w:hAnsi="Cambria Math"/>
                              </w:rPr>
                              <m:t>m,k</m:t>
                            </w:ins>
                          </m:r>
                        </m:sub>
                        <m:sup>
                          <m:r>
                            <w:ins w:id="337" w:author="Author">
                              <w:rPr>
                                <w:rFonts w:ascii="Cambria Math" w:hAnsi="Cambria Math"/>
                              </w:rPr>
                              <m:t>(IRD)</m:t>
                            </w:ins>
                          </m:r>
                        </m:sup>
                      </m:sSubSup>
                    </m:e>
                  </m:nary>
                </m:e>
              </m:nary>
            </m:e>
          </m:nary>
        </m:oMath>
      </m:oMathPara>
    </w:p>
    <w:p w14:paraId="0580E6F3" w14:textId="77777777" w:rsidR="00302C69" w:rsidRDefault="00A82DC8" w:rsidP="00302C69">
      <w:pPr>
        <w:rPr>
          <w:ins w:id="338" w:author="Author"/>
        </w:rPr>
      </w:pPr>
      <w:ins w:id="339" w:author="Author">
        <w:r>
          <w:t>W</w:t>
        </w:r>
        <w:r w:rsidR="00302C69">
          <w:t>here:</w:t>
        </w:r>
      </w:ins>
    </w:p>
    <w:p w14:paraId="3D289C2B" w14:textId="77777777" w:rsidR="00302C69" w:rsidRDefault="00302C69" w:rsidP="00302C69">
      <w:pPr>
        <w:tabs>
          <w:tab w:val="left" w:pos="720"/>
        </w:tabs>
        <w:autoSpaceDE w:val="0"/>
        <w:autoSpaceDN w:val="0"/>
        <w:adjustRightInd w:val="0"/>
        <w:ind w:left="1440" w:hanging="720"/>
        <w:rPr>
          <w:ins w:id="340" w:author="Author"/>
          <w:rFonts w:cs="Arial"/>
          <w:color w:val="000000"/>
          <w:szCs w:val="20"/>
        </w:rPr>
      </w:pPr>
      <w:ins w:id="341" w:author="Autho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i</w:t>
        </w:r>
        <w:r>
          <w:rPr>
            <w:rFonts w:cs="Arial"/>
            <w:color w:val="000000"/>
            <w:szCs w:val="20"/>
          </w:rPr>
          <w:t xml:space="preserve"> is the Pnode index.</w:t>
        </w:r>
      </w:ins>
    </w:p>
    <w:p w14:paraId="59FBF7AF" w14:textId="77777777" w:rsidR="00302C69" w:rsidRDefault="00302C69" w:rsidP="00302C69">
      <w:pPr>
        <w:tabs>
          <w:tab w:val="left" w:pos="720"/>
        </w:tabs>
        <w:autoSpaceDE w:val="0"/>
        <w:autoSpaceDN w:val="0"/>
        <w:adjustRightInd w:val="0"/>
        <w:ind w:left="1440" w:hanging="720"/>
        <w:rPr>
          <w:ins w:id="342" w:author="Author"/>
          <w:rFonts w:cs="Arial"/>
          <w:color w:val="000000"/>
          <w:szCs w:val="20"/>
        </w:rPr>
      </w:pPr>
      <w:ins w:id="343" w:author="Author">
        <w:r>
          <w:rPr>
            <w:rFonts w:ascii="Symbol" w:hAnsi="Symbol" w:cs="Symbol"/>
            <w:color w:val="000000"/>
            <w:szCs w:val="20"/>
          </w:rPr>
          <w:lastRenderedPageBreak/>
          <w:sym w:font="Symbol" w:char="F0B7"/>
        </w:r>
        <w:r>
          <w:rPr>
            <w:rFonts w:ascii="Symbol" w:hAnsi="Symbol" w:cs="Symbol"/>
            <w:color w:val="000000"/>
            <w:szCs w:val="20"/>
          </w:rPr>
          <w:tab/>
        </w:r>
        <w:r>
          <w:rPr>
            <w:rFonts w:ascii="Times New Roman" w:hAnsi="Times New Roman" w:cs="Times New Roman"/>
            <w:i/>
            <w:color w:val="000000"/>
            <w:szCs w:val="20"/>
          </w:rPr>
          <w:t>m</w:t>
        </w:r>
        <w:r>
          <w:rPr>
            <w:rFonts w:cs="Arial"/>
            <w:color w:val="000000"/>
            <w:szCs w:val="20"/>
          </w:rPr>
          <w:t xml:space="preserve"> is the Transmission Constraint index in the Market Area; transmission constraints outside the Market Area are not enforced.</w:t>
        </w:r>
      </w:ins>
    </w:p>
    <w:p w14:paraId="3259DB27" w14:textId="77777777" w:rsidR="00302C69" w:rsidRDefault="00302C69" w:rsidP="00302C69">
      <w:pPr>
        <w:tabs>
          <w:tab w:val="left" w:pos="720"/>
        </w:tabs>
        <w:autoSpaceDE w:val="0"/>
        <w:autoSpaceDN w:val="0"/>
        <w:adjustRightInd w:val="0"/>
        <w:ind w:left="1440" w:hanging="720"/>
        <w:rPr>
          <w:ins w:id="344" w:author="Author"/>
          <w:rFonts w:cs="Arial"/>
          <w:color w:val="000000"/>
          <w:szCs w:val="20"/>
        </w:rPr>
      </w:pPr>
      <w:ins w:id="345" w:author="Autho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k</w:t>
        </w:r>
        <w:r>
          <w:rPr>
            <w:rFonts w:cs="Arial"/>
            <w:color w:val="000000"/>
            <w:szCs w:val="20"/>
          </w:rPr>
          <w:t xml:space="preserve"> is the constraint case index; zero (0) indicates the base case where all transmission and generation facilities are in service, whereas a positive case indicates a </w:t>
        </w:r>
        <w:r w:rsidRPr="00941AB8">
          <w:rPr>
            <w:rFonts w:cs="Arial"/>
            <w:color w:val="000000"/>
            <w:szCs w:val="20"/>
          </w:rPr>
          <w:t xml:space="preserve">preventive </w:t>
        </w:r>
        <w:r>
          <w:rPr>
            <w:rFonts w:cs="Arial"/>
            <w:color w:val="000000"/>
            <w:szCs w:val="20"/>
          </w:rPr>
          <w:t>transmission or generation contingency case, as applicable.</w:t>
        </w:r>
      </w:ins>
    </w:p>
    <w:p w14:paraId="3C393432" w14:textId="77777777" w:rsidR="00302C69" w:rsidRDefault="00302C69" w:rsidP="00302C69">
      <w:pPr>
        <w:tabs>
          <w:tab w:val="left" w:pos="720"/>
        </w:tabs>
        <w:autoSpaceDE w:val="0"/>
        <w:autoSpaceDN w:val="0"/>
        <w:adjustRightInd w:val="0"/>
        <w:ind w:left="1440" w:hanging="720"/>
        <w:rPr>
          <w:ins w:id="346" w:author="Author"/>
          <w:rFonts w:cs="Arial"/>
          <w:szCs w:val="20"/>
        </w:rPr>
      </w:pPr>
      <w:ins w:id="347" w:author="Autho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j</w:t>
        </w:r>
        <w:r>
          <w:rPr>
            <w:rFonts w:cs="Arial"/>
            <w:color w:val="000000"/>
            <w:szCs w:val="20"/>
          </w:rPr>
          <w:t xml:space="preserve"> </w:t>
        </w:r>
        <w:r>
          <w:rPr>
            <w:rFonts w:cs="Arial"/>
            <w:szCs w:val="20"/>
          </w:rPr>
          <w:t xml:space="preserve">is the transmission component index of Transmission Constraint </w:t>
        </w:r>
        <w:r w:rsidRPr="0066792C">
          <w:rPr>
            <w:rFonts w:ascii="Times" w:hAnsi="Times" w:cs="Times New Roman"/>
            <w:i/>
            <w:color w:val="000000"/>
            <w:szCs w:val="20"/>
          </w:rPr>
          <w:t>m</w:t>
        </w:r>
        <w:r>
          <w:rPr>
            <w:rFonts w:cs="Arial"/>
            <w:szCs w:val="20"/>
          </w:rPr>
          <w:t xml:space="preserve">.  When Transmission Constraint </w:t>
        </w:r>
        <w:r>
          <w:rPr>
            <w:rFonts w:ascii="Times New Roman" w:hAnsi="Times New Roman" w:cs="Times New Roman"/>
            <w:i/>
            <w:szCs w:val="20"/>
          </w:rPr>
          <w:t>m</w:t>
        </w:r>
        <w:r>
          <w:rPr>
            <w:rFonts w:cs="Arial"/>
            <w:szCs w:val="20"/>
          </w:rPr>
          <w:t xml:space="preserve"> is a Nomogram, there can be more than one transmission </w:t>
        </w:r>
        <w:r w:rsidRPr="001A67E2">
          <w:rPr>
            <w:rFonts w:cs="Arial"/>
            <w:szCs w:val="20"/>
          </w:rPr>
          <w:t>components i</w:t>
        </w:r>
        <w:r>
          <w:rPr>
            <w:rFonts w:cs="Arial"/>
            <w:szCs w:val="20"/>
          </w:rPr>
          <w:t>n it; otherwise, there is only one transmission component.</w:t>
        </w:r>
      </w:ins>
    </w:p>
    <w:p w14:paraId="79943183" w14:textId="77777777" w:rsidR="00302C69" w:rsidRDefault="00302C69" w:rsidP="00302C69">
      <w:pPr>
        <w:tabs>
          <w:tab w:val="left" w:pos="720"/>
        </w:tabs>
        <w:autoSpaceDE w:val="0"/>
        <w:autoSpaceDN w:val="0"/>
        <w:adjustRightInd w:val="0"/>
        <w:ind w:left="1440" w:hanging="720"/>
        <w:rPr>
          <w:ins w:id="348" w:author="Author"/>
          <w:rFonts w:cs="Arial"/>
          <w:color w:val="000000"/>
          <w:szCs w:val="20"/>
        </w:rPr>
      </w:pPr>
      <w:ins w:id="349" w:author="Autho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K</w:t>
        </w:r>
        <w:r>
          <w:rPr>
            <w:rFonts w:cs="Arial"/>
            <w:color w:val="000000"/>
            <w:szCs w:val="20"/>
          </w:rPr>
          <w:t xml:space="preserve"> is the number of constraint cases, besides </w:t>
        </w:r>
        <w:r w:rsidRPr="001A67E2">
          <w:rPr>
            <w:rFonts w:cs="Arial"/>
            <w:color w:val="000000"/>
            <w:szCs w:val="20"/>
          </w:rPr>
          <w:t>the base case.</w:t>
        </w:r>
        <w:r>
          <w:rPr>
            <w:rFonts w:cs="Arial"/>
            <w:color w:val="000000"/>
            <w:szCs w:val="20"/>
          </w:rPr>
          <w:t xml:space="preserve"> </w:t>
        </w:r>
      </w:ins>
    </w:p>
    <w:p w14:paraId="453C5624" w14:textId="77777777" w:rsidR="00302C69" w:rsidRDefault="00302C69" w:rsidP="00302C69">
      <w:pPr>
        <w:tabs>
          <w:tab w:val="left" w:pos="720"/>
        </w:tabs>
        <w:autoSpaceDE w:val="0"/>
        <w:autoSpaceDN w:val="0"/>
        <w:adjustRightInd w:val="0"/>
        <w:ind w:left="1440" w:hanging="720"/>
        <w:rPr>
          <w:ins w:id="350" w:author="Author"/>
          <w:rFonts w:cs="Arial"/>
          <w:color w:val="000000"/>
          <w:szCs w:val="20"/>
        </w:rPr>
      </w:pPr>
      <w:ins w:id="351" w:author="Author">
        <w:r>
          <w:rPr>
            <w:rFonts w:ascii="Symbol" w:hAnsi="Symbol" w:cs="Symbol"/>
            <w:color w:val="000000"/>
            <w:szCs w:val="20"/>
          </w:rPr>
          <w:sym w:font="Symbol" w:char="F0B7"/>
        </w:r>
        <w:r>
          <w:rPr>
            <w:rFonts w:ascii="Symbol" w:hAnsi="Symbol" w:cs="Symbol"/>
            <w:color w:val="000000"/>
            <w:szCs w:val="20"/>
          </w:rPr>
          <w:tab/>
        </w:r>
        <w:r>
          <w:rPr>
            <w:rFonts w:ascii="Times" w:hAnsi="Times" w:cs="Times New Roman"/>
            <w:i/>
            <w:color w:val="000000"/>
            <w:szCs w:val="20"/>
          </w:rPr>
          <w:t>M</w:t>
        </w:r>
        <w:r>
          <w:rPr>
            <w:rFonts w:cs="Arial"/>
            <w:color w:val="000000"/>
            <w:szCs w:val="20"/>
          </w:rPr>
          <w:t xml:space="preserve"> is the number of Transmission Constraints.</w:t>
        </w:r>
        <w:del w:id="352" w:author="Author">
          <w:r w:rsidDel="00F3073F">
            <w:rPr>
              <w:rFonts w:cs="Arial"/>
              <w:color w:val="000000"/>
              <w:szCs w:val="20"/>
            </w:rPr>
            <w:delText xml:space="preserve"> </w:delText>
          </w:r>
        </w:del>
      </w:ins>
    </w:p>
    <w:p w14:paraId="36C17E1E" w14:textId="77777777" w:rsidR="00302C69" w:rsidRPr="00074059" w:rsidRDefault="00302C69" w:rsidP="00302C69">
      <w:pPr>
        <w:tabs>
          <w:tab w:val="left" w:pos="720"/>
        </w:tabs>
        <w:autoSpaceDE w:val="0"/>
        <w:autoSpaceDN w:val="0"/>
        <w:adjustRightInd w:val="0"/>
        <w:ind w:left="1440" w:hanging="720"/>
        <w:rPr>
          <w:ins w:id="353" w:author="Author"/>
          <w:rFonts w:cs="Arial"/>
          <w:szCs w:val="20"/>
        </w:rPr>
      </w:pPr>
      <w:ins w:id="354" w:author="Author">
        <w:r>
          <w:rPr>
            <w:rFonts w:ascii="Symbol" w:hAnsi="Symbol" w:cs="Symbol"/>
            <w:color w:val="000000"/>
            <w:szCs w:val="20"/>
          </w:rPr>
          <w:sym w:font="Symbol" w:char="F0B7"/>
        </w:r>
        <w:r>
          <w:rPr>
            <w:rFonts w:ascii="Symbol" w:hAnsi="Symbol" w:cs="Symbol"/>
            <w:color w:val="000000"/>
            <w:szCs w:val="20"/>
          </w:rPr>
          <w:tab/>
        </w:r>
        <m:oMath>
          <m:sSub>
            <m:sSubPr>
              <m:ctrlPr>
                <w:rPr>
                  <w:rFonts w:ascii="Cambria Math" w:hAnsi="Cambria Math" w:cs="Arial"/>
                  <w:i/>
                </w:rPr>
              </m:ctrlPr>
            </m:sSubPr>
            <m:e>
              <m:r>
                <w:rPr>
                  <w:rFonts w:ascii="Cambria Math" w:hAnsi="Cambria Math" w:cs="Arial"/>
                </w:rPr>
                <m:t>J</m:t>
              </m:r>
            </m:e>
            <m:sub>
              <m:r>
                <w:rPr>
                  <w:rFonts w:ascii="Cambria Math" w:hAnsi="Cambria Math" w:cs="Arial"/>
                </w:rPr>
                <m:t>m</m:t>
              </m:r>
            </m:sub>
          </m:sSub>
        </m:oMath>
        <w:r>
          <w:rPr>
            <w:rFonts w:ascii="Times New Roman" w:hAnsi="Times New Roman" w:cs="Times New Roman"/>
            <w:i/>
            <w:color w:val="000000"/>
            <w:szCs w:val="20"/>
          </w:rPr>
          <w:t xml:space="preserve"> </w:t>
        </w:r>
        <w:r>
          <w:rPr>
            <w:rFonts w:cs="Arial"/>
            <w:color w:val="000000"/>
            <w:szCs w:val="20"/>
          </w:rPr>
          <w:t xml:space="preserve">is the number of transmission components of Transmission Constraint </w:t>
        </w:r>
        <w:r w:rsidRPr="0066792C">
          <w:rPr>
            <w:rFonts w:ascii="Times" w:hAnsi="Times" w:cs="Times New Roman"/>
            <w:i/>
            <w:color w:val="000000"/>
            <w:szCs w:val="20"/>
          </w:rPr>
          <w:t>m</w:t>
        </w:r>
        <w:r>
          <w:rPr>
            <w:rFonts w:cs="Arial"/>
            <w:color w:val="000000"/>
            <w:szCs w:val="20"/>
          </w:rPr>
          <w:t>.</w:t>
        </w:r>
        <w:del w:id="355" w:author="Author">
          <w:r w:rsidDel="00F3073F">
            <w:rPr>
              <w:rFonts w:cs="Arial"/>
              <w:color w:val="000000"/>
              <w:szCs w:val="20"/>
            </w:rPr>
            <w:delText xml:space="preserve"> </w:delText>
          </w:r>
        </w:del>
      </w:ins>
    </w:p>
    <w:p w14:paraId="381012F9" w14:textId="73573947" w:rsidR="00302C69" w:rsidRDefault="00F3073F" w:rsidP="00F3073F">
      <w:pPr>
        <w:tabs>
          <w:tab w:val="left" w:pos="720"/>
        </w:tabs>
        <w:autoSpaceDE w:val="0"/>
        <w:autoSpaceDN w:val="0"/>
        <w:adjustRightInd w:val="0"/>
        <w:ind w:left="1440" w:hanging="720"/>
        <w:rPr>
          <w:ins w:id="356" w:author="Author"/>
          <w:rFonts w:cs="Arial"/>
          <w:szCs w:val="20"/>
        </w:rPr>
      </w:pPr>
      <w:ins w:id="357" w:author="Author">
        <w:r>
          <w:rPr>
            <w:rFonts w:ascii="Symbol" w:hAnsi="Symbol" w:cs="Symbol"/>
            <w:color w:val="000000"/>
            <w:szCs w:val="20"/>
          </w:rPr>
          <w:t></w:t>
        </w:r>
        <w:r w:rsidR="00302C69">
          <w:rPr>
            <w:rFonts w:ascii="Symbol" w:hAnsi="Symbol" w:cs="Symbol"/>
            <w:color w:val="000000"/>
            <w:szCs w:val="20"/>
          </w:rPr>
          <w:sym w:font="Symbol" w:char="F0B7"/>
        </w:r>
        <w:r w:rsidR="00302C69">
          <w:rPr>
            <w:rFonts w:ascii="Symbol" w:hAnsi="Symbol" w:cs="Symbol"/>
            <w:color w:val="000000"/>
            <w:szCs w:val="20"/>
          </w:rPr>
          <w:tab/>
        </w:r>
        <m:oMath>
          <m:sSubSup>
            <m:sSubSupPr>
              <m:ctrlPr>
                <w:rPr>
                  <w:rFonts w:ascii="Cambria Math" w:hAnsi="Cambria Math"/>
                  <w:i/>
                </w:rPr>
              </m:ctrlPr>
            </m:sSubSupPr>
            <m:e>
              <m:r>
                <w:rPr>
                  <w:rFonts w:ascii="Cambria Math" w:hAnsi="Cambria Math"/>
                </w:rPr>
                <m:t>PTDF</m:t>
              </m:r>
            </m:e>
            <m:sub>
              <m:r>
                <w:rPr>
                  <w:rFonts w:ascii="Cambria Math" w:hAnsi="Cambria Math"/>
                </w:rPr>
                <m:t>i,j,m,k</m:t>
              </m:r>
            </m:sub>
            <m:sup>
              <m:r>
                <w:rPr>
                  <w:rFonts w:ascii="Cambria Math" w:hAnsi="Cambria Math"/>
                </w:rPr>
                <m:t>(IRU)</m:t>
              </m:r>
            </m:sup>
          </m:sSubSup>
        </m:oMath>
        <w:r w:rsidR="00302C69">
          <w:rPr>
            <w:rFonts w:cs="Arial"/>
            <w:color w:val="000000"/>
            <w:szCs w:val="20"/>
          </w:rPr>
          <w:t xml:space="preserve"> </w:t>
        </w:r>
        <w:r w:rsidR="004B4D60">
          <w:rPr>
            <w:rFonts w:cs="Arial"/>
            <w:color w:val="000000"/>
            <w:szCs w:val="20"/>
          </w:rPr>
          <w:t xml:space="preserve">and </w:t>
        </w:r>
        <m:oMath>
          <m:sSubSup>
            <m:sSubSupPr>
              <m:ctrlPr>
                <w:rPr>
                  <w:rFonts w:ascii="Cambria Math" w:hAnsi="Cambria Math"/>
                  <w:i/>
                </w:rPr>
              </m:ctrlPr>
            </m:sSubSupPr>
            <m:e>
              <m:r>
                <w:rPr>
                  <w:rFonts w:ascii="Cambria Math" w:hAnsi="Cambria Math"/>
                </w:rPr>
                <m:t>PTDF</m:t>
              </m:r>
            </m:e>
            <m:sub>
              <m:r>
                <w:rPr>
                  <w:rFonts w:ascii="Cambria Math" w:hAnsi="Cambria Math"/>
                </w:rPr>
                <m:t>i,j,m,k</m:t>
              </m:r>
            </m:sub>
            <m:sup>
              <m:r>
                <w:rPr>
                  <w:rFonts w:ascii="Cambria Math" w:hAnsi="Cambria Math"/>
                </w:rPr>
                <m:t>(IRD)</m:t>
              </m:r>
            </m:sup>
          </m:sSubSup>
        </m:oMath>
        <w:r w:rsidR="004B4D60">
          <w:rPr>
            <w:rFonts w:eastAsiaTheme="minorEastAsia" w:cs="Arial"/>
          </w:rPr>
          <w:t xml:space="preserve"> </w:t>
        </w:r>
        <w:r w:rsidR="00302C69">
          <w:rPr>
            <w:rFonts w:cs="Arial"/>
            <w:color w:val="000000"/>
            <w:szCs w:val="20"/>
          </w:rPr>
          <w:t xml:space="preserve">is the Power Transfer Distribution Factor (PTDF) for PNode </w:t>
        </w:r>
        <w:r w:rsidR="00302C69" w:rsidRPr="002C7CB9">
          <w:rPr>
            <w:rFonts w:ascii="Times New Roman" w:hAnsi="Times New Roman" w:cs="Times New Roman"/>
            <w:i/>
            <w:iCs/>
            <w:color w:val="000000"/>
            <w:szCs w:val="20"/>
          </w:rPr>
          <w:t>i</w:t>
        </w:r>
        <w:r w:rsidR="00302C69">
          <w:rPr>
            <w:rFonts w:cs="Arial"/>
            <w:color w:val="000000"/>
            <w:szCs w:val="20"/>
          </w:rPr>
          <w:t xml:space="preserve"> on transmission component </w:t>
        </w:r>
        <w:r w:rsidR="00302C69" w:rsidRPr="0066792C">
          <w:rPr>
            <w:rFonts w:ascii="Times" w:hAnsi="Times" w:cs="Times New Roman"/>
            <w:i/>
            <w:color w:val="000000"/>
            <w:szCs w:val="20"/>
          </w:rPr>
          <w:t>j</w:t>
        </w:r>
        <w:r w:rsidR="00302C69" w:rsidRPr="002C7CB9">
          <w:rPr>
            <w:rFonts w:ascii="Times New Roman" w:hAnsi="Times New Roman" w:cs="Times New Roman"/>
            <w:i/>
            <w:color w:val="000000"/>
            <w:szCs w:val="20"/>
          </w:rPr>
          <w:t xml:space="preserve"> </w:t>
        </w:r>
        <w:r w:rsidR="00302C69">
          <w:rPr>
            <w:rFonts w:cs="Arial"/>
            <w:color w:val="000000"/>
            <w:szCs w:val="20"/>
          </w:rPr>
          <w:t xml:space="preserve">of Transmission Constraint </w:t>
        </w:r>
        <w:r w:rsidR="00302C69" w:rsidRPr="0066792C">
          <w:rPr>
            <w:rFonts w:ascii="Times" w:hAnsi="Times" w:cs="Times New Roman"/>
            <w:i/>
            <w:color w:val="000000"/>
            <w:szCs w:val="20"/>
          </w:rPr>
          <w:t>m</w:t>
        </w:r>
        <w:r w:rsidR="00302C69">
          <w:rPr>
            <w:rFonts w:cs="Arial"/>
            <w:color w:val="000000"/>
            <w:szCs w:val="20"/>
          </w:rPr>
          <w:t xml:space="preserve"> in constraint case </w:t>
        </w:r>
        <w:r w:rsidR="00302C69" w:rsidRPr="0066792C">
          <w:rPr>
            <w:rFonts w:ascii="Times" w:hAnsi="Times" w:cs="Times New Roman"/>
            <w:i/>
            <w:color w:val="000000"/>
            <w:szCs w:val="20"/>
          </w:rPr>
          <w:t>k</w:t>
        </w:r>
        <w:r w:rsidR="004B4D60" w:rsidRPr="004B4D60">
          <w:rPr>
            <w:rFonts w:cs="Arial"/>
            <w:color w:val="000000"/>
            <w:szCs w:val="20"/>
          </w:rPr>
          <w:t xml:space="preserve"> </w:t>
        </w:r>
        <w:r w:rsidR="004B4D60">
          <w:rPr>
            <w:rFonts w:cs="Arial"/>
            <w:color w:val="000000"/>
            <w:szCs w:val="20"/>
          </w:rPr>
          <w:t>in the IRU or IRD deployment scenario</w:t>
        </w:r>
        <w:r w:rsidR="00302C69">
          <w:rPr>
            <w:rFonts w:cs="Arial"/>
            <w:color w:val="000000"/>
            <w:szCs w:val="20"/>
          </w:rPr>
          <w:t xml:space="preserve">; it is the power flow contribution on that transmission component </w:t>
        </w:r>
        <w:r w:rsidR="00302C69" w:rsidRPr="0066792C">
          <w:rPr>
            <w:rFonts w:ascii="Times" w:hAnsi="Times" w:cs="Times New Roman"/>
            <w:i/>
            <w:color w:val="000000"/>
            <w:szCs w:val="20"/>
          </w:rPr>
          <w:t>j</w:t>
        </w:r>
        <w:r w:rsidR="00302C69" w:rsidRPr="002C7CB9">
          <w:rPr>
            <w:rFonts w:ascii="Times New Roman" w:hAnsi="Times New Roman" w:cs="Times New Roman"/>
            <w:i/>
            <w:color w:val="000000"/>
            <w:szCs w:val="20"/>
          </w:rPr>
          <w:t xml:space="preserve"> </w:t>
        </w:r>
        <w:r w:rsidR="00302C69">
          <w:rPr>
            <w:rFonts w:cs="Arial"/>
            <w:color w:val="000000"/>
            <w:szCs w:val="20"/>
          </w:rPr>
          <w:t xml:space="preserve">when an increment of power is injected at PNode </w:t>
        </w:r>
        <w:r w:rsidR="00302C69" w:rsidRPr="0066792C">
          <w:rPr>
            <w:rFonts w:ascii="Times" w:hAnsi="Times" w:cs="Times New Roman"/>
            <w:i/>
            <w:color w:val="000000"/>
            <w:szCs w:val="20"/>
          </w:rPr>
          <w:t>i</w:t>
        </w:r>
        <w:r w:rsidR="00302C69" w:rsidRPr="00941AB8">
          <w:rPr>
            <w:rFonts w:ascii="Times New Roman" w:hAnsi="Times New Roman" w:cs="Times New Roman"/>
            <w:color w:val="000000"/>
            <w:szCs w:val="20"/>
          </w:rPr>
          <w:t xml:space="preserve"> </w:t>
        </w:r>
        <w:r w:rsidR="00302C69">
          <w:rPr>
            <w:rFonts w:cs="Arial"/>
            <w:color w:val="000000"/>
            <w:szCs w:val="20"/>
          </w:rPr>
          <w:t xml:space="preserve">and an equivalent amount of power is withdrawn at the Reference Bus.  For Market Area Intertie resources at a Scheduling Point, and TSRs at a Transfer Location, the PTDF </w:t>
        </w:r>
        <w:r w:rsidR="00302C69" w:rsidRPr="001A67E2">
          <w:rPr>
            <w:rFonts w:cs="Arial"/>
            <w:color w:val="000000"/>
            <w:szCs w:val="20"/>
          </w:rPr>
          <w:t xml:space="preserve">to an intertie constraint or intertie scheduling limit at that Scheduling Point is +1 for an import and –1 for an export.  The CAISO does not consider the effect of Transmission Losses in the calculation of PTDFs; they depend only on the network configuration. Furthermore, the difference between the PTDFs at two PNodes with respect to any binding Transmission Constraint, and thus the difference between the </w:t>
        </w:r>
        <w:r w:rsidR="00302C69" w:rsidRPr="003B0958">
          <w:t>Marginal Cost of Congestion</w:t>
        </w:r>
        <w:r w:rsidR="00302C69">
          <w:t xml:space="preserve"> for </w:t>
        </w:r>
        <w:r w:rsidR="00A82DC8">
          <w:t>IR</w:t>
        </w:r>
        <w:r w:rsidR="00302C69">
          <w:t xml:space="preserve">U </w:t>
        </w:r>
        <w:r w:rsidR="00A82DC8">
          <w:t>or</w:t>
        </w:r>
        <w:r w:rsidR="00302C69">
          <w:t xml:space="preserve"> </w:t>
        </w:r>
        <w:r w:rsidR="00A82DC8">
          <w:t>IR</w:t>
        </w:r>
        <w:r w:rsidR="00302C69">
          <w:t>D</w:t>
        </w:r>
        <w:r w:rsidR="00302C69" w:rsidRPr="003B0958">
          <w:t xml:space="preserve"> </w:t>
        </w:r>
        <w:r w:rsidR="00302C69">
          <w:rPr>
            <w:rFonts w:cs="Arial"/>
            <w:color w:val="000000"/>
            <w:szCs w:val="20"/>
          </w:rPr>
          <w:t xml:space="preserve">at these PNodes, is independent from the selection of the Reference Bus. The PTDFs in the </w:t>
        </w:r>
        <w:r w:rsidR="00A82DC8">
          <w:rPr>
            <w:rFonts w:cs="Arial"/>
            <w:color w:val="000000"/>
            <w:szCs w:val="20"/>
          </w:rPr>
          <w:t>IRU or IRD deployment scenarios</w:t>
        </w:r>
        <w:r w:rsidR="00302C69">
          <w:rPr>
            <w:rFonts w:cs="Arial"/>
            <w:color w:val="000000"/>
            <w:szCs w:val="20"/>
          </w:rPr>
          <w:t xml:space="preserve"> are </w:t>
        </w:r>
        <w:r w:rsidR="00A82DC8">
          <w:rPr>
            <w:rFonts w:cs="Arial"/>
            <w:color w:val="000000"/>
            <w:szCs w:val="20"/>
          </w:rPr>
          <w:t>different from</w:t>
        </w:r>
        <w:r w:rsidR="00302C69">
          <w:rPr>
            <w:rFonts w:cs="Arial"/>
            <w:color w:val="000000"/>
            <w:szCs w:val="20"/>
          </w:rPr>
          <w:t xml:space="preserve"> the ones in the </w:t>
        </w:r>
        <w:r w:rsidR="00A82DC8">
          <w:rPr>
            <w:rFonts w:cs="Arial"/>
            <w:color w:val="000000"/>
            <w:szCs w:val="20"/>
          </w:rPr>
          <w:t xml:space="preserve">base scenario of the </w:t>
        </w:r>
        <w:r w:rsidR="00302C69">
          <w:rPr>
            <w:rFonts w:cs="Arial"/>
            <w:color w:val="000000"/>
            <w:szCs w:val="20"/>
          </w:rPr>
          <w:t xml:space="preserve">IFM because </w:t>
        </w:r>
        <w:r w:rsidR="00A82DC8">
          <w:rPr>
            <w:rFonts w:cs="Arial"/>
            <w:color w:val="000000"/>
            <w:szCs w:val="20"/>
          </w:rPr>
          <w:t xml:space="preserve">although </w:t>
        </w:r>
        <w:r w:rsidR="00302C69">
          <w:rPr>
            <w:rFonts w:cs="Arial"/>
            <w:color w:val="000000"/>
            <w:szCs w:val="20"/>
          </w:rPr>
          <w:t>the network configuration is the same</w:t>
        </w:r>
        <w:r w:rsidR="00A82DC8">
          <w:rPr>
            <w:rFonts w:cs="Arial"/>
            <w:color w:val="000000"/>
            <w:szCs w:val="20"/>
          </w:rPr>
          <w:t>, the Reference Bus is different</w:t>
        </w:r>
        <w:r w:rsidR="00302C69">
          <w:rPr>
            <w:rFonts w:cs="Arial"/>
            <w:color w:val="000000"/>
            <w:szCs w:val="20"/>
          </w:rPr>
          <w:t xml:space="preserve">; </w:t>
        </w:r>
        <w:r w:rsidR="00A82DC8">
          <w:rPr>
            <w:rFonts w:cs="Arial"/>
            <w:color w:val="000000"/>
            <w:szCs w:val="20"/>
          </w:rPr>
          <w:t>furthermore</w:t>
        </w:r>
        <w:r w:rsidR="00302C69">
          <w:rPr>
            <w:rFonts w:cs="Arial"/>
            <w:color w:val="000000"/>
            <w:szCs w:val="20"/>
          </w:rPr>
          <w:t xml:space="preserve">, the binding constraints in the </w:t>
        </w:r>
        <w:r w:rsidR="00A82DC8">
          <w:rPr>
            <w:rFonts w:cs="Arial"/>
            <w:color w:val="000000"/>
            <w:szCs w:val="20"/>
          </w:rPr>
          <w:t>base and the IRU or IRD deployment scenarios</w:t>
        </w:r>
        <w:r w:rsidR="00302C69">
          <w:rPr>
            <w:rFonts w:cs="Arial"/>
            <w:color w:val="000000"/>
            <w:szCs w:val="20"/>
          </w:rPr>
          <w:t xml:space="preserve"> may be different.</w:t>
        </w:r>
      </w:ins>
    </w:p>
    <w:p w14:paraId="5BB4BEA3" w14:textId="77777777" w:rsidR="00302C69" w:rsidRDefault="00302C69" w:rsidP="00302C69">
      <w:pPr>
        <w:tabs>
          <w:tab w:val="left" w:pos="720"/>
        </w:tabs>
        <w:autoSpaceDE w:val="0"/>
        <w:autoSpaceDN w:val="0"/>
        <w:adjustRightInd w:val="0"/>
        <w:ind w:left="1440" w:hanging="720"/>
        <w:rPr>
          <w:ins w:id="358" w:author="Author"/>
          <w:rFonts w:cs="Arial"/>
          <w:szCs w:val="20"/>
        </w:rPr>
      </w:pPr>
      <w:ins w:id="359" w:author="Author">
        <w:r>
          <w:rPr>
            <w:rFonts w:ascii="Symbol" w:hAnsi="Symbol" w:cs="Symbol"/>
            <w:color w:val="000000"/>
            <w:szCs w:val="20"/>
          </w:rPr>
          <w:lastRenderedPageBreak/>
          <w:sym w:font="Symbol" w:char="F0B7"/>
        </w:r>
        <w:r>
          <w:rPr>
            <w:rFonts w:ascii="Symbol" w:hAnsi="Symbol" w:cs="Symbol"/>
            <w:color w:val="000000"/>
            <w:szCs w:val="20"/>
          </w:rPr>
          <w:tab/>
        </w:r>
        <m:oMath>
          <m:sSub>
            <m:sSubPr>
              <m:ctrlPr>
                <w:rPr>
                  <w:rFonts w:ascii="Cambria Math" w:hAnsi="Cambria Math" w:cs="Arial"/>
                  <w:i/>
                </w:rPr>
              </m:ctrlPr>
            </m:sSubPr>
            <m:e>
              <m:r>
                <w:rPr>
                  <w:rFonts w:ascii="Cambria Math" w:hAnsi="Cambria Math" w:cs="Arial"/>
                </w:rPr>
                <m:t>c</m:t>
              </m:r>
            </m:e>
            <m:sub>
              <m:r>
                <w:rPr>
                  <w:rFonts w:ascii="Cambria Math" w:hAnsi="Cambria Math" w:cs="Arial"/>
                </w:rPr>
                <m:t>j,m</m:t>
              </m:r>
            </m:sub>
          </m:sSub>
        </m:oMath>
        <w:r>
          <w:rPr>
            <w:rFonts w:cs="Arial"/>
            <w:i/>
            <w:iCs/>
            <w:sz w:val="24"/>
            <w:szCs w:val="24"/>
            <w:vertAlign w:val="subscript"/>
          </w:rPr>
          <w:t xml:space="preserve"> </w:t>
        </w:r>
        <w:r>
          <w:rPr>
            <w:rFonts w:cs="Arial"/>
            <w:szCs w:val="20"/>
          </w:rPr>
          <w:t xml:space="preserve">is the constraint coefficient for transmission component </w:t>
        </w:r>
        <w:r w:rsidRPr="0066792C">
          <w:rPr>
            <w:rFonts w:ascii="Times" w:hAnsi="Times" w:cs="Times New Roman"/>
            <w:i/>
            <w:color w:val="000000"/>
            <w:szCs w:val="20"/>
          </w:rPr>
          <w:t>j</w:t>
        </w:r>
        <w:r w:rsidRPr="002C7CB9">
          <w:rPr>
            <w:rFonts w:ascii="Times New Roman" w:hAnsi="Times New Roman" w:cs="Times New Roman"/>
            <w:i/>
            <w:szCs w:val="20"/>
          </w:rPr>
          <w:t xml:space="preserve"> </w:t>
        </w:r>
        <w:r>
          <w:rPr>
            <w:rFonts w:cs="Arial"/>
            <w:szCs w:val="20"/>
          </w:rPr>
          <w:t xml:space="preserve">of Transmission Constraint </w:t>
        </w:r>
        <w:r w:rsidRPr="0066792C">
          <w:rPr>
            <w:rFonts w:ascii="Times" w:hAnsi="Times" w:cs="Times New Roman"/>
            <w:i/>
            <w:color w:val="000000"/>
            <w:szCs w:val="20"/>
          </w:rPr>
          <w:t>m</w:t>
        </w:r>
        <w:r>
          <w:rPr>
            <w:rFonts w:cs="Arial"/>
            <w:szCs w:val="20"/>
          </w:rPr>
          <w:t xml:space="preserve"> when Transmission Constraint </w:t>
        </w:r>
        <w:r w:rsidRPr="0066792C">
          <w:rPr>
            <w:rFonts w:ascii="Times" w:hAnsi="Times" w:cs="Times New Roman"/>
            <w:i/>
            <w:color w:val="000000"/>
            <w:szCs w:val="20"/>
          </w:rPr>
          <w:t>m</w:t>
        </w:r>
        <w:r>
          <w:rPr>
            <w:rFonts w:cs="Arial"/>
            <w:szCs w:val="20"/>
          </w:rPr>
          <w:t xml:space="preserve"> is a Nomogram; otherwise, this constraint coefficient is always one.  </w:t>
        </w:r>
      </w:ins>
    </w:p>
    <w:p w14:paraId="4002476F" w14:textId="77777777" w:rsidR="00302C69" w:rsidRDefault="00302C69" w:rsidP="00302C69">
      <w:pPr>
        <w:tabs>
          <w:tab w:val="left" w:pos="720"/>
        </w:tabs>
        <w:autoSpaceDE w:val="0"/>
        <w:autoSpaceDN w:val="0"/>
        <w:adjustRightInd w:val="0"/>
        <w:ind w:left="1440" w:hanging="720"/>
        <w:rPr>
          <w:ins w:id="360" w:author="Author"/>
          <w:rFonts w:cs="Arial"/>
          <w:color w:val="000000"/>
          <w:szCs w:val="20"/>
        </w:rPr>
      </w:pPr>
      <w:ins w:id="361" w:author="Author">
        <w:r>
          <w:rPr>
            <w:rFonts w:ascii="Symbol" w:hAnsi="Symbol" w:cs="Symbol"/>
            <w:color w:val="000000"/>
            <w:szCs w:val="20"/>
          </w:rPr>
          <w:sym w:font="Symbol" w:char="F0B7"/>
        </w:r>
        <w:r>
          <w:rPr>
            <w:rFonts w:ascii="Symbol" w:hAnsi="Symbol" w:cs="Symbol"/>
            <w:color w:val="000000"/>
            <w:szCs w:val="20"/>
          </w:rPr>
          <w:tab/>
        </w:r>
        <m:oMath>
          <m:sSubSup>
            <m:sSubSupPr>
              <m:ctrlPr>
                <w:rPr>
                  <w:rFonts w:ascii="Cambria Math" w:hAnsi="Cambria Math"/>
                  <w:i/>
                </w:rPr>
              </m:ctrlPr>
            </m:sSubSupPr>
            <m:e>
              <m:r>
                <w:rPr>
                  <w:rFonts w:ascii="Cambria Math" w:hAnsi="Cambria Math"/>
                </w:rPr>
                <m:t>μ</m:t>
              </m:r>
            </m:e>
            <m:sub>
              <m:r>
                <w:rPr>
                  <w:rFonts w:ascii="Cambria Math" w:hAnsi="Cambria Math"/>
                </w:rPr>
                <m:t>m,k</m:t>
              </m:r>
            </m:sub>
            <m:sup>
              <m:r>
                <w:rPr>
                  <w:rFonts w:ascii="Cambria Math" w:hAnsi="Cambria Math"/>
                </w:rPr>
                <m:t>(IRU)</m:t>
              </m:r>
            </m:sup>
          </m:sSubSup>
        </m:oMath>
        <w:r>
          <w:rPr>
            <w:rFonts w:cs="Arial"/>
            <w:color w:val="000000"/>
            <w:szCs w:val="20"/>
          </w:rPr>
          <w:t xml:space="preserve"> </w:t>
        </w:r>
        <w:r w:rsidR="00A82DC8">
          <w:rPr>
            <w:rFonts w:cs="Arial"/>
            <w:color w:val="000000"/>
            <w:szCs w:val="20"/>
          </w:rPr>
          <w:t xml:space="preserve">and </w:t>
        </w:r>
        <m:oMath>
          <m:sSubSup>
            <m:sSubSupPr>
              <m:ctrlPr>
                <w:rPr>
                  <w:rFonts w:ascii="Cambria Math" w:hAnsi="Cambria Math"/>
                  <w:i/>
                </w:rPr>
              </m:ctrlPr>
            </m:sSubSupPr>
            <m:e>
              <m:r>
                <w:rPr>
                  <w:rFonts w:ascii="Cambria Math" w:hAnsi="Cambria Math"/>
                </w:rPr>
                <m:t>μ</m:t>
              </m:r>
            </m:e>
            <m:sub>
              <m:r>
                <w:rPr>
                  <w:rFonts w:ascii="Cambria Math" w:hAnsi="Cambria Math"/>
                </w:rPr>
                <m:t>m,k</m:t>
              </m:r>
            </m:sub>
            <m:sup>
              <m:r>
                <w:rPr>
                  <w:rFonts w:ascii="Cambria Math" w:hAnsi="Cambria Math"/>
                </w:rPr>
                <m:t>(IRD)</m:t>
              </m:r>
            </m:sup>
          </m:sSubSup>
        </m:oMath>
        <w:r w:rsidR="00A82DC8">
          <w:rPr>
            <w:rFonts w:cs="Arial"/>
            <w:color w:val="000000"/>
            <w:szCs w:val="20"/>
          </w:rPr>
          <w:t xml:space="preserve"> </w:t>
        </w:r>
        <w:r>
          <w:rPr>
            <w:rFonts w:cs="Arial"/>
            <w:color w:val="000000"/>
            <w:szCs w:val="20"/>
          </w:rPr>
          <w:t xml:space="preserve">is the Shadow Price of Transmission Constraint </w:t>
        </w:r>
        <w:r w:rsidRPr="0066792C">
          <w:rPr>
            <w:rFonts w:ascii="Times" w:hAnsi="Times" w:cs="Times New Roman"/>
            <w:i/>
            <w:color w:val="000000"/>
            <w:szCs w:val="20"/>
          </w:rPr>
          <w:t>m</w:t>
        </w:r>
        <w:r>
          <w:rPr>
            <w:rFonts w:cs="Arial"/>
            <w:color w:val="000000"/>
            <w:szCs w:val="20"/>
          </w:rPr>
          <w:t xml:space="preserve"> in constraint case </w:t>
        </w:r>
        <w:r w:rsidRPr="00A40F0B">
          <w:rPr>
            <w:rFonts w:ascii="Cambria" w:hAnsi="Cambria" w:cs="Arial"/>
            <w:i/>
            <w:color w:val="000000"/>
            <w:szCs w:val="20"/>
          </w:rPr>
          <w:t>k</w:t>
        </w:r>
        <w:r w:rsidRPr="00A40F0B">
          <w:rPr>
            <w:rFonts w:cs="Arial"/>
            <w:color w:val="000000"/>
            <w:szCs w:val="20"/>
          </w:rPr>
          <w:t xml:space="preserve"> at the </w:t>
        </w:r>
        <w:r w:rsidR="00A82DC8">
          <w:rPr>
            <w:rFonts w:cs="Arial"/>
            <w:color w:val="000000"/>
            <w:szCs w:val="20"/>
          </w:rPr>
          <w:t xml:space="preserve">IRU or IRD deployment scenario in the </w:t>
        </w:r>
        <w:r w:rsidRPr="00A40F0B">
          <w:rPr>
            <w:rFonts w:cs="Arial"/>
            <w:color w:val="000000"/>
            <w:szCs w:val="20"/>
          </w:rPr>
          <w:t xml:space="preserve">optimal solution of the </w:t>
        </w:r>
        <w:r w:rsidR="00A82DC8">
          <w:rPr>
            <w:rFonts w:cs="Arial"/>
            <w:color w:val="000000"/>
            <w:szCs w:val="20"/>
          </w:rPr>
          <w:t>IFM</w:t>
        </w:r>
        <w:r>
          <w:rPr>
            <w:rFonts w:cs="Arial"/>
            <w:color w:val="000000"/>
            <w:szCs w:val="20"/>
          </w:rPr>
          <w:t>.</w:t>
        </w:r>
      </w:ins>
    </w:p>
    <w:p w14:paraId="327B4D75" w14:textId="77777777" w:rsidR="004F1B2E" w:rsidRDefault="004F1B2E" w:rsidP="004F1B2E">
      <w:pPr>
        <w:pStyle w:val="Heading2"/>
        <w:ind w:firstLine="720"/>
        <w:rPr>
          <w:ins w:id="362" w:author="Author"/>
        </w:rPr>
      </w:pPr>
      <w:ins w:id="363" w:author="Author">
        <w:r>
          <w:t>C.</w:t>
        </w:r>
        <w:r>
          <w:tab/>
          <w:t>Locational Marginal Price for Reliability Capacity</w:t>
        </w:r>
      </w:ins>
    </w:p>
    <w:p w14:paraId="3F575D11" w14:textId="77777777" w:rsidR="006A08CB" w:rsidRDefault="004F1B2E" w:rsidP="004F1B2E">
      <w:pPr>
        <w:rPr>
          <w:ins w:id="364" w:author="Author"/>
        </w:rPr>
      </w:pPr>
      <w:ins w:id="365" w:author="Author">
        <w:r w:rsidRPr="003B0958">
          <w:t xml:space="preserve">The CAISO shall calculate the </w:t>
        </w:r>
        <w:r>
          <w:t xml:space="preserve">Locational RCU </w:t>
        </w:r>
        <w:r w:rsidRPr="003B0958">
          <w:t xml:space="preserve">Price </w:t>
        </w:r>
        <w:r>
          <w:t xml:space="preserve">and Locational RCD </w:t>
        </w:r>
        <w:r w:rsidRPr="003B0958">
          <w:t xml:space="preserve">Price at Generation PNodes, Scheduling Points, and Aggregated Pricing Nodes, as provided in the CAISO Tariff.  The </w:t>
        </w:r>
        <w:r>
          <w:t xml:space="preserve">Locational RCU </w:t>
        </w:r>
        <w:r w:rsidRPr="003B0958">
          <w:t xml:space="preserve">Price </w:t>
        </w:r>
        <w:r>
          <w:t xml:space="preserve">and Locational RCD </w:t>
        </w:r>
        <w:r w:rsidRPr="003B0958">
          <w:t>Price</w:t>
        </w:r>
        <w:r>
          <w:t xml:space="preserve"> </w:t>
        </w:r>
        <w:r w:rsidRPr="003B0958">
          <w:t xml:space="preserve">at PNodes, </w:t>
        </w:r>
        <w:r w:rsidRPr="00DC2E9B">
          <w:t>Scheduling Points, and Aggregated Pricing Nodes</w:t>
        </w:r>
        <w:r w:rsidRPr="003B0958">
          <w:t xml:space="preserve"> include separate components for the </w:t>
        </w:r>
        <w:r>
          <w:t>M</w:t>
        </w:r>
        <w:r w:rsidRPr="003B0958">
          <w:t xml:space="preserve">arginal </w:t>
        </w:r>
        <w:r>
          <w:t>RCU or RCD Cost</w:t>
        </w:r>
        <w:r w:rsidRPr="003B0958">
          <w:t xml:space="preserve">, Marginal </w:t>
        </w:r>
        <w:r>
          <w:t xml:space="preserve">RCU or RCD </w:t>
        </w:r>
        <w:r w:rsidRPr="003B0958">
          <w:t xml:space="preserve">Cost of Congestion, </w:t>
        </w:r>
        <w:r w:rsidRPr="00FB7403">
          <w:t>and Marginal RCU or RCD Cost of Losses</w:t>
        </w:r>
        <w:r>
          <w:t>, respectively.  As provided in Section</w:t>
        </w:r>
        <w:r w:rsidRPr="003B0958">
          <w:t xml:space="preserve"> 6.5.3.2.2, </w:t>
        </w:r>
        <w:r>
          <w:t xml:space="preserve">Locational RCU </w:t>
        </w:r>
        <w:r w:rsidRPr="003B0958">
          <w:t>Price</w:t>
        </w:r>
        <w:r>
          <w:t>s</w:t>
        </w:r>
        <w:r w:rsidRPr="003B0958">
          <w:t xml:space="preserve"> </w:t>
        </w:r>
        <w:r>
          <w:t xml:space="preserve">and Locational RCD </w:t>
        </w:r>
        <w:r w:rsidRPr="003B0958">
          <w:t>Prices are calculated and posted for each hour of the Day-Ahead Market.</w:t>
        </w:r>
        <w:r w:rsidR="006A08CB">
          <w:t xml:space="preserve"> There is a single Locational Marginal Price for Reliability Capacity that applies to both Reliability Capacity Up and Reliability Capacity Down at any given Location in the Market Area.</w:t>
        </w:r>
      </w:ins>
    </w:p>
    <w:p w14:paraId="159A2DAB" w14:textId="77777777" w:rsidR="004F1B2E" w:rsidRDefault="004F1B2E" w:rsidP="004F1B2E">
      <w:pPr>
        <w:pStyle w:val="Heading3"/>
        <w:ind w:firstLine="720"/>
        <w:rPr>
          <w:ins w:id="366" w:author="Author"/>
        </w:rPr>
      </w:pPr>
      <w:ins w:id="367" w:author="Author">
        <w:r>
          <w:t>C.1.</w:t>
        </w:r>
        <w:r>
          <w:tab/>
          <w:t>Locational RCU and RCD Price Composition</w:t>
        </w:r>
      </w:ins>
    </w:p>
    <w:p w14:paraId="56D6C074" w14:textId="77777777" w:rsidR="004F1B2E" w:rsidRDefault="004F1B2E" w:rsidP="004F1B2E">
      <w:pPr>
        <w:rPr>
          <w:ins w:id="368" w:author="Author"/>
        </w:rPr>
      </w:pPr>
      <w:ins w:id="369" w:author="Author">
        <w:r>
          <w:rPr>
            <w:rFonts w:cs="Arial"/>
            <w:szCs w:val="20"/>
          </w:rPr>
          <w:t xml:space="preserve">In each hour of the Day-Ahead Market, </w:t>
        </w:r>
        <w:r>
          <w:t>t</w:t>
        </w:r>
        <w:r w:rsidRPr="003B0958">
          <w:t xml:space="preserve">he CAISO calculates the </w:t>
        </w:r>
        <w:r>
          <w:t xml:space="preserve">Locational RCU </w:t>
        </w:r>
        <w:r w:rsidRPr="003B0958">
          <w:t xml:space="preserve">Price </w:t>
        </w:r>
        <w:r>
          <w:t xml:space="preserve">and Locational RCD </w:t>
        </w:r>
        <w:r w:rsidRPr="003B0958">
          <w:t xml:space="preserve">Price for each PNode, which is based on the </w:t>
        </w:r>
        <w:r>
          <w:t xml:space="preserve">RCU and RCD </w:t>
        </w:r>
        <w:r w:rsidRPr="003B0958">
          <w:t xml:space="preserve">Bids of sellers selected in the Day-Ahead Market as calculated below. </w:t>
        </w:r>
        <w:r>
          <w:t xml:space="preserve"> </w:t>
        </w:r>
        <w:r w:rsidRPr="003B0958">
          <w:t xml:space="preserve">The CAISO </w:t>
        </w:r>
        <w:r>
          <w:t>uses</w:t>
        </w:r>
        <w:r w:rsidRPr="003B0958">
          <w:t xml:space="preserve"> a Reference Bus for</w:t>
        </w:r>
        <w:r>
          <w:t xml:space="preserve"> the</w:t>
        </w:r>
        <w:r w:rsidRPr="003B0958">
          <w:t xml:space="preserve"> calculation of the </w:t>
        </w:r>
        <w:r>
          <w:t xml:space="preserve">Locational RCU </w:t>
        </w:r>
        <w:r w:rsidRPr="003B0958">
          <w:t xml:space="preserve">Price </w:t>
        </w:r>
        <w:r>
          <w:t xml:space="preserve">and Locational RCD </w:t>
        </w:r>
        <w:r w:rsidRPr="003B0958">
          <w:t>Price.</w:t>
        </w:r>
        <w:r>
          <w:t xml:space="preserve">  </w:t>
        </w:r>
        <w:r w:rsidRPr="00BD587E">
          <w:t xml:space="preserve">The Reference Bus is the distributed </w:t>
        </w:r>
        <w:r>
          <w:t>demand forecast</w:t>
        </w:r>
        <w:r w:rsidRPr="00BD587E">
          <w:t xml:space="preserve"> in the Market Area, used in the AC power flow solution </w:t>
        </w:r>
        <w:r>
          <w:t xml:space="preserve">in RUC </w:t>
        </w:r>
        <w:r w:rsidRPr="00BD587E">
          <w:t xml:space="preserve">to distribute the deviations for Transmission Losses between iterations, </w:t>
        </w:r>
        <w:r w:rsidR="006A08CB" w:rsidRPr="00BD587E">
          <w:t>and</w:t>
        </w:r>
        <w:r w:rsidRPr="00BD587E">
          <w:t xml:space="preserve"> in sensitivity calculations that yield rates for Marginal Losses and the Power Transfer Distribution Factors.  If the CAISO Market solution reverts to a DC power flow solution, the Reference Bus is not used because Transmission Losses are not included.  Nevertheless, the CAISO reflects the Transmission Losses for the Market Area in the DC power flow solution by adjusting the load by the average loss factor.</w:t>
        </w:r>
        <w:r>
          <w:t xml:space="preserve"> </w:t>
        </w:r>
        <w:r w:rsidRPr="003B0958">
          <w:t xml:space="preserve"> For each </w:t>
        </w:r>
        <w:r>
          <w:t>PNode</w:t>
        </w:r>
        <w:r w:rsidRPr="003B0958">
          <w:t xml:space="preserve">, the CAISO determines separate components of the </w:t>
        </w:r>
        <w:r>
          <w:t xml:space="preserve">Locational RCU </w:t>
        </w:r>
        <w:r w:rsidRPr="003B0958">
          <w:t xml:space="preserve">Price </w:t>
        </w:r>
        <w:r>
          <w:t xml:space="preserve">and Locational RCD </w:t>
        </w:r>
        <w:r w:rsidRPr="003B0958">
          <w:t xml:space="preserve">Price for the </w:t>
        </w:r>
        <w:r>
          <w:t>M</w:t>
        </w:r>
        <w:r w:rsidRPr="003B0958">
          <w:t xml:space="preserve">arginal </w:t>
        </w:r>
        <w:r>
          <w:t>RCU and RCD Cost</w:t>
        </w:r>
        <w:r w:rsidRPr="003B0958">
          <w:t>, Marginal Cost of Congestion</w:t>
        </w:r>
        <w:r>
          <w:t xml:space="preserve"> for RCU and RCD</w:t>
        </w:r>
        <w:r w:rsidRPr="003B0958">
          <w:t xml:space="preserve">, </w:t>
        </w:r>
        <w:r>
          <w:t xml:space="preserve">and </w:t>
        </w:r>
        <w:r w:rsidRPr="003B0958">
          <w:t>Marginal Cost of Losses</w:t>
        </w:r>
        <w:r>
          <w:t xml:space="preserve"> for RCU and RCD, as follows</w:t>
        </w:r>
        <w:r w:rsidRPr="003B0958">
          <w:t>:</w:t>
        </w:r>
      </w:ins>
    </w:p>
    <w:p w14:paraId="07A1F8FC" w14:textId="77777777" w:rsidR="004F1B2E" w:rsidRPr="00A4201F" w:rsidRDefault="00543914" w:rsidP="004F1B2E">
      <w:pPr>
        <w:rPr>
          <w:ins w:id="370" w:author="Author"/>
        </w:rPr>
      </w:pPr>
      <m:oMathPara>
        <m:oMathParaPr>
          <m:jc m:val="left"/>
        </m:oMathParaPr>
        <m:oMath>
          <m:sSubSup>
            <m:sSubSupPr>
              <m:ctrlPr>
                <w:ins w:id="371" w:author="Author">
                  <w:rPr>
                    <w:rFonts w:ascii="Cambria Math" w:hAnsi="Cambria Math"/>
                    <w:i/>
                  </w:rPr>
                </w:ins>
              </m:ctrlPr>
            </m:sSubSupPr>
            <m:e>
              <m:r>
                <w:ins w:id="372" w:author="Author">
                  <w:rPr>
                    <w:rFonts w:ascii="Cambria Math" w:hAnsi="Cambria Math"/>
                  </w:rPr>
                  <m:t>LMP</m:t>
                </w:ins>
              </m:r>
            </m:e>
            <m:sub>
              <m:r>
                <w:ins w:id="373" w:author="Author">
                  <w:rPr>
                    <w:rFonts w:ascii="Cambria Math" w:hAnsi="Cambria Math"/>
                  </w:rPr>
                  <m:t>i</m:t>
                </w:ins>
              </m:r>
            </m:sub>
            <m:sup>
              <m:r>
                <w:ins w:id="374" w:author="Author">
                  <w:rPr>
                    <w:rFonts w:ascii="Cambria Math" w:hAnsi="Cambria Math"/>
                  </w:rPr>
                  <m:t>(RUC)</m:t>
                </w:ins>
              </m:r>
            </m:sup>
          </m:sSubSup>
          <m:r>
            <w:ins w:id="375" w:author="Author">
              <w:rPr>
                <w:rFonts w:ascii="Cambria Math" w:hAnsi="Cambria Math"/>
              </w:rPr>
              <m:t>=</m:t>
            </w:ins>
          </m:r>
          <m:sSubSup>
            <m:sSubSupPr>
              <m:ctrlPr>
                <w:ins w:id="376" w:author="Author">
                  <w:rPr>
                    <w:rFonts w:ascii="Cambria Math" w:hAnsi="Cambria Math"/>
                    <w:i/>
                  </w:rPr>
                </w:ins>
              </m:ctrlPr>
            </m:sSubSupPr>
            <m:e>
              <m:r>
                <w:ins w:id="377" w:author="Author">
                  <w:rPr>
                    <w:rFonts w:ascii="Cambria Math" w:hAnsi="Cambria Math"/>
                  </w:rPr>
                  <m:t>MEC</m:t>
                </w:ins>
              </m:r>
            </m:e>
            <m:sub>
              <m:r>
                <w:ins w:id="378" w:author="Author">
                  <w:rPr>
                    <w:rFonts w:ascii="Cambria Math" w:hAnsi="Cambria Math"/>
                  </w:rPr>
                  <m:t>i</m:t>
                </w:ins>
              </m:r>
            </m:sub>
            <m:sup>
              <m:r>
                <w:ins w:id="379" w:author="Author">
                  <w:rPr>
                    <w:rFonts w:ascii="Cambria Math" w:hAnsi="Cambria Math"/>
                  </w:rPr>
                  <m:t>(RUC)</m:t>
                </w:ins>
              </m:r>
            </m:sup>
          </m:sSubSup>
          <m:r>
            <w:ins w:id="380" w:author="Author">
              <w:rPr>
                <w:rFonts w:ascii="Cambria Math" w:hAnsi="Cambria Math"/>
              </w:rPr>
              <m:t>+</m:t>
            </w:ins>
          </m:r>
          <m:sSubSup>
            <m:sSubSupPr>
              <m:ctrlPr>
                <w:ins w:id="381" w:author="Author">
                  <w:rPr>
                    <w:rFonts w:ascii="Cambria Math" w:hAnsi="Cambria Math"/>
                    <w:i/>
                  </w:rPr>
                </w:ins>
              </m:ctrlPr>
            </m:sSubSupPr>
            <m:e>
              <m:r>
                <w:ins w:id="382" w:author="Author">
                  <w:rPr>
                    <w:rFonts w:ascii="Cambria Math" w:hAnsi="Cambria Math"/>
                  </w:rPr>
                  <m:t>MCC</m:t>
                </w:ins>
              </m:r>
            </m:e>
            <m:sub>
              <m:r>
                <w:ins w:id="383" w:author="Author">
                  <w:rPr>
                    <w:rFonts w:ascii="Cambria Math" w:hAnsi="Cambria Math"/>
                  </w:rPr>
                  <m:t>i</m:t>
                </w:ins>
              </m:r>
            </m:sub>
            <m:sup>
              <m:r>
                <w:ins w:id="384" w:author="Author">
                  <w:rPr>
                    <w:rFonts w:ascii="Cambria Math" w:hAnsi="Cambria Math"/>
                  </w:rPr>
                  <m:t>(RUC)</m:t>
                </w:ins>
              </m:r>
            </m:sup>
          </m:sSubSup>
          <m:r>
            <w:ins w:id="385" w:author="Author">
              <w:rPr>
                <w:rFonts w:ascii="Cambria Math" w:hAnsi="Cambria Math"/>
              </w:rPr>
              <m:t>+</m:t>
            </w:ins>
          </m:r>
          <m:sSubSup>
            <m:sSubSupPr>
              <m:ctrlPr>
                <w:ins w:id="386" w:author="Author">
                  <w:rPr>
                    <w:rFonts w:ascii="Cambria Math" w:hAnsi="Cambria Math"/>
                    <w:i/>
                  </w:rPr>
                </w:ins>
              </m:ctrlPr>
            </m:sSubSupPr>
            <m:e>
              <m:r>
                <w:ins w:id="387" w:author="Author">
                  <w:rPr>
                    <w:rFonts w:ascii="Cambria Math" w:hAnsi="Cambria Math"/>
                  </w:rPr>
                  <m:t>MCL</m:t>
                </w:ins>
              </m:r>
            </m:e>
            <m:sub>
              <m:r>
                <w:ins w:id="388" w:author="Author">
                  <w:rPr>
                    <w:rFonts w:ascii="Cambria Math" w:hAnsi="Cambria Math"/>
                  </w:rPr>
                  <m:t>i</m:t>
                </w:ins>
              </m:r>
            </m:sub>
            <m:sup>
              <m:r>
                <w:ins w:id="389" w:author="Author">
                  <w:rPr>
                    <w:rFonts w:ascii="Cambria Math" w:hAnsi="Cambria Math"/>
                  </w:rPr>
                  <m:t>(RUC)</m:t>
                </w:ins>
              </m:r>
            </m:sup>
          </m:sSubSup>
        </m:oMath>
      </m:oMathPara>
    </w:p>
    <w:p w14:paraId="6BD9A307" w14:textId="77777777" w:rsidR="004F1B2E" w:rsidRPr="003B0958" w:rsidRDefault="004F1B2E" w:rsidP="004F1B2E">
      <w:pPr>
        <w:rPr>
          <w:ins w:id="390" w:author="Author"/>
        </w:rPr>
      </w:pPr>
      <w:ins w:id="391" w:author="Author">
        <w:r w:rsidRPr="003B0958">
          <w:t>where:</w:t>
        </w:r>
      </w:ins>
    </w:p>
    <w:p w14:paraId="17502853" w14:textId="77777777" w:rsidR="004F1B2E" w:rsidRPr="0066792C" w:rsidRDefault="004F1B2E" w:rsidP="004F1B2E">
      <w:pPr>
        <w:pStyle w:val="ListParagraph"/>
        <w:numPr>
          <w:ilvl w:val="0"/>
          <w:numId w:val="1"/>
        </w:numPr>
        <w:rPr>
          <w:ins w:id="392" w:author="Author"/>
        </w:rPr>
      </w:pPr>
      <w:ins w:id="393" w:author="Author">
        <w:r w:rsidRPr="0066792C">
          <w:rPr>
            <w:rFonts w:ascii="Times" w:hAnsi="Times"/>
            <w:i/>
          </w:rPr>
          <w:t>i</w:t>
        </w:r>
        <w:r>
          <w:t xml:space="preserve"> is the PNode index.</w:t>
        </w:r>
      </w:ins>
    </w:p>
    <w:p w14:paraId="7927B777" w14:textId="77777777" w:rsidR="004F1B2E" w:rsidRPr="003B0958" w:rsidRDefault="00543914" w:rsidP="004F1B2E">
      <w:pPr>
        <w:pStyle w:val="ListParagraph"/>
        <w:numPr>
          <w:ilvl w:val="0"/>
          <w:numId w:val="1"/>
        </w:numPr>
        <w:rPr>
          <w:ins w:id="394" w:author="Author"/>
        </w:rPr>
      </w:pPr>
      <m:oMath>
        <m:sSubSup>
          <m:sSubSupPr>
            <m:ctrlPr>
              <w:ins w:id="395" w:author="Author">
                <w:rPr>
                  <w:rFonts w:ascii="Cambria Math" w:hAnsi="Cambria Math"/>
                  <w:i/>
                </w:rPr>
              </w:ins>
            </m:ctrlPr>
          </m:sSubSupPr>
          <m:e>
            <m:r>
              <w:ins w:id="396" w:author="Author">
                <w:rPr>
                  <w:rFonts w:ascii="Cambria Math" w:hAnsi="Cambria Math"/>
                </w:rPr>
                <m:t>MEC</m:t>
              </w:ins>
            </m:r>
          </m:e>
          <m:sub>
            <m:r>
              <w:ins w:id="397" w:author="Author">
                <w:rPr>
                  <w:rFonts w:ascii="Cambria Math" w:hAnsi="Cambria Math"/>
                </w:rPr>
                <m:t>i</m:t>
              </w:ins>
            </m:r>
          </m:sub>
          <m:sup>
            <m:r>
              <w:ins w:id="398" w:author="Author">
                <w:rPr>
                  <w:rFonts w:ascii="Cambria Math" w:hAnsi="Cambria Math"/>
                </w:rPr>
                <m:t>(RUC)</m:t>
              </w:ins>
            </m:r>
          </m:sup>
        </m:sSubSup>
      </m:oMath>
      <w:ins w:id="399" w:author="Author">
        <w:r w:rsidR="004F1B2E">
          <w:rPr>
            <w:rFonts w:cs="Arial"/>
            <w:color w:val="000000"/>
            <w:szCs w:val="20"/>
          </w:rPr>
          <w:t xml:space="preserve"> is the </w:t>
        </w:r>
        <w:r w:rsidR="004F1B2E">
          <w:t xml:space="preserve">Locational RCU </w:t>
        </w:r>
        <w:r w:rsidR="004F1B2E" w:rsidRPr="003B0958">
          <w:t xml:space="preserve">Price </w:t>
        </w:r>
        <w:r w:rsidR="004F1B2E">
          <w:t xml:space="preserve">and Locational RCD </w:t>
        </w:r>
        <w:r w:rsidR="004F1B2E" w:rsidRPr="003B0958">
          <w:t>Price</w:t>
        </w:r>
        <w:r w:rsidR="004F1B2E">
          <w:rPr>
            <w:rFonts w:cs="Arial"/>
            <w:color w:val="000000"/>
            <w:szCs w:val="20"/>
          </w:rPr>
          <w:t xml:space="preserve"> component representing the Marginal Reliability Capacity Cost at PNode </w:t>
        </w:r>
        <w:r w:rsidR="004F1B2E" w:rsidRPr="0066792C">
          <w:rPr>
            <w:rFonts w:ascii="Times" w:hAnsi="Times"/>
            <w:i/>
          </w:rPr>
          <w:t>i</w:t>
        </w:r>
        <w:r w:rsidR="004F1B2E">
          <w:rPr>
            <w:rFonts w:cs="Arial"/>
            <w:color w:val="000000"/>
            <w:szCs w:val="20"/>
          </w:rPr>
          <w:t>.</w:t>
        </w:r>
      </w:ins>
    </w:p>
    <w:p w14:paraId="03B63CBB" w14:textId="77777777" w:rsidR="004F1B2E" w:rsidRPr="003B0958" w:rsidRDefault="00543914" w:rsidP="004F1B2E">
      <w:pPr>
        <w:pStyle w:val="ListParagraph"/>
        <w:numPr>
          <w:ilvl w:val="0"/>
          <w:numId w:val="1"/>
        </w:numPr>
        <w:rPr>
          <w:ins w:id="400" w:author="Author"/>
        </w:rPr>
      </w:pPr>
      <m:oMath>
        <m:sSubSup>
          <m:sSubSupPr>
            <m:ctrlPr>
              <w:ins w:id="401" w:author="Author">
                <w:rPr>
                  <w:rFonts w:ascii="Cambria Math" w:hAnsi="Cambria Math"/>
                  <w:i/>
                </w:rPr>
              </w:ins>
            </m:ctrlPr>
          </m:sSubSupPr>
          <m:e>
            <m:r>
              <w:ins w:id="402" w:author="Author">
                <w:rPr>
                  <w:rFonts w:ascii="Cambria Math" w:hAnsi="Cambria Math"/>
                </w:rPr>
                <m:t>MCC</m:t>
              </w:ins>
            </m:r>
          </m:e>
          <m:sub>
            <m:r>
              <w:ins w:id="403" w:author="Author">
                <w:rPr>
                  <w:rFonts w:ascii="Cambria Math" w:hAnsi="Cambria Math"/>
                </w:rPr>
                <m:t>i</m:t>
              </w:ins>
            </m:r>
          </m:sub>
          <m:sup>
            <m:r>
              <w:ins w:id="404" w:author="Author">
                <w:rPr>
                  <w:rFonts w:ascii="Cambria Math" w:hAnsi="Cambria Math"/>
                </w:rPr>
                <m:t>(RUC)</m:t>
              </w:ins>
            </m:r>
          </m:sup>
        </m:sSubSup>
      </m:oMath>
      <w:ins w:id="405" w:author="Author">
        <w:r w:rsidR="004F1B2E">
          <w:rPr>
            <w:rFonts w:cs="Arial"/>
            <w:color w:val="000000"/>
            <w:szCs w:val="20"/>
          </w:rPr>
          <w:t xml:space="preserve"> is the </w:t>
        </w:r>
        <w:r w:rsidR="004F1B2E">
          <w:t xml:space="preserve">Locational RCU </w:t>
        </w:r>
        <w:r w:rsidR="004F1B2E" w:rsidRPr="003B0958">
          <w:t xml:space="preserve">Price </w:t>
        </w:r>
        <w:r w:rsidR="004F1B2E">
          <w:t xml:space="preserve">and Locational RCD </w:t>
        </w:r>
        <w:r w:rsidR="004F1B2E" w:rsidRPr="003B0958">
          <w:t>Price</w:t>
        </w:r>
        <w:r w:rsidR="004F1B2E">
          <w:rPr>
            <w:rFonts w:cs="Arial"/>
            <w:color w:val="000000"/>
            <w:szCs w:val="20"/>
          </w:rPr>
          <w:t xml:space="preserve"> component representing the Marginal Cost of Congestion for RCU and RCD at PNode </w:t>
        </w:r>
        <w:r w:rsidR="004F1B2E" w:rsidRPr="0066792C">
          <w:rPr>
            <w:rFonts w:ascii="Times" w:hAnsi="Times"/>
            <w:i/>
          </w:rPr>
          <w:t>i</w:t>
        </w:r>
        <w:r w:rsidR="004F1B2E">
          <w:rPr>
            <w:rFonts w:cs="Arial"/>
            <w:color w:val="000000"/>
            <w:szCs w:val="20"/>
          </w:rPr>
          <w:t>.</w:t>
        </w:r>
      </w:ins>
    </w:p>
    <w:p w14:paraId="01448603" w14:textId="77777777" w:rsidR="004F1B2E" w:rsidRPr="0066792C" w:rsidRDefault="00543914" w:rsidP="004F1B2E">
      <w:pPr>
        <w:pStyle w:val="ListParagraph"/>
        <w:numPr>
          <w:ilvl w:val="0"/>
          <w:numId w:val="1"/>
        </w:numPr>
        <w:rPr>
          <w:ins w:id="406" w:author="Author"/>
        </w:rPr>
      </w:pPr>
      <m:oMath>
        <m:sSubSup>
          <m:sSubSupPr>
            <m:ctrlPr>
              <w:ins w:id="407" w:author="Author">
                <w:rPr>
                  <w:rFonts w:ascii="Cambria Math" w:hAnsi="Cambria Math"/>
                  <w:i/>
                </w:rPr>
              </w:ins>
            </m:ctrlPr>
          </m:sSubSupPr>
          <m:e>
            <m:r>
              <w:ins w:id="408" w:author="Author">
                <w:rPr>
                  <w:rFonts w:ascii="Cambria Math" w:hAnsi="Cambria Math"/>
                </w:rPr>
                <m:t>MCL</m:t>
              </w:ins>
            </m:r>
          </m:e>
          <m:sub>
            <m:r>
              <w:ins w:id="409" w:author="Author">
                <w:rPr>
                  <w:rFonts w:ascii="Cambria Math" w:hAnsi="Cambria Math"/>
                </w:rPr>
                <m:t>i</m:t>
              </w:ins>
            </m:r>
          </m:sub>
          <m:sup>
            <m:r>
              <w:ins w:id="410" w:author="Author">
                <w:rPr>
                  <w:rFonts w:ascii="Cambria Math" w:hAnsi="Cambria Math"/>
                </w:rPr>
                <m:t>(RUC)</m:t>
              </w:ins>
            </m:r>
          </m:sup>
        </m:sSubSup>
      </m:oMath>
      <w:ins w:id="411" w:author="Author">
        <w:r w:rsidR="004F1B2E">
          <w:rPr>
            <w:rFonts w:cs="Arial"/>
            <w:color w:val="000000"/>
            <w:szCs w:val="20"/>
          </w:rPr>
          <w:t xml:space="preserve"> is the </w:t>
        </w:r>
        <w:r w:rsidR="004F1B2E">
          <w:t xml:space="preserve">Locational RCU </w:t>
        </w:r>
        <w:r w:rsidR="004F1B2E" w:rsidRPr="003B0958">
          <w:t xml:space="preserve">Price </w:t>
        </w:r>
        <w:r w:rsidR="004F1B2E">
          <w:t xml:space="preserve">and Locational RCD </w:t>
        </w:r>
        <w:r w:rsidR="004F1B2E" w:rsidRPr="003B0958">
          <w:t>Price</w:t>
        </w:r>
        <w:r w:rsidR="004F1B2E">
          <w:rPr>
            <w:rFonts w:cs="Arial"/>
            <w:color w:val="000000"/>
            <w:szCs w:val="20"/>
          </w:rPr>
          <w:t xml:space="preserve"> component representing the Marginal Cost of Losses for RCU and RCD at PNode </w:t>
        </w:r>
        <w:r w:rsidR="004F1B2E" w:rsidRPr="0066792C">
          <w:rPr>
            <w:rFonts w:ascii="Times" w:hAnsi="Times"/>
            <w:i/>
          </w:rPr>
          <w:t>i</w:t>
        </w:r>
        <w:r w:rsidR="004F1B2E">
          <w:rPr>
            <w:rFonts w:cs="Arial"/>
            <w:color w:val="000000"/>
            <w:szCs w:val="20"/>
          </w:rPr>
          <w:t>.</w:t>
        </w:r>
      </w:ins>
    </w:p>
    <w:p w14:paraId="3CD5DDC8" w14:textId="77777777" w:rsidR="004F1B2E" w:rsidRDefault="004F1B2E" w:rsidP="004F1B2E">
      <w:pPr>
        <w:pStyle w:val="Heading3"/>
        <w:ind w:firstLine="720"/>
        <w:rPr>
          <w:ins w:id="412" w:author="Author"/>
        </w:rPr>
      </w:pPr>
      <w:ins w:id="413" w:author="Author">
        <w:r>
          <w:t>C.2.</w:t>
        </w:r>
        <w:r>
          <w:tab/>
          <w:t xml:space="preserve">Marginal </w:t>
        </w:r>
        <w:r w:rsidRPr="00A0584E">
          <w:rPr>
            <w:rFonts w:cs="Arial"/>
            <w:color w:val="000000"/>
            <w:sz w:val="18"/>
            <w:szCs w:val="20"/>
          </w:rPr>
          <w:t>Reliability Capacity</w:t>
        </w:r>
        <w:r>
          <w:rPr>
            <w:rFonts w:cs="Arial"/>
            <w:color w:val="000000"/>
            <w:szCs w:val="20"/>
          </w:rPr>
          <w:t xml:space="preserve"> </w:t>
        </w:r>
        <w:r>
          <w:t>Cost Component</w:t>
        </w:r>
      </w:ins>
    </w:p>
    <w:p w14:paraId="73AA2070" w14:textId="77777777" w:rsidR="004F1B2E" w:rsidRPr="006A08CB" w:rsidRDefault="004F1B2E" w:rsidP="004F1B2E">
      <w:pPr>
        <w:rPr>
          <w:ins w:id="414" w:author="Author"/>
          <w:szCs w:val="20"/>
        </w:rPr>
      </w:pPr>
      <w:ins w:id="415" w:author="Author">
        <w:r w:rsidRPr="006A08CB">
          <w:rPr>
            <w:szCs w:val="20"/>
          </w:rPr>
          <w:t xml:space="preserve">The Marginal </w:t>
        </w:r>
        <w:r w:rsidRPr="006A08CB">
          <w:rPr>
            <w:rFonts w:cs="Arial"/>
            <w:color w:val="000000"/>
            <w:szCs w:val="20"/>
          </w:rPr>
          <w:t xml:space="preserve">Reliability Capacity </w:t>
        </w:r>
        <w:r w:rsidRPr="006A08CB">
          <w:rPr>
            <w:szCs w:val="20"/>
          </w:rPr>
          <w:t xml:space="preserve">Cost Component is the same for all PNodes in each Balancing Authority Area in the Market Area.  It is the Shadow Price of the power balance constraint for the respective Balancing Authority Area at the optimal solution in the RUC.  The power balance constraint for each Balancing Authority Area in the Market Area ensures that the physical law of conservation of Energy (the sum of physical resource energy schedules from the IFM plus the deployed Reliability Capacity awards equals the demand forecast plus the Net Reliability Capacity Transfer) is accounted for in the RUC solution.  The Marginal </w:t>
        </w:r>
        <w:r w:rsidRPr="006A08CB">
          <w:rPr>
            <w:rFonts w:cs="Arial"/>
            <w:color w:val="000000"/>
            <w:szCs w:val="20"/>
          </w:rPr>
          <w:t xml:space="preserve">Reliability Capacity </w:t>
        </w:r>
        <w:r w:rsidRPr="006A08CB">
          <w:rPr>
            <w:szCs w:val="20"/>
          </w:rPr>
          <w:t xml:space="preserve">Cost for the Transfer System Resources (TSRs) on each side of an EDAM Transfer is the Marginal </w:t>
        </w:r>
        <w:r w:rsidRPr="006A08CB">
          <w:rPr>
            <w:rFonts w:cs="Arial"/>
            <w:color w:val="000000"/>
            <w:szCs w:val="20"/>
          </w:rPr>
          <w:t xml:space="preserve">Reliability Capacity </w:t>
        </w:r>
        <w:r w:rsidRPr="006A08CB">
          <w:rPr>
            <w:szCs w:val="20"/>
          </w:rPr>
          <w:t xml:space="preserve">Cost of the respective Balancing Authority Area.  The Marginal </w:t>
        </w:r>
        <w:r w:rsidRPr="006A08CB">
          <w:rPr>
            <w:rFonts w:cs="Arial"/>
            <w:color w:val="000000"/>
            <w:szCs w:val="20"/>
          </w:rPr>
          <w:t xml:space="preserve">Reliability Capacity </w:t>
        </w:r>
        <w:r w:rsidRPr="006A08CB">
          <w:rPr>
            <w:szCs w:val="20"/>
          </w:rPr>
          <w:t xml:space="preserve">Cost may be different between two Balancing Authority Areas in the Market Area when EDAM Transfers between these Balancing Authority Areas are scheduled at their respective scheduling limits.  The Marginal </w:t>
        </w:r>
        <w:r w:rsidRPr="006A08CB">
          <w:rPr>
            <w:rFonts w:cs="Arial"/>
            <w:color w:val="000000"/>
            <w:szCs w:val="20"/>
          </w:rPr>
          <w:t xml:space="preserve">Reliability Capacity </w:t>
        </w:r>
        <w:r w:rsidRPr="006A08CB">
          <w:rPr>
            <w:szCs w:val="20"/>
          </w:rPr>
          <w:t xml:space="preserve">Cost difference between the Balancing Authority Areas on either side of a specific EDAM Transfer generates EDAM Transfer revenue. </w:t>
        </w:r>
      </w:ins>
    </w:p>
    <w:p w14:paraId="60AB6BBC" w14:textId="77777777" w:rsidR="004F1B2E" w:rsidRDefault="004F1B2E" w:rsidP="004F1B2E">
      <w:pPr>
        <w:pStyle w:val="Heading3"/>
        <w:ind w:firstLine="720"/>
        <w:rPr>
          <w:ins w:id="416" w:author="Author"/>
        </w:rPr>
      </w:pPr>
      <w:ins w:id="417" w:author="Author">
        <w:r>
          <w:t>C.3.</w:t>
        </w:r>
        <w:r>
          <w:tab/>
          <w:t>Marginal Congestion Component for RCU and RCD</w:t>
        </w:r>
      </w:ins>
    </w:p>
    <w:p w14:paraId="2B50FFA9" w14:textId="77777777" w:rsidR="004F1B2E" w:rsidRDefault="004F1B2E" w:rsidP="004F1B2E">
      <w:pPr>
        <w:rPr>
          <w:ins w:id="418" w:author="Author"/>
        </w:rPr>
      </w:pPr>
      <w:ins w:id="419" w:author="Author">
        <w:r w:rsidRPr="003B0958">
          <w:t>The CAISO calculates the Marginal Cost of Congestion</w:t>
        </w:r>
        <w:r>
          <w:t xml:space="preserve"> for RCU and RCD</w:t>
        </w:r>
        <w:r w:rsidRPr="003B0958">
          <w:t xml:space="preserve"> at each </w:t>
        </w:r>
        <w:r>
          <w:t>PNode</w:t>
        </w:r>
        <w:r w:rsidRPr="003B0958">
          <w:t xml:space="preserve"> as </w:t>
        </w:r>
        <w:r>
          <w:t xml:space="preserve">the net contribution of the Shadow Prices of the binding Transmission Constraints at the optimal solution for RUC, weighed by the respective </w:t>
        </w:r>
        <w:r>
          <w:rPr>
            <w:rFonts w:cs="Arial"/>
            <w:color w:val="000000"/>
            <w:szCs w:val="20"/>
          </w:rPr>
          <w:t>Power Transfer Distribution Factors, as follows</w:t>
        </w:r>
        <w:r w:rsidRPr="003B0958">
          <w:t>:</w:t>
        </w:r>
      </w:ins>
    </w:p>
    <w:p w14:paraId="5D6CD39B" w14:textId="77777777" w:rsidR="004F1B2E" w:rsidRDefault="00543914" w:rsidP="004F1B2E">
      <w:pPr>
        <w:jc w:val="center"/>
        <w:rPr>
          <w:ins w:id="420" w:author="Author"/>
        </w:rPr>
      </w:pPr>
      <m:oMathPara>
        <m:oMath>
          <m:sSubSup>
            <m:sSubSupPr>
              <m:ctrlPr>
                <w:ins w:id="421" w:author="Author">
                  <w:rPr>
                    <w:rFonts w:ascii="Cambria Math" w:hAnsi="Cambria Math"/>
                    <w:i/>
                  </w:rPr>
                </w:ins>
              </m:ctrlPr>
            </m:sSubSupPr>
            <m:e>
              <m:r>
                <w:ins w:id="422" w:author="Author">
                  <w:rPr>
                    <w:rFonts w:ascii="Cambria Math" w:hAnsi="Cambria Math"/>
                  </w:rPr>
                  <m:t>MCC</m:t>
                </w:ins>
              </m:r>
            </m:e>
            <m:sub>
              <m:r>
                <w:ins w:id="423" w:author="Author">
                  <w:rPr>
                    <w:rFonts w:ascii="Cambria Math" w:hAnsi="Cambria Math"/>
                  </w:rPr>
                  <m:t>i</m:t>
                </w:ins>
              </m:r>
            </m:sub>
            <m:sup>
              <m:r>
                <w:ins w:id="424" w:author="Author">
                  <w:rPr>
                    <w:rFonts w:ascii="Cambria Math" w:hAnsi="Cambria Math"/>
                  </w:rPr>
                  <m:t>(RUC)</m:t>
                </w:ins>
              </m:r>
            </m:sup>
          </m:sSubSup>
          <m:r>
            <w:ins w:id="425" w:author="Author">
              <w:rPr>
                <w:rFonts w:ascii="Cambria Math" w:hAnsi="Cambria Math" w:cs="Arial"/>
              </w:rPr>
              <m:t>=-</m:t>
            </w:ins>
          </m:r>
          <m:nary>
            <m:naryPr>
              <m:chr m:val="∑"/>
              <m:limLoc m:val="undOvr"/>
              <m:ctrlPr>
                <w:ins w:id="426" w:author="Author">
                  <w:rPr>
                    <w:rFonts w:ascii="Cambria Math" w:hAnsi="Cambria Math" w:cs="Arial"/>
                    <w:i/>
                  </w:rPr>
                </w:ins>
              </m:ctrlPr>
            </m:naryPr>
            <m:sub>
              <m:r>
                <w:ins w:id="427" w:author="Author">
                  <w:rPr>
                    <w:rFonts w:ascii="Cambria Math" w:hAnsi="Cambria Math" w:cs="Arial"/>
                  </w:rPr>
                  <m:t>k=0</m:t>
                </w:ins>
              </m:r>
            </m:sub>
            <m:sup>
              <m:r>
                <w:ins w:id="428" w:author="Author">
                  <w:rPr>
                    <w:rFonts w:ascii="Cambria Math" w:hAnsi="Cambria Math" w:cs="Arial"/>
                  </w:rPr>
                  <m:t>K</m:t>
                </w:ins>
              </m:r>
            </m:sup>
            <m:e>
              <m:nary>
                <m:naryPr>
                  <m:chr m:val="∑"/>
                  <m:limLoc m:val="undOvr"/>
                  <m:ctrlPr>
                    <w:ins w:id="429" w:author="Author">
                      <w:rPr>
                        <w:rFonts w:ascii="Cambria Math" w:hAnsi="Cambria Math" w:cs="Arial"/>
                        <w:i/>
                      </w:rPr>
                    </w:ins>
                  </m:ctrlPr>
                </m:naryPr>
                <m:sub>
                  <m:r>
                    <w:ins w:id="430" w:author="Author">
                      <w:rPr>
                        <w:rFonts w:ascii="Cambria Math" w:hAnsi="Cambria Math" w:cs="Arial"/>
                      </w:rPr>
                      <m:t>m=1</m:t>
                    </w:ins>
                  </m:r>
                </m:sub>
                <m:sup>
                  <m:r>
                    <w:ins w:id="431" w:author="Author">
                      <w:rPr>
                        <w:rFonts w:ascii="Cambria Math" w:hAnsi="Cambria Math" w:cs="Arial"/>
                      </w:rPr>
                      <m:t>M</m:t>
                    </w:ins>
                  </m:r>
                </m:sup>
                <m:e>
                  <m:nary>
                    <m:naryPr>
                      <m:chr m:val="∑"/>
                      <m:limLoc m:val="undOvr"/>
                      <m:ctrlPr>
                        <w:ins w:id="432" w:author="Author">
                          <w:rPr>
                            <w:rFonts w:ascii="Cambria Math" w:hAnsi="Cambria Math" w:cs="Arial"/>
                            <w:i/>
                          </w:rPr>
                        </w:ins>
                      </m:ctrlPr>
                    </m:naryPr>
                    <m:sub>
                      <m:r>
                        <w:ins w:id="433" w:author="Author">
                          <w:rPr>
                            <w:rFonts w:ascii="Cambria Math" w:hAnsi="Cambria Math" w:cs="Arial"/>
                          </w:rPr>
                          <m:t>j=1</m:t>
                        </w:ins>
                      </m:r>
                    </m:sub>
                    <m:sup>
                      <m:sSub>
                        <m:sSubPr>
                          <m:ctrlPr>
                            <w:ins w:id="434" w:author="Author">
                              <w:rPr>
                                <w:rFonts w:ascii="Cambria Math" w:hAnsi="Cambria Math" w:cs="Arial"/>
                                <w:i/>
                              </w:rPr>
                            </w:ins>
                          </m:ctrlPr>
                        </m:sSubPr>
                        <m:e>
                          <m:r>
                            <w:ins w:id="435" w:author="Author">
                              <w:rPr>
                                <w:rFonts w:ascii="Cambria Math" w:hAnsi="Cambria Math" w:cs="Arial"/>
                              </w:rPr>
                              <m:t>J</m:t>
                            </w:ins>
                          </m:r>
                        </m:e>
                        <m:sub>
                          <m:r>
                            <w:ins w:id="436" w:author="Author">
                              <w:rPr>
                                <w:rFonts w:ascii="Cambria Math" w:hAnsi="Cambria Math" w:cs="Arial"/>
                              </w:rPr>
                              <m:t>m</m:t>
                            </w:ins>
                          </m:r>
                        </m:sub>
                      </m:sSub>
                    </m:sup>
                    <m:e>
                      <m:sSub>
                        <m:sSubPr>
                          <m:ctrlPr>
                            <w:ins w:id="437" w:author="Author">
                              <w:rPr>
                                <w:rFonts w:ascii="Cambria Math" w:hAnsi="Cambria Math" w:cs="Arial"/>
                                <w:i/>
                              </w:rPr>
                            </w:ins>
                          </m:ctrlPr>
                        </m:sSubPr>
                        <m:e>
                          <m:r>
                            <w:ins w:id="438" w:author="Author">
                              <w:rPr>
                                <w:rFonts w:ascii="Cambria Math" w:hAnsi="Cambria Math" w:cs="Arial"/>
                              </w:rPr>
                              <m:t>c</m:t>
                            </w:ins>
                          </m:r>
                        </m:e>
                        <m:sub>
                          <m:r>
                            <w:ins w:id="439" w:author="Author">
                              <w:rPr>
                                <w:rFonts w:ascii="Cambria Math" w:hAnsi="Cambria Math" w:cs="Arial"/>
                              </w:rPr>
                              <m:t>j,m</m:t>
                            </w:ins>
                          </m:r>
                        </m:sub>
                      </m:sSub>
                      <m:r>
                        <w:ins w:id="440" w:author="Author">
                          <w:rPr>
                            <w:rFonts w:ascii="Cambria Math" w:hAnsi="Cambria Math" w:cs="Arial"/>
                          </w:rPr>
                          <m:t xml:space="preserve"> </m:t>
                        </w:ins>
                      </m:r>
                      <m:sSub>
                        <m:sSubPr>
                          <m:ctrlPr>
                            <w:ins w:id="441" w:author="Author">
                              <w:rPr>
                                <w:rFonts w:ascii="Cambria Math" w:hAnsi="Cambria Math" w:cs="Arial"/>
                                <w:i/>
                              </w:rPr>
                            </w:ins>
                          </m:ctrlPr>
                        </m:sSubPr>
                        <m:e>
                          <m:r>
                            <w:ins w:id="442" w:author="Author">
                              <w:rPr>
                                <w:rFonts w:ascii="Cambria Math" w:hAnsi="Cambria Math" w:cs="Arial"/>
                              </w:rPr>
                              <m:t>PTDF</m:t>
                            </w:ins>
                          </m:r>
                        </m:e>
                        <m:sub>
                          <m:r>
                            <w:ins w:id="443" w:author="Author">
                              <w:rPr>
                                <w:rFonts w:ascii="Cambria Math" w:hAnsi="Cambria Math" w:cs="Arial"/>
                              </w:rPr>
                              <m:t>i,j,m,k</m:t>
                            </w:ins>
                          </m:r>
                        </m:sub>
                      </m:sSub>
                      <m:r>
                        <w:ins w:id="444" w:author="Author">
                          <w:rPr>
                            <w:rFonts w:ascii="Cambria Math" w:hAnsi="Cambria Math" w:cs="Arial"/>
                          </w:rPr>
                          <m:t xml:space="preserve"> </m:t>
                        </w:ins>
                      </m:r>
                      <m:sSubSup>
                        <m:sSubSupPr>
                          <m:ctrlPr>
                            <w:ins w:id="445" w:author="Author">
                              <w:rPr>
                                <w:rFonts w:ascii="Cambria Math" w:hAnsi="Cambria Math"/>
                                <w:i/>
                              </w:rPr>
                            </w:ins>
                          </m:ctrlPr>
                        </m:sSubSupPr>
                        <m:e>
                          <m:r>
                            <w:ins w:id="446" w:author="Author">
                              <w:rPr>
                                <w:rFonts w:ascii="Cambria Math" w:hAnsi="Cambria Math"/>
                              </w:rPr>
                              <m:t>μ</m:t>
                            </w:ins>
                          </m:r>
                        </m:e>
                        <m:sub>
                          <m:r>
                            <w:ins w:id="447" w:author="Author">
                              <w:rPr>
                                <w:rFonts w:ascii="Cambria Math" w:hAnsi="Cambria Math"/>
                              </w:rPr>
                              <m:t>m,k</m:t>
                            </w:ins>
                          </m:r>
                        </m:sub>
                        <m:sup>
                          <m:r>
                            <w:ins w:id="448" w:author="Author">
                              <w:rPr>
                                <w:rFonts w:ascii="Cambria Math" w:hAnsi="Cambria Math"/>
                              </w:rPr>
                              <m:t>(RUC)</m:t>
                            </w:ins>
                          </m:r>
                        </m:sup>
                      </m:sSubSup>
                    </m:e>
                  </m:nary>
                </m:e>
              </m:nary>
            </m:e>
          </m:nary>
        </m:oMath>
      </m:oMathPara>
    </w:p>
    <w:p w14:paraId="32FEB9A6" w14:textId="77777777" w:rsidR="004F1B2E" w:rsidRDefault="004F1B2E" w:rsidP="004F1B2E">
      <w:pPr>
        <w:rPr>
          <w:ins w:id="449" w:author="Author"/>
        </w:rPr>
      </w:pPr>
      <w:ins w:id="450" w:author="Author">
        <w:r>
          <w:t>where:</w:t>
        </w:r>
      </w:ins>
    </w:p>
    <w:p w14:paraId="7124F50F" w14:textId="77777777" w:rsidR="004F1B2E" w:rsidRDefault="004F1B2E" w:rsidP="004F1B2E">
      <w:pPr>
        <w:tabs>
          <w:tab w:val="left" w:pos="720"/>
        </w:tabs>
        <w:autoSpaceDE w:val="0"/>
        <w:autoSpaceDN w:val="0"/>
        <w:adjustRightInd w:val="0"/>
        <w:ind w:left="1440" w:hanging="720"/>
        <w:rPr>
          <w:ins w:id="451" w:author="Author"/>
          <w:rFonts w:cs="Arial"/>
          <w:color w:val="000000"/>
          <w:szCs w:val="20"/>
        </w:rPr>
      </w:pPr>
      <w:ins w:id="452" w:author="Autho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i</w:t>
        </w:r>
        <w:r>
          <w:rPr>
            <w:rFonts w:cs="Arial"/>
            <w:color w:val="000000"/>
            <w:szCs w:val="20"/>
          </w:rPr>
          <w:t xml:space="preserve"> is the Pnode index.</w:t>
        </w:r>
      </w:ins>
    </w:p>
    <w:p w14:paraId="31DA45E6" w14:textId="77777777" w:rsidR="004F1B2E" w:rsidRDefault="004F1B2E" w:rsidP="004F1B2E">
      <w:pPr>
        <w:tabs>
          <w:tab w:val="left" w:pos="720"/>
        </w:tabs>
        <w:autoSpaceDE w:val="0"/>
        <w:autoSpaceDN w:val="0"/>
        <w:adjustRightInd w:val="0"/>
        <w:ind w:left="1440" w:hanging="720"/>
        <w:rPr>
          <w:ins w:id="453" w:author="Author"/>
          <w:rFonts w:cs="Arial"/>
          <w:color w:val="000000"/>
          <w:szCs w:val="20"/>
        </w:rPr>
      </w:pPr>
      <w:ins w:id="454" w:author="Author">
        <w:r>
          <w:rPr>
            <w:rFonts w:ascii="Symbol" w:hAnsi="Symbol" w:cs="Symbol"/>
            <w:color w:val="000000"/>
            <w:szCs w:val="20"/>
          </w:rPr>
          <w:sym w:font="Symbol" w:char="F0B7"/>
        </w:r>
        <w:r>
          <w:rPr>
            <w:rFonts w:ascii="Symbol" w:hAnsi="Symbol" w:cs="Symbol"/>
            <w:color w:val="000000"/>
            <w:szCs w:val="20"/>
          </w:rPr>
          <w:tab/>
        </w:r>
        <w:r>
          <w:rPr>
            <w:rFonts w:ascii="Times New Roman" w:hAnsi="Times New Roman" w:cs="Times New Roman"/>
            <w:i/>
            <w:color w:val="000000"/>
            <w:szCs w:val="20"/>
          </w:rPr>
          <w:t>m</w:t>
        </w:r>
        <w:r>
          <w:rPr>
            <w:rFonts w:cs="Arial"/>
            <w:color w:val="000000"/>
            <w:szCs w:val="20"/>
          </w:rPr>
          <w:t xml:space="preserve"> is the Transmission Constraint index in the Market Area; transmission constraints outside the Market Area are not enforced.</w:t>
        </w:r>
      </w:ins>
    </w:p>
    <w:p w14:paraId="1DB84F5D" w14:textId="77777777" w:rsidR="004F1B2E" w:rsidRDefault="004F1B2E" w:rsidP="004F1B2E">
      <w:pPr>
        <w:tabs>
          <w:tab w:val="left" w:pos="720"/>
        </w:tabs>
        <w:autoSpaceDE w:val="0"/>
        <w:autoSpaceDN w:val="0"/>
        <w:adjustRightInd w:val="0"/>
        <w:ind w:left="1440" w:hanging="720"/>
        <w:rPr>
          <w:ins w:id="455" w:author="Author"/>
          <w:rFonts w:cs="Arial"/>
          <w:color w:val="000000"/>
          <w:szCs w:val="20"/>
        </w:rPr>
      </w:pPr>
      <w:ins w:id="456" w:author="Author">
        <w:r>
          <w:rPr>
            <w:rFonts w:ascii="Symbol" w:hAnsi="Symbol" w:cs="Symbol"/>
            <w:color w:val="000000"/>
            <w:szCs w:val="20"/>
          </w:rPr>
          <w:lastRenderedPageBreak/>
          <w:sym w:font="Symbol" w:char="F0B7"/>
        </w:r>
        <w:r>
          <w:rPr>
            <w:rFonts w:ascii="Symbol" w:hAnsi="Symbol" w:cs="Symbol"/>
            <w:color w:val="000000"/>
            <w:szCs w:val="20"/>
          </w:rPr>
          <w:tab/>
        </w:r>
        <w:r w:rsidRPr="0066792C">
          <w:rPr>
            <w:rFonts w:ascii="Times" w:hAnsi="Times" w:cs="Times New Roman"/>
            <w:i/>
            <w:color w:val="000000"/>
            <w:szCs w:val="20"/>
          </w:rPr>
          <w:t>k</w:t>
        </w:r>
        <w:r>
          <w:rPr>
            <w:rFonts w:cs="Arial"/>
            <w:color w:val="000000"/>
            <w:szCs w:val="20"/>
          </w:rPr>
          <w:t xml:space="preserve"> is the constraint case index; zero (0) indicates the base case where all transmission and generation facilities are in service, whereas a positive case indicates a </w:t>
        </w:r>
        <w:r w:rsidRPr="00941AB8">
          <w:rPr>
            <w:rFonts w:cs="Arial"/>
            <w:color w:val="000000"/>
            <w:szCs w:val="20"/>
          </w:rPr>
          <w:t xml:space="preserve">preventive </w:t>
        </w:r>
        <w:r>
          <w:rPr>
            <w:rFonts w:cs="Arial"/>
            <w:color w:val="000000"/>
            <w:szCs w:val="20"/>
          </w:rPr>
          <w:t>transmission or generation contingency case, as applicable.</w:t>
        </w:r>
      </w:ins>
    </w:p>
    <w:p w14:paraId="42C96F36" w14:textId="77777777" w:rsidR="004F1B2E" w:rsidRDefault="004F1B2E" w:rsidP="004F1B2E">
      <w:pPr>
        <w:tabs>
          <w:tab w:val="left" w:pos="720"/>
        </w:tabs>
        <w:autoSpaceDE w:val="0"/>
        <w:autoSpaceDN w:val="0"/>
        <w:adjustRightInd w:val="0"/>
        <w:ind w:left="1440" w:hanging="720"/>
        <w:rPr>
          <w:ins w:id="457" w:author="Author"/>
          <w:rFonts w:cs="Arial"/>
          <w:szCs w:val="20"/>
        </w:rPr>
      </w:pPr>
      <w:ins w:id="458" w:author="Autho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j</w:t>
        </w:r>
        <w:r>
          <w:rPr>
            <w:rFonts w:cs="Arial"/>
            <w:color w:val="000000"/>
            <w:szCs w:val="20"/>
          </w:rPr>
          <w:t xml:space="preserve"> </w:t>
        </w:r>
        <w:r>
          <w:rPr>
            <w:rFonts w:cs="Arial"/>
            <w:szCs w:val="20"/>
          </w:rPr>
          <w:t xml:space="preserve">is the transmission component index of Transmission Constraint </w:t>
        </w:r>
        <w:r w:rsidRPr="0066792C">
          <w:rPr>
            <w:rFonts w:ascii="Times" w:hAnsi="Times" w:cs="Times New Roman"/>
            <w:i/>
            <w:color w:val="000000"/>
            <w:szCs w:val="20"/>
          </w:rPr>
          <w:t>m</w:t>
        </w:r>
        <w:r>
          <w:rPr>
            <w:rFonts w:cs="Arial"/>
            <w:szCs w:val="20"/>
          </w:rPr>
          <w:t xml:space="preserve">.  When Transmission Constraint </w:t>
        </w:r>
        <w:r>
          <w:rPr>
            <w:rFonts w:ascii="Times New Roman" w:hAnsi="Times New Roman" w:cs="Times New Roman"/>
            <w:i/>
            <w:szCs w:val="20"/>
          </w:rPr>
          <w:t>m</w:t>
        </w:r>
        <w:r>
          <w:rPr>
            <w:rFonts w:cs="Arial"/>
            <w:szCs w:val="20"/>
          </w:rPr>
          <w:t xml:space="preserve"> is a Nomogram, there can be more than one transmission </w:t>
        </w:r>
        <w:r w:rsidRPr="001A67E2">
          <w:rPr>
            <w:rFonts w:cs="Arial"/>
            <w:szCs w:val="20"/>
          </w:rPr>
          <w:t>components i</w:t>
        </w:r>
        <w:r>
          <w:rPr>
            <w:rFonts w:cs="Arial"/>
            <w:szCs w:val="20"/>
          </w:rPr>
          <w:t>n it; otherwise, there is only one transmission component.</w:t>
        </w:r>
      </w:ins>
    </w:p>
    <w:p w14:paraId="44BC4EF2" w14:textId="77777777" w:rsidR="004F1B2E" w:rsidRDefault="004F1B2E" w:rsidP="004F1B2E">
      <w:pPr>
        <w:tabs>
          <w:tab w:val="left" w:pos="720"/>
        </w:tabs>
        <w:autoSpaceDE w:val="0"/>
        <w:autoSpaceDN w:val="0"/>
        <w:adjustRightInd w:val="0"/>
        <w:ind w:left="1440" w:hanging="720"/>
        <w:rPr>
          <w:ins w:id="459" w:author="Author"/>
          <w:rFonts w:cs="Arial"/>
          <w:color w:val="000000"/>
          <w:szCs w:val="20"/>
        </w:rPr>
      </w:pPr>
      <w:ins w:id="460" w:author="Autho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K</w:t>
        </w:r>
        <w:r>
          <w:rPr>
            <w:rFonts w:cs="Arial"/>
            <w:color w:val="000000"/>
            <w:szCs w:val="20"/>
          </w:rPr>
          <w:t xml:space="preserve"> is the number of constraint cases, besides </w:t>
        </w:r>
        <w:r w:rsidRPr="001A67E2">
          <w:rPr>
            <w:rFonts w:cs="Arial"/>
            <w:color w:val="000000"/>
            <w:szCs w:val="20"/>
          </w:rPr>
          <w:t>the base case.</w:t>
        </w:r>
        <w:r>
          <w:rPr>
            <w:rFonts w:cs="Arial"/>
            <w:color w:val="000000"/>
            <w:szCs w:val="20"/>
          </w:rPr>
          <w:t xml:space="preserve"> </w:t>
        </w:r>
      </w:ins>
    </w:p>
    <w:p w14:paraId="072D7C13" w14:textId="77777777" w:rsidR="004F1B2E" w:rsidRDefault="004F1B2E" w:rsidP="004F1B2E">
      <w:pPr>
        <w:tabs>
          <w:tab w:val="left" w:pos="720"/>
        </w:tabs>
        <w:autoSpaceDE w:val="0"/>
        <w:autoSpaceDN w:val="0"/>
        <w:adjustRightInd w:val="0"/>
        <w:ind w:left="1440" w:hanging="720"/>
        <w:rPr>
          <w:ins w:id="461" w:author="Author"/>
          <w:rFonts w:cs="Arial"/>
          <w:color w:val="000000"/>
          <w:szCs w:val="20"/>
        </w:rPr>
      </w:pPr>
      <w:ins w:id="462" w:author="Author">
        <w:r>
          <w:rPr>
            <w:rFonts w:ascii="Symbol" w:hAnsi="Symbol" w:cs="Symbol"/>
            <w:color w:val="000000"/>
            <w:szCs w:val="20"/>
          </w:rPr>
          <w:sym w:font="Symbol" w:char="F0B7"/>
        </w:r>
        <w:r>
          <w:rPr>
            <w:rFonts w:ascii="Symbol" w:hAnsi="Symbol" w:cs="Symbol"/>
            <w:color w:val="000000"/>
            <w:szCs w:val="20"/>
          </w:rPr>
          <w:tab/>
        </w:r>
        <w:r>
          <w:rPr>
            <w:rFonts w:ascii="Times" w:hAnsi="Times" w:cs="Times New Roman"/>
            <w:i/>
            <w:color w:val="000000"/>
            <w:szCs w:val="20"/>
          </w:rPr>
          <w:t>M</w:t>
        </w:r>
        <w:r>
          <w:rPr>
            <w:rFonts w:cs="Arial"/>
            <w:color w:val="000000"/>
            <w:szCs w:val="20"/>
          </w:rPr>
          <w:t xml:space="preserve"> is the number of Transmission Constraints. </w:t>
        </w:r>
      </w:ins>
    </w:p>
    <w:p w14:paraId="76FD966D" w14:textId="77777777" w:rsidR="004F1B2E" w:rsidRPr="00074059" w:rsidRDefault="004F1B2E" w:rsidP="004F1B2E">
      <w:pPr>
        <w:tabs>
          <w:tab w:val="left" w:pos="720"/>
        </w:tabs>
        <w:autoSpaceDE w:val="0"/>
        <w:autoSpaceDN w:val="0"/>
        <w:adjustRightInd w:val="0"/>
        <w:ind w:left="1440" w:hanging="720"/>
        <w:rPr>
          <w:ins w:id="463" w:author="Author"/>
          <w:rFonts w:cs="Arial"/>
          <w:szCs w:val="20"/>
        </w:rPr>
      </w:pPr>
      <w:ins w:id="464" w:author="Author">
        <w:r>
          <w:rPr>
            <w:rFonts w:ascii="Symbol" w:hAnsi="Symbol" w:cs="Symbol"/>
            <w:color w:val="000000"/>
            <w:szCs w:val="20"/>
          </w:rPr>
          <w:sym w:font="Symbol" w:char="F0B7"/>
        </w:r>
        <w:r>
          <w:rPr>
            <w:rFonts w:ascii="Symbol" w:hAnsi="Symbol" w:cs="Symbol"/>
            <w:color w:val="000000"/>
            <w:szCs w:val="20"/>
          </w:rPr>
          <w:tab/>
        </w:r>
        <m:oMath>
          <m:sSub>
            <m:sSubPr>
              <m:ctrlPr>
                <w:rPr>
                  <w:rFonts w:ascii="Cambria Math" w:hAnsi="Cambria Math" w:cs="Arial"/>
                  <w:i/>
                </w:rPr>
              </m:ctrlPr>
            </m:sSubPr>
            <m:e>
              <m:r>
                <w:rPr>
                  <w:rFonts w:ascii="Cambria Math" w:hAnsi="Cambria Math" w:cs="Arial"/>
                </w:rPr>
                <m:t>J</m:t>
              </m:r>
            </m:e>
            <m:sub>
              <m:r>
                <w:rPr>
                  <w:rFonts w:ascii="Cambria Math" w:hAnsi="Cambria Math" w:cs="Arial"/>
                </w:rPr>
                <m:t>m</m:t>
              </m:r>
            </m:sub>
          </m:sSub>
        </m:oMath>
        <w:r>
          <w:rPr>
            <w:rFonts w:ascii="Times New Roman" w:hAnsi="Times New Roman" w:cs="Times New Roman"/>
            <w:i/>
            <w:color w:val="000000"/>
            <w:szCs w:val="20"/>
          </w:rPr>
          <w:t xml:space="preserve"> </w:t>
        </w:r>
        <w:r>
          <w:rPr>
            <w:rFonts w:cs="Arial"/>
            <w:color w:val="000000"/>
            <w:szCs w:val="20"/>
          </w:rPr>
          <w:t xml:space="preserve">is the number of transmission components of Transmission Constraint </w:t>
        </w:r>
        <w:r w:rsidRPr="0066792C">
          <w:rPr>
            <w:rFonts w:ascii="Times" w:hAnsi="Times" w:cs="Times New Roman"/>
            <w:i/>
            <w:color w:val="000000"/>
            <w:szCs w:val="20"/>
          </w:rPr>
          <w:t>m</w:t>
        </w:r>
        <w:r>
          <w:rPr>
            <w:rFonts w:cs="Arial"/>
            <w:color w:val="000000"/>
            <w:szCs w:val="20"/>
          </w:rPr>
          <w:t xml:space="preserve">. </w:t>
        </w:r>
      </w:ins>
    </w:p>
    <w:p w14:paraId="7980D645" w14:textId="77777777" w:rsidR="004F1B2E" w:rsidRDefault="004F1B2E" w:rsidP="004F1B2E">
      <w:pPr>
        <w:tabs>
          <w:tab w:val="left" w:pos="720"/>
        </w:tabs>
        <w:autoSpaceDE w:val="0"/>
        <w:autoSpaceDN w:val="0"/>
        <w:adjustRightInd w:val="0"/>
        <w:ind w:left="1440" w:hanging="720"/>
        <w:rPr>
          <w:ins w:id="465" w:author="Author"/>
          <w:rFonts w:cs="Arial"/>
          <w:szCs w:val="20"/>
        </w:rPr>
      </w:pPr>
      <w:ins w:id="466" w:author="Author">
        <w:r>
          <w:rPr>
            <w:rFonts w:ascii="Symbol" w:hAnsi="Symbol" w:cs="Symbol"/>
            <w:color w:val="000000"/>
            <w:szCs w:val="20"/>
          </w:rPr>
          <w:sym w:font="Symbol" w:char="F0B7"/>
        </w:r>
        <w:r>
          <w:rPr>
            <w:rFonts w:ascii="Symbol" w:hAnsi="Symbol" w:cs="Symbol"/>
            <w:color w:val="000000"/>
            <w:szCs w:val="20"/>
          </w:rPr>
          <w:tab/>
        </w:r>
        <m:oMath>
          <m:sSub>
            <m:sSubPr>
              <m:ctrlPr>
                <w:rPr>
                  <w:rFonts w:ascii="Cambria Math" w:hAnsi="Cambria Math" w:cs="Arial"/>
                  <w:i/>
                </w:rPr>
              </m:ctrlPr>
            </m:sSubPr>
            <m:e>
              <m:r>
                <w:rPr>
                  <w:rFonts w:ascii="Cambria Math" w:hAnsi="Cambria Math" w:cs="Arial"/>
                </w:rPr>
                <m:t>PTDF</m:t>
              </m:r>
            </m:e>
            <m:sub>
              <m:r>
                <w:rPr>
                  <w:rFonts w:ascii="Cambria Math" w:hAnsi="Cambria Math" w:cs="Arial"/>
                </w:rPr>
                <m:t>i,j,m,k</m:t>
              </m:r>
            </m:sub>
          </m:sSub>
        </m:oMath>
        <w:r>
          <w:rPr>
            <w:rFonts w:cs="Arial"/>
            <w:color w:val="000000"/>
            <w:szCs w:val="20"/>
          </w:rPr>
          <w:t xml:space="preserve"> is the Power Transfer Distribution Factor (PTDF) for PNode </w:t>
        </w:r>
        <w:r w:rsidRPr="002C7CB9">
          <w:rPr>
            <w:rFonts w:ascii="Times New Roman" w:hAnsi="Times New Roman" w:cs="Times New Roman"/>
            <w:i/>
            <w:iCs/>
            <w:color w:val="000000"/>
            <w:szCs w:val="20"/>
          </w:rPr>
          <w:t>i</w:t>
        </w:r>
        <w:r>
          <w:rPr>
            <w:rFonts w:cs="Arial"/>
            <w:color w:val="000000"/>
            <w:szCs w:val="20"/>
          </w:rPr>
          <w:t xml:space="preserve"> on transmission component </w:t>
        </w:r>
        <w:r w:rsidRPr="0066792C">
          <w:rPr>
            <w:rFonts w:ascii="Times" w:hAnsi="Times" w:cs="Times New Roman"/>
            <w:i/>
            <w:color w:val="000000"/>
            <w:szCs w:val="20"/>
          </w:rPr>
          <w:t>j</w:t>
        </w:r>
        <w:r w:rsidRPr="002C7CB9">
          <w:rPr>
            <w:rFonts w:ascii="Times New Roman" w:hAnsi="Times New Roman" w:cs="Times New Roman"/>
            <w:i/>
            <w:color w:val="000000"/>
            <w:szCs w:val="20"/>
          </w:rPr>
          <w:t xml:space="preserve"> </w:t>
        </w:r>
        <w:r>
          <w:rPr>
            <w:rFonts w:cs="Arial"/>
            <w:color w:val="000000"/>
            <w:szCs w:val="20"/>
          </w:rPr>
          <w:t xml:space="preserve">of Transmission Constraint </w:t>
        </w:r>
        <w:r w:rsidRPr="0066792C">
          <w:rPr>
            <w:rFonts w:ascii="Times" w:hAnsi="Times" w:cs="Times New Roman"/>
            <w:i/>
            <w:color w:val="000000"/>
            <w:szCs w:val="20"/>
          </w:rPr>
          <w:t>m</w:t>
        </w:r>
        <w:r>
          <w:rPr>
            <w:rFonts w:cs="Arial"/>
            <w:color w:val="000000"/>
            <w:szCs w:val="20"/>
          </w:rPr>
          <w:t xml:space="preserve"> in constraint case </w:t>
        </w:r>
        <w:r w:rsidRPr="0066792C">
          <w:rPr>
            <w:rFonts w:ascii="Times" w:hAnsi="Times" w:cs="Times New Roman"/>
            <w:i/>
            <w:color w:val="000000"/>
            <w:szCs w:val="20"/>
          </w:rPr>
          <w:t>k</w:t>
        </w:r>
        <w:r>
          <w:rPr>
            <w:rFonts w:cs="Arial"/>
            <w:color w:val="000000"/>
            <w:szCs w:val="20"/>
          </w:rPr>
          <w:t xml:space="preserve">; it is the power flow contribution on that transmission component </w:t>
        </w:r>
        <w:r w:rsidRPr="0066792C">
          <w:rPr>
            <w:rFonts w:ascii="Times" w:hAnsi="Times" w:cs="Times New Roman"/>
            <w:i/>
            <w:color w:val="000000"/>
            <w:szCs w:val="20"/>
          </w:rPr>
          <w:t>j</w:t>
        </w:r>
        <w:r w:rsidRPr="002C7CB9">
          <w:rPr>
            <w:rFonts w:ascii="Times New Roman" w:hAnsi="Times New Roman" w:cs="Times New Roman"/>
            <w:i/>
            <w:color w:val="000000"/>
            <w:szCs w:val="20"/>
          </w:rPr>
          <w:t xml:space="preserve"> </w:t>
        </w:r>
        <w:r>
          <w:rPr>
            <w:rFonts w:cs="Arial"/>
            <w:color w:val="000000"/>
            <w:szCs w:val="20"/>
          </w:rPr>
          <w:t xml:space="preserve">when an increment of power is injected at PNode </w:t>
        </w:r>
        <w:r w:rsidRPr="0066792C">
          <w:rPr>
            <w:rFonts w:ascii="Times" w:hAnsi="Times" w:cs="Times New Roman"/>
            <w:i/>
            <w:color w:val="000000"/>
            <w:szCs w:val="20"/>
          </w:rPr>
          <w:t>i</w:t>
        </w:r>
        <w:r w:rsidRPr="00941AB8">
          <w:rPr>
            <w:rFonts w:ascii="Times New Roman" w:hAnsi="Times New Roman" w:cs="Times New Roman"/>
            <w:color w:val="000000"/>
            <w:szCs w:val="20"/>
          </w:rPr>
          <w:t xml:space="preserve"> </w:t>
        </w:r>
        <w:r>
          <w:rPr>
            <w:rFonts w:cs="Arial"/>
            <w:color w:val="000000"/>
            <w:szCs w:val="20"/>
          </w:rPr>
          <w:t xml:space="preserve">and an equivalent amount of power is withdrawn at the Reference Bus.  For Market Area Intertie resources at a Scheduling Point, and TSRs at a Transfer Location, the PTDF </w:t>
        </w:r>
        <w:r w:rsidRPr="001A67E2">
          <w:rPr>
            <w:rFonts w:cs="Arial"/>
            <w:color w:val="000000"/>
            <w:szCs w:val="20"/>
          </w:rPr>
          <w:t xml:space="preserve">to an intertie constraint or intertie scheduling limit at that Scheduling Point is +1 for an import and –1 for an export.  The CAISO does not consider the effect of Transmission Losses in the calculation of PTDFs; they depend only on the network configuration. Furthermore, the difference between the PTDFs at two PNodes with respect to any binding Transmission Constraint, and thus the difference between the </w:t>
        </w:r>
        <w:r w:rsidRPr="003B0958">
          <w:t>Marginal Cost of Congestion</w:t>
        </w:r>
        <w:r>
          <w:t xml:space="preserve"> for RCU and RCD</w:t>
        </w:r>
        <w:r w:rsidRPr="003B0958">
          <w:t xml:space="preserve"> </w:t>
        </w:r>
        <w:r>
          <w:rPr>
            <w:rFonts w:cs="Arial"/>
            <w:color w:val="000000"/>
            <w:szCs w:val="20"/>
          </w:rPr>
          <w:t>at these PNodes, is independent from the selection of the Reference Bus.</w:t>
        </w:r>
        <w:r w:rsidR="004E3D5B">
          <w:rPr>
            <w:rFonts w:cs="Arial"/>
            <w:color w:val="000000"/>
            <w:szCs w:val="20"/>
          </w:rPr>
          <w:t xml:space="preserve"> The PTDFs in the RUC are the same as the ones in the IFM</w:t>
        </w:r>
        <w:r w:rsidR="006906FB">
          <w:rPr>
            <w:rFonts w:cs="Arial"/>
            <w:color w:val="000000"/>
            <w:szCs w:val="20"/>
          </w:rPr>
          <w:t xml:space="preserve"> base scenario</w:t>
        </w:r>
        <w:r w:rsidR="004E3D5B">
          <w:rPr>
            <w:rFonts w:cs="Arial"/>
            <w:color w:val="000000"/>
            <w:szCs w:val="20"/>
          </w:rPr>
          <w:t xml:space="preserve"> because the network configuration is the same; however, the binding constraints in the RUC may be different from the ones in the IFM.</w:t>
        </w:r>
      </w:ins>
    </w:p>
    <w:p w14:paraId="5EA90CE0" w14:textId="77777777" w:rsidR="004F1B2E" w:rsidRDefault="004F1B2E" w:rsidP="004F1B2E">
      <w:pPr>
        <w:tabs>
          <w:tab w:val="left" w:pos="720"/>
        </w:tabs>
        <w:autoSpaceDE w:val="0"/>
        <w:autoSpaceDN w:val="0"/>
        <w:adjustRightInd w:val="0"/>
        <w:ind w:left="1440" w:hanging="720"/>
        <w:rPr>
          <w:ins w:id="467" w:author="Author"/>
          <w:rFonts w:cs="Arial"/>
          <w:szCs w:val="20"/>
        </w:rPr>
      </w:pPr>
      <w:ins w:id="468" w:author="Author">
        <w:r>
          <w:rPr>
            <w:rFonts w:ascii="Symbol" w:hAnsi="Symbol" w:cs="Symbol"/>
            <w:color w:val="000000"/>
            <w:szCs w:val="20"/>
          </w:rPr>
          <w:sym w:font="Symbol" w:char="F0B7"/>
        </w:r>
        <w:r>
          <w:rPr>
            <w:rFonts w:ascii="Symbol" w:hAnsi="Symbol" w:cs="Symbol"/>
            <w:color w:val="000000"/>
            <w:szCs w:val="20"/>
          </w:rPr>
          <w:tab/>
        </w:r>
        <m:oMath>
          <m:sSub>
            <m:sSubPr>
              <m:ctrlPr>
                <w:rPr>
                  <w:rFonts w:ascii="Cambria Math" w:hAnsi="Cambria Math" w:cs="Arial"/>
                  <w:i/>
                </w:rPr>
              </m:ctrlPr>
            </m:sSubPr>
            <m:e>
              <m:r>
                <w:rPr>
                  <w:rFonts w:ascii="Cambria Math" w:hAnsi="Cambria Math" w:cs="Arial"/>
                </w:rPr>
                <m:t>c</m:t>
              </m:r>
            </m:e>
            <m:sub>
              <m:r>
                <w:rPr>
                  <w:rFonts w:ascii="Cambria Math" w:hAnsi="Cambria Math" w:cs="Arial"/>
                </w:rPr>
                <m:t>j,m</m:t>
              </m:r>
            </m:sub>
          </m:sSub>
        </m:oMath>
        <w:r>
          <w:rPr>
            <w:rFonts w:cs="Arial"/>
            <w:i/>
            <w:iCs/>
            <w:sz w:val="24"/>
            <w:szCs w:val="24"/>
            <w:vertAlign w:val="subscript"/>
          </w:rPr>
          <w:t xml:space="preserve"> </w:t>
        </w:r>
        <w:r>
          <w:rPr>
            <w:rFonts w:cs="Arial"/>
            <w:szCs w:val="20"/>
          </w:rPr>
          <w:t xml:space="preserve">is the constraint coefficient for transmission component </w:t>
        </w:r>
        <w:r w:rsidRPr="0066792C">
          <w:rPr>
            <w:rFonts w:ascii="Times" w:hAnsi="Times" w:cs="Times New Roman"/>
            <w:i/>
            <w:color w:val="000000"/>
            <w:szCs w:val="20"/>
          </w:rPr>
          <w:t>j</w:t>
        </w:r>
        <w:r w:rsidRPr="002C7CB9">
          <w:rPr>
            <w:rFonts w:ascii="Times New Roman" w:hAnsi="Times New Roman" w:cs="Times New Roman"/>
            <w:i/>
            <w:szCs w:val="20"/>
          </w:rPr>
          <w:t xml:space="preserve"> </w:t>
        </w:r>
        <w:r>
          <w:rPr>
            <w:rFonts w:cs="Arial"/>
            <w:szCs w:val="20"/>
          </w:rPr>
          <w:t xml:space="preserve">of Transmission Constraint </w:t>
        </w:r>
        <w:r w:rsidRPr="0066792C">
          <w:rPr>
            <w:rFonts w:ascii="Times" w:hAnsi="Times" w:cs="Times New Roman"/>
            <w:i/>
            <w:color w:val="000000"/>
            <w:szCs w:val="20"/>
          </w:rPr>
          <w:t>m</w:t>
        </w:r>
        <w:r>
          <w:rPr>
            <w:rFonts w:cs="Arial"/>
            <w:szCs w:val="20"/>
          </w:rPr>
          <w:t xml:space="preserve"> when Transmission Constraint </w:t>
        </w:r>
        <w:r w:rsidRPr="0066792C">
          <w:rPr>
            <w:rFonts w:ascii="Times" w:hAnsi="Times" w:cs="Times New Roman"/>
            <w:i/>
            <w:color w:val="000000"/>
            <w:szCs w:val="20"/>
          </w:rPr>
          <w:t>m</w:t>
        </w:r>
        <w:r>
          <w:rPr>
            <w:rFonts w:cs="Arial"/>
            <w:szCs w:val="20"/>
          </w:rPr>
          <w:t xml:space="preserve"> is a Nomogram; otherwise, this constraint coefficient is always one.  </w:t>
        </w:r>
      </w:ins>
    </w:p>
    <w:p w14:paraId="165FD84D" w14:textId="77777777" w:rsidR="004F1B2E" w:rsidRDefault="004F1B2E" w:rsidP="004F1B2E">
      <w:pPr>
        <w:tabs>
          <w:tab w:val="left" w:pos="720"/>
        </w:tabs>
        <w:autoSpaceDE w:val="0"/>
        <w:autoSpaceDN w:val="0"/>
        <w:adjustRightInd w:val="0"/>
        <w:ind w:left="1440" w:hanging="720"/>
        <w:rPr>
          <w:ins w:id="469" w:author="Author"/>
          <w:rFonts w:cs="Arial"/>
          <w:color w:val="000000"/>
          <w:szCs w:val="20"/>
        </w:rPr>
      </w:pPr>
      <w:ins w:id="470" w:author="Author">
        <w:r>
          <w:rPr>
            <w:rFonts w:ascii="Symbol" w:hAnsi="Symbol" w:cs="Symbol"/>
            <w:color w:val="000000"/>
            <w:szCs w:val="20"/>
          </w:rPr>
          <w:sym w:font="Symbol" w:char="F0B7"/>
        </w:r>
        <w:r>
          <w:rPr>
            <w:rFonts w:ascii="Symbol" w:hAnsi="Symbol" w:cs="Symbol"/>
            <w:color w:val="000000"/>
            <w:szCs w:val="20"/>
          </w:rPr>
          <w:tab/>
        </w:r>
        <m:oMath>
          <m:sSubSup>
            <m:sSubSupPr>
              <m:ctrlPr>
                <w:rPr>
                  <w:rFonts w:ascii="Cambria Math" w:hAnsi="Cambria Math"/>
                  <w:i/>
                </w:rPr>
              </m:ctrlPr>
            </m:sSubSupPr>
            <m:e>
              <m:r>
                <w:rPr>
                  <w:rFonts w:ascii="Cambria Math" w:hAnsi="Cambria Math"/>
                </w:rPr>
                <m:t>μ</m:t>
              </m:r>
            </m:e>
            <m:sub>
              <m:r>
                <w:rPr>
                  <w:rFonts w:ascii="Cambria Math" w:hAnsi="Cambria Math"/>
                </w:rPr>
                <m:t>m,k</m:t>
              </m:r>
            </m:sub>
            <m:sup>
              <m:r>
                <w:rPr>
                  <w:rFonts w:ascii="Cambria Math" w:hAnsi="Cambria Math"/>
                </w:rPr>
                <m:t>(RUC)</m:t>
              </m:r>
            </m:sup>
          </m:sSubSup>
        </m:oMath>
        <w:r>
          <w:rPr>
            <w:rFonts w:cs="Arial"/>
            <w:color w:val="000000"/>
            <w:szCs w:val="20"/>
          </w:rPr>
          <w:t xml:space="preserve"> is the Shadow Price of Transmission Constraint </w:t>
        </w:r>
        <w:r w:rsidRPr="0066792C">
          <w:rPr>
            <w:rFonts w:ascii="Times" w:hAnsi="Times" w:cs="Times New Roman"/>
            <w:i/>
            <w:color w:val="000000"/>
            <w:szCs w:val="20"/>
          </w:rPr>
          <w:t>m</w:t>
        </w:r>
        <w:r>
          <w:rPr>
            <w:rFonts w:cs="Arial"/>
            <w:color w:val="000000"/>
            <w:szCs w:val="20"/>
          </w:rPr>
          <w:t xml:space="preserve"> in constraint case </w:t>
        </w:r>
        <w:r w:rsidRPr="00A40F0B">
          <w:rPr>
            <w:rFonts w:ascii="Cambria" w:hAnsi="Cambria" w:cs="Arial"/>
            <w:i/>
            <w:color w:val="000000"/>
            <w:szCs w:val="20"/>
          </w:rPr>
          <w:t>k</w:t>
        </w:r>
        <w:r w:rsidRPr="00A40F0B">
          <w:rPr>
            <w:rFonts w:cs="Arial"/>
            <w:color w:val="000000"/>
            <w:szCs w:val="20"/>
          </w:rPr>
          <w:t xml:space="preserve"> at the optimal solution of the RUC</w:t>
        </w:r>
        <w:r>
          <w:rPr>
            <w:rFonts w:cs="Arial"/>
            <w:color w:val="000000"/>
            <w:szCs w:val="20"/>
          </w:rPr>
          <w:t>.</w:t>
        </w:r>
      </w:ins>
    </w:p>
    <w:p w14:paraId="75F9BD2A" w14:textId="77777777" w:rsidR="004F1B2E" w:rsidRDefault="004F1B2E" w:rsidP="004F1B2E">
      <w:pPr>
        <w:pStyle w:val="Heading2"/>
        <w:ind w:firstLine="720"/>
        <w:rPr>
          <w:ins w:id="471" w:author="Author"/>
        </w:rPr>
      </w:pPr>
      <w:ins w:id="472" w:author="Author">
        <w:r>
          <w:t>E.</w:t>
        </w:r>
        <w:r>
          <w:tab/>
          <w:t xml:space="preserve">Marginal </w:t>
        </w:r>
        <w:r w:rsidRPr="001A67E2">
          <w:t>Loss Component</w:t>
        </w:r>
        <w:r>
          <w:t xml:space="preserve"> for RCU and RCD</w:t>
        </w:r>
      </w:ins>
    </w:p>
    <w:p w14:paraId="08DAE122" w14:textId="77777777" w:rsidR="004F1B2E" w:rsidRDefault="004F1B2E" w:rsidP="004F1B2E">
      <w:pPr>
        <w:rPr>
          <w:ins w:id="473" w:author="Author"/>
          <w:rFonts w:cs="Arial"/>
          <w:color w:val="000000"/>
          <w:szCs w:val="20"/>
        </w:rPr>
      </w:pPr>
      <w:ins w:id="474" w:author="Author">
        <w:r>
          <w:rPr>
            <w:rFonts w:cs="Arial"/>
            <w:color w:val="000000"/>
            <w:szCs w:val="20"/>
          </w:rPr>
          <w:lastRenderedPageBreak/>
          <w:t xml:space="preserve">The CAISO calculates the Marginal </w:t>
        </w:r>
        <w:r w:rsidRPr="001A67E2">
          <w:rPr>
            <w:rFonts w:cs="Arial"/>
            <w:color w:val="000000"/>
            <w:szCs w:val="20"/>
          </w:rPr>
          <w:t xml:space="preserve">Cost of Losses </w:t>
        </w:r>
        <w:r>
          <w:rPr>
            <w:rFonts w:cs="Arial"/>
            <w:color w:val="000000"/>
            <w:szCs w:val="20"/>
          </w:rPr>
          <w:t xml:space="preserve">for RCU and RCD </w:t>
        </w:r>
        <w:r w:rsidRPr="001A67E2">
          <w:rPr>
            <w:rFonts w:cs="Arial"/>
            <w:color w:val="000000"/>
            <w:szCs w:val="20"/>
          </w:rPr>
          <w:t xml:space="preserve">at each </w:t>
        </w:r>
        <w:r>
          <w:rPr>
            <w:rFonts w:cs="Arial"/>
            <w:color w:val="000000"/>
            <w:szCs w:val="20"/>
          </w:rPr>
          <w:t>PNode</w:t>
        </w:r>
        <w:r w:rsidRPr="001A67E2">
          <w:rPr>
            <w:rFonts w:cs="Arial"/>
            <w:color w:val="000000"/>
            <w:szCs w:val="20"/>
          </w:rPr>
          <w:t xml:space="preserve"> as the product of </w:t>
        </w:r>
        <w:r w:rsidRPr="00FB7403">
          <w:rPr>
            <w:rFonts w:cs="Arial"/>
            <w:color w:val="000000"/>
            <w:szCs w:val="20"/>
          </w:rPr>
          <w:t xml:space="preserve">the </w:t>
        </w:r>
        <w:r w:rsidRPr="00FB7403">
          <w:rPr>
            <w:szCs w:val="20"/>
          </w:rPr>
          <w:t xml:space="preserve">Marginal </w:t>
        </w:r>
        <w:r w:rsidRPr="00FB7403">
          <w:rPr>
            <w:rFonts w:cs="Arial"/>
            <w:color w:val="000000"/>
            <w:szCs w:val="20"/>
          </w:rPr>
          <w:t xml:space="preserve">Reliability Capacity </w:t>
        </w:r>
        <w:r w:rsidRPr="00FB7403">
          <w:rPr>
            <w:szCs w:val="20"/>
          </w:rPr>
          <w:t>Cost Component</w:t>
        </w:r>
        <w:r w:rsidRPr="001A67E2">
          <w:t xml:space="preserve"> </w:t>
        </w:r>
        <w:r w:rsidRPr="001A67E2">
          <w:rPr>
            <w:rFonts w:cs="Arial"/>
            <w:color w:val="000000"/>
            <w:szCs w:val="20"/>
          </w:rPr>
          <w:t>and the rate for Marginal Losses at that PNode, as follows:</w:t>
        </w:r>
      </w:ins>
    </w:p>
    <w:p w14:paraId="4FFB85FB" w14:textId="77777777" w:rsidR="004F1B2E" w:rsidRPr="005826DB" w:rsidRDefault="00543914" w:rsidP="004F1B2E">
      <w:pPr>
        <w:rPr>
          <w:ins w:id="475" w:author="Author"/>
          <w:rFonts w:cs="Arial"/>
          <w:color w:val="000000"/>
          <w:szCs w:val="20"/>
        </w:rPr>
      </w:pPr>
      <m:oMathPara>
        <m:oMathParaPr>
          <m:jc m:val="left"/>
        </m:oMathParaPr>
        <m:oMath>
          <m:sSubSup>
            <m:sSubSupPr>
              <m:ctrlPr>
                <w:ins w:id="476" w:author="Author">
                  <w:rPr>
                    <w:rFonts w:ascii="Cambria Math" w:hAnsi="Cambria Math"/>
                    <w:i/>
                  </w:rPr>
                </w:ins>
              </m:ctrlPr>
            </m:sSubSupPr>
            <m:e>
              <m:r>
                <w:ins w:id="477" w:author="Author">
                  <w:rPr>
                    <w:rFonts w:ascii="Cambria Math" w:hAnsi="Cambria Math"/>
                  </w:rPr>
                  <m:t>MCL</m:t>
                </w:ins>
              </m:r>
            </m:e>
            <m:sub>
              <m:r>
                <w:ins w:id="478" w:author="Author">
                  <w:rPr>
                    <w:rFonts w:ascii="Cambria Math" w:hAnsi="Cambria Math"/>
                  </w:rPr>
                  <m:t>i</m:t>
                </w:ins>
              </m:r>
            </m:sub>
            <m:sup>
              <m:r>
                <w:ins w:id="479" w:author="Author">
                  <w:rPr>
                    <w:rFonts w:ascii="Cambria Math" w:hAnsi="Cambria Math"/>
                  </w:rPr>
                  <m:t>(RUC)</m:t>
                </w:ins>
              </m:r>
            </m:sup>
          </m:sSubSup>
          <m:r>
            <w:ins w:id="480" w:author="Author">
              <w:rPr>
                <w:rFonts w:ascii="Cambria Math" w:hAnsi="Cambria Math" w:cs="Arial"/>
                <w:color w:val="000000"/>
                <w:szCs w:val="20"/>
              </w:rPr>
              <m:t>=-</m:t>
            </w:ins>
          </m:r>
          <m:sSubSup>
            <m:sSubSupPr>
              <m:ctrlPr>
                <w:ins w:id="481" w:author="Author">
                  <w:rPr>
                    <w:rFonts w:ascii="Cambria Math" w:hAnsi="Cambria Math"/>
                    <w:i/>
                  </w:rPr>
                </w:ins>
              </m:ctrlPr>
            </m:sSubSupPr>
            <m:e>
              <m:r>
                <w:ins w:id="482" w:author="Author">
                  <w:rPr>
                    <w:rFonts w:ascii="Cambria Math" w:hAnsi="Cambria Math"/>
                  </w:rPr>
                  <m:t>MEC</m:t>
                </w:ins>
              </m:r>
            </m:e>
            <m:sub>
              <m:r>
                <w:ins w:id="483" w:author="Author">
                  <w:rPr>
                    <w:rFonts w:ascii="Cambria Math" w:hAnsi="Cambria Math"/>
                  </w:rPr>
                  <m:t>i</m:t>
                </w:ins>
              </m:r>
            </m:sub>
            <m:sup>
              <m:r>
                <w:ins w:id="484" w:author="Author">
                  <w:rPr>
                    <w:rFonts w:ascii="Cambria Math" w:hAnsi="Cambria Math"/>
                  </w:rPr>
                  <m:t>(RUC)</m:t>
                </w:ins>
              </m:r>
            </m:sup>
          </m:sSubSup>
          <m:r>
            <w:ins w:id="485" w:author="Author">
              <w:rPr>
                <w:rFonts w:ascii="Cambria Math" w:hAnsi="Cambria Math" w:cs="Arial"/>
                <w:color w:val="000000"/>
                <w:szCs w:val="20"/>
              </w:rPr>
              <m:t xml:space="preserve"> </m:t>
            </w:ins>
          </m:r>
          <m:f>
            <m:fPr>
              <m:ctrlPr>
                <w:ins w:id="486" w:author="Author">
                  <w:rPr>
                    <w:rFonts w:ascii="Cambria Math" w:hAnsi="Cambria Math" w:cs="Arial"/>
                    <w:i/>
                    <w:color w:val="000000"/>
                    <w:szCs w:val="20"/>
                  </w:rPr>
                </w:ins>
              </m:ctrlPr>
            </m:fPr>
            <m:num>
              <m:r>
                <w:ins w:id="487" w:author="Author">
                  <w:rPr>
                    <w:rFonts w:ascii="Cambria Math" w:hAnsi="Cambria Math" w:cs="Arial"/>
                    <w:color w:val="000000"/>
                    <w:szCs w:val="20"/>
                  </w:rPr>
                  <m:t>∂L</m:t>
                </w:ins>
              </m:r>
            </m:num>
            <m:den>
              <m:r>
                <w:ins w:id="488" w:author="Author">
                  <w:rPr>
                    <w:rFonts w:ascii="Cambria Math" w:hAnsi="Cambria Math" w:cs="Arial"/>
                    <w:color w:val="000000"/>
                    <w:szCs w:val="20"/>
                  </w:rPr>
                  <m:t>∂</m:t>
                </w:ins>
              </m:r>
              <m:sSub>
                <m:sSubPr>
                  <m:ctrlPr>
                    <w:ins w:id="489" w:author="Author">
                      <w:rPr>
                        <w:rFonts w:ascii="Cambria Math" w:hAnsi="Cambria Math" w:cs="Arial"/>
                        <w:i/>
                        <w:color w:val="000000"/>
                        <w:szCs w:val="20"/>
                      </w:rPr>
                    </w:ins>
                  </m:ctrlPr>
                </m:sSubPr>
                <m:e>
                  <m:r>
                    <w:ins w:id="490" w:author="Author">
                      <w:rPr>
                        <w:rFonts w:ascii="Cambria Math" w:hAnsi="Cambria Math" w:cs="Arial"/>
                        <w:color w:val="000000"/>
                        <w:szCs w:val="20"/>
                      </w:rPr>
                      <m:t>P</m:t>
                    </w:ins>
                  </m:r>
                </m:e>
                <m:sub>
                  <m:r>
                    <w:ins w:id="491" w:author="Author">
                      <w:rPr>
                        <w:rFonts w:ascii="Cambria Math" w:hAnsi="Cambria Math" w:cs="Arial"/>
                        <w:color w:val="000000"/>
                        <w:szCs w:val="20"/>
                      </w:rPr>
                      <m:t>i</m:t>
                    </w:ins>
                  </m:r>
                </m:sub>
              </m:sSub>
            </m:den>
          </m:f>
        </m:oMath>
      </m:oMathPara>
    </w:p>
    <w:p w14:paraId="4E517D7D" w14:textId="7F4FC399" w:rsidR="00907903" w:rsidRPr="00277577" w:rsidRDefault="004F1B2E" w:rsidP="001712CE">
      <w:pPr>
        <w:rPr>
          <w:color w:val="000000"/>
        </w:rPr>
      </w:pPr>
      <w:ins w:id="492" w:author="Author">
        <w:r w:rsidRPr="001712CE">
          <w:rPr>
            <w:rFonts w:cs="Arial"/>
            <w:szCs w:val="20"/>
          </w:rPr>
          <w:t>Where</w:t>
        </w:r>
        <w:r>
          <w:rPr>
            <w:rFonts w:cs="Arial"/>
            <w:szCs w:val="20"/>
          </w:rPr>
          <w:t xml:space="preserve"> </w:t>
        </w:r>
        <w:r w:rsidRPr="001A67E2">
          <w:rPr>
            <w:rFonts w:cs="Arial"/>
            <w:szCs w:val="20"/>
          </w:rPr>
          <w:t xml:space="preserve">the rate for Marginal Losses </w:t>
        </w:r>
        <w:r w:rsidRPr="001A67E2">
          <w:rPr>
            <w:rFonts w:cs="Arial"/>
            <w:color w:val="000000"/>
            <w:szCs w:val="20"/>
          </w:rPr>
          <w:t>at</w:t>
        </w:r>
        <w:r>
          <w:rPr>
            <w:rFonts w:cs="Arial"/>
            <w:color w:val="000000"/>
            <w:szCs w:val="20"/>
          </w:rPr>
          <w:t xml:space="preserve"> PNode </w:t>
        </w:r>
        <w:r w:rsidRPr="00D3434B">
          <w:rPr>
            <w:rFonts w:ascii="Times" w:hAnsi="Times" w:cs="Arial"/>
            <w:i/>
            <w:color w:val="000000"/>
            <w:szCs w:val="20"/>
          </w:rPr>
          <w:t>i</w:t>
        </w:r>
        <w:r>
          <w:rPr>
            <w:rFonts w:cs="Arial"/>
            <w:szCs w:val="20"/>
          </w:rPr>
          <w:t xml:space="preserve"> (</w:t>
        </w:r>
        <m:oMath>
          <m:f>
            <m:fPr>
              <m:type m:val="lin"/>
              <m:ctrlPr>
                <w:rPr>
                  <w:rFonts w:ascii="Cambria Math" w:hAnsi="Cambria Math" w:cs="Arial"/>
                  <w:i/>
                  <w:szCs w:val="20"/>
                </w:rPr>
              </m:ctrlPr>
            </m:fPr>
            <m:num>
              <m:r>
                <w:rPr>
                  <w:rFonts w:ascii="Cambria Math" w:hAnsi="Cambria Math" w:cs="Arial"/>
                  <w:color w:val="000000"/>
                  <w:szCs w:val="20"/>
                </w:rPr>
                <m:t>∂L</m:t>
              </m:r>
            </m:num>
            <m:den>
              <m:r>
                <w:rPr>
                  <w:rFonts w:ascii="Cambria Math" w:hAnsi="Cambria Math" w:cs="Arial"/>
                  <w:color w:val="000000"/>
                  <w:szCs w:val="20"/>
                </w:rPr>
                <m:t>∂</m:t>
              </m:r>
              <m:sSub>
                <m:sSubPr>
                  <m:ctrlPr>
                    <w:rPr>
                      <w:rFonts w:ascii="Cambria Math" w:hAnsi="Cambria Math" w:cs="Arial"/>
                      <w:i/>
                      <w:color w:val="000000"/>
                      <w:szCs w:val="20"/>
                    </w:rPr>
                  </m:ctrlPr>
                </m:sSubPr>
                <m:e>
                  <m:r>
                    <w:rPr>
                      <w:rFonts w:ascii="Cambria Math" w:hAnsi="Cambria Math" w:cs="Arial"/>
                      <w:color w:val="000000"/>
                      <w:szCs w:val="20"/>
                    </w:rPr>
                    <m:t>P</m:t>
                  </m:r>
                </m:e>
                <m:sub>
                  <m:r>
                    <w:rPr>
                      <w:rFonts w:ascii="Cambria Math" w:hAnsi="Cambria Math" w:cs="Arial"/>
                      <w:color w:val="000000"/>
                      <w:szCs w:val="20"/>
                    </w:rPr>
                    <m:t>i</m:t>
                  </m:r>
                </m:sub>
              </m:sSub>
            </m:den>
          </m:f>
        </m:oMath>
        <w:r>
          <w:rPr>
            <w:rFonts w:eastAsiaTheme="minorEastAsia" w:cs="Arial"/>
            <w:color w:val="000000"/>
            <w:szCs w:val="20"/>
          </w:rPr>
          <w:t>)</w:t>
        </w:r>
        <w:r>
          <w:rPr>
            <w:rFonts w:cs="Arial"/>
            <w:color w:val="000000"/>
            <w:szCs w:val="20"/>
          </w:rPr>
          <w:t xml:space="preserve"> is the sensitivity (partial derivative) of system losses (</w:t>
        </w:r>
        <w:r w:rsidRPr="0066792C">
          <w:rPr>
            <w:rFonts w:ascii="Times" w:hAnsi="Times" w:cs="Arial"/>
            <w:i/>
            <w:color w:val="000000"/>
            <w:szCs w:val="20"/>
          </w:rPr>
          <w:t>L</w:t>
        </w:r>
        <w:r>
          <w:rPr>
            <w:rFonts w:cs="Arial"/>
            <w:color w:val="000000"/>
            <w:szCs w:val="20"/>
          </w:rPr>
          <w:t>) to an increment of power injected at that Pnode (</w:t>
        </w:r>
        <m:oMath>
          <m:sSub>
            <m:sSubPr>
              <m:ctrlPr>
                <w:rPr>
                  <w:rFonts w:ascii="Cambria Math" w:hAnsi="Cambria Math" w:cs="Arial"/>
                  <w:i/>
                  <w:color w:val="000000"/>
                  <w:szCs w:val="20"/>
                </w:rPr>
              </m:ctrlPr>
            </m:sSubPr>
            <m:e>
              <m:r>
                <w:rPr>
                  <w:rFonts w:ascii="Cambria Math" w:hAnsi="Cambria Math" w:cs="Arial"/>
                  <w:color w:val="000000"/>
                  <w:szCs w:val="20"/>
                </w:rPr>
                <m:t>P</m:t>
              </m:r>
            </m:e>
            <m:sub>
              <m:r>
                <w:rPr>
                  <w:rFonts w:ascii="Cambria Math" w:hAnsi="Cambria Math" w:cs="Arial"/>
                  <w:color w:val="000000"/>
                  <w:szCs w:val="20"/>
                </w:rPr>
                <m:t>i</m:t>
              </m:r>
            </m:sub>
          </m:sSub>
        </m:oMath>
        <w:r>
          <w:rPr>
            <w:rFonts w:cs="Arial"/>
            <w:color w:val="000000"/>
            <w:szCs w:val="20"/>
          </w:rPr>
          <w:t xml:space="preserve">) and absorbed by the Reference Bus for the RUC.  </w:t>
        </w:r>
        <w:r w:rsidRPr="001A67E2">
          <w:rPr>
            <w:rFonts w:cs="Arial"/>
            <w:color w:val="000000"/>
            <w:szCs w:val="20"/>
          </w:rPr>
          <w:t xml:space="preserve">This calculation reflects the area interchange control feature of the AC power flow where the net scheduled interchange (NSI) of a Balancing Authority Area in the FNM is kept constant while the iterative solution distributes loss deviation from the previous iteration to the </w:t>
        </w:r>
        <w:r>
          <w:rPr>
            <w:rFonts w:cs="Arial"/>
            <w:color w:val="000000"/>
            <w:szCs w:val="20"/>
          </w:rPr>
          <w:t>Reference Bus for the RUC</w:t>
        </w:r>
        <w:r w:rsidRPr="001A67E2">
          <w:rPr>
            <w:rFonts w:cs="Arial"/>
            <w:color w:val="000000"/>
            <w:szCs w:val="20"/>
          </w:rPr>
          <w:t>.  Consequently, the</w:t>
        </w:r>
        <w:r w:rsidR="00302C69">
          <w:rPr>
            <w:rFonts w:cs="Arial"/>
            <w:color w:val="000000"/>
            <w:szCs w:val="20"/>
          </w:rPr>
          <w:t xml:space="preserve"> Marginal </w:t>
        </w:r>
        <w:r w:rsidR="00302C69" w:rsidRPr="001A67E2">
          <w:rPr>
            <w:rFonts w:cs="Arial"/>
            <w:color w:val="000000"/>
            <w:szCs w:val="20"/>
          </w:rPr>
          <w:t xml:space="preserve">Cost of Losses </w:t>
        </w:r>
        <w:r w:rsidR="00302C69">
          <w:rPr>
            <w:rFonts w:cs="Arial"/>
            <w:color w:val="000000"/>
            <w:szCs w:val="20"/>
          </w:rPr>
          <w:t>for RCU and RCD</w:t>
        </w:r>
        <w:r w:rsidRPr="001A67E2">
          <w:rPr>
            <w:rFonts w:cs="Arial"/>
            <w:color w:val="000000"/>
            <w:szCs w:val="20"/>
          </w:rPr>
          <w:t xml:space="preserve"> of the TSRs that model a Market Transfer at a Transfer Location between two Balancing Authority Areas in the Market Area may be different because these TSRs belong to different Balancing Authority Areas.  </w:t>
        </w:r>
        <w:r w:rsidR="00302C69">
          <w:rPr>
            <w:rFonts w:cs="Arial"/>
            <w:color w:val="000000"/>
            <w:szCs w:val="20"/>
          </w:rPr>
          <w:t xml:space="preserve">The CAISO sets the Marginal </w:t>
        </w:r>
        <w:r w:rsidR="00302C69" w:rsidRPr="001A67E2">
          <w:rPr>
            <w:rFonts w:cs="Arial"/>
            <w:color w:val="000000"/>
            <w:szCs w:val="20"/>
          </w:rPr>
          <w:t xml:space="preserve">Cost of Losses </w:t>
        </w:r>
        <w:r w:rsidR="00302C69">
          <w:rPr>
            <w:rFonts w:cs="Arial"/>
            <w:color w:val="000000"/>
            <w:szCs w:val="20"/>
          </w:rPr>
          <w:t xml:space="preserve">for RCU and RCD for both of these TSRs </w:t>
        </w:r>
        <w:r w:rsidR="00302C69">
          <w:t xml:space="preserve">to the average </w:t>
        </w:r>
        <w:r w:rsidR="00302C69">
          <w:rPr>
            <w:rFonts w:cs="Arial"/>
            <w:color w:val="000000"/>
            <w:szCs w:val="20"/>
          </w:rPr>
          <w:t>rate for Marginal Losses between the two so that there is no</w:t>
        </w:r>
        <w:r w:rsidR="00302C69" w:rsidRPr="001A67E2">
          <w:t xml:space="preserve"> difference </w:t>
        </w:r>
        <w:r w:rsidR="00302C69">
          <w:t xml:space="preserve">between the </w:t>
        </w:r>
        <w:r w:rsidR="00302C69">
          <w:rPr>
            <w:rFonts w:cs="Arial"/>
            <w:color w:val="000000"/>
            <w:szCs w:val="20"/>
          </w:rPr>
          <w:t xml:space="preserve">Marginal </w:t>
        </w:r>
        <w:r w:rsidR="00302C69" w:rsidRPr="001A67E2">
          <w:rPr>
            <w:rFonts w:cs="Arial"/>
            <w:color w:val="000000"/>
            <w:szCs w:val="20"/>
          </w:rPr>
          <w:t xml:space="preserve">Cost of Losses </w:t>
        </w:r>
        <w:r w:rsidR="00302C69">
          <w:rPr>
            <w:rFonts w:cs="Arial"/>
            <w:color w:val="000000"/>
            <w:szCs w:val="20"/>
          </w:rPr>
          <w:t>for RCU and RCD</w:t>
        </w:r>
        <w:r w:rsidR="00302C69" w:rsidRPr="001A67E2">
          <w:t xml:space="preserve"> between the TSRs on either side of a specific Market Transfer.  </w:t>
        </w:r>
        <w:r w:rsidR="00302C69" w:rsidRPr="001A67E2">
          <w:rPr>
            <w:rFonts w:cs="Arial"/>
            <w:color w:val="000000"/>
            <w:szCs w:val="20"/>
          </w:rPr>
          <w:t>The Marginal Losses on transmission</w:t>
        </w:r>
        <w:r w:rsidR="00302C69">
          <w:rPr>
            <w:rFonts w:cs="Arial"/>
            <w:color w:val="000000"/>
            <w:szCs w:val="20"/>
          </w:rPr>
          <w:t xml:space="preserve"> facilities outside the Market Area are ignored in the calculation of the Marginal </w:t>
        </w:r>
        <w:r w:rsidR="00302C69" w:rsidRPr="001A67E2">
          <w:rPr>
            <w:rFonts w:cs="Arial"/>
            <w:color w:val="000000"/>
            <w:szCs w:val="20"/>
          </w:rPr>
          <w:t xml:space="preserve">Cost of Losses </w:t>
        </w:r>
        <w:r w:rsidR="00302C69">
          <w:rPr>
            <w:rFonts w:cs="Arial"/>
            <w:color w:val="000000"/>
            <w:szCs w:val="20"/>
          </w:rPr>
          <w:t>for RCU and RCD.</w:t>
        </w:r>
      </w:ins>
    </w:p>
    <w:sectPr w:rsidR="00907903" w:rsidRPr="00277577" w:rsidSect="00F35C4E">
      <w:headerReference w:type="default" r:id="rId14"/>
      <w:footerReference w:type="default" r:id="rId15"/>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8115" w16cex:dateUtc="2023-03-11T09:24:00Z"/>
  <w16cex:commentExtensible w16cex:durableId="27B6867E" w16cex:dateUtc="2023-03-11T09:47:00Z"/>
  <w16cex:commentExtensible w16cex:durableId="27B6850A" w16cex:dateUtc="2023-03-11T09:41:00Z"/>
  <w16cex:commentExtensible w16cex:durableId="27BAF8D0" w16cex:dateUtc="2023-03-14T17:44:00Z"/>
  <w16cex:commentExtensible w16cex:durableId="27B68D44" w16cex:dateUtc="2023-03-11T10:16:00Z"/>
  <w16cex:commentExtensible w16cex:durableId="27B69107" w16cex:dateUtc="2023-03-11T10:32:00Z"/>
  <w16cex:commentExtensible w16cex:durableId="27B69767" w16cex:dateUtc="2023-03-11T11:00:00Z"/>
  <w16cex:commentExtensible w16cex:durableId="27B699D3" w16cex:dateUtc="2023-03-11T11:10:00Z"/>
  <w16cex:commentExtensible w16cex:durableId="27B69C43" w16cex:dateUtc="2023-03-11T11:20:00Z"/>
  <w16cex:commentExtensible w16cex:durableId="27B69DD6" w16cex:dateUtc="2023-03-11T11:27:00Z"/>
  <w16cex:commentExtensible w16cex:durableId="27B6A4A1" w16cex:dateUtc="2023-03-11T11:56:00Z"/>
  <w16cex:commentExtensible w16cex:durableId="27B6AF79" w16cex:dateUtc="2023-03-11T12:42:00Z"/>
  <w16cex:commentExtensible w16cex:durableId="27B6A94E" w16cex:dateUtc="2023-03-11T12:16:00Z"/>
  <w16cex:commentExtensible w16cex:durableId="27B6B0F3" w16cex:dateUtc="2023-03-11T12:49:00Z"/>
  <w16cex:commentExtensible w16cex:durableId="27B6B2F4" w16cex:dateUtc="2023-03-11T12:57:00Z"/>
  <w16cex:commentExtensible w16cex:durableId="27B6B458" w16cex:dateUtc="2023-03-11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42BEDD09" w16cid:durableId="27B633A4"/>
  <w16cid:commentId w16cid:paraId="0C6123F5" w16cid:durableId="27B633A5"/>
  <w16cid:commentId w16cid:paraId="6736AD5C" w16cid:durableId="27B633A6"/>
  <w16cid:commentId w16cid:paraId="363D77C2" w16cid:durableId="27B68115"/>
  <w16cid:commentId w16cid:paraId="07FC1CE9" w16cid:durableId="27B633A7"/>
  <w16cid:commentId w16cid:paraId="6A4EF60D" w16cid:durableId="27B633A8"/>
  <w16cid:commentId w16cid:paraId="52F178C4" w16cid:durableId="27B633A9"/>
  <w16cid:commentId w16cid:paraId="5FD7452B" w16cid:durableId="27B633AA"/>
  <w16cid:commentId w16cid:paraId="47FEE72B" w16cid:durableId="27B633AB"/>
  <w16cid:commentId w16cid:paraId="4394D474" w16cid:durableId="27B633AC"/>
  <w16cid:commentId w16cid:paraId="67537904" w16cid:durableId="27B6867E"/>
  <w16cid:commentId w16cid:paraId="65BB0921" w16cid:durableId="27B6850A"/>
  <w16cid:commentId w16cid:paraId="637751F5" w16cid:durableId="27B633B2"/>
  <w16cid:commentId w16cid:paraId="3D488AD8" w16cid:durableId="27BAF8D0"/>
  <w16cid:commentId w16cid:paraId="47C85E31" w16cid:durableId="27B68D44"/>
  <w16cid:commentId w16cid:paraId="65321408" w16cid:durableId="27B633B3"/>
  <w16cid:commentId w16cid:paraId="53087830" w16cid:durableId="27B633B4"/>
  <w16cid:commentId w16cid:paraId="1AC2666E" w16cid:durableId="27B69107"/>
  <w16cid:commentId w16cid:paraId="397D4AA6" w16cid:durableId="27B633B5"/>
  <w16cid:commentId w16cid:paraId="16A599E6" w16cid:durableId="27B633B6"/>
  <w16cid:commentId w16cid:paraId="2E7E0E35" w16cid:durableId="27B633B8"/>
  <w16cid:commentId w16cid:paraId="34F3CA3E" w16cid:durableId="27B633B7"/>
  <w16cid:commentId w16cid:paraId="7FDBB3C4" w16cid:durableId="27B633B9"/>
  <w16cid:commentId w16cid:paraId="098CCC5E" w16cid:durableId="27B633BA"/>
  <w16cid:commentId w16cid:paraId="15DB4EEC" w16cid:durableId="27B633BB"/>
  <w16cid:commentId w16cid:paraId="69E62F71" w16cid:durableId="27B633BC"/>
  <w16cid:commentId w16cid:paraId="62056540" w16cid:durableId="27B69767"/>
  <w16cid:commentId w16cid:paraId="235CFE7D" w16cid:durableId="27B633BD"/>
  <w16cid:commentId w16cid:paraId="4E7A0FEC" w16cid:durableId="27B633BE"/>
  <w16cid:commentId w16cid:paraId="2310B75C" w16cid:durableId="27B633BF"/>
  <w16cid:commentId w16cid:paraId="0DB38816" w16cid:durableId="27B633C0"/>
  <w16cid:commentId w16cid:paraId="28B6ED7F" w16cid:durableId="27B633C1"/>
  <w16cid:commentId w16cid:paraId="6FE481EC" w16cid:durableId="27B633C2"/>
  <w16cid:commentId w16cid:paraId="37687ED1" w16cid:durableId="27B633C3"/>
  <w16cid:commentId w16cid:paraId="72F31075" w16cid:durableId="27B633C4"/>
  <w16cid:commentId w16cid:paraId="4717F05C" w16cid:durableId="27B699D3"/>
  <w16cid:commentId w16cid:paraId="43E8F36D" w16cid:durableId="27B69C43"/>
  <w16cid:commentId w16cid:paraId="3E5E9B5B" w16cid:durableId="27B633C5"/>
  <w16cid:commentId w16cid:paraId="35B143A0" w16cid:durableId="27B633C6"/>
  <w16cid:commentId w16cid:paraId="6D9BB558" w16cid:durableId="27B633C7"/>
  <w16cid:commentId w16cid:paraId="3B07BED8" w16cid:durableId="27B69DD6"/>
  <w16cid:commentId w16cid:paraId="355F0B93" w16cid:durableId="27B633C8"/>
  <w16cid:commentId w16cid:paraId="6296F9ED" w16cid:durableId="27B633C9"/>
  <w16cid:commentId w16cid:paraId="5919DAD5" w16cid:durableId="27B633CA"/>
  <w16cid:commentId w16cid:paraId="6DCED13F" w16cid:durableId="27B633CB"/>
  <w16cid:commentId w16cid:paraId="37F09DA9" w16cid:durableId="27B633CC"/>
  <w16cid:commentId w16cid:paraId="66829B64" w16cid:durableId="27B633CD"/>
  <w16cid:commentId w16cid:paraId="3B9047A2" w16cid:durableId="27B633CE"/>
  <w16cid:commentId w16cid:paraId="2918F8CE" w16cid:durableId="27B633CF"/>
  <w16cid:commentId w16cid:paraId="026E72D5" w16cid:durableId="27B633D1"/>
  <w16cid:commentId w16cid:paraId="6DB6E7DE" w16cid:durableId="27B633D2"/>
  <w16cid:commentId w16cid:paraId="3C6B8EEC" w16cid:durableId="27B6A4A1"/>
  <w16cid:commentId w16cid:paraId="536EBB2B" w16cid:durableId="27B633D3"/>
  <w16cid:commentId w16cid:paraId="7B050D9F" w16cid:durableId="27B633D7"/>
  <w16cid:commentId w16cid:paraId="0257F4DA" w16cid:durableId="27B633D8"/>
  <w16cid:commentId w16cid:paraId="525482D2" w16cid:durableId="27B6AF79"/>
  <w16cid:commentId w16cid:paraId="37E1CB2A" w16cid:durableId="27B633D9"/>
  <w16cid:commentId w16cid:paraId="6683A794" w16cid:durableId="27B6A94E"/>
  <w16cid:commentId w16cid:paraId="0920B24A" w16cid:durableId="27B633DA"/>
  <w16cid:commentId w16cid:paraId="35FB7824" w16cid:durableId="27B633DB"/>
  <w16cid:commentId w16cid:paraId="7349E7EE" w16cid:durableId="27B633DC"/>
  <w16cid:commentId w16cid:paraId="6B7155E2" w16cid:durableId="27B633DD"/>
  <w16cid:commentId w16cid:paraId="030D7431" w16cid:durableId="27B633DE"/>
  <w16cid:commentId w16cid:paraId="3846430F" w16cid:durableId="27B633DF"/>
  <w16cid:commentId w16cid:paraId="092AAD57" w16cid:durableId="27B633E0"/>
  <w16cid:commentId w16cid:paraId="56ABD3D5" w16cid:durableId="27B6B0F3"/>
  <w16cid:commentId w16cid:paraId="7A607676" w16cid:durableId="27B633E1"/>
  <w16cid:commentId w16cid:paraId="1AFCC793" w16cid:durableId="27B633E2"/>
  <w16cid:commentId w16cid:paraId="0680EB69" w16cid:durableId="27B633E3"/>
  <w16cid:commentId w16cid:paraId="49CAC3B9" w16cid:durableId="27B633E4"/>
  <w16cid:commentId w16cid:paraId="3B35FCA1" w16cid:durableId="27B633E5"/>
  <w16cid:commentId w16cid:paraId="03234206" w16cid:durableId="27B6B2F4"/>
  <w16cid:commentId w16cid:paraId="6A52D90B" w16cid:durableId="27B633E6"/>
  <w16cid:commentId w16cid:paraId="00743142" w16cid:durableId="27B6B458"/>
  <w16cid:commentId w16cid:paraId="4EFA5A4A" w16cid:durableId="27B633E7"/>
  <w16cid:commentId w16cid:paraId="54CC3A97" w16cid:durableId="27B633E8"/>
  <w16cid:commentId w16cid:paraId="28F65879" w16cid:durableId="27B633E9"/>
  <w16cid:commentId w16cid:paraId="61AAD648" w16cid:durableId="27B633EA"/>
  <w16cid:commentId w16cid:paraId="60E1B215" w16cid:durableId="27B633EB"/>
  <w16cid:commentId w16cid:paraId="1C896388" w16cid:durableId="27B633EC"/>
  <w16cid:commentId w16cid:paraId="00BD0F3C" w16cid:durableId="27B633ED"/>
  <w16cid:commentId w16cid:paraId="0630F6D0" w16cid:durableId="27B633EE"/>
  <w16cid:commentId w16cid:paraId="536943FC" w16cid:durableId="27B633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50A5" w14:textId="77777777" w:rsidR="00F3073F" w:rsidRDefault="00F3073F">
      <w:pPr>
        <w:spacing w:line="240" w:lineRule="auto"/>
      </w:pPr>
      <w:r>
        <w:separator/>
      </w:r>
    </w:p>
  </w:endnote>
  <w:endnote w:type="continuationSeparator" w:id="0">
    <w:p w14:paraId="1D70FD66" w14:textId="77777777" w:rsidR="00F3073F" w:rsidRDefault="00F3073F">
      <w:pPr>
        <w:spacing w:line="240" w:lineRule="auto"/>
      </w:pPr>
      <w:r>
        <w:continuationSeparator/>
      </w:r>
    </w:p>
  </w:endnote>
  <w:endnote w:type="continuationNotice" w:id="1">
    <w:p w14:paraId="0B2E67FC" w14:textId="77777777" w:rsidR="00F3073F" w:rsidRDefault="00F307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77AF" w14:textId="77777777" w:rsidR="00F3073F" w:rsidRDefault="00F3073F" w:rsidP="00A638BD">
    <w:pPr>
      <w:pStyle w:val="Header"/>
    </w:pPr>
  </w:p>
  <w:p w14:paraId="74A64AAA" w14:textId="77777777" w:rsidR="00F3073F" w:rsidRPr="009160C5" w:rsidRDefault="00F3073F" w:rsidP="00F35C4E">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14:paraId="2A8B50A6" w14:textId="76F1CBC1" w:rsidR="00F3073F" w:rsidRPr="009160C5" w:rsidRDefault="00F3073F" w:rsidP="00F35C4E">
    <w:pPr>
      <w:pStyle w:val="Footer"/>
      <w:tabs>
        <w:tab w:val="clear" w:pos="4680"/>
        <w:tab w:val="clear" w:pos="9360"/>
        <w:tab w:val="left" w:pos="4035"/>
      </w:tabs>
      <w:jc w:val="center"/>
      <w:rPr>
        <w:rFonts w:cs="Arial"/>
      </w:rPr>
    </w:pPr>
    <w:r w:rsidRPr="009160C5">
      <w:rPr>
        <w:rFonts w:cs="Arial"/>
        <w:b/>
        <w:i/>
        <w:color w:val="0070C0"/>
      </w:rPr>
      <w:t xml:space="preserve">Posted </w:t>
    </w:r>
    <w:r>
      <w:rPr>
        <w:rFonts w:cs="Arial"/>
        <w:b/>
        <w:i/>
        <w:color w:val="0070C0"/>
      </w:rPr>
      <w:t>June 8</w:t>
    </w:r>
    <w:r w:rsidRPr="009160C5">
      <w:rPr>
        <w:rFonts w:cs="Arial"/>
        <w:b/>
        <w:i/>
        <w:color w:val="0070C0"/>
      </w:rPr>
      <w:t>, 2023</w:t>
    </w:r>
  </w:p>
  <w:p w14:paraId="3DA1B191" w14:textId="77777777" w:rsidR="00F3073F" w:rsidRPr="00F1211C" w:rsidRDefault="00F3073F" w:rsidP="00A638BD">
    <w:pPr>
      <w:pStyle w:val="Footer"/>
      <w:jc w:val="center"/>
      <w:rPr>
        <w:rFonts w:cs="Arial"/>
        <w:b/>
        <w:i/>
        <w:color w:val="0070C0"/>
        <w:szCs w:val="20"/>
      </w:rPr>
    </w:pPr>
  </w:p>
  <w:p w14:paraId="7F25E987" w14:textId="77777777" w:rsidR="00F3073F" w:rsidRDefault="00F3073F" w:rsidP="003B09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FF2E6" w14:textId="77777777" w:rsidR="00F3073F" w:rsidRDefault="00F3073F">
      <w:pPr>
        <w:spacing w:line="240" w:lineRule="auto"/>
      </w:pPr>
      <w:r>
        <w:separator/>
      </w:r>
    </w:p>
  </w:footnote>
  <w:footnote w:type="continuationSeparator" w:id="0">
    <w:p w14:paraId="56BDF68F" w14:textId="77777777" w:rsidR="00F3073F" w:rsidRDefault="00F3073F">
      <w:pPr>
        <w:spacing w:line="240" w:lineRule="auto"/>
      </w:pPr>
      <w:r>
        <w:continuationSeparator/>
      </w:r>
    </w:p>
  </w:footnote>
  <w:footnote w:type="continuationNotice" w:id="1">
    <w:p w14:paraId="71BE6A47" w14:textId="77777777" w:rsidR="00F3073F" w:rsidRDefault="00F307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EADB" w14:textId="77777777" w:rsidR="00F3073F" w:rsidRPr="009160C5" w:rsidRDefault="00F3073F" w:rsidP="00F35C4E">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3935D556" w14:textId="77777777" w:rsidR="00F3073F" w:rsidRDefault="00F30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10A2"/>
    <w:multiLevelType w:val="hybridMultilevel"/>
    <w:tmpl w:val="B2A6F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D495D"/>
    <w:multiLevelType w:val="hybridMultilevel"/>
    <w:tmpl w:val="55CCE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4157E6"/>
    <w:multiLevelType w:val="hybridMultilevel"/>
    <w:tmpl w:val="5428F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D5537"/>
    <w:multiLevelType w:val="hybridMultilevel"/>
    <w:tmpl w:val="4864B0D6"/>
    <w:lvl w:ilvl="0" w:tplc="4FD27A46">
      <w:start w:val="1"/>
      <w:numFmt w:val="bullet"/>
      <w:lvlText w:val=""/>
      <w:lvlJc w:val="left"/>
      <w:pPr>
        <w:ind w:left="720" w:hanging="360"/>
      </w:pPr>
      <w:rPr>
        <w:rFonts w:ascii="Symbol" w:eastAsiaTheme="minorHAnsi" w:hAnsi="Symbol" w:cstheme="minorBidi" w:hint="default"/>
      </w:rPr>
    </w:lvl>
    <w:lvl w:ilvl="1" w:tplc="701EAB94" w:tentative="1">
      <w:start w:val="1"/>
      <w:numFmt w:val="bullet"/>
      <w:lvlText w:val="o"/>
      <w:lvlJc w:val="left"/>
      <w:pPr>
        <w:ind w:left="1440" w:hanging="360"/>
      </w:pPr>
      <w:rPr>
        <w:rFonts w:ascii="Courier New" w:hAnsi="Courier New" w:cs="Courier New" w:hint="default"/>
      </w:rPr>
    </w:lvl>
    <w:lvl w:ilvl="2" w:tplc="C79AEF2C" w:tentative="1">
      <w:start w:val="1"/>
      <w:numFmt w:val="bullet"/>
      <w:lvlText w:val=""/>
      <w:lvlJc w:val="left"/>
      <w:pPr>
        <w:ind w:left="2160" w:hanging="360"/>
      </w:pPr>
      <w:rPr>
        <w:rFonts w:ascii="Wingdings" w:hAnsi="Wingdings" w:hint="default"/>
      </w:rPr>
    </w:lvl>
    <w:lvl w:ilvl="3" w:tplc="1FF2CA98" w:tentative="1">
      <w:start w:val="1"/>
      <w:numFmt w:val="bullet"/>
      <w:lvlText w:val=""/>
      <w:lvlJc w:val="left"/>
      <w:pPr>
        <w:ind w:left="2880" w:hanging="360"/>
      </w:pPr>
      <w:rPr>
        <w:rFonts w:ascii="Symbol" w:hAnsi="Symbol" w:hint="default"/>
      </w:rPr>
    </w:lvl>
    <w:lvl w:ilvl="4" w:tplc="E3561F48" w:tentative="1">
      <w:start w:val="1"/>
      <w:numFmt w:val="bullet"/>
      <w:lvlText w:val="o"/>
      <w:lvlJc w:val="left"/>
      <w:pPr>
        <w:ind w:left="3600" w:hanging="360"/>
      </w:pPr>
      <w:rPr>
        <w:rFonts w:ascii="Courier New" w:hAnsi="Courier New" w:cs="Courier New" w:hint="default"/>
      </w:rPr>
    </w:lvl>
    <w:lvl w:ilvl="5" w:tplc="4F087ED0" w:tentative="1">
      <w:start w:val="1"/>
      <w:numFmt w:val="bullet"/>
      <w:lvlText w:val=""/>
      <w:lvlJc w:val="left"/>
      <w:pPr>
        <w:ind w:left="4320" w:hanging="360"/>
      </w:pPr>
      <w:rPr>
        <w:rFonts w:ascii="Wingdings" w:hAnsi="Wingdings" w:hint="default"/>
      </w:rPr>
    </w:lvl>
    <w:lvl w:ilvl="6" w:tplc="53068476" w:tentative="1">
      <w:start w:val="1"/>
      <w:numFmt w:val="bullet"/>
      <w:lvlText w:val=""/>
      <w:lvlJc w:val="left"/>
      <w:pPr>
        <w:ind w:left="5040" w:hanging="360"/>
      </w:pPr>
      <w:rPr>
        <w:rFonts w:ascii="Symbol" w:hAnsi="Symbol" w:hint="default"/>
      </w:rPr>
    </w:lvl>
    <w:lvl w:ilvl="7" w:tplc="1BE80328" w:tentative="1">
      <w:start w:val="1"/>
      <w:numFmt w:val="bullet"/>
      <w:lvlText w:val="o"/>
      <w:lvlJc w:val="left"/>
      <w:pPr>
        <w:ind w:left="5760" w:hanging="360"/>
      </w:pPr>
      <w:rPr>
        <w:rFonts w:ascii="Courier New" w:hAnsi="Courier New" w:cs="Courier New" w:hint="default"/>
      </w:rPr>
    </w:lvl>
    <w:lvl w:ilvl="8" w:tplc="840AF52E"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58"/>
    <w:rsid w:val="0000430E"/>
    <w:rsid w:val="0004375D"/>
    <w:rsid w:val="00054704"/>
    <w:rsid w:val="00055B09"/>
    <w:rsid w:val="00060DB2"/>
    <w:rsid w:val="000617BF"/>
    <w:rsid w:val="000646CD"/>
    <w:rsid w:val="00074059"/>
    <w:rsid w:val="000A3B45"/>
    <w:rsid w:val="000A6C9F"/>
    <w:rsid w:val="000A6F75"/>
    <w:rsid w:val="000B20AA"/>
    <w:rsid w:val="000C2DD8"/>
    <w:rsid w:val="000C75B7"/>
    <w:rsid w:val="000D2F54"/>
    <w:rsid w:val="000D6029"/>
    <w:rsid w:val="000F7E83"/>
    <w:rsid w:val="0011282B"/>
    <w:rsid w:val="0011408E"/>
    <w:rsid w:val="00137906"/>
    <w:rsid w:val="00142F36"/>
    <w:rsid w:val="001643D0"/>
    <w:rsid w:val="0017055B"/>
    <w:rsid w:val="001712CE"/>
    <w:rsid w:val="00175EF7"/>
    <w:rsid w:val="0017643B"/>
    <w:rsid w:val="00182C29"/>
    <w:rsid w:val="0019139B"/>
    <w:rsid w:val="00194B60"/>
    <w:rsid w:val="001A67E2"/>
    <w:rsid w:val="001B4B19"/>
    <w:rsid w:val="001B781B"/>
    <w:rsid w:val="001E0DED"/>
    <w:rsid w:val="001F17C6"/>
    <w:rsid w:val="001F7F42"/>
    <w:rsid w:val="00200CE1"/>
    <w:rsid w:val="00207FF8"/>
    <w:rsid w:val="002131CC"/>
    <w:rsid w:val="0023017A"/>
    <w:rsid w:val="00257235"/>
    <w:rsid w:val="0025736F"/>
    <w:rsid w:val="00264421"/>
    <w:rsid w:val="00276964"/>
    <w:rsid w:val="00277577"/>
    <w:rsid w:val="00290442"/>
    <w:rsid w:val="002A52B4"/>
    <w:rsid w:val="002B7FB9"/>
    <w:rsid w:val="002C7CB9"/>
    <w:rsid w:val="002E41BD"/>
    <w:rsid w:val="002E46CC"/>
    <w:rsid w:val="00302C69"/>
    <w:rsid w:val="00305CD9"/>
    <w:rsid w:val="00316E1F"/>
    <w:rsid w:val="00322AC4"/>
    <w:rsid w:val="00325B81"/>
    <w:rsid w:val="00325D9D"/>
    <w:rsid w:val="0033351D"/>
    <w:rsid w:val="00385A4B"/>
    <w:rsid w:val="00390C2E"/>
    <w:rsid w:val="00391C33"/>
    <w:rsid w:val="00396559"/>
    <w:rsid w:val="003B0958"/>
    <w:rsid w:val="003B1524"/>
    <w:rsid w:val="003B4D35"/>
    <w:rsid w:val="003B5379"/>
    <w:rsid w:val="003E399C"/>
    <w:rsid w:val="003E542B"/>
    <w:rsid w:val="003F20DE"/>
    <w:rsid w:val="00402D94"/>
    <w:rsid w:val="0042010F"/>
    <w:rsid w:val="00424F7E"/>
    <w:rsid w:val="00425209"/>
    <w:rsid w:val="004309CD"/>
    <w:rsid w:val="0043230E"/>
    <w:rsid w:val="004410E6"/>
    <w:rsid w:val="00444E7D"/>
    <w:rsid w:val="004557C1"/>
    <w:rsid w:val="0047520E"/>
    <w:rsid w:val="00480E0E"/>
    <w:rsid w:val="004947C2"/>
    <w:rsid w:val="004A01EC"/>
    <w:rsid w:val="004A0771"/>
    <w:rsid w:val="004B187A"/>
    <w:rsid w:val="004B4D60"/>
    <w:rsid w:val="004B4FEB"/>
    <w:rsid w:val="004C6CA1"/>
    <w:rsid w:val="004D36F0"/>
    <w:rsid w:val="004D38AA"/>
    <w:rsid w:val="004E3D5B"/>
    <w:rsid w:val="004F1B2E"/>
    <w:rsid w:val="00515097"/>
    <w:rsid w:val="00517244"/>
    <w:rsid w:val="00517719"/>
    <w:rsid w:val="005270A0"/>
    <w:rsid w:val="00543914"/>
    <w:rsid w:val="00543D6B"/>
    <w:rsid w:val="00544BDF"/>
    <w:rsid w:val="005455E7"/>
    <w:rsid w:val="00563467"/>
    <w:rsid w:val="00571ADF"/>
    <w:rsid w:val="00576E62"/>
    <w:rsid w:val="005826DB"/>
    <w:rsid w:val="005A2E5E"/>
    <w:rsid w:val="005A60DD"/>
    <w:rsid w:val="005B775E"/>
    <w:rsid w:val="005D1619"/>
    <w:rsid w:val="005D444E"/>
    <w:rsid w:val="005E2545"/>
    <w:rsid w:val="00602143"/>
    <w:rsid w:val="00602E3A"/>
    <w:rsid w:val="006148AF"/>
    <w:rsid w:val="00624425"/>
    <w:rsid w:val="00634060"/>
    <w:rsid w:val="006544AF"/>
    <w:rsid w:val="00655A7D"/>
    <w:rsid w:val="00662181"/>
    <w:rsid w:val="00666A3B"/>
    <w:rsid w:val="0066792C"/>
    <w:rsid w:val="00677648"/>
    <w:rsid w:val="00683097"/>
    <w:rsid w:val="006906FB"/>
    <w:rsid w:val="006A08CB"/>
    <w:rsid w:val="006B02DB"/>
    <w:rsid w:val="006C5234"/>
    <w:rsid w:val="006D175B"/>
    <w:rsid w:val="006E44BC"/>
    <w:rsid w:val="006E4F7C"/>
    <w:rsid w:val="006E69AF"/>
    <w:rsid w:val="006F0157"/>
    <w:rsid w:val="00711A9F"/>
    <w:rsid w:val="00714DB7"/>
    <w:rsid w:val="00720474"/>
    <w:rsid w:val="007208B4"/>
    <w:rsid w:val="0073474B"/>
    <w:rsid w:val="00764033"/>
    <w:rsid w:val="00776465"/>
    <w:rsid w:val="007929E6"/>
    <w:rsid w:val="007B3A84"/>
    <w:rsid w:val="007B6672"/>
    <w:rsid w:val="007D1F9C"/>
    <w:rsid w:val="007E45AA"/>
    <w:rsid w:val="007F2DD5"/>
    <w:rsid w:val="007F4A0A"/>
    <w:rsid w:val="00800483"/>
    <w:rsid w:val="00801212"/>
    <w:rsid w:val="008135AE"/>
    <w:rsid w:val="00817EBB"/>
    <w:rsid w:val="008270CB"/>
    <w:rsid w:val="00836F64"/>
    <w:rsid w:val="008372D4"/>
    <w:rsid w:val="00855F77"/>
    <w:rsid w:val="0086224E"/>
    <w:rsid w:val="00863079"/>
    <w:rsid w:val="008739EF"/>
    <w:rsid w:val="00877C41"/>
    <w:rsid w:val="008840A1"/>
    <w:rsid w:val="008A018E"/>
    <w:rsid w:val="008A40E2"/>
    <w:rsid w:val="008A685C"/>
    <w:rsid w:val="008C30EC"/>
    <w:rsid w:val="008C5D60"/>
    <w:rsid w:val="008D4D27"/>
    <w:rsid w:val="008E79D5"/>
    <w:rsid w:val="00902F38"/>
    <w:rsid w:val="0090592B"/>
    <w:rsid w:val="00907903"/>
    <w:rsid w:val="00914659"/>
    <w:rsid w:val="009154A7"/>
    <w:rsid w:val="00916714"/>
    <w:rsid w:val="009251B3"/>
    <w:rsid w:val="00925D7B"/>
    <w:rsid w:val="00941AB8"/>
    <w:rsid w:val="00945A1F"/>
    <w:rsid w:val="00951698"/>
    <w:rsid w:val="0095207B"/>
    <w:rsid w:val="0096139A"/>
    <w:rsid w:val="0096316D"/>
    <w:rsid w:val="0097372A"/>
    <w:rsid w:val="00983D7B"/>
    <w:rsid w:val="0099674C"/>
    <w:rsid w:val="0099791D"/>
    <w:rsid w:val="009A5D11"/>
    <w:rsid w:val="009B7506"/>
    <w:rsid w:val="009C32BF"/>
    <w:rsid w:val="009C4E1A"/>
    <w:rsid w:val="009F61EA"/>
    <w:rsid w:val="00A01C80"/>
    <w:rsid w:val="00A077C4"/>
    <w:rsid w:val="00A4201F"/>
    <w:rsid w:val="00A50890"/>
    <w:rsid w:val="00A53457"/>
    <w:rsid w:val="00A638BD"/>
    <w:rsid w:val="00A82DC8"/>
    <w:rsid w:val="00A83C07"/>
    <w:rsid w:val="00A85AD9"/>
    <w:rsid w:val="00A94CAB"/>
    <w:rsid w:val="00A96895"/>
    <w:rsid w:val="00AA4202"/>
    <w:rsid w:val="00AA423A"/>
    <w:rsid w:val="00AA7D2E"/>
    <w:rsid w:val="00AB10B0"/>
    <w:rsid w:val="00AC4F72"/>
    <w:rsid w:val="00AD267C"/>
    <w:rsid w:val="00AE4522"/>
    <w:rsid w:val="00AF679A"/>
    <w:rsid w:val="00B23DD9"/>
    <w:rsid w:val="00B27046"/>
    <w:rsid w:val="00B53EB6"/>
    <w:rsid w:val="00B546A6"/>
    <w:rsid w:val="00B57704"/>
    <w:rsid w:val="00B6337B"/>
    <w:rsid w:val="00B80614"/>
    <w:rsid w:val="00B8561B"/>
    <w:rsid w:val="00BA2FC6"/>
    <w:rsid w:val="00BA3651"/>
    <w:rsid w:val="00BA3ED6"/>
    <w:rsid w:val="00BB7A31"/>
    <w:rsid w:val="00BC58B8"/>
    <w:rsid w:val="00BD5C54"/>
    <w:rsid w:val="00BE1171"/>
    <w:rsid w:val="00BE3CDF"/>
    <w:rsid w:val="00BF3D50"/>
    <w:rsid w:val="00BF71FB"/>
    <w:rsid w:val="00C0189E"/>
    <w:rsid w:val="00C02934"/>
    <w:rsid w:val="00C1054A"/>
    <w:rsid w:val="00C30549"/>
    <w:rsid w:val="00C33B4D"/>
    <w:rsid w:val="00C5117E"/>
    <w:rsid w:val="00C64BC8"/>
    <w:rsid w:val="00C65617"/>
    <w:rsid w:val="00C85FC4"/>
    <w:rsid w:val="00C95A9D"/>
    <w:rsid w:val="00CA01CF"/>
    <w:rsid w:val="00CA4B4F"/>
    <w:rsid w:val="00CB36F4"/>
    <w:rsid w:val="00CB5AAF"/>
    <w:rsid w:val="00CB6B99"/>
    <w:rsid w:val="00CF0587"/>
    <w:rsid w:val="00D0412F"/>
    <w:rsid w:val="00D055F5"/>
    <w:rsid w:val="00D10309"/>
    <w:rsid w:val="00D14FF5"/>
    <w:rsid w:val="00D22029"/>
    <w:rsid w:val="00D2309E"/>
    <w:rsid w:val="00D270A7"/>
    <w:rsid w:val="00D3434B"/>
    <w:rsid w:val="00D468BA"/>
    <w:rsid w:val="00D47525"/>
    <w:rsid w:val="00D50309"/>
    <w:rsid w:val="00D514C8"/>
    <w:rsid w:val="00D5364E"/>
    <w:rsid w:val="00D57EF6"/>
    <w:rsid w:val="00D74856"/>
    <w:rsid w:val="00D84C0A"/>
    <w:rsid w:val="00DA010C"/>
    <w:rsid w:val="00DB1920"/>
    <w:rsid w:val="00DC2D78"/>
    <w:rsid w:val="00DC2E9B"/>
    <w:rsid w:val="00DF0350"/>
    <w:rsid w:val="00DF55AA"/>
    <w:rsid w:val="00E13892"/>
    <w:rsid w:val="00E155A3"/>
    <w:rsid w:val="00E1655A"/>
    <w:rsid w:val="00E16A0E"/>
    <w:rsid w:val="00E62424"/>
    <w:rsid w:val="00E64962"/>
    <w:rsid w:val="00E800A4"/>
    <w:rsid w:val="00E93755"/>
    <w:rsid w:val="00EB726E"/>
    <w:rsid w:val="00EC347B"/>
    <w:rsid w:val="00ED0ACA"/>
    <w:rsid w:val="00ED7D50"/>
    <w:rsid w:val="00F022B2"/>
    <w:rsid w:val="00F02B9A"/>
    <w:rsid w:val="00F25160"/>
    <w:rsid w:val="00F3073F"/>
    <w:rsid w:val="00F31E90"/>
    <w:rsid w:val="00F334C3"/>
    <w:rsid w:val="00F35C4E"/>
    <w:rsid w:val="00F478DF"/>
    <w:rsid w:val="00F51013"/>
    <w:rsid w:val="00F93F4B"/>
    <w:rsid w:val="00FA5FE8"/>
    <w:rsid w:val="00FB394F"/>
    <w:rsid w:val="00FB45FD"/>
    <w:rsid w:val="00FB579A"/>
    <w:rsid w:val="00FC4E70"/>
    <w:rsid w:val="00FC5795"/>
    <w:rsid w:val="00FD6E58"/>
    <w:rsid w:val="00FF158B"/>
    <w:rsid w:val="00FF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135D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16D"/>
    <w:pPr>
      <w:contextualSpacing/>
    </w:pPr>
  </w:style>
  <w:style w:type="paragraph" w:styleId="Heading1">
    <w:name w:val="heading 1"/>
    <w:basedOn w:val="Normal"/>
    <w:next w:val="Normal"/>
    <w:link w:val="Heading1Char"/>
    <w:uiPriority w:val="9"/>
    <w:qFormat/>
    <w:rsid w:val="004F1B2E"/>
    <w:pPr>
      <w:widowControl w:val="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F1B2E"/>
    <w:pPr>
      <w:widowControl w:val="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D444E"/>
    <w:pPr>
      <w:widowControl w:val="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F1B2E"/>
    <w:pPr>
      <w:widowControl w:val="0"/>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F1B2E"/>
    <w:pPr>
      <w:widowControl w:val="0"/>
      <w:tabs>
        <w:tab w:val="center" w:pos="4680"/>
        <w:tab w:val="right" w:pos="9360"/>
      </w:tabs>
      <w:spacing w:line="240" w:lineRule="auto"/>
    </w:pPr>
  </w:style>
  <w:style w:type="character" w:customStyle="1" w:styleId="HeaderChar">
    <w:name w:val="Header Char"/>
    <w:basedOn w:val="DefaultParagraphFont"/>
    <w:link w:val="Header"/>
    <w:uiPriority w:val="99"/>
    <w:rsid w:val="003B0958"/>
  </w:style>
  <w:style w:type="paragraph" w:styleId="Footer">
    <w:name w:val="footer"/>
    <w:basedOn w:val="Normal"/>
    <w:link w:val="FooterChar"/>
    <w:uiPriority w:val="99"/>
    <w:unhideWhenUsed/>
    <w:rsid w:val="004F1B2E"/>
    <w:pPr>
      <w:widowControl w:val="0"/>
      <w:tabs>
        <w:tab w:val="center" w:pos="4680"/>
        <w:tab w:val="right" w:pos="9360"/>
      </w:tabs>
      <w:spacing w:line="240" w:lineRule="auto"/>
    </w:pPr>
  </w:style>
  <w:style w:type="character" w:customStyle="1" w:styleId="FooterChar">
    <w:name w:val="Footer Char"/>
    <w:basedOn w:val="DefaultParagraphFont"/>
    <w:link w:val="Footer"/>
    <w:uiPriority w:val="99"/>
    <w:rsid w:val="003B0958"/>
  </w:style>
  <w:style w:type="paragraph" w:styleId="ListParagraph">
    <w:name w:val="List Paragraph"/>
    <w:basedOn w:val="Normal"/>
    <w:uiPriority w:val="34"/>
    <w:qFormat/>
    <w:rsid w:val="004F1B2E"/>
    <w:pPr>
      <w:widowControl w:val="0"/>
      <w:ind w:left="720"/>
    </w:pPr>
  </w:style>
  <w:style w:type="paragraph" w:styleId="TOCHeading">
    <w:name w:val="TOC Heading"/>
    <w:basedOn w:val="Heading1"/>
    <w:next w:val="Normal"/>
    <w:uiPriority w:val="39"/>
    <w:unhideWhenUsed/>
    <w:qFormat/>
    <w:rsid w:val="001E0DED"/>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rsid w:val="00AE4522"/>
    <w:pPr>
      <w:tabs>
        <w:tab w:val="left" w:pos="540"/>
        <w:tab w:val="right" w:leader="dot" w:pos="9360"/>
      </w:tabs>
      <w:spacing w:line="240" w:lineRule="auto"/>
      <w:ind w:left="540" w:hanging="540"/>
    </w:pPr>
    <w:rPr>
      <w:rFonts w:ascii="Cambria" w:eastAsia="Times New Roman" w:hAnsi="Cambria" w:cs="Times New Roman"/>
      <w:noProof/>
      <w:sz w:val="24"/>
    </w:rPr>
  </w:style>
  <w:style w:type="paragraph" w:styleId="TOC2">
    <w:name w:val="toc 2"/>
    <w:basedOn w:val="TOC1"/>
    <w:next w:val="Normal"/>
    <w:autoRedefine/>
    <w:uiPriority w:val="39"/>
    <w:rsid w:val="00AE4522"/>
    <w:pPr>
      <w:tabs>
        <w:tab w:val="clear" w:pos="540"/>
        <w:tab w:val="left" w:pos="1260"/>
      </w:tabs>
      <w:ind w:left="1267" w:hanging="720"/>
    </w:pPr>
  </w:style>
  <w:style w:type="paragraph" w:styleId="TOC3">
    <w:name w:val="toc 3"/>
    <w:basedOn w:val="TOC2"/>
    <w:next w:val="Normal"/>
    <w:autoRedefine/>
    <w:uiPriority w:val="39"/>
    <w:rsid w:val="00AE4522"/>
    <w:pPr>
      <w:tabs>
        <w:tab w:val="clear" w:pos="1260"/>
        <w:tab w:val="left" w:pos="2160"/>
      </w:tabs>
      <w:ind w:left="1987"/>
    </w:pPr>
  </w:style>
  <w:style w:type="character" w:styleId="Hyperlink">
    <w:name w:val="Hyperlink"/>
    <w:basedOn w:val="DefaultParagraphFont"/>
    <w:uiPriority w:val="99"/>
    <w:unhideWhenUsed/>
    <w:rsid w:val="001E0DED"/>
    <w:rPr>
      <w:color w:val="0563C1" w:themeColor="hyperlink"/>
      <w:u w:val="single"/>
    </w:rPr>
  </w:style>
  <w:style w:type="character" w:styleId="CommentReference">
    <w:name w:val="annotation reference"/>
    <w:basedOn w:val="DefaultParagraphFont"/>
    <w:uiPriority w:val="99"/>
    <w:semiHidden/>
    <w:unhideWhenUsed/>
    <w:rsid w:val="00FB45FD"/>
    <w:rPr>
      <w:sz w:val="16"/>
      <w:szCs w:val="16"/>
    </w:rPr>
  </w:style>
  <w:style w:type="paragraph" w:styleId="CommentText">
    <w:name w:val="annotation text"/>
    <w:basedOn w:val="Normal"/>
    <w:link w:val="CommentTextChar"/>
    <w:uiPriority w:val="99"/>
    <w:unhideWhenUsed/>
    <w:rsid w:val="004F1B2E"/>
    <w:pPr>
      <w:widowControl w:val="0"/>
      <w:spacing w:line="240" w:lineRule="auto"/>
    </w:pPr>
    <w:rPr>
      <w:szCs w:val="20"/>
    </w:rPr>
  </w:style>
  <w:style w:type="character" w:customStyle="1" w:styleId="CommentTextChar">
    <w:name w:val="Comment Text Char"/>
    <w:basedOn w:val="DefaultParagraphFont"/>
    <w:link w:val="CommentText"/>
    <w:uiPriority w:val="99"/>
    <w:rsid w:val="00FB45FD"/>
    <w:rPr>
      <w:szCs w:val="20"/>
    </w:rPr>
  </w:style>
  <w:style w:type="paragraph" w:styleId="CommentSubject">
    <w:name w:val="annotation subject"/>
    <w:basedOn w:val="CommentText"/>
    <w:next w:val="CommentText"/>
    <w:link w:val="CommentSubjectChar"/>
    <w:uiPriority w:val="99"/>
    <w:semiHidden/>
    <w:unhideWhenUsed/>
    <w:rsid w:val="00FB45FD"/>
    <w:rPr>
      <w:b/>
      <w:bCs/>
    </w:rPr>
  </w:style>
  <w:style w:type="character" w:customStyle="1" w:styleId="CommentSubjectChar">
    <w:name w:val="Comment Subject Char"/>
    <w:basedOn w:val="CommentTextChar"/>
    <w:link w:val="CommentSubject"/>
    <w:uiPriority w:val="99"/>
    <w:semiHidden/>
    <w:rsid w:val="00FB45FD"/>
    <w:rPr>
      <w:b/>
      <w:bCs/>
      <w:szCs w:val="20"/>
    </w:rPr>
  </w:style>
  <w:style w:type="paragraph" w:styleId="BalloonText">
    <w:name w:val="Balloon Text"/>
    <w:basedOn w:val="Normal"/>
    <w:link w:val="BalloonTextChar"/>
    <w:uiPriority w:val="99"/>
    <w:semiHidden/>
    <w:unhideWhenUsed/>
    <w:rsid w:val="004F1B2E"/>
    <w:pPr>
      <w:widowControl w:val="0"/>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FD"/>
    <w:rPr>
      <w:rFonts w:ascii="Segoe UI" w:hAnsi="Segoe UI" w:cs="Segoe UI"/>
      <w:sz w:val="18"/>
      <w:szCs w:val="18"/>
    </w:rPr>
  </w:style>
  <w:style w:type="character" w:styleId="PlaceholderText">
    <w:name w:val="Placeholder Text"/>
    <w:basedOn w:val="DefaultParagraphFont"/>
    <w:uiPriority w:val="99"/>
    <w:semiHidden/>
    <w:rsid w:val="00A4201F"/>
    <w:rPr>
      <w:color w:val="808080"/>
    </w:rPr>
  </w:style>
  <w:style w:type="paragraph" w:styleId="Revision">
    <w:name w:val="Revision"/>
    <w:hidden/>
    <w:uiPriority w:val="99"/>
    <w:semiHidden/>
    <w:rsid w:val="004F1B2E"/>
    <w:pPr>
      <w:spacing w:line="240" w:lineRule="auto"/>
    </w:pPr>
  </w:style>
  <w:style w:type="paragraph" w:styleId="NoSpacing">
    <w:name w:val="No Spacing"/>
    <w:uiPriority w:val="1"/>
    <w:qFormat/>
    <w:rsid w:val="0096316D"/>
    <w:pPr>
      <w:spacing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24" Type="http://schemas.microsoft.com/office/2016/09/relationships/commentsIds" Target="commentsIds.xml"/><Relationship Id="rId11" Type="http://schemas.openxmlformats.org/officeDocument/2006/relationships/webSettings" Target="webSettings.xml"/><Relationship Id="rId23" Type="http://schemas.microsoft.com/office/2018/08/relationships/commentsExtensible" Target="commentsExtensible.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customXsn xmlns="http://schemas.microsoft.com/office/2006/metadata/customXsn">
  <xsnLocation/>
  <cached>True</cached>
  <openByDefault>True</openByDefault>
  <xsnScope>http://tstrs01:20582/sites/GCA</xsnScope>
</customXsn>
</file>

<file path=customXml/item6.xml><?xml version="1.0" encoding="utf-8"?>
<?mso-contentType ?>
<SharedContentType xmlns="Microsoft.SharePoint.Taxonomy.ContentTypeSync" SourceId="c1ea9f00-2c89-4a86-aea0-dbfd1bc7b96c" ContentTypeId="0x010100B72ED250C60CFC47AE0A3A0E89407926" PreviousValue="false"/>
</file>

<file path=customXml/item7.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12D88F-352B-425E-946D-4AA3E08ABE0B}"/>
</file>

<file path=customXml/itemProps2.xml><?xml version="1.0" encoding="utf-8"?>
<ds:datastoreItem xmlns:ds="http://schemas.openxmlformats.org/officeDocument/2006/customXml" ds:itemID="{BA2D4626-D0D1-48F9-9352-62D0CFDB79B1}">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2e64aaae-efe8-4b36-9ab4-486f04499e09"/>
    <ds:schemaRef ds:uri="aacef3a8-fbaf-4939-b485-706baa531e6f"/>
    <ds:schemaRef ds:uri="dcc7e218-8b47-4273-ba28-07719656e1ad"/>
    <ds:schemaRef ds:uri="c21bdecf-9e2c-4c41-a449-550529a26489"/>
    <ds:schemaRef ds:uri="http://www.w3.org/XML/1998/namespace"/>
  </ds:schemaRefs>
</ds:datastoreItem>
</file>

<file path=customXml/itemProps3.xml><?xml version="1.0" encoding="utf-8"?>
<ds:datastoreItem xmlns:ds="http://schemas.openxmlformats.org/officeDocument/2006/customXml" ds:itemID="{20FEA7C6-23F8-4269-985C-0631028795E4}"/>
</file>

<file path=customXml/itemProps4.xml><?xml version="1.0" encoding="utf-8"?>
<ds:datastoreItem xmlns:ds="http://schemas.openxmlformats.org/officeDocument/2006/customXml" ds:itemID="{53E65FC3-FC30-43C9-A54C-70F71A376B40}">
  <ds:schemaRefs>
    <ds:schemaRef ds:uri="http://schemas.microsoft.com/sharepoint/events"/>
  </ds:schemaRefs>
</ds:datastoreItem>
</file>

<file path=customXml/itemProps5.xml><?xml version="1.0" encoding="utf-8"?>
<ds:datastoreItem xmlns:ds="http://schemas.openxmlformats.org/officeDocument/2006/customXml" ds:itemID="{66F49298-D98B-4EBC-B663-33EAA5FC6B7B}">
  <ds:schemaRefs>
    <ds:schemaRef ds:uri="http://schemas.microsoft.com/office/2006/metadata/customXsn"/>
  </ds:schemaRefs>
</ds:datastoreItem>
</file>

<file path=customXml/itemProps6.xml><?xml version="1.0" encoding="utf-8"?>
<ds:datastoreItem xmlns:ds="http://schemas.openxmlformats.org/officeDocument/2006/customXml" ds:itemID="{6263F149-D4E7-4F59-9A08-22F5A5D9AEBF}">
  <ds:schemaRefs>
    <ds:schemaRef ds:uri="Microsoft.SharePoint.Taxonomy.ContentTypeSync"/>
  </ds:schemaRefs>
</ds:datastoreItem>
</file>

<file path=customXml/itemProps7.xml><?xml version="1.0" encoding="utf-8"?>
<ds:datastoreItem xmlns:ds="http://schemas.openxmlformats.org/officeDocument/2006/customXml" ds:itemID="{F7B6838A-384B-4031-B878-AE865320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2023-06-09T21:42:00Z</dcterms:created>
  <dcterms:modified xsi:type="dcterms:W3CDTF">2023-06-09T21:42:00Z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9d3546ff-829b-4354-abe1-d2b8ff783e4d</vt:lpwstr>
  </property>
  <property fmtid="{D5CDD505-2E9C-101B-9397-08002B2CF9AE}" pid="6" name="Docket No.">
    <vt:lpwstr/>
  </property>
  <property fmtid="{D5CDD505-2E9C-101B-9397-08002B2CF9AE}" pid="7" name="Assistant General Counsel">
    <vt:lpwstr>John Anders</vt:lpwstr>
  </property>
  <property fmtid="{D5CDD505-2E9C-101B-9397-08002B2CF9AE}" pid="8" name="Date1">
    <vt:filetime>2023-06-08T07:00:00Z</vt:filetime>
  </property>
  <property fmtid="{D5CDD505-2E9C-101B-9397-08002B2CF9AE}" pid="9" name="AutoClassRecordSeries">
    <vt:lpwstr/>
  </property>
  <property fmtid="{D5CDD505-2E9C-101B-9397-08002B2CF9AE}" pid="10" name="AutoClassTopic">
    <vt:lpwstr/>
  </property>
  <property fmtid="{D5CDD505-2E9C-101B-9397-08002B2CF9AE}" pid="11" name="AutoClassDocumentType">
    <vt:lpwstr/>
  </property>
</Properties>
</file>