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E1613" w14:textId="000B1921" w:rsidR="005F0E41" w:rsidRPr="007D6B4B" w:rsidRDefault="00E24FD7" w:rsidP="005F0E41">
      <w:pPr>
        <w:spacing w:after="0" w:line="240" w:lineRule="auto"/>
        <w:jc w:val="center"/>
        <w:rPr>
          <w:rFonts w:ascii="Arial" w:hAnsi="Arial" w:cs="Arial"/>
          <w:b/>
          <w:sz w:val="28"/>
          <w:szCs w:val="28"/>
        </w:rPr>
      </w:pPr>
      <w:r>
        <w:rPr>
          <w:rFonts w:ascii="Arial" w:hAnsi="Arial" w:cs="Arial"/>
          <w:b/>
          <w:sz w:val="28"/>
          <w:szCs w:val="28"/>
        </w:rPr>
        <w:t>Pseudo-Ties of Shared Resources</w:t>
      </w:r>
    </w:p>
    <w:p w14:paraId="2DD1A7C0" w14:textId="25D839C1" w:rsidR="005F0E41" w:rsidRPr="007D6B4B" w:rsidRDefault="005F0E41" w:rsidP="005F0E41">
      <w:pPr>
        <w:spacing w:after="0" w:line="240" w:lineRule="auto"/>
        <w:jc w:val="center"/>
        <w:rPr>
          <w:rFonts w:ascii="Arial" w:hAnsi="Arial" w:cs="Arial"/>
          <w:b/>
          <w:sz w:val="28"/>
          <w:szCs w:val="28"/>
        </w:rPr>
      </w:pPr>
      <w:r w:rsidRPr="007D6B4B">
        <w:rPr>
          <w:rFonts w:ascii="Arial" w:hAnsi="Arial" w:cs="Arial"/>
          <w:b/>
          <w:sz w:val="28"/>
          <w:szCs w:val="28"/>
        </w:rPr>
        <w:t xml:space="preserve">Response to Stakeholder Comments on </w:t>
      </w:r>
      <w:r w:rsidR="00C904D8">
        <w:rPr>
          <w:rFonts w:ascii="Arial" w:hAnsi="Arial" w:cs="Arial"/>
          <w:b/>
          <w:sz w:val="28"/>
          <w:szCs w:val="28"/>
        </w:rPr>
        <w:t xml:space="preserve">Revised </w:t>
      </w:r>
      <w:r w:rsidRPr="007D6B4B">
        <w:rPr>
          <w:rFonts w:ascii="Arial" w:hAnsi="Arial" w:cs="Arial"/>
          <w:b/>
          <w:sz w:val="28"/>
          <w:szCs w:val="28"/>
        </w:rPr>
        <w:t xml:space="preserve">Draft Tariff Language and </w:t>
      </w:r>
    </w:p>
    <w:p w14:paraId="5F1D4A36" w14:textId="33098A6D" w:rsidR="005F0E41" w:rsidRPr="007D6B4B" w:rsidRDefault="005F0E41" w:rsidP="005F0E41">
      <w:pPr>
        <w:spacing w:after="0" w:line="240" w:lineRule="auto"/>
        <w:jc w:val="center"/>
        <w:rPr>
          <w:rFonts w:ascii="Arial" w:hAnsi="Arial" w:cs="Arial"/>
          <w:b/>
          <w:sz w:val="28"/>
          <w:szCs w:val="28"/>
        </w:rPr>
      </w:pPr>
      <w:r w:rsidRPr="007D6B4B">
        <w:rPr>
          <w:rFonts w:ascii="Arial" w:hAnsi="Arial" w:cs="Arial"/>
          <w:b/>
          <w:sz w:val="28"/>
          <w:szCs w:val="28"/>
        </w:rPr>
        <w:t>Explanation of</w:t>
      </w:r>
      <w:r w:rsidR="00C904D8">
        <w:rPr>
          <w:rFonts w:ascii="Arial" w:hAnsi="Arial" w:cs="Arial"/>
          <w:b/>
          <w:sz w:val="28"/>
          <w:szCs w:val="28"/>
        </w:rPr>
        <w:t xml:space="preserve"> Additional Revisions since September 1,</w:t>
      </w:r>
      <w:r w:rsidR="0044095E">
        <w:rPr>
          <w:rFonts w:ascii="Arial" w:hAnsi="Arial" w:cs="Arial"/>
          <w:b/>
          <w:sz w:val="28"/>
          <w:szCs w:val="28"/>
        </w:rPr>
        <w:t xml:space="preserve"> 2020 Stakeholder Meeting</w:t>
      </w:r>
    </w:p>
    <w:p w14:paraId="01B4F52E" w14:textId="77777777" w:rsidR="005F0E41" w:rsidRPr="007D6B4B" w:rsidRDefault="005F0E41" w:rsidP="005F0E41">
      <w:pPr>
        <w:spacing w:after="0" w:line="240" w:lineRule="auto"/>
        <w:jc w:val="center"/>
        <w:rPr>
          <w:rFonts w:ascii="Arial" w:hAnsi="Arial" w:cs="Arial"/>
          <w:b/>
          <w:sz w:val="28"/>
          <w:szCs w:val="28"/>
        </w:rPr>
      </w:pPr>
    </w:p>
    <w:tbl>
      <w:tblPr>
        <w:tblStyle w:val="TableGrid"/>
        <w:tblW w:w="13315" w:type="dxa"/>
        <w:tblLook w:val="04A0" w:firstRow="1" w:lastRow="0" w:firstColumn="1" w:lastColumn="0" w:noHBand="0" w:noVBand="1"/>
      </w:tblPr>
      <w:tblGrid>
        <w:gridCol w:w="3124"/>
        <w:gridCol w:w="5192"/>
        <w:gridCol w:w="4999"/>
      </w:tblGrid>
      <w:tr w:rsidR="007D6B4B" w:rsidRPr="00E24808" w14:paraId="11561091" w14:textId="77777777" w:rsidTr="006C0510">
        <w:trPr>
          <w:tblHeader/>
        </w:trPr>
        <w:tc>
          <w:tcPr>
            <w:tcW w:w="3124" w:type="dxa"/>
            <w:shd w:val="clear" w:color="auto" w:fill="FFFFFF" w:themeFill="background2"/>
          </w:tcPr>
          <w:p w14:paraId="162E86FB" w14:textId="699EEAA8" w:rsidR="005F0E41" w:rsidRPr="00E24808" w:rsidRDefault="002B1A43" w:rsidP="00665B47">
            <w:pPr>
              <w:rPr>
                <w:rFonts w:ascii="Arial" w:hAnsi="Arial" w:cs="Arial"/>
                <w:b/>
              </w:rPr>
            </w:pPr>
            <w:r w:rsidRPr="00E24808">
              <w:rPr>
                <w:rFonts w:ascii="Arial" w:hAnsi="Arial" w:cs="Arial"/>
                <w:b/>
              </w:rPr>
              <w:t>Tariff Section</w:t>
            </w:r>
            <w:r w:rsidR="00557BAD">
              <w:rPr>
                <w:rFonts w:ascii="Arial" w:hAnsi="Arial" w:cs="Arial"/>
                <w:b/>
              </w:rPr>
              <w:t>(s)</w:t>
            </w:r>
          </w:p>
        </w:tc>
        <w:tc>
          <w:tcPr>
            <w:tcW w:w="5192" w:type="dxa"/>
            <w:shd w:val="clear" w:color="auto" w:fill="FFFFFF" w:themeFill="background2"/>
          </w:tcPr>
          <w:p w14:paraId="11FD178A" w14:textId="77777777" w:rsidR="005F0E41" w:rsidRPr="00E24808" w:rsidRDefault="005F0E41" w:rsidP="00665B47">
            <w:pPr>
              <w:jc w:val="center"/>
              <w:rPr>
                <w:rFonts w:ascii="Arial" w:hAnsi="Arial" w:cs="Arial"/>
                <w:b/>
              </w:rPr>
            </w:pPr>
            <w:r w:rsidRPr="00E24808">
              <w:rPr>
                <w:rFonts w:ascii="Arial" w:hAnsi="Arial" w:cs="Arial"/>
                <w:b/>
              </w:rPr>
              <w:t>Stakeholder Comment</w:t>
            </w:r>
          </w:p>
        </w:tc>
        <w:tc>
          <w:tcPr>
            <w:tcW w:w="4999" w:type="dxa"/>
            <w:shd w:val="clear" w:color="auto" w:fill="FFFFFF" w:themeFill="background2"/>
          </w:tcPr>
          <w:p w14:paraId="357CD722" w14:textId="77777777" w:rsidR="005F0E41" w:rsidRPr="00E24808" w:rsidRDefault="005F0E41" w:rsidP="00665B47">
            <w:pPr>
              <w:jc w:val="center"/>
              <w:rPr>
                <w:rFonts w:ascii="Arial" w:hAnsi="Arial" w:cs="Arial"/>
                <w:b/>
              </w:rPr>
            </w:pPr>
            <w:r w:rsidRPr="00E24808">
              <w:rPr>
                <w:rFonts w:ascii="Arial" w:hAnsi="Arial" w:cs="Arial"/>
                <w:b/>
              </w:rPr>
              <w:t>CAISO Response</w:t>
            </w:r>
          </w:p>
        </w:tc>
      </w:tr>
      <w:tr w:rsidR="00E24808" w:rsidRPr="00E24808" w14:paraId="5EAB93AB" w14:textId="77777777" w:rsidTr="006C0510">
        <w:tc>
          <w:tcPr>
            <w:tcW w:w="3124" w:type="dxa"/>
          </w:tcPr>
          <w:p w14:paraId="70270FA7" w14:textId="4394D7D8" w:rsidR="00E24808" w:rsidRPr="00E24808" w:rsidRDefault="00E24FD7" w:rsidP="00E24808">
            <w:pPr>
              <w:rPr>
                <w:rFonts w:ascii="Arial" w:hAnsi="Arial" w:cs="Arial"/>
              </w:rPr>
            </w:pPr>
            <w:r>
              <w:rPr>
                <w:rFonts w:ascii="Arial" w:hAnsi="Arial" w:cs="Arial"/>
              </w:rPr>
              <w:t>2.2.1.2</w:t>
            </w:r>
          </w:p>
        </w:tc>
        <w:tc>
          <w:tcPr>
            <w:tcW w:w="5192" w:type="dxa"/>
          </w:tcPr>
          <w:p w14:paraId="2590698A" w14:textId="7F758EB9" w:rsidR="00E24808" w:rsidRPr="00E24808" w:rsidRDefault="00DC1C54" w:rsidP="00E24808">
            <w:pPr>
              <w:rPr>
                <w:rFonts w:ascii="Arial" w:hAnsi="Arial" w:cs="Arial"/>
              </w:rPr>
            </w:pPr>
            <w:r w:rsidRPr="00DC1C54">
              <w:rPr>
                <w:rFonts w:ascii="Arial" w:eastAsia="Times New Roman" w:hAnsi="Arial" w:cs="Arial"/>
              </w:rPr>
              <w:t>SCE requested confirmation that the requirement that the entire output of a generating pseudo-tied out of the CAISO balancing authority area in section 2.2.1.2 was not in conflict with the proposed changes to section 1.2</w:t>
            </w:r>
            <w:bookmarkStart w:id="0" w:name="_GoBack"/>
            <w:bookmarkEnd w:id="0"/>
            <w:r w:rsidRPr="00DC1C54">
              <w:rPr>
                <w:rFonts w:ascii="Arial" w:eastAsia="Times New Roman" w:hAnsi="Arial" w:cs="Arial"/>
              </w:rPr>
              <w:t xml:space="preserve">.1.2 with respect to pseudo-ties into the CAISO balancing authority area.  </w:t>
            </w:r>
          </w:p>
        </w:tc>
        <w:tc>
          <w:tcPr>
            <w:tcW w:w="4999" w:type="dxa"/>
          </w:tcPr>
          <w:p w14:paraId="302D8DF4" w14:textId="63CE1E6E" w:rsidR="00E24808" w:rsidRPr="00E24808" w:rsidRDefault="00DC1C54" w:rsidP="00792A92">
            <w:pPr>
              <w:pStyle w:val="NormalWeb"/>
              <w:ind w:left="76"/>
              <w:rPr>
                <w:rFonts w:ascii="Arial" w:hAnsi="Arial" w:cs="Arial"/>
                <w:sz w:val="22"/>
                <w:szCs w:val="22"/>
              </w:rPr>
            </w:pPr>
            <w:r w:rsidRPr="00DC1C54">
              <w:rPr>
                <w:rFonts w:ascii="Arial" w:hAnsi="Arial" w:cs="Arial"/>
                <w:color w:val="000000"/>
                <w:sz w:val="22"/>
                <w:szCs w:val="22"/>
              </w:rPr>
              <w:t xml:space="preserve">The CAISO confirms that this difference between parallel provisions, one applicable to pseudo-ties to the CAISO balancing authority area and the other applicable to pseudo-ties out of the CAISO balancing authority area, is intentional.  As noted in footnote 9 on page 7 of the final proposal, there would be a range of issues in considering splitting of resources within the CAISO BAA, which could not be considered in this initiative, and states that these issues can be considered in the future, broader phase of the JOU initiative.  Accordingly, no changes to section 2.2.1.2 will be made as part of this initiative.  </w:t>
            </w:r>
          </w:p>
        </w:tc>
      </w:tr>
      <w:tr w:rsidR="00E24808" w:rsidRPr="00E24808" w14:paraId="3DFDEA28" w14:textId="77777777" w:rsidTr="006C0510">
        <w:tc>
          <w:tcPr>
            <w:tcW w:w="3124" w:type="dxa"/>
          </w:tcPr>
          <w:p w14:paraId="2DC63CA8" w14:textId="3BC9EC96" w:rsidR="00E24808" w:rsidRPr="00E24808" w:rsidRDefault="00DC1C54" w:rsidP="00E24808">
            <w:pPr>
              <w:rPr>
                <w:rFonts w:ascii="Arial" w:hAnsi="Arial" w:cs="Arial"/>
              </w:rPr>
            </w:pPr>
            <w:r>
              <w:rPr>
                <w:rFonts w:ascii="Arial" w:hAnsi="Arial" w:cs="Arial"/>
              </w:rPr>
              <w:t>3.2.1</w:t>
            </w:r>
          </w:p>
        </w:tc>
        <w:tc>
          <w:tcPr>
            <w:tcW w:w="5192" w:type="dxa"/>
          </w:tcPr>
          <w:p w14:paraId="2911B26E" w14:textId="140DED1E" w:rsidR="00E24808" w:rsidRPr="00E24808" w:rsidRDefault="00557BAD" w:rsidP="00E24808">
            <w:pPr>
              <w:rPr>
                <w:rFonts w:ascii="Arial" w:hAnsi="Arial" w:cs="Arial"/>
              </w:rPr>
            </w:pPr>
            <w:r w:rsidRPr="00557BAD">
              <w:rPr>
                <w:rFonts w:ascii="Arial" w:eastAsia="Times New Roman" w:hAnsi="Arial" w:cs="Arial"/>
              </w:rPr>
              <w:t xml:space="preserve">Six Cities requested reinstatement of the reference to Pseudo-Tie Generating Units to clarify that the allocation protocol would not apply to a share of a resource that may continue to participate in the CAISO markets as a system resource.  </w:t>
            </w:r>
          </w:p>
        </w:tc>
        <w:tc>
          <w:tcPr>
            <w:tcW w:w="4999" w:type="dxa"/>
          </w:tcPr>
          <w:p w14:paraId="67C9A64E" w14:textId="25F7D897" w:rsidR="00E24808" w:rsidRPr="00E24808" w:rsidRDefault="00557BAD" w:rsidP="00E24808">
            <w:pPr>
              <w:pStyle w:val="NormalWeb"/>
              <w:rPr>
                <w:rFonts w:ascii="Arial" w:hAnsi="Arial" w:cs="Arial"/>
                <w:sz w:val="22"/>
                <w:szCs w:val="22"/>
              </w:rPr>
            </w:pPr>
            <w:r w:rsidRPr="00557BAD">
              <w:rPr>
                <w:rFonts w:ascii="Arial" w:hAnsi="Arial" w:cs="Arial"/>
                <w:color w:val="000000"/>
                <w:sz w:val="22"/>
                <w:szCs w:val="22"/>
              </w:rPr>
              <w:t>The CAISO has reinstated this reference.  There is no intention for the allocation protocol to apply to a share of a resource that may continue to participate in the CAISO markets as a system resource.</w:t>
            </w:r>
          </w:p>
        </w:tc>
      </w:tr>
      <w:tr w:rsidR="00E24808" w:rsidRPr="00E24808" w14:paraId="6975CEFE" w14:textId="77777777" w:rsidTr="006C0510">
        <w:tc>
          <w:tcPr>
            <w:tcW w:w="3124" w:type="dxa"/>
          </w:tcPr>
          <w:p w14:paraId="4CB1EDD6" w14:textId="77777777" w:rsidR="00557BAD" w:rsidRDefault="00557BAD" w:rsidP="00E24808">
            <w:pPr>
              <w:rPr>
                <w:rFonts w:ascii="Arial" w:hAnsi="Arial" w:cs="Arial"/>
              </w:rPr>
            </w:pPr>
            <w:r>
              <w:rPr>
                <w:rFonts w:ascii="Arial" w:hAnsi="Arial" w:cs="Arial"/>
              </w:rPr>
              <w:t>3.2.4</w:t>
            </w:r>
          </w:p>
          <w:p w14:paraId="0AF465F6" w14:textId="77777777" w:rsidR="00557BAD" w:rsidRDefault="00557BAD" w:rsidP="00E24808">
            <w:pPr>
              <w:rPr>
                <w:rFonts w:ascii="Arial" w:hAnsi="Arial" w:cs="Arial"/>
              </w:rPr>
            </w:pPr>
          </w:p>
          <w:p w14:paraId="510CE8FB" w14:textId="60FDFD89" w:rsidR="00E24808" w:rsidRPr="00E24808" w:rsidRDefault="00557BAD" w:rsidP="00E24808">
            <w:pPr>
              <w:rPr>
                <w:rFonts w:ascii="Arial" w:hAnsi="Arial" w:cs="Arial"/>
              </w:rPr>
            </w:pPr>
            <w:r>
              <w:rPr>
                <w:rFonts w:ascii="Arial" w:hAnsi="Arial" w:cs="Arial"/>
              </w:rPr>
              <w:t>3.2.5</w:t>
            </w:r>
          </w:p>
        </w:tc>
        <w:tc>
          <w:tcPr>
            <w:tcW w:w="5192" w:type="dxa"/>
          </w:tcPr>
          <w:p w14:paraId="7752C6F6" w14:textId="03991910" w:rsidR="00E24808" w:rsidRPr="00E24808" w:rsidRDefault="00EE7259" w:rsidP="00E24808">
            <w:pPr>
              <w:rPr>
                <w:rFonts w:ascii="Arial" w:hAnsi="Arial" w:cs="Arial"/>
              </w:rPr>
            </w:pPr>
            <w:r w:rsidRPr="00EE7259">
              <w:rPr>
                <w:rFonts w:ascii="Arial" w:eastAsia="Times New Roman" w:hAnsi="Arial" w:cs="Arial"/>
              </w:rPr>
              <w:t xml:space="preserve">Six Cities requested clarification that a share of a resource could continue participation in the CAISO markets during suspension and following termination.  Six Cities also requested clarification that each share could determine whether to participate as a pseudo-tie or a system resource, </w:t>
            </w:r>
            <w:r w:rsidRPr="00EE7259">
              <w:rPr>
                <w:rFonts w:ascii="Arial" w:eastAsia="Times New Roman" w:hAnsi="Arial" w:cs="Arial"/>
              </w:rPr>
              <w:lastRenderedPageBreak/>
              <w:t xml:space="preserve">and could change its election provided it met the requirements associated with each mode of participation. </w:t>
            </w:r>
          </w:p>
        </w:tc>
        <w:tc>
          <w:tcPr>
            <w:tcW w:w="4999" w:type="dxa"/>
          </w:tcPr>
          <w:p w14:paraId="3DA7CD25" w14:textId="79BC3591" w:rsidR="00E24808" w:rsidRPr="00E24808" w:rsidRDefault="00EE7259" w:rsidP="00E24808">
            <w:pPr>
              <w:rPr>
                <w:rFonts w:ascii="Arial" w:hAnsi="Arial" w:cs="Arial"/>
              </w:rPr>
            </w:pPr>
            <w:r w:rsidRPr="00EE7259">
              <w:rPr>
                <w:rFonts w:ascii="Arial" w:hAnsi="Arial" w:cs="Arial"/>
              </w:rPr>
              <w:lastRenderedPageBreak/>
              <w:t xml:space="preserve">The CAISO has clarified sections 3.2.4 and 3.2.5 and made a general statement in section 3.1.1 to clarify the option of a resource share to elect either mode of participation.  In addition, the CAISO has corrected a typographical error in section 3.2.5 as noted by SCE.  </w:t>
            </w:r>
          </w:p>
        </w:tc>
      </w:tr>
    </w:tbl>
    <w:p w14:paraId="1F76E73A" w14:textId="77777777" w:rsidR="008C15B3" w:rsidRPr="007D6B4B" w:rsidRDefault="008C15B3">
      <w:pPr>
        <w:rPr>
          <w:rFonts w:ascii="Arial" w:hAnsi="Arial" w:cs="Arial"/>
        </w:rPr>
      </w:pPr>
    </w:p>
    <w:sectPr w:rsidR="008C15B3" w:rsidRPr="007D6B4B" w:rsidSect="005F0E41">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B8B66" w14:textId="77777777" w:rsidR="00DC1C54" w:rsidRDefault="00DC1C54" w:rsidP="005F0E41">
      <w:pPr>
        <w:spacing w:after="0" w:line="240" w:lineRule="auto"/>
      </w:pPr>
      <w:r>
        <w:separator/>
      </w:r>
    </w:p>
  </w:endnote>
  <w:endnote w:type="continuationSeparator" w:id="0">
    <w:p w14:paraId="15A6EEB9" w14:textId="77777777" w:rsidR="00DC1C54" w:rsidRDefault="00DC1C54" w:rsidP="005F0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592BE" w14:textId="77777777" w:rsidR="00821702" w:rsidRDefault="008217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D05CD" w14:textId="77777777" w:rsidR="00821702" w:rsidRDefault="008217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1FE07" w14:textId="77777777" w:rsidR="00821702" w:rsidRDefault="00821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E6A5B" w14:textId="77777777" w:rsidR="00DC1C54" w:rsidRDefault="00DC1C54" w:rsidP="005F0E41">
      <w:pPr>
        <w:spacing w:after="0" w:line="240" w:lineRule="auto"/>
      </w:pPr>
      <w:r>
        <w:separator/>
      </w:r>
    </w:p>
  </w:footnote>
  <w:footnote w:type="continuationSeparator" w:id="0">
    <w:p w14:paraId="5A8A776E" w14:textId="77777777" w:rsidR="00DC1C54" w:rsidRDefault="00DC1C54" w:rsidP="005F0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A8DCC" w14:textId="77777777" w:rsidR="00821702" w:rsidRDefault="008217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219DD" w14:textId="77777777" w:rsidR="00DC1C54" w:rsidRDefault="00DC1C54" w:rsidP="005F0E41">
    <w:pPr>
      <w:pStyle w:val="Header"/>
      <w:tabs>
        <w:tab w:val="clear" w:pos="4680"/>
        <w:tab w:val="clear" w:pos="9360"/>
        <w:tab w:val="left" w:pos="10740"/>
      </w:tabs>
    </w:pPr>
    <w:r>
      <w:rPr>
        <w:rFonts w:ascii="Arial" w:hAnsi="Arial" w:cs="Arial"/>
        <w:i/>
        <w:noProof/>
        <w:sz w:val="24"/>
        <w:szCs w:val="24"/>
      </w:rPr>
      <w:drawing>
        <wp:inline distT="0" distB="0" distL="0" distR="0" wp14:anchorId="5CC0A1E2" wp14:editId="650F4AE5">
          <wp:extent cx="2145665" cy="372110"/>
          <wp:effectExtent l="0" t="0" r="698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65" cy="372110"/>
                  </a:xfrm>
                  <a:prstGeom prst="rect">
                    <a:avLst/>
                  </a:prstGeom>
                  <a:noFill/>
                </pic:spPr>
              </pic:pic>
            </a:graphicData>
          </a:graphic>
        </wp:inline>
      </w:drawing>
    </w:r>
    <w:r>
      <w:tab/>
    </w:r>
  </w:p>
  <w:p w14:paraId="6AC721A7" w14:textId="6D49BB82" w:rsidR="00DC1C54" w:rsidRDefault="00CD5F2F" w:rsidP="005F0E41">
    <w:pPr>
      <w:pStyle w:val="Header"/>
      <w:jc w:val="right"/>
      <w:rPr>
        <w:rFonts w:ascii="Arial" w:hAnsi="Arial" w:cs="Arial"/>
        <w:i/>
        <w:sz w:val="24"/>
        <w:szCs w:val="24"/>
      </w:rPr>
    </w:pPr>
    <w:r>
      <w:rPr>
        <w:rFonts w:ascii="Arial" w:hAnsi="Arial" w:cs="Arial"/>
        <w:i/>
        <w:sz w:val="24"/>
        <w:szCs w:val="24"/>
      </w:rPr>
      <w:t>October 16</w:t>
    </w:r>
    <w:r w:rsidR="00DC1C54" w:rsidRPr="008A04AC">
      <w:rPr>
        <w:rFonts w:ascii="Arial" w:hAnsi="Arial" w:cs="Arial"/>
        <w:i/>
        <w:sz w:val="24"/>
        <w:szCs w:val="24"/>
      </w:rPr>
      <w:t>, 2020</w:t>
    </w:r>
  </w:p>
  <w:p w14:paraId="7462F2DC" w14:textId="77777777" w:rsidR="00DC1C54" w:rsidRPr="008A04AC" w:rsidRDefault="00DC1C54" w:rsidP="005F0E41">
    <w:pPr>
      <w:pStyle w:val="Header"/>
      <w:jc w:val="right"/>
      <w:rPr>
        <w:rFonts w:ascii="Arial" w:hAnsi="Arial" w:cs="Arial"/>
        <w:i/>
        <w:sz w:val="24"/>
        <w:szCs w:val="24"/>
      </w:rPr>
    </w:pPr>
  </w:p>
  <w:p w14:paraId="130BD10B" w14:textId="77777777" w:rsidR="00DC1C54" w:rsidRDefault="00DC1C54" w:rsidP="005F0E41">
    <w:pPr>
      <w:pStyle w:val="Header"/>
      <w:tabs>
        <w:tab w:val="clear" w:pos="4680"/>
        <w:tab w:val="clear" w:pos="9360"/>
        <w:tab w:val="left" w:pos="107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2D023" w14:textId="77777777" w:rsidR="00821702" w:rsidRDefault="00821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6734C"/>
    <w:multiLevelType w:val="hybridMultilevel"/>
    <w:tmpl w:val="02F48CB2"/>
    <w:lvl w:ilvl="0" w:tplc="FC60BAE0">
      <w:start w:val="2"/>
      <w:numFmt w:val="decimal"/>
      <w:lvlText w:val="%1."/>
      <w:lvlJc w:val="left"/>
      <w:pPr>
        <w:ind w:left="720" w:hanging="360"/>
      </w:pPr>
    </w:lvl>
    <w:lvl w:ilvl="1" w:tplc="B66A8172">
      <w:start w:val="1"/>
      <w:numFmt w:val="decimal"/>
      <w:lvlText w:val="%2."/>
      <w:lvlJc w:val="left"/>
      <w:pPr>
        <w:ind w:left="1080" w:hanging="360"/>
      </w:pPr>
    </w:lvl>
    <w:lvl w:ilvl="2" w:tplc="9ABE0964">
      <w:start w:val="1"/>
      <w:numFmt w:val="decimal"/>
      <w:lvlText w:val="%3."/>
      <w:lvlJc w:val="left"/>
      <w:pPr>
        <w:ind w:left="1440" w:hanging="360"/>
      </w:pPr>
    </w:lvl>
    <w:lvl w:ilvl="3" w:tplc="89D2E1E6">
      <w:start w:val="1"/>
      <w:numFmt w:val="decimal"/>
      <w:lvlText w:val="%4."/>
      <w:lvlJc w:val="left"/>
      <w:pPr>
        <w:ind w:left="1800" w:hanging="360"/>
      </w:pPr>
    </w:lvl>
    <w:lvl w:ilvl="4" w:tplc="E7FEB4E8">
      <w:start w:val="1"/>
      <w:numFmt w:val="decimal"/>
      <w:lvlText w:val="%5."/>
      <w:lvlJc w:val="left"/>
      <w:pPr>
        <w:ind w:left="2160" w:hanging="360"/>
      </w:pPr>
    </w:lvl>
    <w:lvl w:ilvl="5" w:tplc="98CA0EF0">
      <w:start w:val="1"/>
      <w:numFmt w:val="decimal"/>
      <w:lvlText w:val="%6."/>
      <w:lvlJc w:val="left"/>
      <w:pPr>
        <w:ind w:left="2520" w:hanging="360"/>
      </w:pPr>
    </w:lvl>
    <w:lvl w:ilvl="6" w:tplc="57967442">
      <w:start w:val="1"/>
      <w:numFmt w:val="decimal"/>
      <w:lvlText w:val="%7."/>
      <w:lvlJc w:val="left"/>
      <w:pPr>
        <w:ind w:left="2880" w:hanging="360"/>
      </w:pPr>
    </w:lvl>
    <w:lvl w:ilvl="7" w:tplc="69369626">
      <w:start w:val="1"/>
      <w:numFmt w:val="decimal"/>
      <w:lvlText w:val="%8."/>
      <w:lvlJc w:val="left"/>
      <w:pPr>
        <w:ind w:left="3240" w:hanging="360"/>
      </w:pPr>
    </w:lvl>
    <w:lvl w:ilvl="8" w:tplc="CD22296A">
      <w:start w:val="1"/>
      <w:numFmt w:val="decimal"/>
      <w:lvlText w:val="%9."/>
      <w:lvlJc w:val="left"/>
      <w:pPr>
        <w:ind w:left="3600" w:hanging="360"/>
      </w:pPr>
    </w:lvl>
  </w:abstractNum>
  <w:abstractNum w:abstractNumId="1" w15:restartNumberingAfterBreak="0">
    <w:nsid w:val="1CA8049E"/>
    <w:multiLevelType w:val="hybridMultilevel"/>
    <w:tmpl w:val="BC56C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B191E0E"/>
    <w:multiLevelType w:val="hybridMultilevel"/>
    <w:tmpl w:val="85A20758"/>
    <w:lvl w:ilvl="0" w:tplc="FEFE0A0A">
      <w:start w:val="1"/>
      <w:numFmt w:val="decimal"/>
      <w:lvlText w:val="%1."/>
      <w:lvlJc w:val="left"/>
      <w:pPr>
        <w:ind w:left="720" w:hanging="360"/>
      </w:pPr>
    </w:lvl>
    <w:lvl w:ilvl="1" w:tplc="661A6EFE">
      <w:start w:val="1"/>
      <w:numFmt w:val="decimal"/>
      <w:lvlText w:val="%2."/>
      <w:lvlJc w:val="left"/>
      <w:pPr>
        <w:ind w:left="1080" w:hanging="360"/>
      </w:pPr>
    </w:lvl>
    <w:lvl w:ilvl="2" w:tplc="71B4A91A">
      <w:start w:val="1"/>
      <w:numFmt w:val="decimal"/>
      <w:lvlText w:val="%3."/>
      <w:lvlJc w:val="left"/>
      <w:pPr>
        <w:ind w:left="1440" w:hanging="360"/>
      </w:pPr>
    </w:lvl>
    <w:lvl w:ilvl="3" w:tplc="CF38280E">
      <w:start w:val="1"/>
      <w:numFmt w:val="decimal"/>
      <w:lvlText w:val="%4."/>
      <w:lvlJc w:val="left"/>
      <w:pPr>
        <w:ind w:left="1800" w:hanging="360"/>
      </w:pPr>
    </w:lvl>
    <w:lvl w:ilvl="4" w:tplc="27DED22E">
      <w:start w:val="1"/>
      <w:numFmt w:val="decimal"/>
      <w:lvlText w:val="%5."/>
      <w:lvlJc w:val="left"/>
      <w:pPr>
        <w:ind w:left="2160" w:hanging="360"/>
      </w:pPr>
    </w:lvl>
    <w:lvl w:ilvl="5" w:tplc="C5724270">
      <w:start w:val="1"/>
      <w:numFmt w:val="decimal"/>
      <w:lvlText w:val="%6."/>
      <w:lvlJc w:val="left"/>
      <w:pPr>
        <w:ind w:left="2520" w:hanging="360"/>
      </w:pPr>
    </w:lvl>
    <w:lvl w:ilvl="6" w:tplc="57745B64">
      <w:start w:val="1"/>
      <w:numFmt w:val="decimal"/>
      <w:lvlText w:val="%7."/>
      <w:lvlJc w:val="left"/>
      <w:pPr>
        <w:ind w:left="2880" w:hanging="360"/>
      </w:pPr>
    </w:lvl>
    <w:lvl w:ilvl="7" w:tplc="A7063F26">
      <w:start w:val="1"/>
      <w:numFmt w:val="decimal"/>
      <w:lvlText w:val="%8."/>
      <w:lvlJc w:val="left"/>
      <w:pPr>
        <w:ind w:left="3240" w:hanging="360"/>
      </w:pPr>
    </w:lvl>
    <w:lvl w:ilvl="8" w:tplc="E3B4F1F6">
      <w:start w:val="1"/>
      <w:numFmt w:val="decimal"/>
      <w:lvlText w:val="%9."/>
      <w:lvlJc w:val="left"/>
      <w:pPr>
        <w:ind w:left="3600" w:hanging="360"/>
      </w:pPr>
    </w:lvl>
  </w:abstractNum>
  <w:abstractNum w:abstractNumId="3" w15:restartNumberingAfterBreak="0">
    <w:nsid w:val="659315B3"/>
    <w:multiLevelType w:val="hybridMultilevel"/>
    <w:tmpl w:val="D79AAD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E41"/>
    <w:rsid w:val="00071DE9"/>
    <w:rsid w:val="000A637D"/>
    <w:rsid w:val="001A5DD0"/>
    <w:rsid w:val="00211396"/>
    <w:rsid w:val="002503C9"/>
    <w:rsid w:val="0025549C"/>
    <w:rsid w:val="002B1A43"/>
    <w:rsid w:val="002B747C"/>
    <w:rsid w:val="002C3D2B"/>
    <w:rsid w:val="0031498A"/>
    <w:rsid w:val="003473E3"/>
    <w:rsid w:val="003564E7"/>
    <w:rsid w:val="00377F9E"/>
    <w:rsid w:val="003E601A"/>
    <w:rsid w:val="003F73FE"/>
    <w:rsid w:val="00401F58"/>
    <w:rsid w:val="00425683"/>
    <w:rsid w:val="00440429"/>
    <w:rsid w:val="0044095E"/>
    <w:rsid w:val="0045762B"/>
    <w:rsid w:val="00477D8C"/>
    <w:rsid w:val="004E02EE"/>
    <w:rsid w:val="004F3B63"/>
    <w:rsid w:val="00526BFA"/>
    <w:rsid w:val="00557BAD"/>
    <w:rsid w:val="005C5231"/>
    <w:rsid w:val="005F0E41"/>
    <w:rsid w:val="005F6CB5"/>
    <w:rsid w:val="006045A3"/>
    <w:rsid w:val="006556B6"/>
    <w:rsid w:val="00665B47"/>
    <w:rsid w:val="006C0510"/>
    <w:rsid w:val="00702F8C"/>
    <w:rsid w:val="007268D8"/>
    <w:rsid w:val="00747BA0"/>
    <w:rsid w:val="00792A92"/>
    <w:rsid w:val="007A0ADE"/>
    <w:rsid w:val="007A5E33"/>
    <w:rsid w:val="007D6B4B"/>
    <w:rsid w:val="00806F6C"/>
    <w:rsid w:val="00821702"/>
    <w:rsid w:val="0086455E"/>
    <w:rsid w:val="00871467"/>
    <w:rsid w:val="00872015"/>
    <w:rsid w:val="008C15B3"/>
    <w:rsid w:val="008C61CB"/>
    <w:rsid w:val="00953F0A"/>
    <w:rsid w:val="00956965"/>
    <w:rsid w:val="00A20FFF"/>
    <w:rsid w:val="00A543C6"/>
    <w:rsid w:val="00A867CD"/>
    <w:rsid w:val="00B15D69"/>
    <w:rsid w:val="00B71447"/>
    <w:rsid w:val="00C521A7"/>
    <w:rsid w:val="00C904D8"/>
    <w:rsid w:val="00C97662"/>
    <w:rsid w:val="00CD5F2F"/>
    <w:rsid w:val="00CF0427"/>
    <w:rsid w:val="00D16ED4"/>
    <w:rsid w:val="00D86B99"/>
    <w:rsid w:val="00DC1C54"/>
    <w:rsid w:val="00DE6E36"/>
    <w:rsid w:val="00DF4134"/>
    <w:rsid w:val="00DF421A"/>
    <w:rsid w:val="00E24808"/>
    <w:rsid w:val="00E24FD7"/>
    <w:rsid w:val="00E50DB6"/>
    <w:rsid w:val="00E64DBB"/>
    <w:rsid w:val="00EE7259"/>
    <w:rsid w:val="00EF4484"/>
    <w:rsid w:val="00F12F55"/>
    <w:rsid w:val="00FD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A64D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E41"/>
  </w:style>
  <w:style w:type="paragraph" w:styleId="Footer">
    <w:name w:val="footer"/>
    <w:basedOn w:val="Normal"/>
    <w:link w:val="FooterChar"/>
    <w:uiPriority w:val="99"/>
    <w:unhideWhenUsed/>
    <w:rsid w:val="005F0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E41"/>
  </w:style>
  <w:style w:type="table" w:styleId="TableGrid">
    <w:name w:val="Table Grid"/>
    <w:basedOn w:val="TableNormal"/>
    <w:uiPriority w:val="39"/>
    <w:rsid w:val="005F0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0E4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rsid w:val="005F0E41"/>
    <w:pPr>
      <w:spacing w:before="40" w:after="21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5F0E41"/>
    <w:rPr>
      <w:sz w:val="16"/>
      <w:szCs w:val="16"/>
    </w:rPr>
  </w:style>
  <w:style w:type="paragraph" w:styleId="CommentText">
    <w:name w:val="annotation text"/>
    <w:basedOn w:val="Normal"/>
    <w:link w:val="CommentTextChar"/>
    <w:uiPriority w:val="99"/>
    <w:semiHidden/>
    <w:unhideWhenUsed/>
    <w:rsid w:val="005F0E41"/>
    <w:pPr>
      <w:spacing w:line="240" w:lineRule="auto"/>
    </w:pPr>
    <w:rPr>
      <w:sz w:val="20"/>
      <w:szCs w:val="20"/>
    </w:rPr>
  </w:style>
  <w:style w:type="character" w:customStyle="1" w:styleId="CommentTextChar">
    <w:name w:val="Comment Text Char"/>
    <w:basedOn w:val="DefaultParagraphFont"/>
    <w:link w:val="CommentText"/>
    <w:uiPriority w:val="99"/>
    <w:semiHidden/>
    <w:rsid w:val="005F0E41"/>
    <w:rPr>
      <w:sz w:val="20"/>
      <w:szCs w:val="20"/>
    </w:rPr>
  </w:style>
  <w:style w:type="paragraph" w:styleId="CommentSubject">
    <w:name w:val="annotation subject"/>
    <w:basedOn w:val="CommentText"/>
    <w:next w:val="CommentText"/>
    <w:link w:val="CommentSubjectChar"/>
    <w:uiPriority w:val="99"/>
    <w:semiHidden/>
    <w:unhideWhenUsed/>
    <w:rsid w:val="005F0E41"/>
    <w:rPr>
      <w:b/>
      <w:bCs/>
    </w:rPr>
  </w:style>
  <w:style w:type="character" w:customStyle="1" w:styleId="CommentSubjectChar">
    <w:name w:val="Comment Subject Char"/>
    <w:basedOn w:val="CommentTextChar"/>
    <w:link w:val="CommentSubject"/>
    <w:uiPriority w:val="99"/>
    <w:semiHidden/>
    <w:rsid w:val="005F0E41"/>
    <w:rPr>
      <w:b/>
      <w:bCs/>
      <w:sz w:val="20"/>
      <w:szCs w:val="20"/>
    </w:rPr>
  </w:style>
  <w:style w:type="paragraph" w:styleId="BalloonText">
    <w:name w:val="Balloon Text"/>
    <w:basedOn w:val="Normal"/>
    <w:link w:val="BalloonTextChar"/>
    <w:uiPriority w:val="99"/>
    <w:semiHidden/>
    <w:unhideWhenUsed/>
    <w:rsid w:val="005F0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E41"/>
    <w:rPr>
      <w:rFonts w:ascii="Segoe UI" w:hAnsi="Segoe UI" w:cs="Segoe UI"/>
      <w:sz w:val="18"/>
      <w:szCs w:val="18"/>
    </w:rPr>
  </w:style>
  <w:style w:type="character" w:styleId="Hyperlink">
    <w:name w:val="Hyperlink"/>
    <w:uiPriority w:val="99"/>
    <w:qFormat/>
    <w:rsid w:val="00665B47"/>
    <w:rPr>
      <w:color w:val="0066CC"/>
      <w:u w:val="single" w:color="0000FF"/>
    </w:rPr>
  </w:style>
  <w:style w:type="character" w:styleId="FollowedHyperlink">
    <w:name w:val="FollowedHyperlink"/>
    <w:basedOn w:val="DefaultParagraphFont"/>
    <w:uiPriority w:val="99"/>
    <w:semiHidden/>
    <w:unhideWhenUsed/>
    <w:rsid w:val="00665B47"/>
    <w:rPr>
      <w:color w:val="954F72" w:themeColor="followedHyperlink"/>
      <w:u w:val="single"/>
    </w:rPr>
  </w:style>
  <w:style w:type="paragraph" w:customStyle="1" w:styleId="step-heading">
    <w:name w:val="step-heading"/>
    <w:basedOn w:val="Normal"/>
    <w:rsid w:val="003564E7"/>
    <w:pPr>
      <w:spacing w:before="600" w:after="210" w:line="240" w:lineRule="auto"/>
    </w:pPr>
    <w:rPr>
      <w:rFonts w:ascii="Arial" w:eastAsia="Times New Roman" w:hAnsi="Arial" w:cs="Arial"/>
      <w:b/>
      <w:color w:val="000000"/>
      <w:sz w:val="21"/>
      <w:szCs w:val="20"/>
    </w:rPr>
  </w:style>
  <w:style w:type="paragraph" w:customStyle="1" w:styleId="Style1">
    <w:name w:val="Style1"/>
    <w:basedOn w:val="Normal"/>
    <w:qFormat/>
    <w:rsid w:val="001A5DD0"/>
    <w:pPr>
      <w:widowControl w:val="0"/>
      <w:spacing w:after="240" w:line="240" w:lineRule="auto"/>
      <w:ind w:left="720" w:hanging="72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SO Color Palette">
      <a:dk1>
        <a:sysClr val="windowText" lastClr="000000"/>
      </a:dk1>
      <a:lt1>
        <a:sysClr val="window" lastClr="FFFFFF"/>
      </a:lt1>
      <a:dk2>
        <a:srgbClr val="000000"/>
      </a:dk2>
      <a:lt2>
        <a:srgbClr val="FFFFFF"/>
      </a:lt2>
      <a:accent1>
        <a:srgbClr val="4F758B"/>
      </a:accent1>
      <a:accent2>
        <a:srgbClr val="D1631F"/>
      </a:accent2>
      <a:accent3>
        <a:srgbClr val="827A04"/>
      </a:accent3>
      <a:accent4>
        <a:srgbClr val="FFC000"/>
      </a:accent4>
      <a:accent5>
        <a:srgbClr val="963821"/>
      </a:accent5>
      <a:accent6>
        <a:srgbClr val="90C94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70B2C-8066-444C-A50C-2213A0299489}"/>
</file>

<file path=customXml/itemProps2.xml><?xml version="1.0" encoding="utf-8"?>
<ds:datastoreItem xmlns:ds="http://schemas.openxmlformats.org/officeDocument/2006/customXml" ds:itemID="{8ECFB7B4-C7E7-4774-97BB-DF43BE90D1B1}"/>
</file>

<file path=customXml/itemProps3.xml><?xml version="1.0" encoding="utf-8"?>
<ds:datastoreItem xmlns:ds="http://schemas.openxmlformats.org/officeDocument/2006/customXml" ds:itemID="{A11E5213-BD9E-48A3-B02B-C5F0CD25C0A9}"/>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2020-10-16T16:49:00Z</dcterms:created>
  <dcterms:modified xsi:type="dcterms:W3CDTF">2020-10-16T16:49:00Z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