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83" w:rsidRPr="00FE1710" w:rsidRDefault="008D0C83" w:rsidP="008D0C83">
      <w:pPr>
        <w:rPr>
          <w:color w:val="00B050"/>
        </w:rPr>
      </w:pPr>
      <w:r>
        <w:rPr>
          <w:color w:val="00B050"/>
        </w:rPr>
        <w:t>March 3</w:t>
      </w:r>
      <w:r w:rsidRPr="00FE1710">
        <w:rPr>
          <w:color w:val="00B050"/>
        </w:rPr>
        <w:t>, 2022</w:t>
      </w:r>
    </w:p>
    <w:p w:rsidR="008D0C83" w:rsidRPr="00FE1710" w:rsidRDefault="008D0C83" w:rsidP="008D0C83">
      <w:pPr>
        <w:rPr>
          <w:color w:val="00B050"/>
        </w:rPr>
      </w:pPr>
      <w:r w:rsidRPr="00FE1710">
        <w:rPr>
          <w:color w:val="00B050"/>
        </w:rPr>
        <w:t>EDAM working group #3 participants,</w:t>
      </w:r>
    </w:p>
    <w:p w:rsidR="008D0C83" w:rsidRPr="00FE1710" w:rsidRDefault="008D0C83" w:rsidP="008D0C83">
      <w:pPr>
        <w:rPr>
          <w:color w:val="00B050"/>
        </w:rPr>
      </w:pPr>
      <w:r w:rsidRPr="00FE1710">
        <w:rPr>
          <w:color w:val="00B050"/>
        </w:rPr>
        <w:t xml:space="preserve">Below is </w:t>
      </w:r>
      <w:r>
        <w:rPr>
          <w:color w:val="00B050"/>
        </w:rPr>
        <w:t xml:space="preserve">a </w:t>
      </w:r>
      <w:r w:rsidRPr="00FE1710">
        <w:rPr>
          <w:color w:val="00B050"/>
        </w:rPr>
        <w:t>fill</w:t>
      </w:r>
      <w:r>
        <w:rPr>
          <w:color w:val="00B050"/>
        </w:rPr>
        <w:t>ed-</w:t>
      </w:r>
      <w:r w:rsidRPr="00FE1710">
        <w:rPr>
          <w:color w:val="00B050"/>
        </w:rPr>
        <w:t>out revised scope document</w:t>
      </w:r>
      <w:r>
        <w:rPr>
          <w:color w:val="00B050"/>
        </w:rPr>
        <w:t xml:space="preserve"> for the proposed resource-specific approach for GHG accounting in the Extended Day-Ahead Market (EDAM) using the scope document</w:t>
      </w:r>
      <w:r w:rsidRPr="00FE1710">
        <w:rPr>
          <w:color w:val="00B050"/>
        </w:rPr>
        <w:t xml:space="preserve"> </w:t>
      </w:r>
      <w:r>
        <w:rPr>
          <w:color w:val="00B050"/>
        </w:rPr>
        <w:t>that was posted on February 18</w:t>
      </w:r>
      <w:r w:rsidRPr="00FE1710">
        <w:rPr>
          <w:color w:val="00B050"/>
        </w:rPr>
        <w:t xml:space="preserve">. </w:t>
      </w:r>
      <w:r>
        <w:rPr>
          <w:color w:val="00B050"/>
        </w:rPr>
        <w:t>This document was completed by the CAISO policy team that initially raised the resource-specific approach in the working group.</w:t>
      </w:r>
    </w:p>
    <w:p w:rsidR="008D0C83" w:rsidRPr="00FE1710" w:rsidRDefault="008D0C83" w:rsidP="004C54DD">
      <w:pPr>
        <w:rPr>
          <w:color w:val="00B050"/>
        </w:rPr>
      </w:pPr>
      <w:r w:rsidRPr="00FE1710">
        <w:rPr>
          <w:color w:val="00B050"/>
        </w:rPr>
        <w:t>The purp</w:t>
      </w:r>
      <w:r w:rsidR="004C54DD">
        <w:rPr>
          <w:color w:val="00B050"/>
        </w:rPr>
        <w:t>ose of this document is to serve as a reference d</w:t>
      </w:r>
      <w:bookmarkStart w:id="0" w:name="_GoBack"/>
      <w:bookmarkEnd w:id="0"/>
      <w:r w:rsidR="004C54DD">
        <w:rPr>
          <w:color w:val="00B050"/>
        </w:rPr>
        <w:t xml:space="preserve">ocument for the evaluation of the resource-specific approach that we’ll conduct during the 3/3 working group meeting. I expect that it will also be a useful resource when preparing the working group deliverables. There are still a few items marked as TBD which we’ll discuss in the working group meeting as </w:t>
      </w:r>
      <w:r w:rsidR="004C54DD" w:rsidRPr="00BD5BC9">
        <w:rPr>
          <w:color w:val="00B050"/>
        </w:rPr>
        <w:t>well.</w:t>
      </w:r>
      <w:r w:rsidR="00BD5BC9" w:rsidRPr="00BD5BC9">
        <w:rPr>
          <w:color w:val="00B050"/>
        </w:rPr>
        <w:t xml:space="preserve"> </w:t>
      </w:r>
      <w:r w:rsidR="00BD5BC9" w:rsidRPr="00BD5BC9">
        <w:rPr>
          <w:color w:val="00B050"/>
        </w:rPr>
        <w:t>Also, you’ll see certain codes/IDs below (e.g. RA-2, UC-1). These are references to the homework assignment responses that are posted to the working group website</w:t>
      </w:r>
      <w:r w:rsidR="00BD5BC9" w:rsidRPr="00384761">
        <w:rPr>
          <w:color w:val="FF0000"/>
        </w:rPr>
        <w:t xml:space="preserve"> </w:t>
      </w:r>
      <w:hyperlink r:id="rId12" w:history="1">
        <w:r w:rsidR="00BD5BC9" w:rsidRPr="00E5589A">
          <w:rPr>
            <w:rStyle w:val="Hyperlink"/>
            <w:color w:val="0070C0"/>
          </w:rPr>
          <w:t>here</w:t>
        </w:r>
      </w:hyperlink>
      <w:r w:rsidR="00BD5BC9" w:rsidRPr="00BD5BC9">
        <w:rPr>
          <w:color w:val="00B050"/>
        </w:rPr>
        <w:t>.</w:t>
      </w:r>
    </w:p>
    <w:p w:rsidR="008D0C83" w:rsidRPr="00FE1710" w:rsidRDefault="008D0C83" w:rsidP="008D0C83">
      <w:pPr>
        <w:rPr>
          <w:color w:val="00B050"/>
        </w:rPr>
      </w:pPr>
      <w:r w:rsidRPr="00FE1710">
        <w:rPr>
          <w:color w:val="00B050"/>
        </w:rPr>
        <w:t>Best,</w:t>
      </w:r>
    </w:p>
    <w:p w:rsidR="008D0C83" w:rsidRPr="00FE1710" w:rsidRDefault="008D0C83" w:rsidP="008D0C83">
      <w:pPr>
        <w:rPr>
          <w:color w:val="00B050"/>
        </w:rPr>
      </w:pPr>
      <w:r w:rsidRPr="00FE1710">
        <w:rPr>
          <w:color w:val="00B050"/>
        </w:rPr>
        <w:t>Kevin Head</w:t>
      </w:r>
    </w:p>
    <w:p w:rsidR="008D0C83" w:rsidRPr="00FE1710" w:rsidRDefault="008D0C83" w:rsidP="008D0C83">
      <w:pPr>
        <w:rPr>
          <w:color w:val="00B050"/>
        </w:rPr>
      </w:pPr>
      <w:r w:rsidRPr="00FE1710">
        <w:rPr>
          <w:color w:val="00B050"/>
        </w:rPr>
        <w:t>EDAM working group #3 facilitator</w:t>
      </w:r>
    </w:p>
    <w:p w:rsidR="000B7860" w:rsidRPr="00B404FF" w:rsidRDefault="000B7860" w:rsidP="0037717E">
      <w:pPr>
        <w:spacing w:after="0"/>
      </w:pPr>
    </w:p>
    <w:tbl>
      <w:tblPr>
        <w:tblStyle w:val="TableGrid"/>
        <w:tblW w:w="17365" w:type="dxa"/>
        <w:jc w:val="center"/>
        <w:tblLook w:val="04A0" w:firstRow="1" w:lastRow="0" w:firstColumn="1" w:lastColumn="0" w:noHBand="0" w:noVBand="1"/>
      </w:tblPr>
      <w:tblGrid>
        <w:gridCol w:w="1504"/>
        <w:gridCol w:w="19"/>
        <w:gridCol w:w="1835"/>
        <w:gridCol w:w="1278"/>
        <w:gridCol w:w="216"/>
        <w:gridCol w:w="1349"/>
        <w:gridCol w:w="11164"/>
      </w:tblGrid>
      <w:tr w:rsidR="00B404FF" w:rsidRPr="00B404FF" w:rsidTr="00E40A10">
        <w:trPr>
          <w:jc w:val="center"/>
        </w:trPr>
        <w:tc>
          <w:tcPr>
            <w:tcW w:w="1504" w:type="dxa"/>
            <w:shd w:val="clear" w:color="auto" w:fill="D9D9D9" w:themeFill="background1" w:themeFillShade="D9"/>
            <w:hideMark/>
          </w:tcPr>
          <w:p w:rsidR="00FA23E6" w:rsidRPr="00B404FF" w:rsidRDefault="00FA23E6" w:rsidP="0037717E">
            <w:pPr>
              <w:rPr>
                <w:b/>
                <w:bCs/>
              </w:rPr>
            </w:pPr>
            <w:r w:rsidRPr="00B404FF">
              <w:rPr>
                <w:b/>
                <w:bCs/>
              </w:rPr>
              <w:t>Issue</w:t>
            </w:r>
          </w:p>
        </w:tc>
        <w:tc>
          <w:tcPr>
            <w:tcW w:w="1854" w:type="dxa"/>
            <w:gridSpan w:val="2"/>
            <w:shd w:val="clear" w:color="auto" w:fill="D9D9D9" w:themeFill="background1" w:themeFillShade="D9"/>
          </w:tcPr>
          <w:p w:rsidR="00FA23E6" w:rsidRPr="00B404FF" w:rsidRDefault="00FA23E6" w:rsidP="007674FD">
            <w:pPr>
              <w:rPr>
                <w:b/>
                <w:bCs/>
              </w:rPr>
            </w:pPr>
            <w:r w:rsidRPr="00B404FF">
              <w:rPr>
                <w:b/>
                <w:bCs/>
              </w:rPr>
              <w:t>Key Market Design Question</w:t>
            </w:r>
          </w:p>
        </w:tc>
        <w:tc>
          <w:tcPr>
            <w:tcW w:w="1278" w:type="dxa"/>
            <w:shd w:val="clear" w:color="auto" w:fill="D9D9D9" w:themeFill="background1" w:themeFillShade="D9"/>
          </w:tcPr>
          <w:p w:rsidR="00FA23E6" w:rsidRPr="00B404FF" w:rsidRDefault="00E55EE6" w:rsidP="007674FD">
            <w:pPr>
              <w:rPr>
                <w:b/>
                <w:bCs/>
              </w:rPr>
            </w:pPr>
            <w:r>
              <w:rPr>
                <w:b/>
                <w:bCs/>
              </w:rPr>
              <w:t>Homework assignment question ID</w:t>
            </w:r>
          </w:p>
        </w:tc>
        <w:tc>
          <w:tcPr>
            <w:tcW w:w="12729" w:type="dxa"/>
            <w:gridSpan w:val="3"/>
            <w:shd w:val="clear" w:color="auto" w:fill="D9D9D9" w:themeFill="background1" w:themeFillShade="D9"/>
            <w:hideMark/>
          </w:tcPr>
          <w:p w:rsidR="00FA23E6" w:rsidRPr="00B404FF" w:rsidRDefault="00FA23E6" w:rsidP="007674FD">
            <w:pPr>
              <w:rPr>
                <w:b/>
                <w:bCs/>
              </w:rPr>
            </w:pPr>
            <w:r w:rsidRPr="00B404FF">
              <w:rPr>
                <w:b/>
                <w:bCs/>
              </w:rPr>
              <w:t>Detailed Market Design Question(s)</w:t>
            </w:r>
          </w:p>
        </w:tc>
      </w:tr>
      <w:tr w:rsidR="00166048" w:rsidRPr="00B404FF" w:rsidTr="00E40A10">
        <w:trPr>
          <w:jc w:val="center"/>
        </w:trPr>
        <w:tc>
          <w:tcPr>
            <w:tcW w:w="17365" w:type="dxa"/>
            <w:gridSpan w:val="7"/>
            <w:shd w:val="clear" w:color="auto" w:fill="BDD6EE" w:themeFill="accent1" w:themeFillTint="66"/>
          </w:tcPr>
          <w:p w:rsidR="00166048" w:rsidRPr="00166048" w:rsidRDefault="00166048" w:rsidP="007674FD">
            <w:pPr>
              <w:rPr>
                <w:b/>
                <w:bCs/>
                <w:sz w:val="28"/>
                <w:szCs w:val="28"/>
              </w:rPr>
            </w:pPr>
            <w:r w:rsidRPr="00166048">
              <w:rPr>
                <w:b/>
                <w:bCs/>
                <w:sz w:val="28"/>
                <w:szCs w:val="28"/>
              </w:rPr>
              <w:t>1) General Accounting</w:t>
            </w:r>
          </w:p>
        </w:tc>
      </w:tr>
      <w:tr w:rsidR="00B404FF" w:rsidRPr="00B404FF" w:rsidTr="00E40A10">
        <w:trPr>
          <w:jc w:val="center"/>
        </w:trPr>
        <w:tc>
          <w:tcPr>
            <w:tcW w:w="1504" w:type="dxa"/>
            <w:hideMark/>
          </w:tcPr>
          <w:p w:rsidR="00FA23E6" w:rsidRPr="00B404FF" w:rsidRDefault="00FA23E6" w:rsidP="0037717E">
            <w:pPr>
              <w:rPr>
                <w:b/>
              </w:rPr>
            </w:pPr>
            <w:r w:rsidRPr="00B404FF">
              <w:rPr>
                <w:b/>
              </w:rPr>
              <w:t>Area</w:t>
            </w:r>
          </w:p>
          <w:p w:rsidR="00FA23E6" w:rsidRPr="00B404FF" w:rsidRDefault="00FA23E6" w:rsidP="0037717E">
            <w:r w:rsidRPr="00B404FF">
              <w:t>Identify GHG Compliance Area(s)</w:t>
            </w:r>
          </w:p>
        </w:tc>
        <w:tc>
          <w:tcPr>
            <w:tcW w:w="1854" w:type="dxa"/>
            <w:gridSpan w:val="2"/>
          </w:tcPr>
          <w:p w:rsidR="00FA23E6" w:rsidRPr="00B404FF" w:rsidRDefault="00FA23E6" w:rsidP="0037717E">
            <w:r w:rsidRPr="00B404FF">
              <w:t xml:space="preserve">Are entities aligned that state boundaries are the GHG compliance area?  </w:t>
            </w:r>
          </w:p>
        </w:tc>
        <w:tc>
          <w:tcPr>
            <w:tcW w:w="1278" w:type="dxa"/>
          </w:tcPr>
          <w:p w:rsidR="00FA23E6" w:rsidRPr="00B404FF" w:rsidRDefault="000B7860" w:rsidP="0037717E">
            <w:r>
              <w:t>A</w:t>
            </w:r>
          </w:p>
        </w:tc>
        <w:tc>
          <w:tcPr>
            <w:tcW w:w="12729" w:type="dxa"/>
            <w:gridSpan w:val="3"/>
            <w:hideMark/>
          </w:tcPr>
          <w:p w:rsidR="00FA23E6" w:rsidRDefault="00FA23E6" w:rsidP="00261509">
            <w:r w:rsidRPr="00B404FF">
              <w:t xml:space="preserve">Decide: What should the GHG compliance area be? </w:t>
            </w:r>
          </w:p>
          <w:p w:rsidR="00261509" w:rsidRDefault="00261509" w:rsidP="00261509"/>
          <w:p w:rsidR="00261509" w:rsidRDefault="00261509" w:rsidP="00261509">
            <w:pPr>
              <w:rPr>
                <w:color w:val="FF0000"/>
              </w:rPr>
            </w:pPr>
            <w:r w:rsidRPr="007363A7">
              <w:t xml:space="preserve">Geographic: </w:t>
            </w:r>
            <w:r w:rsidRPr="00261509">
              <w:rPr>
                <w:color w:val="0070C0"/>
              </w:rPr>
              <w:t>GHG Regulation Area within a BAA</w:t>
            </w:r>
          </w:p>
          <w:p w:rsidR="00261509" w:rsidRPr="00B404FF" w:rsidRDefault="00261509" w:rsidP="00261509">
            <w:r w:rsidRPr="007363A7">
              <w:t>International considerations</w:t>
            </w:r>
            <w:r>
              <w:t xml:space="preserve">: </w:t>
            </w:r>
            <w:r w:rsidR="00D45840">
              <w:rPr>
                <w:color w:val="0070C0"/>
              </w:rPr>
              <w:t xml:space="preserve">Allowed, as applicable </w:t>
            </w:r>
          </w:p>
          <w:p w:rsidR="00FA23E6" w:rsidRPr="00B404FF" w:rsidRDefault="00FA23E6" w:rsidP="00BB0687">
            <w:r w:rsidRPr="00B404FF">
              <w:t xml:space="preserve">Topics: </w:t>
            </w:r>
          </w:p>
          <w:p w:rsidR="00FA23E6" w:rsidRPr="00B404FF" w:rsidRDefault="00FA23E6" w:rsidP="00261509">
            <w:pPr>
              <w:pStyle w:val="ListParagraph"/>
              <w:numPr>
                <w:ilvl w:val="0"/>
                <w:numId w:val="2"/>
              </w:numPr>
            </w:pPr>
            <w:r w:rsidRPr="008D0C83">
              <w:t>Boundaries</w:t>
            </w:r>
            <w:r w:rsidR="00C76079" w:rsidRPr="008D0C83">
              <w:t xml:space="preserve"> (</w:t>
            </w:r>
            <w:r w:rsidR="004E4E66" w:rsidRPr="008D0C83">
              <w:t>UA</w:t>
            </w:r>
            <w:r w:rsidR="00C76079" w:rsidRPr="008D0C83">
              <w:t>-1)</w:t>
            </w:r>
            <w:r w:rsidRPr="008D0C83">
              <w:t xml:space="preserve"> and </w:t>
            </w:r>
            <w:r w:rsidRPr="00B404FF">
              <w:t>potential need for alignment of transmission boundary concepts develope</w:t>
            </w:r>
            <w:r w:rsidR="00261509">
              <w:t xml:space="preserve">d in Transmission working group: </w:t>
            </w:r>
            <w:r w:rsidR="0026144A" w:rsidRPr="0026144A">
              <w:rPr>
                <w:color w:val="0070C0"/>
              </w:rPr>
              <w:t>N/A as</w:t>
            </w:r>
            <w:r w:rsidR="0026144A">
              <w:t xml:space="preserve"> </w:t>
            </w:r>
            <w:r w:rsidR="00432966" w:rsidRPr="00261509">
              <w:rPr>
                <w:color w:val="0070C0"/>
              </w:rPr>
              <w:t>GHG transfers are distinct from BAA transfers</w:t>
            </w:r>
            <w:r w:rsidR="00325F99">
              <w:rPr>
                <w:color w:val="0070C0"/>
              </w:rPr>
              <w:t xml:space="preserve"> a</w:t>
            </w:r>
            <w:r w:rsidR="00AA5C81">
              <w:rPr>
                <w:color w:val="0070C0"/>
              </w:rPr>
              <w:t>nd transmission boundary issues</w:t>
            </w:r>
            <w:r w:rsidR="00535B88">
              <w:rPr>
                <w:color w:val="0070C0"/>
              </w:rPr>
              <w:t>.</w:t>
            </w:r>
          </w:p>
          <w:p w:rsidR="00FA23E6" w:rsidRPr="00261509" w:rsidRDefault="00FA23E6" w:rsidP="00BB0687">
            <w:pPr>
              <w:pStyle w:val="ListParagraph"/>
              <w:numPr>
                <w:ilvl w:val="0"/>
                <w:numId w:val="2"/>
              </w:numPr>
            </w:pPr>
            <w:r w:rsidRPr="00B404FF">
              <w:t xml:space="preserve">Implications for BAA spanning multiple </w:t>
            </w:r>
            <w:r w:rsidRPr="008D0C83">
              <w:t>states</w:t>
            </w:r>
            <w:r w:rsidR="00FF7839" w:rsidRPr="008D0C83">
              <w:t xml:space="preserve"> (</w:t>
            </w:r>
            <w:r w:rsidR="006F58B8" w:rsidRPr="008D0C83">
              <w:t>RA</w:t>
            </w:r>
            <w:r w:rsidR="00FF7839" w:rsidRPr="008D0C83">
              <w:t xml:space="preserve">-2, </w:t>
            </w:r>
            <w:r w:rsidR="006F58B8" w:rsidRPr="008D0C83">
              <w:t>RA</w:t>
            </w:r>
            <w:r w:rsidR="00FF7839" w:rsidRPr="008D0C83">
              <w:t>-3)</w:t>
            </w:r>
          </w:p>
          <w:p w:rsidR="006874D7" w:rsidRDefault="00261509" w:rsidP="006874D7">
            <w:pPr>
              <w:pStyle w:val="ListParagraph"/>
              <w:numPr>
                <w:ilvl w:val="1"/>
                <w:numId w:val="2"/>
              </w:numPr>
              <w:rPr>
                <w:color w:val="0070C0"/>
              </w:rPr>
            </w:pPr>
            <w:r w:rsidRPr="006874D7">
              <w:rPr>
                <w:color w:val="0070C0"/>
              </w:rPr>
              <w:t xml:space="preserve">The GHG Regulation Area is </w:t>
            </w:r>
            <w:r w:rsidR="00535F2F">
              <w:rPr>
                <w:color w:val="0070C0"/>
              </w:rPr>
              <w:t>a defined group of nodes that can partially overlap with a BAA.</w:t>
            </w:r>
            <w:r w:rsidRPr="006874D7">
              <w:rPr>
                <w:color w:val="0070C0"/>
              </w:rPr>
              <w:t xml:space="preserve"> </w:t>
            </w:r>
            <w:r w:rsidR="001C0CC0">
              <w:rPr>
                <w:color w:val="0070C0"/>
              </w:rPr>
              <w:t xml:space="preserve">The CAISO is proposing </w:t>
            </w:r>
            <w:r w:rsidR="00535F2F">
              <w:rPr>
                <w:color w:val="0070C0"/>
              </w:rPr>
              <w:t>defining</w:t>
            </w:r>
            <w:r w:rsidR="001C0CC0">
              <w:rPr>
                <w:color w:val="0070C0"/>
              </w:rPr>
              <w:t xml:space="preserve"> GHG Regulation Area</w:t>
            </w:r>
            <w:r w:rsidR="00535F2F">
              <w:rPr>
                <w:color w:val="0070C0"/>
              </w:rPr>
              <w:t>s</w:t>
            </w:r>
            <w:r w:rsidR="001C0CC0">
              <w:rPr>
                <w:color w:val="0070C0"/>
              </w:rPr>
              <w:t xml:space="preserve"> </w:t>
            </w:r>
            <w:r w:rsidR="00535F2F">
              <w:rPr>
                <w:color w:val="0070C0"/>
              </w:rPr>
              <w:t>independently from</w:t>
            </w:r>
            <w:r w:rsidR="001C0CC0">
              <w:rPr>
                <w:color w:val="0070C0"/>
              </w:rPr>
              <w:t xml:space="preserve"> BAA</w:t>
            </w:r>
            <w:r w:rsidR="00535F2F">
              <w:rPr>
                <w:color w:val="0070C0"/>
              </w:rPr>
              <w:t>s</w:t>
            </w:r>
            <w:r w:rsidR="001C0CC0">
              <w:rPr>
                <w:color w:val="0070C0"/>
              </w:rPr>
              <w:t xml:space="preserve">. </w:t>
            </w:r>
            <w:r w:rsidRPr="006874D7">
              <w:rPr>
                <w:color w:val="0070C0"/>
              </w:rPr>
              <w:t xml:space="preserve">This will facilitate a BAA spanning multiple states and GHG Regulation Areas </w:t>
            </w:r>
            <w:r w:rsidR="00A5056D">
              <w:rPr>
                <w:color w:val="0070C0"/>
              </w:rPr>
              <w:t xml:space="preserve">to accurately reflect bids/compliance obligations. </w:t>
            </w:r>
            <w:r w:rsidRPr="006874D7">
              <w:rPr>
                <w:color w:val="0070C0"/>
              </w:rPr>
              <w:t xml:space="preserve"> </w:t>
            </w:r>
          </w:p>
          <w:p w:rsidR="006874D7" w:rsidRPr="005D69CE" w:rsidRDefault="006874D7" w:rsidP="006874D7">
            <w:pPr>
              <w:pStyle w:val="ListParagraph"/>
              <w:numPr>
                <w:ilvl w:val="1"/>
                <w:numId w:val="2"/>
              </w:numPr>
              <w:rPr>
                <w:i/>
                <w:color w:val="0070C0"/>
              </w:rPr>
            </w:pPr>
            <w:r w:rsidRPr="005D69CE">
              <w:rPr>
                <w:i/>
                <w:color w:val="0070C0"/>
              </w:rPr>
              <w:lastRenderedPageBreak/>
              <w:t xml:space="preserve">RA-2: </w:t>
            </w:r>
            <w:r w:rsidR="001C0CC0" w:rsidRPr="005D69CE">
              <w:rPr>
                <w:i/>
                <w:color w:val="0070C0"/>
              </w:rPr>
              <w:t>BPA: How specifically does this work for multi-state BAAs, i.e. how will the WA load in BPA’s BAA be identified (nodes?) and how will the volume of resources deemed delivered to those loads be calculated? And how will BPA’s resources be modeled (under WA cap and trade, BPA’s system – and generating units – are all considered imports to the state. Answer</w:t>
            </w:r>
            <w:r w:rsidR="001C0CC0" w:rsidRPr="00E378B3">
              <w:rPr>
                <w:i/>
                <w:color w:val="0070C0"/>
              </w:rPr>
              <w:t>:</w:t>
            </w:r>
            <w:r w:rsidR="001C0CC0" w:rsidRPr="005D69CE">
              <w:rPr>
                <w:i/>
              </w:rPr>
              <w:t xml:space="preserve"> </w:t>
            </w:r>
            <w:r w:rsidRPr="005D69CE">
              <w:rPr>
                <w:i/>
                <w:color w:val="0070C0"/>
              </w:rPr>
              <w:t>This will be done</w:t>
            </w:r>
            <w:r w:rsidR="00AA5C81">
              <w:rPr>
                <w:i/>
                <w:color w:val="0070C0"/>
              </w:rPr>
              <w:t xml:space="preserve"> via a node group definition in the Master File. </w:t>
            </w:r>
            <w:r w:rsidRPr="005D69CE">
              <w:rPr>
                <w:i/>
                <w:color w:val="0070C0"/>
              </w:rPr>
              <w:t xml:space="preserve">CAISO’s understanding from WA DOE is that imports must use the unspecified rate. </w:t>
            </w:r>
            <w:r w:rsidR="00E378B3" w:rsidRPr="00E378B3">
              <w:rPr>
                <w:i/>
                <w:color w:val="0070C0"/>
              </w:rPr>
              <w:t xml:space="preserve">The CAISO can provide </w:t>
            </w:r>
            <w:r w:rsidR="00F5125D">
              <w:rPr>
                <w:i/>
                <w:color w:val="0070C0"/>
              </w:rPr>
              <w:t>W</w:t>
            </w:r>
            <w:r w:rsidR="00E378B3" w:rsidRPr="00E378B3">
              <w:rPr>
                <w:i/>
                <w:color w:val="0070C0"/>
              </w:rPr>
              <w:t>EIM Entities with their specific market data to assist them with reporting obligations under W</w:t>
            </w:r>
            <w:r w:rsidR="00E51BF3">
              <w:rPr>
                <w:i/>
                <w:color w:val="0070C0"/>
              </w:rPr>
              <w:t>ashington’s Cap and I</w:t>
            </w:r>
            <w:r w:rsidR="00F5125D">
              <w:rPr>
                <w:i/>
                <w:color w:val="0070C0"/>
              </w:rPr>
              <w:t xml:space="preserve">nvest </w:t>
            </w:r>
            <w:r w:rsidR="00E378B3" w:rsidRPr="00E378B3">
              <w:rPr>
                <w:i/>
                <w:color w:val="0070C0"/>
              </w:rPr>
              <w:t xml:space="preserve">program.  The CAISO may also be able to provide aggregate </w:t>
            </w:r>
            <w:r w:rsidR="00337E30" w:rsidRPr="00E378B3">
              <w:rPr>
                <w:i/>
                <w:color w:val="0070C0"/>
              </w:rPr>
              <w:t>information</w:t>
            </w:r>
            <w:r w:rsidR="00E378B3" w:rsidRPr="00E378B3">
              <w:rPr>
                <w:i/>
                <w:color w:val="0070C0"/>
              </w:rPr>
              <w:t xml:space="preserve"> to help </w:t>
            </w:r>
            <w:r w:rsidR="00F5125D">
              <w:rPr>
                <w:i/>
                <w:color w:val="0070C0"/>
              </w:rPr>
              <w:t>Washington</w:t>
            </w:r>
            <w:r w:rsidR="00E378B3" w:rsidRPr="00E378B3">
              <w:rPr>
                <w:i/>
                <w:color w:val="0070C0"/>
              </w:rPr>
              <w:t xml:space="preserve"> </w:t>
            </w:r>
            <w:r w:rsidR="00F5125D">
              <w:rPr>
                <w:i/>
                <w:color w:val="0070C0"/>
              </w:rPr>
              <w:t xml:space="preserve">state </w:t>
            </w:r>
            <w:r w:rsidR="00E378B3" w:rsidRPr="00E378B3">
              <w:rPr>
                <w:i/>
                <w:color w:val="0070C0"/>
              </w:rPr>
              <w:t xml:space="preserve">and reporting entities ensure accurate </w:t>
            </w:r>
            <w:r w:rsidR="00337E30" w:rsidRPr="00E378B3">
              <w:rPr>
                <w:i/>
                <w:color w:val="0070C0"/>
              </w:rPr>
              <w:t>accounting</w:t>
            </w:r>
            <w:r w:rsidR="00E378B3" w:rsidRPr="00E378B3">
              <w:rPr>
                <w:i/>
                <w:color w:val="0070C0"/>
              </w:rPr>
              <w:t xml:space="preserve"> of pow</w:t>
            </w:r>
            <w:r w:rsidR="00F5125D">
              <w:rPr>
                <w:i/>
                <w:color w:val="0070C0"/>
              </w:rPr>
              <w:t>e</w:t>
            </w:r>
            <w:r w:rsidR="00E378B3" w:rsidRPr="00E378B3">
              <w:rPr>
                <w:i/>
                <w:color w:val="0070C0"/>
              </w:rPr>
              <w:t xml:space="preserve">r obtained from the </w:t>
            </w:r>
            <w:r w:rsidR="00F5125D">
              <w:rPr>
                <w:i/>
                <w:color w:val="0070C0"/>
              </w:rPr>
              <w:t>W</w:t>
            </w:r>
            <w:r w:rsidR="00E378B3" w:rsidRPr="00E378B3">
              <w:rPr>
                <w:i/>
                <w:color w:val="0070C0"/>
              </w:rPr>
              <w:t>EIM.</w:t>
            </w:r>
          </w:p>
          <w:p w:rsidR="001C0CC0" w:rsidRPr="005D69CE" w:rsidRDefault="001C0CC0" w:rsidP="006874D7">
            <w:pPr>
              <w:pStyle w:val="ListParagraph"/>
              <w:numPr>
                <w:ilvl w:val="1"/>
                <w:numId w:val="2"/>
              </w:numPr>
              <w:rPr>
                <w:i/>
                <w:color w:val="0070C0"/>
              </w:rPr>
            </w:pPr>
            <w:r w:rsidRPr="005D69CE">
              <w:rPr>
                <w:i/>
                <w:color w:val="0070C0"/>
              </w:rPr>
              <w:t>RA-3: How would CAISO determine GHG net exports for a single state in a multi-state BA for the purposes of limiting GHG</w:t>
            </w:r>
            <w:r w:rsidR="00B73101" w:rsidRPr="005D69CE">
              <w:rPr>
                <w:i/>
                <w:color w:val="0070C0"/>
              </w:rPr>
              <w:t xml:space="preserve"> </w:t>
            </w:r>
            <w:r w:rsidRPr="005D69CE">
              <w:rPr>
                <w:i/>
                <w:color w:val="0070C0"/>
              </w:rPr>
              <w:t xml:space="preserve">attribution (in the resource-specific GHG attribution enhancement)? </w:t>
            </w:r>
            <w:r w:rsidR="00E51BF3">
              <w:rPr>
                <w:i/>
                <w:color w:val="0070C0"/>
              </w:rPr>
              <w:t xml:space="preserve">Answer: </w:t>
            </w:r>
            <w:r w:rsidR="00B73101" w:rsidRPr="005D69CE">
              <w:rPr>
                <w:i/>
                <w:color w:val="0070C0"/>
              </w:rPr>
              <w:t>Creating</w:t>
            </w:r>
            <w:r w:rsidRPr="005D69CE">
              <w:rPr>
                <w:i/>
                <w:color w:val="0070C0"/>
              </w:rPr>
              <w:t xml:space="preserve"> the GHG Regulation Area allows CAISO to attribute GHG net exports for a single state in a multi-state BAA. </w:t>
            </w:r>
            <w:r w:rsidR="00337E30">
              <w:rPr>
                <w:i/>
                <w:color w:val="0070C0"/>
              </w:rPr>
              <w:t>The net import into a GHG</w:t>
            </w:r>
            <w:r w:rsidR="00535F2F">
              <w:rPr>
                <w:i/>
                <w:color w:val="0070C0"/>
              </w:rPr>
              <w:t xml:space="preserve"> Regulation Area (not necessarily, but probably a State) is determined as the net of scheduled demand minus scheduled supply in that area.</w:t>
            </w:r>
          </w:p>
          <w:p w:rsidR="00FA23E6" w:rsidRDefault="00FA23E6" w:rsidP="0037717E">
            <w:pPr>
              <w:pStyle w:val="ListParagraph"/>
              <w:numPr>
                <w:ilvl w:val="0"/>
                <w:numId w:val="2"/>
              </w:numPr>
            </w:pPr>
            <w:r w:rsidRPr="00B404FF">
              <w:t xml:space="preserve">Impacts to </w:t>
            </w:r>
            <w:r w:rsidR="00261509">
              <w:t>W</w:t>
            </w:r>
            <w:r w:rsidRPr="00B404FF">
              <w:t>EIM</w:t>
            </w:r>
          </w:p>
          <w:p w:rsidR="00261509" w:rsidRPr="00261509" w:rsidRDefault="005D69CE" w:rsidP="00261509">
            <w:pPr>
              <w:pStyle w:val="ListParagraph"/>
              <w:numPr>
                <w:ilvl w:val="1"/>
                <w:numId w:val="2"/>
              </w:numPr>
              <w:rPr>
                <w:color w:val="0070C0"/>
              </w:rPr>
            </w:pPr>
            <w:r>
              <w:rPr>
                <w:color w:val="0070C0"/>
              </w:rPr>
              <w:t xml:space="preserve">Yes, it will </w:t>
            </w:r>
            <w:r w:rsidR="00337E30">
              <w:rPr>
                <w:color w:val="0070C0"/>
              </w:rPr>
              <w:t>modify</w:t>
            </w:r>
            <w:r>
              <w:rPr>
                <w:color w:val="0070C0"/>
              </w:rPr>
              <w:t xml:space="preserve"> the WEIM designation at the </w:t>
            </w:r>
            <w:r w:rsidR="00261509" w:rsidRPr="00261509">
              <w:rPr>
                <w:color w:val="0070C0"/>
              </w:rPr>
              <w:t>BAA level to a GHG Regulation Area. This is a necessary enhancement to the WEIM</w:t>
            </w:r>
            <w:r w:rsidR="00A5056D">
              <w:rPr>
                <w:color w:val="0070C0"/>
              </w:rPr>
              <w:t xml:space="preserve">, as soon there will be </w:t>
            </w:r>
            <w:r w:rsidR="00261509" w:rsidRPr="00261509">
              <w:rPr>
                <w:color w:val="0070C0"/>
              </w:rPr>
              <w:t xml:space="preserve">multiple </w:t>
            </w:r>
            <w:r w:rsidR="006874D7">
              <w:rPr>
                <w:color w:val="0070C0"/>
              </w:rPr>
              <w:t>GHG Regulation Areas in the WEIM footprint</w:t>
            </w:r>
            <w:r w:rsidR="00261509" w:rsidRPr="00261509">
              <w:rPr>
                <w:color w:val="0070C0"/>
              </w:rPr>
              <w:t xml:space="preserve">. </w:t>
            </w:r>
          </w:p>
          <w:p w:rsidR="00FA23E6" w:rsidRPr="00B404FF" w:rsidRDefault="00FA23E6" w:rsidP="000B6435">
            <w:pPr>
              <w:pStyle w:val="ListParagraph"/>
              <w:numPr>
                <w:ilvl w:val="0"/>
                <w:numId w:val="2"/>
              </w:numPr>
            </w:pPr>
            <w:r w:rsidRPr="00B404FF">
              <w:t>Rules that need to be established for renewable resource dispatch in/out of a GHG zone</w:t>
            </w:r>
            <w:r w:rsidR="00C75334">
              <w:t xml:space="preserve"> (</w:t>
            </w:r>
            <w:r w:rsidR="004E4E66">
              <w:t>UA</w:t>
            </w:r>
            <w:r w:rsidR="00C75334">
              <w:t>-4)</w:t>
            </w:r>
          </w:p>
        </w:tc>
      </w:tr>
      <w:tr w:rsidR="00B404FF" w:rsidRPr="00B404FF" w:rsidTr="00E40A10">
        <w:trPr>
          <w:jc w:val="center"/>
        </w:trPr>
        <w:tc>
          <w:tcPr>
            <w:tcW w:w="1504" w:type="dxa"/>
            <w:hideMark/>
          </w:tcPr>
          <w:p w:rsidR="00FA23E6" w:rsidRPr="00B404FF" w:rsidRDefault="00FA23E6" w:rsidP="0037717E">
            <w:pPr>
              <w:rPr>
                <w:b/>
              </w:rPr>
            </w:pPr>
            <w:r w:rsidRPr="00B404FF">
              <w:rPr>
                <w:b/>
              </w:rPr>
              <w:lastRenderedPageBreak/>
              <w:t>Availability</w:t>
            </w:r>
          </w:p>
          <w:p w:rsidR="00FA23E6" w:rsidRPr="00B404FF" w:rsidRDefault="00FA23E6" w:rsidP="0037717E">
            <w:r w:rsidRPr="00B404FF">
              <w:t>Eligibility to serve demand in the GHG compliance area</w:t>
            </w:r>
          </w:p>
        </w:tc>
        <w:tc>
          <w:tcPr>
            <w:tcW w:w="1854" w:type="dxa"/>
            <w:gridSpan w:val="2"/>
          </w:tcPr>
          <w:p w:rsidR="00FA23E6" w:rsidRPr="00B404FF" w:rsidRDefault="00FA23E6" w:rsidP="0037717E">
            <w:r w:rsidRPr="00B404FF">
              <w:t xml:space="preserve">What rules for availability need to be developed for EDAM for GHG?  </w:t>
            </w:r>
          </w:p>
        </w:tc>
        <w:tc>
          <w:tcPr>
            <w:tcW w:w="1278" w:type="dxa"/>
          </w:tcPr>
          <w:p w:rsidR="00FA23E6" w:rsidRPr="00B404FF" w:rsidRDefault="000B7860" w:rsidP="0037717E">
            <w:r>
              <w:t>B</w:t>
            </w:r>
          </w:p>
        </w:tc>
        <w:tc>
          <w:tcPr>
            <w:tcW w:w="12729" w:type="dxa"/>
            <w:gridSpan w:val="3"/>
          </w:tcPr>
          <w:p w:rsidR="00FA23E6" w:rsidRDefault="00FA23E6" w:rsidP="0037717E">
            <w:r w:rsidRPr="00B404FF">
              <w:t xml:space="preserve">Decide: What will availability to serve load in a GHG compliance area look like? </w:t>
            </w:r>
          </w:p>
          <w:p w:rsidR="00D45840" w:rsidRPr="000B6435" w:rsidRDefault="00B73101" w:rsidP="000B6435">
            <w:pPr>
              <w:pStyle w:val="ListParagraph"/>
              <w:numPr>
                <w:ilvl w:val="0"/>
                <w:numId w:val="23"/>
              </w:numPr>
              <w:rPr>
                <w:color w:val="0070C0"/>
              </w:rPr>
            </w:pPr>
            <w:r w:rsidRPr="000B6435">
              <w:rPr>
                <w:color w:val="0070C0"/>
              </w:rPr>
              <w:t>Availability</w:t>
            </w:r>
            <w:r w:rsidR="00D45840" w:rsidRPr="000B6435">
              <w:rPr>
                <w:color w:val="0070C0"/>
              </w:rPr>
              <w:t xml:space="preserve"> to serve load in a GHG compliance area </w:t>
            </w:r>
            <w:r w:rsidR="00A5056D" w:rsidRPr="000B6435">
              <w:rPr>
                <w:color w:val="0070C0"/>
              </w:rPr>
              <w:t>will be</w:t>
            </w:r>
            <w:r w:rsidR="00D45840" w:rsidRPr="000B6435">
              <w:rPr>
                <w:color w:val="0070C0"/>
              </w:rPr>
              <w:t xml:space="preserve"> optional and based on hourly GHG bids submitted. </w:t>
            </w:r>
          </w:p>
          <w:p w:rsidR="00D45840" w:rsidRDefault="00D45840" w:rsidP="0037717E"/>
          <w:p w:rsidR="00FA23E6" w:rsidRPr="00B404FF" w:rsidRDefault="00FA23E6" w:rsidP="0037717E">
            <w:r w:rsidRPr="00B404FF">
              <w:t xml:space="preserve">Topics: </w:t>
            </w:r>
          </w:p>
          <w:p w:rsidR="00FA23E6" w:rsidRPr="00B404FF" w:rsidRDefault="00FA23E6" w:rsidP="0052323B">
            <w:pPr>
              <w:pStyle w:val="ListParagraph"/>
              <w:numPr>
                <w:ilvl w:val="0"/>
                <w:numId w:val="2"/>
              </w:numPr>
            </w:pPr>
            <w:r w:rsidRPr="00B404FF">
              <w:t>Determining availability</w:t>
            </w:r>
          </w:p>
          <w:p w:rsidR="00FA23E6" w:rsidRPr="001C0CC0" w:rsidRDefault="005D7295" w:rsidP="005D7295">
            <w:pPr>
              <w:pStyle w:val="ListParagraph"/>
              <w:numPr>
                <w:ilvl w:val="0"/>
                <w:numId w:val="2"/>
              </w:numPr>
            </w:pPr>
            <w:r w:rsidRPr="00AA2DCA">
              <w:t xml:space="preserve">Supply resources election to make </w:t>
            </w:r>
            <w:r w:rsidR="00FA23E6" w:rsidRPr="00AA2DCA">
              <w:t xml:space="preserve">capacity available to support transfers </w:t>
            </w:r>
            <w:r w:rsidRPr="00AA2DCA">
              <w:t>to</w:t>
            </w:r>
            <w:r w:rsidR="00FA23E6" w:rsidRPr="00AA2DCA">
              <w:t xml:space="preserve"> a GHG compliance </w:t>
            </w:r>
            <w:r w:rsidR="00FA23E6" w:rsidRPr="008D0C83">
              <w:t>area</w:t>
            </w:r>
            <w:r w:rsidRPr="008D0C83">
              <w:t xml:space="preserve"> (</w:t>
            </w:r>
            <w:r w:rsidR="006F58B8" w:rsidRPr="008D0C83">
              <w:t>RB</w:t>
            </w:r>
            <w:r w:rsidRPr="008D0C83">
              <w:t xml:space="preserve">-1, </w:t>
            </w:r>
            <w:r w:rsidR="006F58B8" w:rsidRPr="008D0C83">
              <w:t>RB</w:t>
            </w:r>
            <w:r w:rsidRPr="008D0C83">
              <w:t>-2</w:t>
            </w:r>
            <w:r w:rsidR="00DE69E8" w:rsidRPr="008D0C83">
              <w:t xml:space="preserve">, </w:t>
            </w:r>
            <w:r w:rsidR="004E4E66" w:rsidRPr="008D0C83">
              <w:t>UB</w:t>
            </w:r>
            <w:r w:rsidR="00C04118" w:rsidRPr="008D0C83">
              <w:t>-1</w:t>
            </w:r>
            <w:r w:rsidRPr="008D0C83">
              <w:t>)</w:t>
            </w:r>
          </w:p>
          <w:p w:rsidR="001C0CC0" w:rsidRPr="005D69CE" w:rsidRDefault="001C0CC0" w:rsidP="001C0CC0">
            <w:pPr>
              <w:rPr>
                <w:i/>
                <w:color w:val="0070C0"/>
              </w:rPr>
            </w:pPr>
            <w:r w:rsidRPr="005D69CE">
              <w:rPr>
                <w:i/>
                <w:color w:val="0070C0"/>
              </w:rPr>
              <w:t xml:space="preserve">RB1: How </w:t>
            </w:r>
            <w:r w:rsidR="00B73101" w:rsidRPr="005D69CE">
              <w:rPr>
                <w:i/>
                <w:color w:val="0070C0"/>
              </w:rPr>
              <w:t>will</w:t>
            </w:r>
            <w:r w:rsidRPr="005D69CE">
              <w:rPr>
                <w:i/>
                <w:color w:val="0070C0"/>
              </w:rPr>
              <w:t xml:space="preserve"> this allow a utility to direct where energy is accounted for? </w:t>
            </w:r>
            <w:r w:rsidR="00735CFB">
              <w:rPr>
                <w:i/>
                <w:color w:val="0070C0"/>
              </w:rPr>
              <w:t xml:space="preserve">Answer: </w:t>
            </w:r>
            <w:r w:rsidRPr="005D69CE">
              <w:rPr>
                <w:i/>
                <w:color w:val="0070C0"/>
              </w:rPr>
              <w:t>The load resources in CAISO’s market and EDAM have wide aggregations</w:t>
            </w:r>
            <w:r w:rsidR="000B6435">
              <w:rPr>
                <w:i/>
                <w:color w:val="0070C0"/>
              </w:rPr>
              <w:t xml:space="preserve"> (i.e., </w:t>
            </w:r>
            <w:r w:rsidRPr="005D69CE">
              <w:rPr>
                <w:i/>
                <w:color w:val="0070C0"/>
              </w:rPr>
              <w:t>the entire BAA for WEIM BAAs</w:t>
            </w:r>
            <w:r w:rsidR="000B6435">
              <w:rPr>
                <w:i/>
                <w:color w:val="0070C0"/>
              </w:rPr>
              <w:t>)</w:t>
            </w:r>
            <w:r w:rsidRPr="005D69CE">
              <w:rPr>
                <w:i/>
                <w:color w:val="0070C0"/>
              </w:rPr>
              <w:t>. This does not provide sufficient granularity for a supply to load matching system. To increase the granularity of load would impose severe performance issues to IFM, but more important, it will be detrimental to load settlement and CRRs because of the myriad of different load aggregation point LMPs. Furthermore, it will be very challenging, or impossible, to separate load customers at the same node, or LAP, and track load migration among the various LAPs.</w:t>
            </w:r>
          </w:p>
          <w:p w:rsidR="001C0CC0" w:rsidRPr="005D69CE" w:rsidRDefault="001C0CC0" w:rsidP="001C0CC0">
            <w:pPr>
              <w:rPr>
                <w:i/>
                <w:color w:val="0070C0"/>
              </w:rPr>
            </w:pPr>
          </w:p>
          <w:p w:rsidR="001C0CC0" w:rsidRPr="00B404FF" w:rsidRDefault="001C0CC0" w:rsidP="000B6435">
            <w:r w:rsidRPr="005D69CE">
              <w:rPr>
                <w:i/>
                <w:color w:val="0070C0"/>
              </w:rPr>
              <w:t xml:space="preserve">RB2: How will this preserve the ability to sell non-emitting surplus into a GHG zone?  </w:t>
            </w:r>
            <w:r w:rsidR="00735CFB">
              <w:rPr>
                <w:i/>
                <w:color w:val="0070C0"/>
              </w:rPr>
              <w:t xml:space="preserve">Answer: </w:t>
            </w:r>
            <w:r w:rsidR="00B73101" w:rsidRPr="005D69CE">
              <w:rPr>
                <w:i/>
                <w:color w:val="0070C0"/>
              </w:rPr>
              <w:t>Within</w:t>
            </w:r>
            <w:r w:rsidRPr="005D69CE">
              <w:rPr>
                <w:i/>
                <w:color w:val="0070C0"/>
              </w:rPr>
              <w:t xml:space="preserve"> EDAM</w:t>
            </w:r>
            <w:r w:rsidR="00AA00BE">
              <w:rPr>
                <w:i/>
                <w:color w:val="0070C0"/>
              </w:rPr>
              <w:t>,</w:t>
            </w:r>
            <w:r w:rsidRPr="005D69CE">
              <w:rPr>
                <w:i/>
                <w:color w:val="0070C0"/>
              </w:rPr>
              <w:t xml:space="preserve"> a resource would indicate a GHG </w:t>
            </w:r>
            <w:r w:rsidR="000B6435">
              <w:rPr>
                <w:i/>
                <w:color w:val="0070C0"/>
              </w:rPr>
              <w:t>c</w:t>
            </w:r>
            <w:r w:rsidR="00B73101" w:rsidRPr="005D69CE">
              <w:rPr>
                <w:i/>
                <w:color w:val="0070C0"/>
              </w:rPr>
              <w:t>ompliance</w:t>
            </w:r>
            <w:r w:rsidR="000B6435">
              <w:rPr>
                <w:i/>
                <w:color w:val="0070C0"/>
              </w:rPr>
              <w:t xml:space="preserve"> cost and q</w:t>
            </w:r>
            <w:r w:rsidRPr="005D69CE">
              <w:rPr>
                <w:i/>
                <w:color w:val="0070C0"/>
              </w:rPr>
              <w:t xml:space="preserve">uantity, and make its non-emitting </w:t>
            </w:r>
            <w:r w:rsidR="00B73101" w:rsidRPr="005D69CE">
              <w:rPr>
                <w:i/>
                <w:color w:val="0070C0"/>
              </w:rPr>
              <w:t>surplus</w:t>
            </w:r>
            <w:r w:rsidRPr="005D69CE">
              <w:rPr>
                <w:i/>
                <w:color w:val="0070C0"/>
              </w:rPr>
              <w:t xml:space="preserve"> available for the GHG zone based on co-optimized results.</w:t>
            </w:r>
            <w:r w:rsidRPr="001C0CC0">
              <w:rPr>
                <w:color w:val="0070C0"/>
              </w:rPr>
              <w:t xml:space="preserve">  </w:t>
            </w:r>
          </w:p>
        </w:tc>
      </w:tr>
      <w:tr w:rsidR="00B404FF" w:rsidRPr="00B404FF" w:rsidTr="00E40A10">
        <w:trPr>
          <w:jc w:val="center"/>
        </w:trPr>
        <w:tc>
          <w:tcPr>
            <w:tcW w:w="1504" w:type="dxa"/>
          </w:tcPr>
          <w:p w:rsidR="00FA23E6" w:rsidRPr="00B404FF" w:rsidRDefault="000C1232" w:rsidP="00E15212">
            <w:pPr>
              <w:rPr>
                <w:b/>
              </w:rPr>
            </w:pPr>
            <w:r>
              <w:rPr>
                <w:b/>
              </w:rPr>
              <w:t>Costs being optimized</w:t>
            </w:r>
          </w:p>
          <w:p w:rsidR="00FA23E6" w:rsidRPr="00B404FF" w:rsidRDefault="00FA23E6" w:rsidP="00E15212">
            <w:pPr>
              <w:rPr>
                <w:b/>
              </w:rPr>
            </w:pPr>
            <w:r w:rsidRPr="00B404FF">
              <w:rPr>
                <w:b/>
              </w:rPr>
              <w:t xml:space="preserve"> </w:t>
            </w:r>
          </w:p>
        </w:tc>
        <w:tc>
          <w:tcPr>
            <w:tcW w:w="1854" w:type="dxa"/>
            <w:gridSpan w:val="2"/>
          </w:tcPr>
          <w:p w:rsidR="00FA23E6" w:rsidRPr="00B404FF" w:rsidRDefault="00FA23E6" w:rsidP="00E15212">
            <w:r w:rsidRPr="00B404FF">
              <w:t xml:space="preserve">Which costs should be included in the </w:t>
            </w:r>
            <w:r w:rsidRPr="00B404FF">
              <w:lastRenderedPageBreak/>
              <w:t>market optimization?</w:t>
            </w:r>
          </w:p>
        </w:tc>
        <w:tc>
          <w:tcPr>
            <w:tcW w:w="1278" w:type="dxa"/>
          </w:tcPr>
          <w:p w:rsidR="00FA23E6" w:rsidRPr="00B404FF" w:rsidRDefault="00FA23E6" w:rsidP="00E15212"/>
        </w:tc>
        <w:tc>
          <w:tcPr>
            <w:tcW w:w="12729" w:type="dxa"/>
            <w:gridSpan w:val="3"/>
          </w:tcPr>
          <w:p w:rsidR="00FA23E6" w:rsidRPr="00B404FF" w:rsidRDefault="00FA23E6" w:rsidP="00E15212">
            <w:r w:rsidRPr="00B404FF">
              <w:t>Are we optimizing:</w:t>
            </w:r>
          </w:p>
          <w:p w:rsidR="00FA23E6" w:rsidRPr="00D45840" w:rsidRDefault="00570ABF" w:rsidP="00D45840">
            <w:pPr>
              <w:pStyle w:val="ListParagraph"/>
              <w:numPr>
                <w:ilvl w:val="0"/>
                <w:numId w:val="2"/>
              </w:numPr>
            </w:pPr>
            <w:r>
              <w:t xml:space="preserve">Carbon prices: </w:t>
            </w:r>
            <w:r w:rsidR="00D45840">
              <w:rPr>
                <w:color w:val="0070C0"/>
              </w:rPr>
              <w:t xml:space="preserve">The GHG cost of </w:t>
            </w:r>
            <w:r w:rsidR="00B73101">
              <w:rPr>
                <w:color w:val="0070C0"/>
              </w:rPr>
              <w:t>compliance</w:t>
            </w:r>
            <w:r w:rsidR="00D45840">
              <w:rPr>
                <w:color w:val="0070C0"/>
              </w:rPr>
              <w:t xml:space="preserve"> is optimized based on bids submitted: </w:t>
            </w:r>
          </w:p>
          <w:p w:rsidR="00D45840" w:rsidRPr="00D45840" w:rsidRDefault="00D45840" w:rsidP="00D45840">
            <w:pPr>
              <w:numPr>
                <w:ilvl w:val="1"/>
                <w:numId w:val="2"/>
              </w:numPr>
              <w:rPr>
                <w:color w:val="0070C0"/>
              </w:rPr>
            </w:pPr>
            <w:r w:rsidRPr="00D45840">
              <w:rPr>
                <w:color w:val="0070C0"/>
              </w:rPr>
              <w:t>Quantity: MW</w:t>
            </w:r>
          </w:p>
          <w:p w:rsidR="00D45840" w:rsidRPr="00D45840" w:rsidRDefault="00D45840" w:rsidP="00D45840">
            <w:pPr>
              <w:numPr>
                <w:ilvl w:val="1"/>
                <w:numId w:val="2"/>
              </w:numPr>
              <w:rPr>
                <w:color w:val="0070C0"/>
              </w:rPr>
            </w:pPr>
            <w:r w:rsidRPr="00D45840">
              <w:rPr>
                <w:color w:val="0070C0"/>
              </w:rPr>
              <w:t xml:space="preserve">Price: $/MWh </w:t>
            </w:r>
          </w:p>
          <w:p w:rsidR="00D45840" w:rsidRPr="00D45840" w:rsidRDefault="00D45840" w:rsidP="00D45840">
            <w:pPr>
              <w:numPr>
                <w:ilvl w:val="1"/>
                <w:numId w:val="2"/>
              </w:numPr>
              <w:rPr>
                <w:color w:val="0070C0"/>
              </w:rPr>
            </w:pPr>
            <w:r w:rsidRPr="00D45840">
              <w:rPr>
                <w:color w:val="0070C0"/>
              </w:rPr>
              <w:lastRenderedPageBreak/>
              <w:t>Frequency: Hourly basis</w:t>
            </w:r>
          </w:p>
          <w:p w:rsidR="00FA23E6" w:rsidRPr="00D45840" w:rsidRDefault="00570ABF" w:rsidP="00D45840">
            <w:pPr>
              <w:pStyle w:val="ListParagraph"/>
              <w:numPr>
                <w:ilvl w:val="0"/>
                <w:numId w:val="2"/>
              </w:numPr>
            </w:pPr>
            <w:r>
              <w:t xml:space="preserve">RPS/CES: </w:t>
            </w:r>
            <w:r w:rsidRPr="00570ABF">
              <w:rPr>
                <w:color w:val="0070C0"/>
              </w:rPr>
              <w:t>No</w:t>
            </w:r>
            <w:r w:rsidR="00432966">
              <w:rPr>
                <w:color w:val="0070C0"/>
              </w:rPr>
              <w:t xml:space="preserve"> </w:t>
            </w:r>
          </w:p>
          <w:p w:rsidR="002917F4" w:rsidRDefault="002917F4" w:rsidP="00E51BF3"/>
          <w:p w:rsidR="00FA23E6" w:rsidRPr="00E51BF3" w:rsidRDefault="00FA23E6" w:rsidP="00E51BF3">
            <w:r w:rsidRPr="00B404FF">
              <w:t>Types</w:t>
            </w:r>
          </w:p>
          <w:p w:rsidR="000B6435" w:rsidRPr="000B6435" w:rsidRDefault="00E51BF3" w:rsidP="00E51BF3">
            <w:pPr>
              <w:pStyle w:val="NormalWeb"/>
              <w:numPr>
                <w:ilvl w:val="0"/>
                <w:numId w:val="2"/>
              </w:numPr>
              <w:spacing w:before="0" w:beforeAutospacing="0" w:after="0" w:afterAutospacing="0"/>
              <w:rPr>
                <w:rFonts w:asciiTheme="minorHAnsi" w:eastAsiaTheme="minorHAnsi" w:hAnsiTheme="minorHAnsi" w:cstheme="minorBidi"/>
                <w:color w:val="0070C0"/>
                <w:sz w:val="22"/>
                <w:szCs w:val="22"/>
              </w:rPr>
            </w:pPr>
            <w:r w:rsidRPr="00E51BF3">
              <w:rPr>
                <w:rFonts w:asciiTheme="minorHAnsi" w:eastAsiaTheme="minorHAnsi" w:hAnsiTheme="minorHAnsi" w:cstheme="minorBidi"/>
                <w:sz w:val="22"/>
                <w:szCs w:val="22"/>
              </w:rPr>
              <w:t>Carbon pricing (including how to consider GHG costs reflected in natural gas prices):</w:t>
            </w:r>
            <w:r w:rsidRPr="00432966">
              <w:rPr>
                <w:color w:val="0070C0"/>
              </w:rPr>
              <w:t xml:space="preserve"> </w:t>
            </w:r>
          </w:p>
          <w:p w:rsidR="000B6435" w:rsidRDefault="000B6435" w:rsidP="000B6435">
            <w:pPr>
              <w:pStyle w:val="NormalWeb"/>
              <w:numPr>
                <w:ilvl w:val="1"/>
                <w:numId w:val="2"/>
              </w:numPr>
              <w:spacing w:before="0" w:beforeAutospacing="0" w:after="0" w:afterAutospacing="0"/>
              <w:rPr>
                <w:rFonts w:asciiTheme="minorHAnsi" w:eastAsiaTheme="minorHAnsi" w:hAnsiTheme="minorHAnsi" w:cstheme="minorBidi"/>
                <w:color w:val="0070C0"/>
                <w:sz w:val="22"/>
                <w:szCs w:val="22"/>
              </w:rPr>
            </w:pPr>
            <w:r>
              <w:rPr>
                <w:rFonts w:asciiTheme="minorHAnsi" w:eastAsiaTheme="minorHAnsi" w:hAnsiTheme="minorHAnsi" w:cstheme="minorBidi"/>
                <w:color w:val="0070C0"/>
                <w:sz w:val="22"/>
                <w:szCs w:val="22"/>
              </w:rPr>
              <w:t xml:space="preserve">Carbon pricing: </w:t>
            </w:r>
            <w:r w:rsidR="00E51BF3" w:rsidRPr="00E51BF3">
              <w:rPr>
                <w:rFonts w:asciiTheme="minorHAnsi" w:eastAsiaTheme="minorHAnsi" w:hAnsiTheme="minorHAnsi" w:cstheme="minorBidi"/>
                <w:color w:val="0070C0"/>
                <w:sz w:val="22"/>
                <w:szCs w:val="22"/>
              </w:rPr>
              <w:t xml:space="preserve">Internal to EDAM GHG costs </w:t>
            </w:r>
            <w:r w:rsidR="00E51BF3">
              <w:rPr>
                <w:rFonts w:asciiTheme="minorHAnsi" w:eastAsiaTheme="minorHAnsi" w:hAnsiTheme="minorHAnsi" w:cstheme="minorBidi"/>
                <w:color w:val="0070C0"/>
                <w:sz w:val="22"/>
                <w:szCs w:val="22"/>
              </w:rPr>
              <w:t>would be</w:t>
            </w:r>
            <w:r w:rsidR="00E51BF3" w:rsidRPr="00E51BF3">
              <w:rPr>
                <w:rFonts w:asciiTheme="minorHAnsi" w:eastAsiaTheme="minorHAnsi" w:hAnsiTheme="minorHAnsi" w:cstheme="minorBidi"/>
                <w:color w:val="0070C0"/>
                <w:sz w:val="22"/>
                <w:szCs w:val="22"/>
              </w:rPr>
              <w:t xml:space="preserve"> reflected in energy bids, external to EDAM</w:t>
            </w:r>
            <w:r w:rsidR="00E51BF3">
              <w:rPr>
                <w:rFonts w:asciiTheme="minorHAnsi" w:eastAsiaTheme="minorHAnsi" w:hAnsiTheme="minorHAnsi" w:cstheme="minorBidi"/>
                <w:color w:val="0070C0"/>
                <w:sz w:val="22"/>
                <w:szCs w:val="22"/>
              </w:rPr>
              <w:t xml:space="preserve"> costs would be included through</w:t>
            </w:r>
            <w:r w:rsidR="00E51BF3" w:rsidRPr="00E51BF3">
              <w:rPr>
                <w:rFonts w:asciiTheme="minorHAnsi" w:eastAsiaTheme="minorHAnsi" w:hAnsiTheme="minorHAnsi" w:cstheme="minorBidi"/>
                <w:color w:val="0070C0"/>
                <w:sz w:val="22"/>
                <w:szCs w:val="22"/>
              </w:rPr>
              <w:t xml:space="preserve"> either an unspecified rate or if it is offering to the CA GHG Regulatory Area it would also have the option to use the ACS emissions rate, if approved by CARB. </w:t>
            </w:r>
          </w:p>
          <w:p w:rsidR="00E51BF3" w:rsidRPr="00E51BF3" w:rsidRDefault="000B6435" w:rsidP="000B6435">
            <w:pPr>
              <w:pStyle w:val="NormalWeb"/>
              <w:numPr>
                <w:ilvl w:val="1"/>
                <w:numId w:val="2"/>
              </w:numPr>
              <w:spacing w:before="0" w:beforeAutospacing="0" w:after="0" w:afterAutospacing="0"/>
              <w:rPr>
                <w:rFonts w:asciiTheme="minorHAnsi" w:eastAsiaTheme="minorHAnsi" w:hAnsiTheme="minorHAnsi" w:cstheme="minorBidi"/>
                <w:color w:val="0070C0"/>
                <w:sz w:val="22"/>
                <w:szCs w:val="22"/>
              </w:rPr>
            </w:pPr>
            <w:r>
              <w:rPr>
                <w:rFonts w:asciiTheme="minorHAnsi" w:eastAsiaTheme="minorHAnsi" w:hAnsiTheme="minorHAnsi" w:cstheme="minorBidi"/>
                <w:color w:val="0070C0"/>
                <w:sz w:val="22"/>
                <w:szCs w:val="22"/>
              </w:rPr>
              <w:t>Carbon pricing and natural gas prices: C</w:t>
            </w:r>
            <w:r w:rsidR="00E51BF3" w:rsidRPr="00E51BF3">
              <w:rPr>
                <w:rFonts w:asciiTheme="minorHAnsi" w:eastAsiaTheme="minorHAnsi" w:hAnsiTheme="minorHAnsi" w:cstheme="minorBidi"/>
                <w:color w:val="0070C0"/>
                <w:sz w:val="22"/>
                <w:szCs w:val="22"/>
              </w:rPr>
              <w:t>urrently,</w:t>
            </w:r>
            <w:r w:rsidR="00E51BF3">
              <w:rPr>
                <w:rFonts w:asciiTheme="minorHAnsi" w:eastAsiaTheme="minorHAnsi" w:hAnsiTheme="minorHAnsi" w:cstheme="minorBidi"/>
                <w:color w:val="0070C0"/>
                <w:sz w:val="22"/>
                <w:szCs w:val="22"/>
              </w:rPr>
              <w:t xml:space="preserve"> CA</w:t>
            </w:r>
            <w:r w:rsidR="00E51BF3" w:rsidRPr="00E51BF3">
              <w:rPr>
                <w:rFonts w:asciiTheme="minorHAnsi" w:eastAsiaTheme="minorHAnsi" w:hAnsiTheme="minorHAnsi" w:cstheme="minorBidi"/>
                <w:color w:val="0070C0"/>
                <w:sz w:val="22"/>
                <w:szCs w:val="22"/>
              </w:rPr>
              <w:t xml:space="preserve"> </w:t>
            </w:r>
            <w:r w:rsidR="00E51BF3">
              <w:rPr>
                <w:rFonts w:asciiTheme="minorHAnsi" w:eastAsiaTheme="minorHAnsi" w:hAnsiTheme="minorHAnsi" w:cstheme="minorBidi"/>
                <w:color w:val="0070C0"/>
                <w:sz w:val="22"/>
                <w:szCs w:val="22"/>
              </w:rPr>
              <w:t>gas pays a decreased cost to adjust for GHG</w:t>
            </w:r>
            <w:r>
              <w:rPr>
                <w:rFonts w:asciiTheme="minorHAnsi" w:eastAsiaTheme="minorHAnsi" w:hAnsiTheme="minorHAnsi" w:cstheme="minorBidi"/>
                <w:color w:val="0070C0"/>
                <w:sz w:val="22"/>
                <w:szCs w:val="22"/>
              </w:rPr>
              <w:t xml:space="preserve"> compliance costs reflected in energy bids</w:t>
            </w:r>
            <w:r w:rsidR="00E51BF3">
              <w:rPr>
                <w:rFonts w:asciiTheme="minorHAnsi" w:eastAsiaTheme="minorHAnsi" w:hAnsiTheme="minorHAnsi" w:cstheme="minorBidi"/>
                <w:color w:val="0070C0"/>
                <w:sz w:val="22"/>
                <w:szCs w:val="22"/>
              </w:rPr>
              <w:t xml:space="preserve">. More discussion will be needed to understand if WA will use the same methodology or not. </w:t>
            </w:r>
            <w:r>
              <w:rPr>
                <w:rFonts w:asciiTheme="minorHAnsi" w:eastAsiaTheme="minorHAnsi" w:hAnsiTheme="minorHAnsi" w:cstheme="minorBidi"/>
                <w:color w:val="0070C0"/>
                <w:sz w:val="22"/>
                <w:szCs w:val="22"/>
              </w:rPr>
              <w:t xml:space="preserve">This same issue will apply for EDAM/WEIM when new GHG Regulation Areas </w:t>
            </w:r>
            <w:r w:rsidR="002917F4">
              <w:rPr>
                <w:rFonts w:asciiTheme="minorHAnsi" w:eastAsiaTheme="minorHAnsi" w:hAnsiTheme="minorHAnsi" w:cstheme="minorBidi"/>
                <w:color w:val="0070C0"/>
                <w:sz w:val="22"/>
                <w:szCs w:val="22"/>
              </w:rPr>
              <w:t xml:space="preserve">are established. </w:t>
            </w:r>
          </w:p>
          <w:p w:rsidR="002917F4" w:rsidRPr="002917F4" w:rsidRDefault="00FA23E6" w:rsidP="008610EA">
            <w:pPr>
              <w:pStyle w:val="ListParagraph"/>
              <w:numPr>
                <w:ilvl w:val="0"/>
                <w:numId w:val="2"/>
              </w:numPr>
              <w:rPr>
                <w:color w:val="FF0000"/>
              </w:rPr>
            </w:pPr>
            <w:r w:rsidRPr="00B404FF">
              <w:t>Clean energy/renewable</w:t>
            </w:r>
            <w:r w:rsidR="00432966">
              <w:t xml:space="preserve">: </w:t>
            </w:r>
          </w:p>
          <w:p w:rsidR="00FA23E6" w:rsidRPr="00D412D6" w:rsidRDefault="00432966" w:rsidP="002917F4">
            <w:pPr>
              <w:pStyle w:val="ListParagraph"/>
              <w:numPr>
                <w:ilvl w:val="1"/>
                <w:numId w:val="2"/>
              </w:numPr>
              <w:rPr>
                <w:color w:val="FF0000"/>
              </w:rPr>
            </w:pPr>
            <w:r w:rsidRPr="00D412D6">
              <w:rPr>
                <w:color w:val="0070C0"/>
              </w:rPr>
              <w:t>Clean energy or renewable en</w:t>
            </w:r>
            <w:r w:rsidR="00D412D6" w:rsidRPr="00D412D6">
              <w:rPr>
                <w:color w:val="0070C0"/>
              </w:rPr>
              <w:t>ergy would also have a resource-</w:t>
            </w:r>
            <w:r w:rsidRPr="00D412D6">
              <w:rPr>
                <w:color w:val="0070C0"/>
              </w:rPr>
              <w:t xml:space="preserve">specific emissions rate internal to EDAM if offering to a GHG Regulatory Area, but would need to use the unspecified rate or ACS if it is coming from </w:t>
            </w:r>
            <w:r w:rsidR="00D412D6" w:rsidRPr="00D412D6">
              <w:rPr>
                <w:color w:val="0070C0"/>
              </w:rPr>
              <w:t xml:space="preserve">outside the EDAM. </w:t>
            </w:r>
            <w:r w:rsidR="00FA23E6" w:rsidRPr="00AA2DCA">
              <w:t>Transactions</w:t>
            </w:r>
            <w:r w:rsidR="00327AC5" w:rsidRPr="00AA2DCA">
              <w:t xml:space="preserve"> covered</w:t>
            </w:r>
            <w:r w:rsidRPr="00AA2DCA">
              <w:t>:</w:t>
            </w:r>
            <w:r w:rsidRPr="00D412D6">
              <w:rPr>
                <w:color w:val="FF0000"/>
              </w:rPr>
              <w:t xml:space="preserve"> </w:t>
            </w:r>
            <w:r w:rsidRPr="00D412D6">
              <w:rPr>
                <w:color w:val="0070C0"/>
              </w:rPr>
              <w:t>See section below on “</w:t>
            </w:r>
            <w:r w:rsidRPr="00A5056D">
              <w:rPr>
                <w:color w:val="0070C0"/>
              </w:rPr>
              <w:t>Multiple GHG Zones”</w:t>
            </w:r>
          </w:p>
          <w:p w:rsidR="00FA23E6" w:rsidRPr="00AA2DCA" w:rsidRDefault="00327AC5" w:rsidP="00D45840">
            <w:pPr>
              <w:pStyle w:val="ListParagraph"/>
              <w:numPr>
                <w:ilvl w:val="0"/>
                <w:numId w:val="2"/>
              </w:numPr>
            </w:pPr>
            <w:r w:rsidRPr="00AA2DCA">
              <w:t>GHG zone:</w:t>
            </w:r>
          </w:p>
          <w:p w:rsidR="00327AC5" w:rsidRPr="00AA2DCA" w:rsidRDefault="00327AC5" w:rsidP="00D45840">
            <w:pPr>
              <w:pStyle w:val="ListParagraph"/>
              <w:numPr>
                <w:ilvl w:val="1"/>
                <w:numId w:val="2"/>
              </w:numPr>
            </w:pPr>
            <w:r w:rsidRPr="00AA2DCA">
              <w:t>Generation w/in GHG zone</w:t>
            </w:r>
          </w:p>
          <w:p w:rsidR="00327AC5" w:rsidRPr="00AA2DCA" w:rsidRDefault="00327AC5" w:rsidP="00D45840">
            <w:pPr>
              <w:pStyle w:val="ListParagraph"/>
              <w:numPr>
                <w:ilvl w:val="1"/>
                <w:numId w:val="2"/>
              </w:numPr>
            </w:pPr>
            <w:r w:rsidRPr="00AA2DCA">
              <w:t>Imports into GHG zone</w:t>
            </w:r>
          </w:p>
          <w:p w:rsidR="00FA23E6" w:rsidRPr="00AA2DCA" w:rsidRDefault="00327AC5" w:rsidP="00D45840">
            <w:pPr>
              <w:pStyle w:val="ListParagraph"/>
              <w:numPr>
                <w:ilvl w:val="0"/>
                <w:numId w:val="2"/>
              </w:numPr>
            </w:pPr>
            <w:r w:rsidRPr="00AA2DCA">
              <w:t xml:space="preserve">Non-GHG zone: </w:t>
            </w:r>
          </w:p>
          <w:p w:rsidR="00327AC5" w:rsidRPr="00AA2DCA" w:rsidRDefault="00327AC5" w:rsidP="00D45840">
            <w:pPr>
              <w:pStyle w:val="ListParagraph"/>
              <w:numPr>
                <w:ilvl w:val="1"/>
                <w:numId w:val="2"/>
              </w:numPr>
            </w:pPr>
            <w:r w:rsidRPr="00AA2DCA">
              <w:t>Generation w/in non-GHG zone</w:t>
            </w:r>
          </w:p>
          <w:p w:rsidR="00327AC5" w:rsidRPr="00327AC5" w:rsidRDefault="00327AC5" w:rsidP="00D45840">
            <w:pPr>
              <w:pStyle w:val="ListParagraph"/>
              <w:numPr>
                <w:ilvl w:val="1"/>
                <w:numId w:val="2"/>
              </w:numPr>
              <w:rPr>
                <w:color w:val="FF0000"/>
              </w:rPr>
            </w:pPr>
            <w:r w:rsidRPr="00AA2DCA">
              <w:t>Exports into GHG zone</w:t>
            </w:r>
          </w:p>
        </w:tc>
      </w:tr>
      <w:tr w:rsidR="00B404FF" w:rsidRPr="00B404FF" w:rsidTr="00E40A10">
        <w:trPr>
          <w:jc w:val="center"/>
        </w:trPr>
        <w:tc>
          <w:tcPr>
            <w:tcW w:w="1504" w:type="dxa"/>
          </w:tcPr>
          <w:p w:rsidR="00FA23E6" w:rsidRPr="00B404FF" w:rsidRDefault="00FA23E6" w:rsidP="00E15212">
            <w:pPr>
              <w:rPr>
                <w:b/>
              </w:rPr>
            </w:pPr>
            <w:r w:rsidRPr="00B404FF">
              <w:rPr>
                <w:b/>
              </w:rPr>
              <w:lastRenderedPageBreak/>
              <w:t xml:space="preserve">Emissions </w:t>
            </w:r>
            <w:r w:rsidR="000C1232">
              <w:rPr>
                <w:b/>
              </w:rPr>
              <w:t>attribution</w:t>
            </w:r>
            <w:r w:rsidRPr="00B404FF">
              <w:rPr>
                <w:b/>
              </w:rPr>
              <w:t xml:space="preserve"> </w:t>
            </w:r>
          </w:p>
          <w:p w:rsidR="00FA23E6" w:rsidRPr="00B404FF" w:rsidRDefault="00FA23E6" w:rsidP="00E15212">
            <w:pPr>
              <w:rPr>
                <w:b/>
              </w:rPr>
            </w:pPr>
          </w:p>
        </w:tc>
        <w:tc>
          <w:tcPr>
            <w:tcW w:w="1854" w:type="dxa"/>
            <w:gridSpan w:val="2"/>
          </w:tcPr>
          <w:p w:rsidR="00FA23E6" w:rsidRPr="00B404FF" w:rsidRDefault="000D51F1" w:rsidP="00E15212">
            <w:r>
              <w:t xml:space="preserve">How should GHG emission </w:t>
            </w:r>
            <w:r w:rsidR="00FA23E6" w:rsidRPr="00B404FF">
              <w:t xml:space="preserve">attribution be determined? </w:t>
            </w:r>
          </w:p>
        </w:tc>
        <w:tc>
          <w:tcPr>
            <w:tcW w:w="1278" w:type="dxa"/>
          </w:tcPr>
          <w:p w:rsidR="00FA23E6" w:rsidRPr="00B404FF" w:rsidRDefault="00FA23E6" w:rsidP="00E15212"/>
        </w:tc>
        <w:tc>
          <w:tcPr>
            <w:tcW w:w="12729" w:type="dxa"/>
            <w:gridSpan w:val="3"/>
          </w:tcPr>
          <w:p w:rsidR="00FA23E6" w:rsidRPr="00B404FF" w:rsidRDefault="00FA23E6" w:rsidP="00E15212">
            <w:r w:rsidRPr="00B404FF">
              <w:t>De</w:t>
            </w:r>
            <w:r w:rsidR="00B404FF">
              <w:t>cide: How should emissions</w:t>
            </w:r>
            <w:r w:rsidRPr="00B404FF">
              <w:t xml:space="preserve"> be attributed? </w:t>
            </w:r>
          </w:p>
          <w:p w:rsidR="00432966" w:rsidRDefault="00432966" w:rsidP="00432966">
            <w:pPr>
              <w:pStyle w:val="ListParagraph"/>
              <w:numPr>
                <w:ilvl w:val="0"/>
                <w:numId w:val="2"/>
              </w:numPr>
              <w:rPr>
                <w:color w:val="0070C0"/>
              </w:rPr>
            </w:pPr>
            <w:r>
              <w:rPr>
                <w:color w:val="0070C0"/>
              </w:rPr>
              <w:t>The CAISO is proposing to use a r</w:t>
            </w:r>
            <w:r w:rsidR="00FA23E6" w:rsidRPr="00432966">
              <w:rPr>
                <w:color w:val="0070C0"/>
              </w:rPr>
              <w:t>esource specific</w:t>
            </w:r>
            <w:r>
              <w:rPr>
                <w:color w:val="0070C0"/>
              </w:rPr>
              <w:t xml:space="preserve"> emissions rate for resources within EDAM</w:t>
            </w:r>
          </w:p>
          <w:p w:rsidR="00432966" w:rsidRPr="00432966" w:rsidRDefault="00432966" w:rsidP="00432966">
            <w:pPr>
              <w:pStyle w:val="ListParagraph"/>
              <w:numPr>
                <w:ilvl w:val="0"/>
                <w:numId w:val="2"/>
              </w:numPr>
              <w:rPr>
                <w:color w:val="0070C0"/>
              </w:rPr>
            </w:pPr>
            <w:r w:rsidRPr="00432966">
              <w:rPr>
                <w:color w:val="0070C0"/>
              </w:rPr>
              <w:t xml:space="preserve">Emissions rate </w:t>
            </w:r>
          </w:p>
          <w:p w:rsidR="00432966" w:rsidRPr="002917F4" w:rsidRDefault="00432966" w:rsidP="002917F4">
            <w:pPr>
              <w:pStyle w:val="ListParagraph"/>
              <w:numPr>
                <w:ilvl w:val="1"/>
                <w:numId w:val="13"/>
              </w:numPr>
              <w:rPr>
                <w:color w:val="0070C0"/>
              </w:rPr>
            </w:pPr>
            <w:r w:rsidRPr="00432966">
              <w:rPr>
                <w:color w:val="0070C0"/>
              </w:rPr>
              <w:t>EDAM BAA</w:t>
            </w:r>
            <w:r w:rsidR="002917F4">
              <w:rPr>
                <w:color w:val="0070C0"/>
              </w:rPr>
              <w:t xml:space="preserve">:  </w:t>
            </w:r>
            <w:r w:rsidRPr="002917F4">
              <w:rPr>
                <w:color w:val="0070C0"/>
              </w:rPr>
              <w:t xml:space="preserve">Specified Resource (resource specific emissions rate) </w:t>
            </w:r>
          </w:p>
          <w:p w:rsidR="00432966" w:rsidRPr="00432966" w:rsidRDefault="00432966" w:rsidP="00432966">
            <w:pPr>
              <w:pStyle w:val="ListParagraph"/>
              <w:numPr>
                <w:ilvl w:val="1"/>
                <w:numId w:val="13"/>
              </w:numPr>
              <w:rPr>
                <w:color w:val="0070C0"/>
              </w:rPr>
            </w:pPr>
            <w:r w:rsidRPr="00432966">
              <w:rPr>
                <w:color w:val="0070C0"/>
              </w:rPr>
              <w:t>Non-EDAM BAA</w:t>
            </w:r>
          </w:p>
          <w:p w:rsidR="00432966" w:rsidRPr="00432966" w:rsidRDefault="00432966" w:rsidP="00432966">
            <w:pPr>
              <w:pStyle w:val="ListParagraph"/>
              <w:numPr>
                <w:ilvl w:val="2"/>
                <w:numId w:val="13"/>
              </w:numPr>
              <w:rPr>
                <w:color w:val="0070C0"/>
              </w:rPr>
            </w:pPr>
            <w:r w:rsidRPr="00432966">
              <w:rPr>
                <w:color w:val="0070C0"/>
              </w:rPr>
              <w:t xml:space="preserve">Unspecified Resource (default emissions rate) </w:t>
            </w:r>
          </w:p>
          <w:p w:rsidR="00432966" w:rsidRPr="00432966" w:rsidRDefault="00432966" w:rsidP="00432966">
            <w:pPr>
              <w:pStyle w:val="ListParagraph"/>
              <w:numPr>
                <w:ilvl w:val="3"/>
                <w:numId w:val="13"/>
              </w:numPr>
              <w:rPr>
                <w:color w:val="0070C0"/>
              </w:rPr>
            </w:pPr>
            <w:r w:rsidRPr="00432966">
              <w:rPr>
                <w:color w:val="0070C0"/>
              </w:rPr>
              <w:t>CARB: 0.428 mTCO</w:t>
            </w:r>
            <w:r w:rsidRPr="00432966">
              <w:rPr>
                <w:color w:val="0070C0"/>
                <w:vertAlign w:val="subscript"/>
              </w:rPr>
              <w:t>2</w:t>
            </w:r>
            <w:r w:rsidRPr="00432966">
              <w:rPr>
                <w:color w:val="0070C0"/>
              </w:rPr>
              <w:t>e/MWh</w:t>
            </w:r>
          </w:p>
          <w:p w:rsidR="00432966" w:rsidRPr="00432966" w:rsidRDefault="00432966" w:rsidP="00432966">
            <w:pPr>
              <w:pStyle w:val="ListParagraph"/>
              <w:numPr>
                <w:ilvl w:val="3"/>
                <w:numId w:val="13"/>
              </w:numPr>
              <w:rPr>
                <w:color w:val="0070C0"/>
              </w:rPr>
            </w:pPr>
            <w:r w:rsidRPr="00432966">
              <w:rPr>
                <w:color w:val="0070C0"/>
              </w:rPr>
              <w:t>WA Department of Ecology: 0.437 mTCO</w:t>
            </w:r>
            <w:r w:rsidRPr="00432966">
              <w:rPr>
                <w:color w:val="0070C0"/>
                <w:vertAlign w:val="subscript"/>
              </w:rPr>
              <w:t>2</w:t>
            </w:r>
            <w:r w:rsidRPr="00432966">
              <w:rPr>
                <w:color w:val="0070C0"/>
              </w:rPr>
              <w:t>e/MWh</w:t>
            </w:r>
          </w:p>
          <w:p w:rsidR="00D412D6" w:rsidRPr="008D0C83" w:rsidRDefault="00432966" w:rsidP="008D0C83">
            <w:pPr>
              <w:pStyle w:val="ListParagraph"/>
              <w:numPr>
                <w:ilvl w:val="2"/>
                <w:numId w:val="13"/>
              </w:numPr>
              <w:rPr>
                <w:color w:val="0070C0"/>
              </w:rPr>
            </w:pPr>
            <w:r w:rsidRPr="00432966">
              <w:rPr>
                <w:color w:val="0070C0"/>
              </w:rPr>
              <w:t>Asset Controlling Supplier (ACS) emissions rate</w:t>
            </w:r>
            <w:r w:rsidR="002917F4">
              <w:rPr>
                <w:color w:val="0070C0"/>
              </w:rPr>
              <w:t>: a</w:t>
            </w:r>
            <w:r w:rsidRPr="002917F4">
              <w:rPr>
                <w:color w:val="0070C0"/>
              </w:rPr>
              <w:t>verage emissions rate based on their areas, as approved by CARB</w:t>
            </w:r>
          </w:p>
        </w:tc>
      </w:tr>
      <w:tr w:rsidR="00B404FF" w:rsidRPr="00B404FF" w:rsidTr="00E40A10">
        <w:trPr>
          <w:jc w:val="center"/>
        </w:trPr>
        <w:tc>
          <w:tcPr>
            <w:tcW w:w="1504" w:type="dxa"/>
          </w:tcPr>
          <w:p w:rsidR="00B404FF" w:rsidRPr="008D0C83" w:rsidRDefault="008A70D9" w:rsidP="008A70D9">
            <w:pPr>
              <w:rPr>
                <w:b/>
              </w:rPr>
            </w:pPr>
            <w:r w:rsidRPr="008D0C83">
              <w:rPr>
                <w:b/>
              </w:rPr>
              <w:t>P</w:t>
            </w:r>
            <w:r w:rsidR="00B404FF" w:rsidRPr="008D0C83">
              <w:rPr>
                <w:b/>
              </w:rPr>
              <w:t>articipation</w:t>
            </w:r>
            <w:r w:rsidRPr="008D0C83">
              <w:rPr>
                <w:b/>
              </w:rPr>
              <w:t xml:space="preserve"> options</w:t>
            </w:r>
          </w:p>
        </w:tc>
        <w:tc>
          <w:tcPr>
            <w:tcW w:w="1854" w:type="dxa"/>
            <w:gridSpan w:val="2"/>
          </w:tcPr>
          <w:p w:rsidR="00B404FF" w:rsidRPr="008D0C83" w:rsidRDefault="00B404FF" w:rsidP="00E15212"/>
        </w:tc>
        <w:tc>
          <w:tcPr>
            <w:tcW w:w="1278" w:type="dxa"/>
          </w:tcPr>
          <w:p w:rsidR="00B404FF" w:rsidRPr="008D0C83" w:rsidRDefault="000B7860" w:rsidP="00E15212">
            <w:r w:rsidRPr="008D0C83">
              <w:t>A</w:t>
            </w:r>
          </w:p>
        </w:tc>
        <w:tc>
          <w:tcPr>
            <w:tcW w:w="12729" w:type="dxa"/>
            <w:gridSpan w:val="3"/>
          </w:tcPr>
          <w:p w:rsidR="00B404FF" w:rsidRPr="008D0C83" w:rsidRDefault="00B404FF" w:rsidP="00B404FF">
            <w:r w:rsidRPr="008D0C83">
              <w:t>Determining emissions attribution with different participation options</w:t>
            </w:r>
            <w:r w:rsidR="00FF7839" w:rsidRPr="008D0C83">
              <w:t xml:space="preserve"> (</w:t>
            </w:r>
            <w:r w:rsidR="006F58B8" w:rsidRPr="008D0C83">
              <w:t>RA</w:t>
            </w:r>
            <w:r w:rsidR="00FF7839" w:rsidRPr="008D0C83">
              <w:t>-4)</w:t>
            </w:r>
            <w:r w:rsidRPr="008D0C83">
              <w:t xml:space="preserve">: </w:t>
            </w:r>
          </w:p>
          <w:p w:rsidR="00B404FF" w:rsidRPr="00B404FF" w:rsidRDefault="00B404FF" w:rsidP="00B404FF">
            <w:pPr>
              <w:pStyle w:val="ListParagraph"/>
              <w:numPr>
                <w:ilvl w:val="0"/>
                <w:numId w:val="2"/>
              </w:numPr>
              <w:rPr>
                <w:color w:val="FF0000"/>
              </w:rPr>
            </w:pPr>
            <w:r w:rsidRPr="008D0C83">
              <w:t>Imports</w:t>
            </w:r>
            <w:r w:rsidR="00FF7839" w:rsidRPr="008D0C83">
              <w:t xml:space="preserve"> at EDAM Boundaries</w:t>
            </w:r>
            <w:r w:rsidR="003C024B" w:rsidRPr="008D0C83">
              <w:t xml:space="preserve">: </w:t>
            </w:r>
            <w:r w:rsidR="00D45840" w:rsidRPr="00D45840">
              <w:rPr>
                <w:color w:val="0070C0"/>
              </w:rPr>
              <w:t xml:space="preserve">Subject to WG 2 discussions on external resource participation. </w:t>
            </w:r>
            <w:r w:rsidR="00D45840">
              <w:rPr>
                <w:color w:val="0070C0"/>
              </w:rPr>
              <w:t>A</w:t>
            </w:r>
            <w:r w:rsidR="003C024B" w:rsidRPr="003C024B">
              <w:rPr>
                <w:color w:val="0070C0"/>
              </w:rPr>
              <w:t>fter this is resolved in WG 2</w:t>
            </w:r>
            <w:r w:rsidR="00A5056D">
              <w:rPr>
                <w:color w:val="0070C0"/>
              </w:rPr>
              <w:t xml:space="preserve">, this issue can come back </w:t>
            </w:r>
            <w:r w:rsidR="003C024B" w:rsidRPr="003C024B">
              <w:rPr>
                <w:color w:val="0070C0"/>
              </w:rPr>
              <w:t xml:space="preserve">to </w:t>
            </w:r>
            <w:r w:rsidR="00D45840">
              <w:rPr>
                <w:color w:val="0070C0"/>
              </w:rPr>
              <w:t>the GHG</w:t>
            </w:r>
            <w:r w:rsidR="003C024B" w:rsidRPr="003C024B">
              <w:rPr>
                <w:color w:val="0070C0"/>
              </w:rPr>
              <w:t xml:space="preserve"> working group to discuss how this will impact GHG attribution.</w:t>
            </w:r>
          </w:p>
          <w:p w:rsidR="00B404FF" w:rsidRPr="00B404FF" w:rsidRDefault="00D412D6" w:rsidP="00B404FF">
            <w:pPr>
              <w:pStyle w:val="ListParagraph"/>
              <w:numPr>
                <w:ilvl w:val="0"/>
                <w:numId w:val="2"/>
              </w:numPr>
              <w:rPr>
                <w:color w:val="FF0000"/>
              </w:rPr>
            </w:pPr>
            <w:r w:rsidRPr="008D0C83">
              <w:lastRenderedPageBreak/>
              <w:t>GHG p</w:t>
            </w:r>
            <w:r w:rsidR="00B404FF" w:rsidRPr="008D0C83">
              <w:t>seudo-ties</w:t>
            </w:r>
            <w:r w:rsidR="003C024B" w:rsidRPr="008D0C83">
              <w:t xml:space="preserve">: </w:t>
            </w:r>
            <w:r w:rsidR="003C024B" w:rsidRPr="003C024B">
              <w:rPr>
                <w:color w:val="0070C0"/>
              </w:rPr>
              <w:t xml:space="preserve">Included in the </w:t>
            </w:r>
            <w:r>
              <w:rPr>
                <w:color w:val="0070C0"/>
              </w:rPr>
              <w:t>GHG Regulation Area</w:t>
            </w:r>
            <w:r w:rsidR="003C024B" w:rsidRPr="003C024B">
              <w:rPr>
                <w:color w:val="0070C0"/>
              </w:rPr>
              <w:t xml:space="preserve"> they are pseudo-tied to. This is because pseudo-tie resources are physically outside their BA but are contractually treated as internal generation for the purposes of the market optimization.</w:t>
            </w:r>
          </w:p>
          <w:p w:rsidR="003C024B" w:rsidRPr="003C024B" w:rsidRDefault="00B404FF" w:rsidP="003C024B">
            <w:pPr>
              <w:pStyle w:val="ListParagraph"/>
              <w:numPr>
                <w:ilvl w:val="0"/>
                <w:numId w:val="2"/>
              </w:numPr>
              <w:rPr>
                <w:color w:val="FF0000"/>
              </w:rPr>
            </w:pPr>
            <w:r w:rsidRPr="008D0C83">
              <w:t>Wheels though GHG compliance area</w:t>
            </w:r>
            <w:r w:rsidR="003C024B" w:rsidRPr="008D0C83">
              <w:t xml:space="preserve">: </w:t>
            </w:r>
            <w:r w:rsidR="003C024B" w:rsidRPr="003C024B">
              <w:rPr>
                <w:color w:val="0070C0"/>
              </w:rPr>
              <w:t>N/A as it is movement fr</w:t>
            </w:r>
            <w:r w:rsidR="00A5056D">
              <w:rPr>
                <w:color w:val="0070C0"/>
              </w:rPr>
              <w:t>om a non-</w:t>
            </w:r>
            <w:r w:rsidR="003C024B" w:rsidRPr="003C024B">
              <w:rPr>
                <w:color w:val="0070C0"/>
              </w:rPr>
              <w:t>EDAM BAA to an import to a non-</w:t>
            </w:r>
            <w:r w:rsidR="00337E30" w:rsidRPr="003C024B">
              <w:rPr>
                <w:color w:val="0070C0"/>
              </w:rPr>
              <w:t>EDAM BAA</w:t>
            </w:r>
            <w:r w:rsidR="003C024B" w:rsidRPr="003C024B">
              <w:rPr>
                <w:color w:val="0070C0"/>
              </w:rPr>
              <w:t xml:space="preserve">. There is no GHG attribution in a GHG zone. </w:t>
            </w:r>
          </w:p>
          <w:p w:rsidR="00B404FF" w:rsidRPr="003C024B" w:rsidRDefault="00B404FF" w:rsidP="003C024B">
            <w:pPr>
              <w:pStyle w:val="ListParagraph"/>
              <w:numPr>
                <w:ilvl w:val="0"/>
                <w:numId w:val="2"/>
              </w:numPr>
              <w:rPr>
                <w:color w:val="FF0000"/>
              </w:rPr>
            </w:pPr>
            <w:r w:rsidRPr="008D0C83">
              <w:t>Virtual bids</w:t>
            </w:r>
            <w:r w:rsidR="003C024B" w:rsidRPr="008D0C83">
              <w:t xml:space="preserve">: </w:t>
            </w:r>
            <w:r w:rsidR="003C024B" w:rsidRPr="003C024B">
              <w:rPr>
                <w:color w:val="0070C0"/>
              </w:rPr>
              <w:t xml:space="preserve">Excluded, as GHG attribution is limited to physical supply.  Virtual supply does not have GHG attribution, even though their schedules outside of GHG regulation areas may contribute to net import transfers into GHG </w:t>
            </w:r>
            <w:r w:rsidR="00A5056D">
              <w:rPr>
                <w:color w:val="0070C0"/>
              </w:rPr>
              <w:t>R</w:t>
            </w:r>
            <w:r w:rsidR="003C024B" w:rsidRPr="003C024B">
              <w:rPr>
                <w:color w:val="0070C0"/>
              </w:rPr>
              <w:t xml:space="preserve">egulation </w:t>
            </w:r>
            <w:r w:rsidR="00A5056D">
              <w:rPr>
                <w:color w:val="0070C0"/>
              </w:rPr>
              <w:t>A</w:t>
            </w:r>
            <w:r w:rsidR="003C024B" w:rsidRPr="003C024B">
              <w:rPr>
                <w:color w:val="0070C0"/>
              </w:rPr>
              <w:t>reas.</w:t>
            </w:r>
          </w:p>
          <w:p w:rsidR="00B404FF" w:rsidRDefault="00B404FF" w:rsidP="00B404FF">
            <w:pPr>
              <w:pStyle w:val="ListParagraph"/>
              <w:numPr>
                <w:ilvl w:val="0"/>
                <w:numId w:val="2"/>
              </w:numPr>
              <w:rPr>
                <w:color w:val="FF0000"/>
              </w:rPr>
            </w:pPr>
            <w:r w:rsidRPr="008D0C83">
              <w:t>Energy storage</w:t>
            </w:r>
            <w:r w:rsidR="003C024B" w:rsidRPr="008D0C83">
              <w:t xml:space="preserve">: </w:t>
            </w:r>
            <w:r w:rsidR="003C024B" w:rsidRPr="003C024B">
              <w:rPr>
                <w:color w:val="0070C0"/>
              </w:rPr>
              <w:t>Included, if they submit a GHG bid for the discharge portion of their battery</w:t>
            </w:r>
          </w:p>
          <w:p w:rsidR="00FF7839" w:rsidRDefault="003C024B" w:rsidP="00B404FF">
            <w:pPr>
              <w:pStyle w:val="ListParagraph"/>
              <w:numPr>
                <w:ilvl w:val="0"/>
                <w:numId w:val="2"/>
              </w:numPr>
              <w:rPr>
                <w:color w:val="FF0000"/>
              </w:rPr>
            </w:pPr>
            <w:r w:rsidRPr="008D0C83">
              <w:t xml:space="preserve">Jointly-owned units: </w:t>
            </w:r>
            <w:r w:rsidRPr="003C024B">
              <w:rPr>
                <w:color w:val="0070C0"/>
              </w:rPr>
              <w:t>Included, if within GHG Regulation Area</w:t>
            </w:r>
            <w:r w:rsidR="00337E30">
              <w:rPr>
                <w:color w:val="0070C0"/>
              </w:rPr>
              <w:t>. If</w:t>
            </w:r>
            <w:r w:rsidR="00AA00BE">
              <w:rPr>
                <w:color w:val="0070C0"/>
              </w:rPr>
              <w:t xml:space="preserve"> the resource resides outside of all GHG Regulation</w:t>
            </w:r>
            <w:r w:rsidR="00337E30">
              <w:rPr>
                <w:color w:val="0070C0"/>
              </w:rPr>
              <w:t xml:space="preserve"> Area(s), its JOU children, m</w:t>
            </w:r>
            <w:r w:rsidR="00AA00BE">
              <w:rPr>
                <w:color w:val="0070C0"/>
              </w:rPr>
              <w:t>ay bid GHG bids for attribu</w:t>
            </w:r>
            <w:r w:rsidR="00337E30">
              <w:rPr>
                <w:color w:val="0070C0"/>
              </w:rPr>
              <w:t>tion to specific GHG Regulation</w:t>
            </w:r>
            <w:r w:rsidR="00AA00BE">
              <w:rPr>
                <w:color w:val="0070C0"/>
              </w:rPr>
              <w:t xml:space="preserve"> Areas.</w:t>
            </w:r>
          </w:p>
          <w:p w:rsidR="00FF7839" w:rsidRPr="00B404FF" w:rsidRDefault="00FF7839" w:rsidP="00B404FF">
            <w:pPr>
              <w:pStyle w:val="ListParagraph"/>
              <w:numPr>
                <w:ilvl w:val="0"/>
                <w:numId w:val="2"/>
              </w:numPr>
              <w:rPr>
                <w:color w:val="FF0000"/>
              </w:rPr>
            </w:pPr>
            <w:r w:rsidRPr="008D0C83">
              <w:t>S</w:t>
            </w:r>
            <w:r w:rsidR="005C77A1" w:rsidRPr="008D0C83">
              <w:t>elf</w:t>
            </w:r>
            <w:r w:rsidRPr="008D0C83">
              <w:t>-scheduled resources (</w:t>
            </w:r>
            <w:r w:rsidR="006F58B8" w:rsidRPr="008D0C83">
              <w:t>RA</w:t>
            </w:r>
            <w:r w:rsidRPr="008D0C83">
              <w:t>-1</w:t>
            </w:r>
            <w:r w:rsidR="00C76079" w:rsidRPr="008D0C83">
              <w:t xml:space="preserve">, </w:t>
            </w:r>
            <w:r w:rsidR="004E4E66" w:rsidRPr="008D0C83">
              <w:t>UA</w:t>
            </w:r>
            <w:r w:rsidR="00931B81" w:rsidRPr="008D0C83">
              <w:t xml:space="preserve">-2, </w:t>
            </w:r>
            <w:proofErr w:type="gramStart"/>
            <w:r w:rsidR="004E4E66" w:rsidRPr="008D0C83">
              <w:t>UA</w:t>
            </w:r>
            <w:proofErr w:type="gramEnd"/>
            <w:r w:rsidR="00931B81" w:rsidRPr="008D0C83">
              <w:t>-3</w:t>
            </w:r>
            <w:r w:rsidRPr="008D0C83">
              <w:t>)</w:t>
            </w:r>
            <w:r w:rsidR="003C024B" w:rsidRPr="008D0C83">
              <w:t xml:space="preserve">: </w:t>
            </w:r>
            <w:r w:rsidR="003C024B" w:rsidRPr="003C024B">
              <w:rPr>
                <w:color w:val="0070C0"/>
              </w:rPr>
              <w:t>Included, if they submit a GHG bid and energy bid</w:t>
            </w:r>
            <w:r w:rsidR="00A5056D">
              <w:rPr>
                <w:color w:val="0070C0"/>
              </w:rPr>
              <w:t>.</w:t>
            </w:r>
          </w:p>
        </w:tc>
      </w:tr>
      <w:tr w:rsidR="00B404FF" w:rsidRPr="00B404FF" w:rsidTr="00E40A10">
        <w:trPr>
          <w:jc w:val="center"/>
        </w:trPr>
        <w:tc>
          <w:tcPr>
            <w:tcW w:w="1504" w:type="dxa"/>
          </w:tcPr>
          <w:p w:rsidR="00B404FF" w:rsidRPr="008D0C83" w:rsidRDefault="00B404FF" w:rsidP="00E15212">
            <w:pPr>
              <w:rPr>
                <w:b/>
              </w:rPr>
            </w:pPr>
            <w:r w:rsidRPr="008D0C83">
              <w:rPr>
                <w:b/>
              </w:rPr>
              <w:lastRenderedPageBreak/>
              <w:t>Multiple GHG Zones</w:t>
            </w:r>
          </w:p>
        </w:tc>
        <w:tc>
          <w:tcPr>
            <w:tcW w:w="1854" w:type="dxa"/>
            <w:gridSpan w:val="2"/>
          </w:tcPr>
          <w:p w:rsidR="00B404FF" w:rsidRPr="008D0C83" w:rsidRDefault="00B404FF" w:rsidP="00E15212">
            <w:r w:rsidRPr="008D0C83">
              <w:t>Can the model accommodate multiple GHG zones? If so, how?</w:t>
            </w:r>
          </w:p>
        </w:tc>
        <w:tc>
          <w:tcPr>
            <w:tcW w:w="1278" w:type="dxa"/>
          </w:tcPr>
          <w:p w:rsidR="00B404FF" w:rsidRPr="008D0C83" w:rsidRDefault="00B404FF" w:rsidP="00E15212">
            <w:r w:rsidRPr="008D0C83">
              <w:t>C</w:t>
            </w:r>
          </w:p>
        </w:tc>
        <w:tc>
          <w:tcPr>
            <w:tcW w:w="12729" w:type="dxa"/>
            <w:gridSpan w:val="3"/>
          </w:tcPr>
          <w:p w:rsidR="00B404FF" w:rsidRDefault="00B404FF" w:rsidP="00B404FF">
            <w:pPr>
              <w:pStyle w:val="ListParagraph"/>
              <w:numPr>
                <w:ilvl w:val="0"/>
                <w:numId w:val="2"/>
              </w:numPr>
              <w:rPr>
                <w:color w:val="FF0000"/>
              </w:rPr>
            </w:pPr>
            <w:r w:rsidRPr="008D0C83">
              <w:t>From a technical perspective, can the model accommodate multiple GHG zones?</w:t>
            </w:r>
            <w:r w:rsidR="00D01F98" w:rsidRPr="008D0C83">
              <w:t xml:space="preserve"> (</w:t>
            </w:r>
            <w:r w:rsidR="006F58B8" w:rsidRPr="008D0C83">
              <w:t>RC</w:t>
            </w:r>
            <w:r w:rsidR="00D01F98" w:rsidRPr="008D0C83">
              <w:t>-2)</w:t>
            </w:r>
          </w:p>
          <w:p w:rsidR="00432966" w:rsidRDefault="00432966" w:rsidP="00432966">
            <w:pPr>
              <w:rPr>
                <w:color w:val="0070C0"/>
              </w:rPr>
            </w:pPr>
            <w:r>
              <w:rPr>
                <w:color w:val="0070C0"/>
              </w:rPr>
              <w:t xml:space="preserve">From a technical perspective, multiple GHG zones can be accommodated. </w:t>
            </w:r>
          </w:p>
          <w:p w:rsidR="00CA2A5D" w:rsidRPr="008D0C83" w:rsidRDefault="00CA2A5D" w:rsidP="00CA2A5D">
            <w:pPr>
              <w:pStyle w:val="ListParagraph"/>
              <w:numPr>
                <w:ilvl w:val="0"/>
                <w:numId w:val="2"/>
              </w:numPr>
            </w:pPr>
            <w:r w:rsidRPr="008D0C83">
              <w:t>If it can, how are the following impacted?</w:t>
            </w:r>
          </w:p>
          <w:p w:rsidR="00CA2A5D" w:rsidRPr="008D0C83" w:rsidRDefault="00CA2A5D" w:rsidP="00CA2A5D">
            <w:pPr>
              <w:pStyle w:val="ListParagraph"/>
              <w:numPr>
                <w:ilvl w:val="1"/>
                <w:numId w:val="2"/>
              </w:numPr>
            </w:pPr>
            <w:r w:rsidRPr="008D0C83">
              <w:t>Bidding between GHG zones (GHG zone A -&gt; GHG zone B), linked versus unlinked</w:t>
            </w:r>
          </w:p>
          <w:p w:rsidR="00CA2A5D" w:rsidRPr="008D0C83" w:rsidRDefault="00CA2A5D" w:rsidP="00CA2A5D">
            <w:pPr>
              <w:pStyle w:val="ListParagraph"/>
              <w:numPr>
                <w:ilvl w:val="1"/>
                <w:numId w:val="2"/>
              </w:numPr>
            </w:pPr>
            <w:r w:rsidRPr="008D0C83">
              <w:t>Bidding from non-GHG zone to multiple GHG zones</w:t>
            </w:r>
          </w:p>
          <w:p w:rsidR="00CA2A5D" w:rsidRPr="008D0C83" w:rsidRDefault="00CA2A5D" w:rsidP="00CA2A5D">
            <w:pPr>
              <w:pStyle w:val="ListParagraph"/>
              <w:numPr>
                <w:ilvl w:val="1"/>
                <w:numId w:val="2"/>
              </w:numPr>
            </w:pPr>
            <w:r w:rsidRPr="008D0C83">
              <w:t>How market decides which GHG zone should be served</w:t>
            </w:r>
          </w:p>
          <w:p w:rsidR="00432966" w:rsidRPr="00432966" w:rsidRDefault="00432966" w:rsidP="00432966">
            <w:pPr>
              <w:rPr>
                <w:color w:val="0070C0"/>
              </w:rPr>
            </w:pPr>
          </w:p>
          <w:p w:rsidR="00432966" w:rsidRPr="00432966" w:rsidRDefault="00432966" w:rsidP="00432966">
            <w:pPr>
              <w:rPr>
                <w:b/>
                <w:color w:val="0070C0"/>
              </w:rPr>
            </w:pPr>
            <w:r w:rsidRPr="00432966">
              <w:rPr>
                <w:b/>
                <w:color w:val="0070C0"/>
              </w:rPr>
              <w:t xml:space="preserve">Bidding structure </w:t>
            </w:r>
            <w:r w:rsidRPr="002917F4">
              <w:rPr>
                <w:b/>
                <w:color w:val="0070C0"/>
                <w:u w:val="single"/>
              </w:rPr>
              <w:t>without</w:t>
            </w:r>
            <w:r w:rsidRPr="00432966">
              <w:rPr>
                <w:b/>
                <w:color w:val="0070C0"/>
              </w:rPr>
              <w:t xml:space="preserve"> linkage  </w:t>
            </w:r>
          </w:p>
          <w:tbl>
            <w:tblPr>
              <w:tblStyle w:val="TableGrid"/>
              <w:tblW w:w="0" w:type="auto"/>
              <w:tblLook w:val="04A0" w:firstRow="1" w:lastRow="0" w:firstColumn="1" w:lastColumn="0" w:noHBand="0" w:noVBand="1"/>
            </w:tblPr>
            <w:tblGrid>
              <w:gridCol w:w="2590"/>
              <w:gridCol w:w="4230"/>
              <w:gridCol w:w="3330"/>
              <w:gridCol w:w="2250"/>
            </w:tblGrid>
            <w:tr w:rsidR="00432966" w:rsidRPr="00432966" w:rsidTr="00432966">
              <w:tc>
                <w:tcPr>
                  <w:tcW w:w="2590" w:type="dxa"/>
                </w:tcPr>
                <w:p w:rsidR="00432966" w:rsidRPr="00432966" w:rsidRDefault="00432966" w:rsidP="00432966">
                  <w:pPr>
                    <w:rPr>
                      <w:color w:val="0070C0"/>
                    </w:rPr>
                  </w:pPr>
                </w:p>
              </w:tc>
              <w:tc>
                <w:tcPr>
                  <w:tcW w:w="4230" w:type="dxa"/>
                </w:tcPr>
                <w:p w:rsidR="00432966" w:rsidRPr="00432966" w:rsidRDefault="0010263C" w:rsidP="00432966">
                  <w:pPr>
                    <w:rPr>
                      <w:color w:val="0070C0"/>
                    </w:rPr>
                  </w:pPr>
                  <w:r>
                    <w:rPr>
                      <w:color w:val="0070C0"/>
                    </w:rPr>
                    <w:t xml:space="preserve">Bid to </w:t>
                  </w:r>
                  <w:r w:rsidR="00432966" w:rsidRPr="00432966">
                    <w:rPr>
                      <w:color w:val="0070C0"/>
                    </w:rPr>
                    <w:t>GHG Zone 1 (CA) (Cost A)</w:t>
                  </w:r>
                </w:p>
              </w:tc>
              <w:tc>
                <w:tcPr>
                  <w:tcW w:w="3330" w:type="dxa"/>
                </w:tcPr>
                <w:p w:rsidR="00432966" w:rsidRPr="00432966" w:rsidRDefault="0010263C" w:rsidP="00432966">
                  <w:pPr>
                    <w:rPr>
                      <w:color w:val="0070C0"/>
                    </w:rPr>
                  </w:pPr>
                  <w:r>
                    <w:rPr>
                      <w:color w:val="0070C0"/>
                    </w:rPr>
                    <w:t xml:space="preserve">Bid to </w:t>
                  </w:r>
                  <w:r w:rsidR="00432966" w:rsidRPr="00432966">
                    <w:rPr>
                      <w:color w:val="0070C0"/>
                    </w:rPr>
                    <w:t xml:space="preserve">GHG Zone 2 (WA)  (Cost B) </w:t>
                  </w:r>
                </w:p>
              </w:tc>
              <w:tc>
                <w:tcPr>
                  <w:tcW w:w="2250" w:type="dxa"/>
                </w:tcPr>
                <w:p w:rsidR="00432966" w:rsidRPr="00432966" w:rsidRDefault="00432966" w:rsidP="00432966">
                  <w:pPr>
                    <w:rPr>
                      <w:color w:val="0070C0"/>
                    </w:rPr>
                  </w:pPr>
                  <w:r w:rsidRPr="00432966">
                    <w:rPr>
                      <w:color w:val="0070C0"/>
                    </w:rPr>
                    <w:t xml:space="preserve">Non-GHG Zone </w:t>
                  </w:r>
                </w:p>
              </w:tc>
            </w:tr>
            <w:tr w:rsidR="00432966" w:rsidRPr="00432966" w:rsidTr="00432966">
              <w:tc>
                <w:tcPr>
                  <w:tcW w:w="2590" w:type="dxa"/>
                </w:tcPr>
                <w:p w:rsidR="00432966" w:rsidRPr="00432966" w:rsidRDefault="00432966" w:rsidP="00432966">
                  <w:pPr>
                    <w:rPr>
                      <w:color w:val="0070C0"/>
                    </w:rPr>
                  </w:pPr>
                  <w:r w:rsidRPr="00432966">
                    <w:rPr>
                      <w:color w:val="0070C0"/>
                    </w:rPr>
                    <w:t xml:space="preserve">Resource in GHG Zone 1 (CA) </w:t>
                  </w:r>
                </w:p>
              </w:tc>
              <w:tc>
                <w:tcPr>
                  <w:tcW w:w="4230" w:type="dxa"/>
                </w:tcPr>
                <w:p w:rsidR="00432966" w:rsidRPr="00432966" w:rsidRDefault="0010263C" w:rsidP="00432966">
                  <w:pPr>
                    <w:rPr>
                      <w:color w:val="0070C0"/>
                    </w:rPr>
                  </w:pPr>
                  <w:r>
                    <w:rPr>
                      <w:color w:val="0070C0"/>
                    </w:rPr>
                    <w:t xml:space="preserve">GHG cost embedded in energy bid </w:t>
                  </w:r>
                </w:p>
              </w:tc>
              <w:tc>
                <w:tcPr>
                  <w:tcW w:w="3330" w:type="dxa"/>
                </w:tcPr>
                <w:p w:rsidR="00432966" w:rsidRPr="00432966" w:rsidRDefault="00432966" w:rsidP="00337E30">
                  <w:pPr>
                    <w:rPr>
                      <w:color w:val="0070C0"/>
                    </w:rPr>
                  </w:pPr>
                  <w:r>
                    <w:rPr>
                      <w:color w:val="0070C0"/>
                    </w:rPr>
                    <w:t>*</w:t>
                  </w:r>
                  <w:r w:rsidR="00D412D6">
                    <w:rPr>
                      <w:color w:val="0070C0"/>
                    </w:rPr>
                    <w:t>Subject to further</w:t>
                  </w:r>
                  <w:r w:rsidR="00337E30">
                    <w:rPr>
                      <w:color w:val="0070C0"/>
                    </w:rPr>
                    <w:t xml:space="preserve"> policy and implementation</w:t>
                  </w:r>
                  <w:r w:rsidR="00D412D6">
                    <w:rPr>
                      <w:color w:val="0070C0"/>
                    </w:rPr>
                    <w:t xml:space="preserve"> discussions </w:t>
                  </w:r>
                  <w:r w:rsidRPr="00432966">
                    <w:rPr>
                      <w:color w:val="0070C0"/>
                    </w:rPr>
                    <w:t xml:space="preserve">  </w:t>
                  </w:r>
                </w:p>
              </w:tc>
              <w:tc>
                <w:tcPr>
                  <w:tcW w:w="2250" w:type="dxa"/>
                </w:tcPr>
                <w:p w:rsidR="00432966" w:rsidRPr="00432966" w:rsidRDefault="00432966" w:rsidP="00432966">
                  <w:pPr>
                    <w:rPr>
                      <w:color w:val="0070C0"/>
                    </w:rPr>
                  </w:pPr>
                  <w:r w:rsidRPr="00432966">
                    <w:rPr>
                      <w:color w:val="0070C0"/>
                    </w:rPr>
                    <w:t>N/A</w:t>
                  </w:r>
                </w:p>
              </w:tc>
            </w:tr>
            <w:tr w:rsidR="00432966" w:rsidRPr="00432966" w:rsidTr="00432966">
              <w:tc>
                <w:tcPr>
                  <w:tcW w:w="2590" w:type="dxa"/>
                </w:tcPr>
                <w:p w:rsidR="00432966" w:rsidRPr="00432966" w:rsidRDefault="00432966" w:rsidP="00432966">
                  <w:pPr>
                    <w:rPr>
                      <w:color w:val="0070C0"/>
                    </w:rPr>
                  </w:pPr>
                  <w:r w:rsidRPr="00432966">
                    <w:rPr>
                      <w:color w:val="0070C0"/>
                    </w:rPr>
                    <w:t>Resource in GHG Zone 2</w:t>
                  </w:r>
                </w:p>
                <w:p w:rsidR="00432966" w:rsidRPr="00432966" w:rsidRDefault="00432966" w:rsidP="00432966">
                  <w:pPr>
                    <w:rPr>
                      <w:color w:val="0070C0"/>
                    </w:rPr>
                  </w:pPr>
                  <w:r w:rsidRPr="00432966">
                    <w:rPr>
                      <w:color w:val="0070C0"/>
                    </w:rPr>
                    <w:t xml:space="preserve">(WA) </w:t>
                  </w:r>
                </w:p>
              </w:tc>
              <w:tc>
                <w:tcPr>
                  <w:tcW w:w="4230" w:type="dxa"/>
                </w:tcPr>
                <w:p w:rsidR="00432966" w:rsidRPr="00432966" w:rsidRDefault="00D412D6" w:rsidP="00337E30">
                  <w:pPr>
                    <w:rPr>
                      <w:color w:val="0070C0"/>
                    </w:rPr>
                  </w:pPr>
                  <w:r>
                    <w:rPr>
                      <w:color w:val="0070C0"/>
                    </w:rPr>
                    <w:t xml:space="preserve">*Subject to further </w:t>
                  </w:r>
                  <w:r w:rsidR="00337E30">
                    <w:rPr>
                      <w:color w:val="0070C0"/>
                    </w:rPr>
                    <w:t xml:space="preserve">policy and implementation </w:t>
                  </w:r>
                  <w:r>
                    <w:rPr>
                      <w:color w:val="0070C0"/>
                    </w:rPr>
                    <w:t xml:space="preserve">discussions </w:t>
                  </w:r>
                </w:p>
              </w:tc>
              <w:tc>
                <w:tcPr>
                  <w:tcW w:w="3330" w:type="dxa"/>
                </w:tcPr>
                <w:p w:rsidR="00432966" w:rsidRPr="00432966" w:rsidRDefault="00432966" w:rsidP="0010263C">
                  <w:pPr>
                    <w:rPr>
                      <w:color w:val="0070C0"/>
                    </w:rPr>
                  </w:pPr>
                  <w:r w:rsidRPr="00432966">
                    <w:rPr>
                      <w:color w:val="0070C0"/>
                    </w:rPr>
                    <w:t xml:space="preserve">GHG cost embedded in </w:t>
                  </w:r>
                  <w:r w:rsidR="0010263C">
                    <w:rPr>
                      <w:color w:val="0070C0"/>
                    </w:rPr>
                    <w:t>energy bid</w:t>
                  </w:r>
                </w:p>
              </w:tc>
              <w:tc>
                <w:tcPr>
                  <w:tcW w:w="2250" w:type="dxa"/>
                </w:tcPr>
                <w:p w:rsidR="00432966" w:rsidRPr="00432966" w:rsidRDefault="00432966" w:rsidP="00432966">
                  <w:pPr>
                    <w:rPr>
                      <w:color w:val="0070C0"/>
                    </w:rPr>
                  </w:pPr>
                  <w:r w:rsidRPr="00432966">
                    <w:rPr>
                      <w:color w:val="0070C0"/>
                    </w:rPr>
                    <w:t>N/A</w:t>
                  </w:r>
                </w:p>
              </w:tc>
            </w:tr>
            <w:tr w:rsidR="00432966" w:rsidRPr="00432966" w:rsidTr="00432966">
              <w:tc>
                <w:tcPr>
                  <w:tcW w:w="2590" w:type="dxa"/>
                </w:tcPr>
                <w:p w:rsidR="00432966" w:rsidRPr="00432966" w:rsidRDefault="00432966" w:rsidP="00432966">
                  <w:pPr>
                    <w:rPr>
                      <w:color w:val="0070C0"/>
                    </w:rPr>
                  </w:pPr>
                  <w:r w:rsidRPr="00432966">
                    <w:rPr>
                      <w:color w:val="0070C0"/>
                    </w:rPr>
                    <w:t xml:space="preserve">Resource in Non- GHG Zone </w:t>
                  </w:r>
                </w:p>
              </w:tc>
              <w:tc>
                <w:tcPr>
                  <w:tcW w:w="4230" w:type="dxa"/>
                </w:tcPr>
                <w:p w:rsidR="00432966" w:rsidRPr="00432966" w:rsidRDefault="00432966" w:rsidP="00432966">
                  <w:pPr>
                    <w:rPr>
                      <w:color w:val="0070C0"/>
                    </w:rPr>
                  </w:pPr>
                  <w:r w:rsidRPr="00432966">
                    <w:rPr>
                      <w:color w:val="0070C0"/>
                    </w:rPr>
                    <w:t xml:space="preserve">GHG bid adder </w:t>
                  </w:r>
                  <w:r>
                    <w:rPr>
                      <w:color w:val="0070C0"/>
                    </w:rPr>
                    <w:t>(Cost B)</w:t>
                  </w:r>
                </w:p>
              </w:tc>
              <w:tc>
                <w:tcPr>
                  <w:tcW w:w="3330" w:type="dxa"/>
                </w:tcPr>
                <w:p w:rsidR="00432966" w:rsidRPr="00432966" w:rsidRDefault="00432966" w:rsidP="00432966">
                  <w:pPr>
                    <w:rPr>
                      <w:color w:val="0070C0"/>
                    </w:rPr>
                  </w:pPr>
                  <w:r w:rsidRPr="00432966">
                    <w:rPr>
                      <w:color w:val="0070C0"/>
                    </w:rPr>
                    <w:t xml:space="preserve">GHG bid adder </w:t>
                  </w:r>
                  <w:r>
                    <w:rPr>
                      <w:color w:val="0070C0"/>
                    </w:rPr>
                    <w:t>(Cost B)</w:t>
                  </w:r>
                </w:p>
              </w:tc>
              <w:tc>
                <w:tcPr>
                  <w:tcW w:w="2250" w:type="dxa"/>
                </w:tcPr>
                <w:p w:rsidR="00432966" w:rsidRPr="00432966" w:rsidRDefault="00432966" w:rsidP="00432966">
                  <w:pPr>
                    <w:rPr>
                      <w:color w:val="0070C0"/>
                    </w:rPr>
                  </w:pPr>
                  <w:r w:rsidRPr="00432966">
                    <w:rPr>
                      <w:color w:val="0070C0"/>
                    </w:rPr>
                    <w:t xml:space="preserve">N/A </w:t>
                  </w:r>
                </w:p>
              </w:tc>
            </w:tr>
          </w:tbl>
          <w:p w:rsidR="002917F4" w:rsidRDefault="002917F4" w:rsidP="00432966">
            <w:pPr>
              <w:rPr>
                <w:b/>
                <w:color w:val="0070C0"/>
              </w:rPr>
            </w:pPr>
          </w:p>
          <w:p w:rsidR="00432966" w:rsidRPr="00432966" w:rsidRDefault="00432966" w:rsidP="00432966">
            <w:pPr>
              <w:rPr>
                <w:b/>
                <w:color w:val="0070C0"/>
              </w:rPr>
            </w:pPr>
            <w:r w:rsidRPr="00432966">
              <w:rPr>
                <w:b/>
                <w:color w:val="0070C0"/>
              </w:rPr>
              <w:t xml:space="preserve">Bidding structure </w:t>
            </w:r>
            <w:r w:rsidRPr="002917F4">
              <w:rPr>
                <w:b/>
                <w:color w:val="0070C0"/>
                <w:u w:val="single"/>
              </w:rPr>
              <w:t>with</w:t>
            </w:r>
            <w:r w:rsidRPr="00432966">
              <w:rPr>
                <w:b/>
                <w:color w:val="0070C0"/>
              </w:rPr>
              <w:t xml:space="preserve">  linkage  </w:t>
            </w:r>
          </w:p>
          <w:tbl>
            <w:tblPr>
              <w:tblStyle w:val="TableGrid"/>
              <w:tblW w:w="12400" w:type="dxa"/>
              <w:tblLook w:val="04A0" w:firstRow="1" w:lastRow="0" w:firstColumn="1" w:lastColumn="0" w:noHBand="0" w:noVBand="1"/>
            </w:tblPr>
            <w:tblGrid>
              <w:gridCol w:w="2590"/>
              <w:gridCol w:w="7560"/>
              <w:gridCol w:w="2250"/>
            </w:tblGrid>
            <w:tr w:rsidR="00432966" w:rsidRPr="00432966" w:rsidTr="00432966">
              <w:tc>
                <w:tcPr>
                  <w:tcW w:w="2590" w:type="dxa"/>
                </w:tcPr>
                <w:p w:rsidR="00432966" w:rsidRPr="00432966" w:rsidRDefault="00432966" w:rsidP="00432966">
                  <w:pPr>
                    <w:rPr>
                      <w:color w:val="0070C0"/>
                    </w:rPr>
                  </w:pPr>
                </w:p>
              </w:tc>
              <w:tc>
                <w:tcPr>
                  <w:tcW w:w="7560" w:type="dxa"/>
                </w:tcPr>
                <w:p w:rsidR="00432966" w:rsidRPr="00432966" w:rsidRDefault="00432966" w:rsidP="00432966">
                  <w:pPr>
                    <w:rPr>
                      <w:color w:val="0070C0"/>
                    </w:rPr>
                  </w:pPr>
                  <w:r w:rsidRPr="00432966">
                    <w:rPr>
                      <w:color w:val="0070C0"/>
                    </w:rPr>
                    <w:t>Linked GHG Zone</w:t>
                  </w:r>
                </w:p>
              </w:tc>
              <w:tc>
                <w:tcPr>
                  <w:tcW w:w="2250" w:type="dxa"/>
                </w:tcPr>
                <w:p w:rsidR="00432966" w:rsidRPr="00432966" w:rsidRDefault="00432966" w:rsidP="00432966">
                  <w:pPr>
                    <w:rPr>
                      <w:color w:val="0070C0"/>
                    </w:rPr>
                  </w:pPr>
                  <w:r w:rsidRPr="00432966">
                    <w:rPr>
                      <w:color w:val="0070C0"/>
                    </w:rPr>
                    <w:t xml:space="preserve">Non-GHG Zone </w:t>
                  </w:r>
                </w:p>
              </w:tc>
            </w:tr>
            <w:tr w:rsidR="00432966" w:rsidRPr="00432966" w:rsidTr="00432966">
              <w:tc>
                <w:tcPr>
                  <w:tcW w:w="2590" w:type="dxa"/>
                </w:tcPr>
                <w:p w:rsidR="00432966" w:rsidRPr="00432966" w:rsidRDefault="00432966" w:rsidP="00432966">
                  <w:pPr>
                    <w:rPr>
                      <w:color w:val="0070C0"/>
                    </w:rPr>
                  </w:pPr>
                  <w:r w:rsidRPr="00432966">
                    <w:rPr>
                      <w:color w:val="0070C0"/>
                    </w:rPr>
                    <w:t>Resource in GHG Zone</w:t>
                  </w:r>
                </w:p>
              </w:tc>
              <w:tc>
                <w:tcPr>
                  <w:tcW w:w="7560" w:type="dxa"/>
                </w:tcPr>
                <w:p w:rsidR="00432966" w:rsidRPr="00432966" w:rsidRDefault="00432966" w:rsidP="00432966">
                  <w:pPr>
                    <w:rPr>
                      <w:color w:val="0070C0"/>
                    </w:rPr>
                  </w:pPr>
                  <w:r w:rsidRPr="00432966">
                    <w:rPr>
                      <w:color w:val="0070C0"/>
                    </w:rPr>
                    <w:t>GHG co</w:t>
                  </w:r>
                  <w:r w:rsidR="002917F4">
                    <w:rPr>
                      <w:color w:val="0070C0"/>
                    </w:rPr>
                    <w:t>st embedded in energy bid</w:t>
                  </w:r>
                </w:p>
              </w:tc>
              <w:tc>
                <w:tcPr>
                  <w:tcW w:w="2250" w:type="dxa"/>
                </w:tcPr>
                <w:p w:rsidR="00432966" w:rsidRPr="00432966" w:rsidRDefault="00432966" w:rsidP="00432966">
                  <w:pPr>
                    <w:rPr>
                      <w:color w:val="0070C0"/>
                    </w:rPr>
                  </w:pPr>
                  <w:r w:rsidRPr="00432966">
                    <w:rPr>
                      <w:color w:val="0070C0"/>
                    </w:rPr>
                    <w:t>N/A</w:t>
                  </w:r>
                </w:p>
              </w:tc>
            </w:tr>
            <w:tr w:rsidR="00432966" w:rsidRPr="00432966" w:rsidTr="00432966">
              <w:tc>
                <w:tcPr>
                  <w:tcW w:w="2590" w:type="dxa"/>
                </w:tcPr>
                <w:p w:rsidR="00432966" w:rsidRPr="00432966" w:rsidRDefault="00432966" w:rsidP="00432966">
                  <w:pPr>
                    <w:rPr>
                      <w:color w:val="0070C0"/>
                    </w:rPr>
                  </w:pPr>
                  <w:r w:rsidRPr="00432966">
                    <w:rPr>
                      <w:color w:val="0070C0"/>
                    </w:rPr>
                    <w:t xml:space="preserve">Resource in Non- GHG Zone </w:t>
                  </w:r>
                </w:p>
              </w:tc>
              <w:tc>
                <w:tcPr>
                  <w:tcW w:w="7560" w:type="dxa"/>
                </w:tcPr>
                <w:p w:rsidR="00432966" w:rsidRPr="002917F4" w:rsidRDefault="002917F4" w:rsidP="002917F4">
                  <w:pPr>
                    <w:rPr>
                      <w:color w:val="0070C0"/>
                    </w:rPr>
                  </w:pPr>
                  <w:r w:rsidRPr="00432966">
                    <w:rPr>
                      <w:color w:val="0070C0"/>
                    </w:rPr>
                    <w:t>GHG bid adder</w:t>
                  </w:r>
                </w:p>
              </w:tc>
              <w:tc>
                <w:tcPr>
                  <w:tcW w:w="2250" w:type="dxa"/>
                </w:tcPr>
                <w:p w:rsidR="00432966" w:rsidRPr="00432966" w:rsidRDefault="00432966" w:rsidP="00432966">
                  <w:pPr>
                    <w:rPr>
                      <w:color w:val="0070C0"/>
                    </w:rPr>
                  </w:pPr>
                  <w:r w:rsidRPr="00432966">
                    <w:rPr>
                      <w:color w:val="0070C0"/>
                    </w:rPr>
                    <w:t xml:space="preserve">N/A </w:t>
                  </w:r>
                </w:p>
              </w:tc>
            </w:tr>
          </w:tbl>
          <w:p w:rsidR="00432966" w:rsidRDefault="00337E30" w:rsidP="00432966">
            <w:pPr>
              <w:rPr>
                <w:color w:val="0070C0"/>
              </w:rPr>
            </w:pPr>
            <w:r w:rsidRPr="00337E30">
              <w:rPr>
                <w:color w:val="0070C0"/>
              </w:rPr>
              <w:lastRenderedPageBreak/>
              <w:t>*</w:t>
            </w:r>
            <w:r>
              <w:rPr>
                <w:color w:val="0070C0"/>
              </w:rPr>
              <w:t xml:space="preserve">TBD. </w:t>
            </w:r>
            <w:r w:rsidRPr="00337E30">
              <w:rPr>
                <w:color w:val="0070C0"/>
              </w:rPr>
              <w:t xml:space="preserve">The CAISO recognizes that additional discussions with </w:t>
            </w:r>
            <w:r w:rsidR="002917F4">
              <w:rPr>
                <w:color w:val="0070C0"/>
              </w:rPr>
              <w:t>GHG Regulatory Agencies (</w:t>
            </w:r>
            <w:r w:rsidRPr="00337E30">
              <w:rPr>
                <w:color w:val="0070C0"/>
              </w:rPr>
              <w:t xml:space="preserve">WA DOE </w:t>
            </w:r>
            <w:r w:rsidR="0010263C">
              <w:rPr>
                <w:color w:val="0070C0"/>
              </w:rPr>
              <w:t>and CARB</w:t>
            </w:r>
            <w:r w:rsidR="002917F4">
              <w:rPr>
                <w:color w:val="0070C0"/>
              </w:rPr>
              <w:t>)</w:t>
            </w:r>
            <w:r w:rsidR="0010263C">
              <w:rPr>
                <w:color w:val="0070C0"/>
              </w:rPr>
              <w:t xml:space="preserve"> </w:t>
            </w:r>
            <w:r w:rsidRPr="00337E30">
              <w:rPr>
                <w:color w:val="0070C0"/>
              </w:rPr>
              <w:t xml:space="preserve">will be necessary to finalize any policy and implementation details for how </w:t>
            </w:r>
            <w:proofErr w:type="spellStart"/>
            <w:r w:rsidRPr="00337E30">
              <w:rPr>
                <w:color w:val="0070C0"/>
              </w:rPr>
              <w:t>resoruces</w:t>
            </w:r>
            <w:proofErr w:type="spellEnd"/>
            <w:r w:rsidRPr="00337E30">
              <w:rPr>
                <w:color w:val="0070C0"/>
              </w:rPr>
              <w:t xml:space="preserve"> between GHG Regulation Areas will bid their resources.</w:t>
            </w:r>
            <w:r w:rsidR="002917F4">
              <w:rPr>
                <w:color w:val="0070C0"/>
              </w:rPr>
              <w:t xml:space="preserve"> This will also be required as any new GHG Regulation Area is developed. </w:t>
            </w:r>
            <w:r w:rsidR="0010263C">
              <w:rPr>
                <w:color w:val="0070C0"/>
              </w:rPr>
              <w:t xml:space="preserve"> </w:t>
            </w:r>
            <w:r w:rsidRPr="00337E30">
              <w:rPr>
                <w:color w:val="0070C0"/>
              </w:rPr>
              <w:t xml:space="preserve"> </w:t>
            </w:r>
          </w:p>
          <w:p w:rsidR="00337E30" w:rsidRDefault="00337E30" w:rsidP="00432966">
            <w:pPr>
              <w:rPr>
                <w:color w:val="0070C0"/>
              </w:rPr>
            </w:pPr>
          </w:p>
          <w:p w:rsidR="005E7776" w:rsidRPr="008D0C83" w:rsidRDefault="005E7776" w:rsidP="005E7776">
            <w:pPr>
              <w:pStyle w:val="ListParagraph"/>
              <w:numPr>
                <w:ilvl w:val="0"/>
                <w:numId w:val="2"/>
              </w:numPr>
            </w:pPr>
            <w:r w:rsidRPr="008D0C83">
              <w:t>When there are multiple state GHG areas (e.g. WA and CA), how will the algorithm determine and prioritize which resources are deemed to which GHG area? (</w:t>
            </w:r>
            <w:r w:rsidR="006F58B8" w:rsidRPr="008D0C83">
              <w:t>RC</w:t>
            </w:r>
            <w:r w:rsidRPr="008D0C83">
              <w:t>-1</w:t>
            </w:r>
            <w:r w:rsidR="004E4E66" w:rsidRPr="008D0C83">
              <w:t>, U</w:t>
            </w:r>
            <w:r w:rsidR="000B4FBC" w:rsidRPr="008D0C83">
              <w:t>C-1</w:t>
            </w:r>
            <w:r w:rsidRPr="008D0C83">
              <w:t>)</w:t>
            </w:r>
          </w:p>
          <w:p w:rsidR="0026144A" w:rsidRPr="002917F4" w:rsidRDefault="0026144A" w:rsidP="002917F4">
            <w:pPr>
              <w:pStyle w:val="ListParagraph"/>
              <w:numPr>
                <w:ilvl w:val="1"/>
                <w:numId w:val="2"/>
              </w:numPr>
              <w:rPr>
                <w:color w:val="0070C0"/>
              </w:rPr>
            </w:pPr>
            <w:r w:rsidRPr="002917F4">
              <w:rPr>
                <w:color w:val="0070C0"/>
              </w:rPr>
              <w:t>The determination and prioritization on which resources are deemed to which GHG area is a function of economic dispatch when the resources are co-optimized.</w:t>
            </w:r>
            <w:r w:rsidR="00D412D6" w:rsidRPr="002917F4">
              <w:rPr>
                <w:color w:val="0070C0"/>
              </w:rPr>
              <w:t xml:space="preserve"> </w:t>
            </w:r>
          </w:p>
          <w:p w:rsidR="00CA2A5D" w:rsidRDefault="00CA2A5D" w:rsidP="0026144A">
            <w:pPr>
              <w:rPr>
                <w:color w:val="0070C0"/>
              </w:rPr>
            </w:pPr>
          </w:p>
          <w:p w:rsidR="0026144A" w:rsidRPr="002917F4" w:rsidRDefault="00CA2A5D" w:rsidP="0026144A">
            <w:pPr>
              <w:rPr>
                <w:i/>
                <w:color w:val="0070C0"/>
              </w:rPr>
            </w:pPr>
            <w:r w:rsidRPr="005D69CE">
              <w:rPr>
                <w:i/>
                <w:color w:val="0070C0"/>
              </w:rPr>
              <w:t xml:space="preserve">RC-4: When will an emitting resource in a GHG zone ever get dispatched to another GHG zone when it appears “ripe” for double counting of emission offsets? In other words, how do ensure that the resources are not paying twice – once for CA and once for WA? Answer: </w:t>
            </w:r>
            <w:r w:rsidR="00D412D6">
              <w:rPr>
                <w:i/>
                <w:color w:val="0070C0"/>
              </w:rPr>
              <w:t xml:space="preserve">Subject to further </w:t>
            </w:r>
            <w:r w:rsidR="0010263C">
              <w:rPr>
                <w:i/>
                <w:color w:val="0070C0"/>
              </w:rPr>
              <w:t xml:space="preserve">policy and </w:t>
            </w:r>
            <w:r w:rsidR="00D412D6">
              <w:rPr>
                <w:i/>
                <w:color w:val="0070C0"/>
              </w:rPr>
              <w:t xml:space="preserve">implementation discussions. </w:t>
            </w:r>
          </w:p>
        </w:tc>
      </w:tr>
      <w:tr w:rsidR="00166048" w:rsidRPr="00B404FF" w:rsidTr="00E40A10">
        <w:trPr>
          <w:jc w:val="center"/>
        </w:trPr>
        <w:tc>
          <w:tcPr>
            <w:tcW w:w="17365" w:type="dxa"/>
            <w:gridSpan w:val="7"/>
            <w:shd w:val="clear" w:color="auto" w:fill="BDD6EE" w:themeFill="accent1" w:themeFillTint="66"/>
          </w:tcPr>
          <w:p w:rsidR="00166048" w:rsidRPr="00166048" w:rsidRDefault="00D732CA" w:rsidP="00166048">
            <w:pPr>
              <w:rPr>
                <w:sz w:val="28"/>
                <w:szCs w:val="28"/>
              </w:rPr>
            </w:pPr>
            <w:r>
              <w:rPr>
                <w:b/>
                <w:sz w:val="28"/>
                <w:szCs w:val="28"/>
              </w:rPr>
              <w:lastRenderedPageBreak/>
              <w:t>2) Approach-specific I</w:t>
            </w:r>
            <w:r w:rsidR="00166048" w:rsidRPr="00166048">
              <w:rPr>
                <w:b/>
                <w:sz w:val="28"/>
                <w:szCs w:val="28"/>
              </w:rPr>
              <w:t>ssues</w:t>
            </w:r>
          </w:p>
        </w:tc>
      </w:tr>
      <w:tr w:rsidR="00E55EE6" w:rsidRPr="00B404FF" w:rsidTr="00E40A10">
        <w:trPr>
          <w:jc w:val="center"/>
        </w:trPr>
        <w:tc>
          <w:tcPr>
            <w:tcW w:w="1504" w:type="dxa"/>
          </w:tcPr>
          <w:p w:rsidR="00E55EE6" w:rsidRPr="008D0C83" w:rsidRDefault="00E55EE6" w:rsidP="00E55EE6">
            <w:pPr>
              <w:rPr>
                <w:b/>
              </w:rPr>
            </w:pPr>
            <w:r w:rsidRPr="008D0C83">
              <w:rPr>
                <w:b/>
              </w:rPr>
              <w:t>Baseline for evaluation of attribution (Resource-specific)</w:t>
            </w:r>
          </w:p>
        </w:tc>
        <w:tc>
          <w:tcPr>
            <w:tcW w:w="1854" w:type="dxa"/>
            <w:gridSpan w:val="2"/>
          </w:tcPr>
          <w:p w:rsidR="00E55EE6" w:rsidRPr="008D0C83" w:rsidRDefault="00E55EE6" w:rsidP="00E55EE6">
            <w:r w:rsidRPr="008D0C83">
              <w:t>What should the baseline for evaluating GHG attribution?</w:t>
            </w:r>
          </w:p>
        </w:tc>
        <w:tc>
          <w:tcPr>
            <w:tcW w:w="1278" w:type="dxa"/>
          </w:tcPr>
          <w:p w:rsidR="00E55EE6" w:rsidRPr="008D0C83" w:rsidRDefault="000B7860" w:rsidP="00E55EE6">
            <w:r w:rsidRPr="008D0C83">
              <w:t>D</w:t>
            </w:r>
          </w:p>
        </w:tc>
        <w:tc>
          <w:tcPr>
            <w:tcW w:w="12729" w:type="dxa"/>
            <w:gridSpan w:val="3"/>
          </w:tcPr>
          <w:p w:rsidR="005D69CE" w:rsidRPr="008D0C83" w:rsidRDefault="00E55EE6" w:rsidP="00CA2A5D">
            <w:pPr>
              <w:pStyle w:val="ListParagraph"/>
              <w:numPr>
                <w:ilvl w:val="0"/>
                <w:numId w:val="2"/>
              </w:numPr>
            </w:pPr>
            <w:r w:rsidRPr="008D0C83">
              <w:t xml:space="preserve">Under the </w:t>
            </w:r>
            <w:r w:rsidR="00F5125D" w:rsidRPr="008D0C83">
              <w:t>W</w:t>
            </w:r>
            <w:r w:rsidRPr="008D0C83">
              <w:t>EIM model today, GHG attribution</w:t>
            </w:r>
            <w:r w:rsidR="00AE3E76" w:rsidRPr="008D0C83">
              <w:t xml:space="preserve"> quantity (MW)</w:t>
            </w:r>
            <w:r w:rsidRPr="008D0C83">
              <w:t xml:space="preserve"> is limited by the upper economic limit minus the base schedule</w:t>
            </w:r>
            <w:r w:rsidR="00AE3E76" w:rsidRPr="008D0C83">
              <w:t xml:space="preserve"> (note: not limited by WEIM incremental dispatch</w:t>
            </w:r>
            <w:r w:rsidR="00CB6935" w:rsidRPr="008D0C83">
              <w:t>, but it is limited by the total dispatch</w:t>
            </w:r>
            <w:r w:rsidR="00AE3E76" w:rsidRPr="008D0C83">
              <w:t>)</w:t>
            </w:r>
            <w:r w:rsidRPr="008D0C83">
              <w:t>. Because there will be no base schedule in EDAM, what will the UEL be compared to determine GHG attribution?</w:t>
            </w:r>
            <w:r w:rsidR="00C71320" w:rsidRPr="008D0C83">
              <w:t xml:space="preserve"> (</w:t>
            </w:r>
            <w:r w:rsidR="006F58B8" w:rsidRPr="008D0C83">
              <w:t>RD</w:t>
            </w:r>
            <w:r w:rsidR="00C71320" w:rsidRPr="008D0C83">
              <w:t>-1)</w:t>
            </w:r>
          </w:p>
          <w:p w:rsidR="00E55EE6" w:rsidRPr="002917F4" w:rsidRDefault="006D20B6" w:rsidP="00C8490A">
            <w:pPr>
              <w:pStyle w:val="ListParagraph"/>
              <w:numPr>
                <w:ilvl w:val="1"/>
                <w:numId w:val="2"/>
              </w:numPr>
              <w:rPr>
                <w:color w:val="FF0000"/>
              </w:rPr>
            </w:pPr>
            <w:r w:rsidRPr="005D69CE">
              <w:rPr>
                <w:rFonts w:cstheme="minorHAnsi"/>
                <w:color w:val="0070C0"/>
              </w:rPr>
              <w:t xml:space="preserve">The CAISO proposes to use the </w:t>
            </w:r>
            <w:r w:rsidR="00CA2A5D" w:rsidRPr="005D69CE">
              <w:rPr>
                <w:rFonts w:cstheme="minorHAnsi"/>
                <w:color w:val="0070C0"/>
              </w:rPr>
              <w:t xml:space="preserve">Resource Sufficiency </w:t>
            </w:r>
            <w:r w:rsidR="00B73101" w:rsidRPr="005D69CE">
              <w:rPr>
                <w:rFonts w:cstheme="minorHAnsi"/>
                <w:color w:val="0070C0"/>
              </w:rPr>
              <w:t>Evaluation</w:t>
            </w:r>
            <w:r w:rsidR="00CA2A5D" w:rsidRPr="005D69CE">
              <w:rPr>
                <w:rFonts w:cstheme="minorHAnsi"/>
                <w:color w:val="0070C0"/>
              </w:rPr>
              <w:t xml:space="preserve"> (R</w:t>
            </w:r>
            <w:r w:rsidRPr="005D69CE">
              <w:rPr>
                <w:rFonts w:cstheme="minorHAnsi"/>
                <w:color w:val="0070C0"/>
              </w:rPr>
              <w:t>SE</w:t>
            </w:r>
            <w:r w:rsidR="00CA2A5D" w:rsidRPr="005D69CE">
              <w:rPr>
                <w:rFonts w:cstheme="minorHAnsi"/>
                <w:color w:val="0070C0"/>
              </w:rPr>
              <w:t>)</w:t>
            </w:r>
            <w:r w:rsidRPr="005D69CE">
              <w:rPr>
                <w:rFonts w:cstheme="minorHAnsi"/>
                <w:color w:val="0070C0"/>
              </w:rPr>
              <w:t xml:space="preserve"> </w:t>
            </w:r>
            <w:r w:rsidR="0083551C">
              <w:rPr>
                <w:rFonts w:cstheme="minorHAnsi"/>
                <w:color w:val="0070C0"/>
              </w:rPr>
              <w:t>solution at 10AM</w:t>
            </w:r>
            <w:r w:rsidR="00CB6935">
              <w:rPr>
                <w:rFonts w:cstheme="minorHAnsi"/>
                <w:color w:val="0070C0"/>
              </w:rPr>
              <w:t xml:space="preserve"> as a reference for limiting</w:t>
            </w:r>
            <w:r w:rsidRPr="005D69CE">
              <w:rPr>
                <w:rFonts w:cstheme="minorHAnsi"/>
                <w:color w:val="0070C0"/>
              </w:rPr>
              <w:t xml:space="preserve"> secondary dispatch</w:t>
            </w:r>
            <w:r w:rsidR="00D513FC">
              <w:rPr>
                <w:rFonts w:cstheme="minorHAnsi"/>
                <w:color w:val="0070C0"/>
              </w:rPr>
              <w:t>, similarly to the base schedule in WEIM</w:t>
            </w:r>
            <w:r w:rsidRPr="005D69CE">
              <w:rPr>
                <w:rFonts w:cstheme="minorHAnsi"/>
                <w:color w:val="0070C0"/>
              </w:rPr>
              <w:t xml:space="preserve">.  </w:t>
            </w:r>
            <w:r w:rsidR="00CA2A5D" w:rsidRPr="005D69CE">
              <w:rPr>
                <w:rFonts w:cstheme="minorHAnsi"/>
                <w:color w:val="0070C0"/>
              </w:rPr>
              <w:t xml:space="preserve">The RSE optimization model is run prior to the IFM to assess if </w:t>
            </w:r>
            <w:r w:rsidR="00CB6935">
              <w:rPr>
                <w:rFonts w:cstheme="minorHAnsi"/>
                <w:color w:val="0070C0"/>
              </w:rPr>
              <w:t xml:space="preserve">there is sufficient supply in an </w:t>
            </w:r>
            <w:r w:rsidR="00CA2A5D" w:rsidRPr="005D69CE">
              <w:rPr>
                <w:rFonts w:cstheme="minorHAnsi"/>
                <w:color w:val="0070C0"/>
              </w:rPr>
              <w:t xml:space="preserve">EDAM BAA </w:t>
            </w:r>
            <w:r w:rsidR="00CB6935">
              <w:rPr>
                <w:rFonts w:cstheme="minorHAnsi"/>
                <w:color w:val="0070C0"/>
              </w:rPr>
              <w:t>to</w:t>
            </w:r>
            <w:r w:rsidRPr="005D69CE">
              <w:rPr>
                <w:rFonts w:cstheme="minorHAnsi"/>
                <w:color w:val="0070C0"/>
              </w:rPr>
              <w:t xml:space="preserve"> </w:t>
            </w:r>
            <w:r w:rsidR="00CB6935">
              <w:rPr>
                <w:rFonts w:cstheme="minorHAnsi"/>
                <w:color w:val="0070C0"/>
              </w:rPr>
              <w:t>meet the respective demand forecast and uncertainty requirements</w:t>
            </w:r>
            <w:r w:rsidRPr="005D69CE">
              <w:rPr>
                <w:rFonts w:cstheme="minorHAnsi"/>
                <w:color w:val="0070C0"/>
              </w:rPr>
              <w:t xml:space="preserve">. This model accounts of </w:t>
            </w:r>
            <w:r w:rsidR="0026144A" w:rsidRPr="005D69CE">
              <w:rPr>
                <w:rFonts w:cstheme="minorHAnsi"/>
                <w:color w:val="0070C0"/>
              </w:rPr>
              <w:t xml:space="preserve">power balance requirements, imbalance reserve requirements, ancillary service requirements, </w:t>
            </w:r>
            <w:r w:rsidR="00CB6935">
              <w:rPr>
                <w:rFonts w:cstheme="minorHAnsi"/>
                <w:color w:val="0070C0"/>
              </w:rPr>
              <w:t xml:space="preserve">unit commitment inter-temporal constraints, </w:t>
            </w:r>
            <w:r w:rsidR="0026144A" w:rsidRPr="005D69CE">
              <w:rPr>
                <w:rFonts w:cstheme="minorHAnsi"/>
                <w:color w:val="0070C0"/>
              </w:rPr>
              <w:t xml:space="preserve">capacity constraints, ramp capability constraints, </w:t>
            </w:r>
            <w:r w:rsidRPr="005D69CE">
              <w:rPr>
                <w:rFonts w:cstheme="minorHAnsi"/>
                <w:color w:val="0070C0"/>
              </w:rPr>
              <w:t>VER forecasts,</w:t>
            </w:r>
            <w:r w:rsidR="00CB6935">
              <w:rPr>
                <w:rFonts w:cstheme="minorHAnsi"/>
                <w:color w:val="0070C0"/>
              </w:rPr>
              <w:t xml:space="preserve"> and energy</w:t>
            </w:r>
            <w:r w:rsidRPr="005D69CE">
              <w:rPr>
                <w:rFonts w:cstheme="minorHAnsi"/>
                <w:color w:val="0070C0"/>
              </w:rPr>
              <w:t xml:space="preserve"> limitations for hydro and battery resources</w:t>
            </w:r>
            <w:r w:rsidR="00CB6935">
              <w:rPr>
                <w:rFonts w:cstheme="minorHAnsi"/>
                <w:color w:val="0070C0"/>
              </w:rPr>
              <w:t>. The RSE solution identifies any</w:t>
            </w:r>
            <w:r w:rsidRPr="005D69CE">
              <w:rPr>
                <w:rFonts w:cstheme="minorHAnsi"/>
                <w:color w:val="0070C0"/>
              </w:rPr>
              <w:t xml:space="preserve"> </w:t>
            </w:r>
            <w:r w:rsidR="0026144A" w:rsidRPr="005D69CE">
              <w:rPr>
                <w:rFonts w:cstheme="minorHAnsi"/>
                <w:color w:val="0070C0"/>
              </w:rPr>
              <w:t xml:space="preserve">upward and downward </w:t>
            </w:r>
            <w:r w:rsidR="00CB6935">
              <w:rPr>
                <w:rFonts w:cstheme="minorHAnsi"/>
                <w:color w:val="0070C0"/>
              </w:rPr>
              <w:t>supply</w:t>
            </w:r>
            <w:r w:rsidR="0026144A" w:rsidRPr="005D69CE">
              <w:rPr>
                <w:rFonts w:cstheme="minorHAnsi"/>
                <w:color w:val="0070C0"/>
              </w:rPr>
              <w:t xml:space="preserve"> shortfall</w:t>
            </w:r>
            <w:r w:rsidR="00CB6935">
              <w:rPr>
                <w:rFonts w:cstheme="minorHAnsi"/>
                <w:color w:val="0070C0"/>
              </w:rPr>
              <w:t xml:space="preserve"> in meeting the RSE requirements</w:t>
            </w:r>
            <w:r w:rsidR="00D513FC">
              <w:rPr>
                <w:rFonts w:cstheme="minorHAnsi"/>
                <w:color w:val="0070C0"/>
              </w:rPr>
              <w:t>;</w:t>
            </w:r>
            <w:r w:rsidR="00CB6935">
              <w:rPr>
                <w:rFonts w:cstheme="minorHAnsi"/>
                <w:color w:val="0070C0"/>
              </w:rPr>
              <w:t xml:space="preserve"> </w:t>
            </w:r>
            <w:r w:rsidR="00D513FC">
              <w:rPr>
                <w:rFonts w:cstheme="minorHAnsi"/>
                <w:color w:val="0070C0"/>
              </w:rPr>
              <w:t>without any shortfall, the EDAM BAA passes the test.</w:t>
            </w:r>
            <w:r w:rsidR="0026144A" w:rsidRPr="005D69CE">
              <w:rPr>
                <w:rFonts w:cstheme="minorHAnsi"/>
                <w:color w:val="0070C0"/>
              </w:rPr>
              <w:t xml:space="preserve"> </w:t>
            </w:r>
            <w:r w:rsidR="00D513FC">
              <w:rPr>
                <w:rFonts w:cstheme="minorHAnsi"/>
                <w:color w:val="0070C0"/>
              </w:rPr>
              <w:t>The RSE</w:t>
            </w:r>
            <w:r w:rsidR="0026144A" w:rsidRPr="005D69CE">
              <w:rPr>
                <w:rFonts w:cstheme="minorHAnsi"/>
                <w:color w:val="0070C0"/>
              </w:rPr>
              <w:t xml:space="preserve"> optimal schedule minimiz</w:t>
            </w:r>
            <w:r w:rsidR="00D513FC">
              <w:rPr>
                <w:rFonts w:cstheme="minorHAnsi"/>
                <w:color w:val="0070C0"/>
              </w:rPr>
              <w:t>es</w:t>
            </w:r>
            <w:r w:rsidR="0026144A" w:rsidRPr="005D69CE">
              <w:rPr>
                <w:rFonts w:cstheme="minorHAnsi"/>
                <w:color w:val="0070C0"/>
              </w:rPr>
              <w:t xml:space="preserve"> bid costs </w:t>
            </w:r>
            <w:r w:rsidR="00D513FC">
              <w:rPr>
                <w:rFonts w:cstheme="minorHAnsi"/>
                <w:color w:val="0070C0"/>
              </w:rPr>
              <w:t>for meeting BAA requirements and as such it can</w:t>
            </w:r>
            <w:r w:rsidR="0026144A" w:rsidRPr="005D69CE">
              <w:rPr>
                <w:rFonts w:cstheme="minorHAnsi"/>
                <w:color w:val="0070C0"/>
              </w:rPr>
              <w:t xml:space="preserve"> be used as a </w:t>
            </w:r>
            <w:r w:rsidR="00CA2A5D" w:rsidRPr="005D69CE">
              <w:rPr>
                <w:rFonts w:cstheme="minorHAnsi"/>
                <w:color w:val="0070C0"/>
              </w:rPr>
              <w:t>counterfactual</w:t>
            </w:r>
            <w:r w:rsidR="0026144A" w:rsidRPr="005D69CE">
              <w:rPr>
                <w:rFonts w:cstheme="minorHAnsi"/>
                <w:color w:val="0070C0"/>
              </w:rPr>
              <w:t xml:space="preserve"> for resource-specific </w:t>
            </w:r>
            <w:r w:rsidR="00D513FC" w:rsidRPr="005D69CE">
              <w:rPr>
                <w:rFonts w:cstheme="minorHAnsi"/>
                <w:color w:val="0070C0"/>
              </w:rPr>
              <w:t xml:space="preserve">GHG </w:t>
            </w:r>
            <w:r w:rsidR="0026144A" w:rsidRPr="005D69CE">
              <w:rPr>
                <w:rFonts w:cstheme="minorHAnsi"/>
                <w:color w:val="0070C0"/>
              </w:rPr>
              <w:t xml:space="preserve">attribution. </w:t>
            </w:r>
          </w:p>
        </w:tc>
      </w:tr>
      <w:tr w:rsidR="00E55EE6" w:rsidRPr="00B404FF" w:rsidTr="00E40A10">
        <w:trPr>
          <w:jc w:val="center"/>
        </w:trPr>
        <w:tc>
          <w:tcPr>
            <w:tcW w:w="1504" w:type="dxa"/>
          </w:tcPr>
          <w:p w:rsidR="00E55EE6" w:rsidRPr="008D0C83" w:rsidRDefault="00E55EE6" w:rsidP="00E55EE6">
            <w:pPr>
              <w:rPr>
                <w:b/>
              </w:rPr>
            </w:pPr>
            <w:r w:rsidRPr="008D0C83">
              <w:rPr>
                <w:b/>
              </w:rPr>
              <w:t>Hurdle rate calculation (unspecified)</w:t>
            </w:r>
          </w:p>
        </w:tc>
        <w:tc>
          <w:tcPr>
            <w:tcW w:w="1854" w:type="dxa"/>
            <w:gridSpan w:val="2"/>
          </w:tcPr>
          <w:p w:rsidR="00E55EE6" w:rsidRPr="008D0C83" w:rsidRDefault="00E55EE6" w:rsidP="00E55EE6">
            <w:r w:rsidRPr="008D0C83">
              <w:t>How would the hurdle rate calculation work?</w:t>
            </w:r>
          </w:p>
        </w:tc>
        <w:tc>
          <w:tcPr>
            <w:tcW w:w="1278" w:type="dxa"/>
          </w:tcPr>
          <w:p w:rsidR="00E55EE6" w:rsidRPr="008D0C83" w:rsidRDefault="000B7860" w:rsidP="00E55EE6">
            <w:r w:rsidRPr="008D0C83">
              <w:t>E</w:t>
            </w:r>
          </w:p>
        </w:tc>
        <w:tc>
          <w:tcPr>
            <w:tcW w:w="12729" w:type="dxa"/>
            <w:gridSpan w:val="3"/>
          </w:tcPr>
          <w:p w:rsidR="00E55EE6" w:rsidRPr="008D0C83" w:rsidRDefault="00E55EE6" w:rsidP="00E55EE6">
            <w:pPr>
              <w:pStyle w:val="ListParagraph"/>
              <w:numPr>
                <w:ilvl w:val="0"/>
                <w:numId w:val="2"/>
              </w:numPr>
            </w:pPr>
            <w:r w:rsidRPr="008D0C83">
              <w:t>Will the hurdle rate be an exogenous input into the market?</w:t>
            </w:r>
            <w:r w:rsidR="002547C5" w:rsidRPr="008D0C83">
              <w:t xml:space="preserve"> What are the components of this calculation? (</w:t>
            </w:r>
            <w:r w:rsidR="000D51F1" w:rsidRPr="008D0C83">
              <w:t>UE</w:t>
            </w:r>
            <w:r w:rsidR="002547C5" w:rsidRPr="008D0C83">
              <w:t xml:space="preserve">-9, </w:t>
            </w:r>
            <w:r w:rsidR="000D51F1" w:rsidRPr="008D0C83">
              <w:t>UE</w:t>
            </w:r>
            <w:r w:rsidR="002547C5" w:rsidRPr="008D0C83">
              <w:t xml:space="preserve">-11, </w:t>
            </w:r>
            <w:r w:rsidR="000D51F1" w:rsidRPr="008D0C83">
              <w:t>UE</w:t>
            </w:r>
            <w:r w:rsidR="002547C5" w:rsidRPr="008D0C83">
              <w:t>-12)</w:t>
            </w:r>
          </w:p>
          <w:p w:rsidR="00E55EE6" w:rsidRPr="008D0C83" w:rsidRDefault="00E55EE6" w:rsidP="00E55EE6">
            <w:pPr>
              <w:pStyle w:val="ListParagraph"/>
              <w:numPr>
                <w:ilvl w:val="0"/>
                <w:numId w:val="2"/>
              </w:numPr>
            </w:pPr>
            <w:r w:rsidRPr="008D0C83">
              <w:t>Will the hurdle rate be dynamic or static?</w:t>
            </w:r>
            <w:r w:rsidR="007132DA" w:rsidRPr="008D0C83">
              <w:t xml:space="preserve"> (</w:t>
            </w:r>
            <w:r w:rsidR="000D51F1" w:rsidRPr="008D0C83">
              <w:t>UE</w:t>
            </w:r>
            <w:r w:rsidR="007132DA" w:rsidRPr="008D0C83">
              <w:t>-2</w:t>
            </w:r>
            <w:r w:rsidR="002547C5" w:rsidRPr="008D0C83">
              <w:t xml:space="preserve">, </w:t>
            </w:r>
            <w:r w:rsidR="000D51F1" w:rsidRPr="008D0C83">
              <w:t>UE</w:t>
            </w:r>
            <w:r w:rsidR="002547C5" w:rsidRPr="008D0C83">
              <w:t>-8</w:t>
            </w:r>
            <w:r w:rsidR="007132DA" w:rsidRPr="008D0C83">
              <w:t>)</w:t>
            </w:r>
          </w:p>
          <w:p w:rsidR="000C172D" w:rsidRPr="008D0C83" w:rsidRDefault="000C172D" w:rsidP="000C172D">
            <w:pPr>
              <w:pStyle w:val="ListParagraph"/>
              <w:numPr>
                <w:ilvl w:val="1"/>
                <w:numId w:val="2"/>
              </w:numPr>
            </w:pPr>
            <w:r w:rsidRPr="008D0C83">
              <w:t>If static, does this present gaming opportunities?</w:t>
            </w:r>
          </w:p>
          <w:p w:rsidR="000C172D" w:rsidRPr="008D0C83" w:rsidRDefault="000C172D" w:rsidP="000C172D">
            <w:pPr>
              <w:pStyle w:val="ListParagraph"/>
              <w:numPr>
                <w:ilvl w:val="0"/>
                <w:numId w:val="2"/>
              </w:numPr>
            </w:pPr>
            <w:r w:rsidRPr="008D0C83">
              <w:t>Will the hurdle rate be responsive to the prevailing market rate of GHG allowances?</w:t>
            </w:r>
            <w:r w:rsidR="002547C5" w:rsidRPr="008D0C83">
              <w:t xml:space="preserve"> (</w:t>
            </w:r>
            <w:r w:rsidR="000D51F1" w:rsidRPr="008D0C83">
              <w:t>UE</w:t>
            </w:r>
            <w:r w:rsidR="002547C5" w:rsidRPr="008D0C83">
              <w:t>-2)</w:t>
            </w:r>
          </w:p>
          <w:p w:rsidR="000C172D" w:rsidRPr="008D0C83" w:rsidRDefault="000C172D" w:rsidP="002547C5">
            <w:pPr>
              <w:pStyle w:val="ListParagraph"/>
              <w:numPr>
                <w:ilvl w:val="0"/>
                <w:numId w:val="2"/>
              </w:numPr>
            </w:pPr>
            <w:r w:rsidRPr="008D0C83">
              <w:t xml:space="preserve">Will the hurdle rate factor in the grid emissions intensity? If so, should </w:t>
            </w:r>
            <w:r w:rsidR="002547C5" w:rsidRPr="008D0C83">
              <w:t xml:space="preserve">it use </w:t>
            </w:r>
            <w:r w:rsidRPr="008D0C83">
              <w:t xml:space="preserve">an average emissions intensity or the marginal emissions intensity? </w:t>
            </w:r>
            <w:r w:rsidR="002547C5" w:rsidRPr="008D0C83">
              <w:t>How frequently would this be adjusted? Are out-of-zone clean resources that are "assigned to the zone" backed out of the unspecified rate (i.e. “the calculation of imports reflects that [the out-of-zone resources are] in the zone”)? (</w:t>
            </w:r>
            <w:r w:rsidR="000D51F1" w:rsidRPr="008D0C83">
              <w:t>UE</w:t>
            </w:r>
            <w:r w:rsidR="002547C5" w:rsidRPr="008D0C83">
              <w:t>-6)</w:t>
            </w:r>
          </w:p>
          <w:p w:rsidR="007A4F85" w:rsidRPr="008D0C83" w:rsidRDefault="007132DA" w:rsidP="002547C5">
            <w:pPr>
              <w:pStyle w:val="ListParagraph"/>
              <w:numPr>
                <w:ilvl w:val="0"/>
                <w:numId w:val="2"/>
              </w:numPr>
            </w:pPr>
            <w:r w:rsidRPr="008D0C83">
              <w:lastRenderedPageBreak/>
              <w:t>Can EDAM SCs negotiate</w:t>
            </w:r>
            <w:r w:rsidR="007A4F85" w:rsidRPr="008D0C83">
              <w:t xml:space="preserve"> their own specified emissions rate?</w:t>
            </w:r>
            <w:r w:rsidR="002547C5" w:rsidRPr="008D0C83">
              <w:t xml:space="preserve"> Would self-scheduled power qualify for a resource specific emission rate?</w:t>
            </w:r>
            <w:r w:rsidR="007A4F85" w:rsidRPr="008D0C83">
              <w:t xml:space="preserve"> (</w:t>
            </w:r>
            <w:r w:rsidR="000D51F1" w:rsidRPr="008D0C83">
              <w:t>UE</w:t>
            </w:r>
            <w:r w:rsidR="007A4F85" w:rsidRPr="008D0C83">
              <w:t>-1</w:t>
            </w:r>
            <w:r w:rsidR="002547C5" w:rsidRPr="008D0C83">
              <w:t xml:space="preserve">, </w:t>
            </w:r>
            <w:r w:rsidR="000D51F1" w:rsidRPr="008D0C83">
              <w:t>UE</w:t>
            </w:r>
            <w:r w:rsidR="002547C5" w:rsidRPr="008D0C83">
              <w:t>-4</w:t>
            </w:r>
            <w:r w:rsidR="007A4F85" w:rsidRPr="008D0C83">
              <w:t>)</w:t>
            </w:r>
          </w:p>
        </w:tc>
      </w:tr>
      <w:tr w:rsidR="000C172D" w:rsidRPr="00B404FF" w:rsidTr="00E40A10">
        <w:trPr>
          <w:jc w:val="center"/>
        </w:trPr>
        <w:tc>
          <w:tcPr>
            <w:tcW w:w="1504" w:type="dxa"/>
          </w:tcPr>
          <w:p w:rsidR="000C172D" w:rsidRPr="008D0C83" w:rsidRDefault="000C172D" w:rsidP="00E55EE6">
            <w:pPr>
              <w:rPr>
                <w:b/>
              </w:rPr>
            </w:pPr>
            <w:r w:rsidRPr="008D0C83">
              <w:rPr>
                <w:b/>
              </w:rPr>
              <w:lastRenderedPageBreak/>
              <w:t>Alternate pathways to serve GHG zones (unspecified)</w:t>
            </w:r>
          </w:p>
        </w:tc>
        <w:tc>
          <w:tcPr>
            <w:tcW w:w="1854" w:type="dxa"/>
            <w:gridSpan w:val="2"/>
          </w:tcPr>
          <w:p w:rsidR="000C172D" w:rsidRPr="008D0C83" w:rsidRDefault="000C172D" w:rsidP="00E55EE6">
            <w:r w:rsidRPr="008D0C83">
              <w:t>What alternative pathways would exist for a resource in a non-GHG zone to serve a GHG zone?</w:t>
            </w:r>
          </w:p>
        </w:tc>
        <w:tc>
          <w:tcPr>
            <w:tcW w:w="1278" w:type="dxa"/>
          </w:tcPr>
          <w:p w:rsidR="000C172D" w:rsidRPr="008D0C83" w:rsidRDefault="000B7860" w:rsidP="00E55EE6">
            <w:r w:rsidRPr="008D0C83">
              <w:t>F</w:t>
            </w:r>
          </w:p>
        </w:tc>
        <w:tc>
          <w:tcPr>
            <w:tcW w:w="12729" w:type="dxa"/>
            <w:gridSpan w:val="3"/>
          </w:tcPr>
          <w:p w:rsidR="000C172D" w:rsidRPr="008D0C83" w:rsidRDefault="000C172D" w:rsidP="000C172D">
            <w:pPr>
              <w:pStyle w:val="ListParagraph"/>
              <w:numPr>
                <w:ilvl w:val="0"/>
                <w:numId w:val="2"/>
              </w:numPr>
            </w:pPr>
            <w:r w:rsidRPr="008D0C83">
              <w:t>What are the criteria for resources outside the zone to be included inside the zone?</w:t>
            </w:r>
            <w:r w:rsidR="002408C5" w:rsidRPr="008D0C83">
              <w:t xml:space="preserve"> (</w:t>
            </w:r>
            <w:r w:rsidR="000D51F1" w:rsidRPr="008D0C83">
              <w:t>UF</w:t>
            </w:r>
            <w:r w:rsidR="002408C5" w:rsidRPr="008D0C83">
              <w:t xml:space="preserve">-1, </w:t>
            </w:r>
            <w:r w:rsidR="000D51F1" w:rsidRPr="008D0C83">
              <w:t>UF</w:t>
            </w:r>
            <w:r w:rsidR="002408C5" w:rsidRPr="008D0C83">
              <w:t>-3)</w:t>
            </w:r>
          </w:p>
          <w:p w:rsidR="00535B88" w:rsidRPr="008D0C83" w:rsidRDefault="002408C5" w:rsidP="002917F4">
            <w:pPr>
              <w:pStyle w:val="ListParagraph"/>
              <w:numPr>
                <w:ilvl w:val="0"/>
                <w:numId w:val="2"/>
              </w:numPr>
            </w:pPr>
            <w:r w:rsidRPr="008D0C83">
              <w:t>Can entities voluntarily opt-in? If so, how frequently can this election be made? (</w:t>
            </w:r>
            <w:r w:rsidR="000D51F1" w:rsidRPr="008D0C83">
              <w:t>UF</w:t>
            </w:r>
            <w:r w:rsidRPr="008D0C83">
              <w:t>-2)</w:t>
            </w:r>
          </w:p>
          <w:p w:rsidR="00535B88" w:rsidRPr="008D0C83" w:rsidRDefault="00535B88" w:rsidP="00535B88"/>
          <w:p w:rsidR="00535B88" w:rsidRPr="008D0C83" w:rsidRDefault="00535B88" w:rsidP="00535B88"/>
        </w:tc>
      </w:tr>
      <w:tr w:rsidR="00C25DE0" w:rsidRPr="00B404FF" w:rsidTr="00E40A10">
        <w:trPr>
          <w:jc w:val="center"/>
        </w:trPr>
        <w:tc>
          <w:tcPr>
            <w:tcW w:w="17365" w:type="dxa"/>
            <w:gridSpan w:val="7"/>
            <w:shd w:val="clear" w:color="auto" w:fill="BDD6EE" w:themeFill="accent1" w:themeFillTint="66"/>
          </w:tcPr>
          <w:p w:rsidR="00C25DE0" w:rsidRPr="00C25DE0" w:rsidRDefault="00C25DE0" w:rsidP="00C25DE0">
            <w:pPr>
              <w:rPr>
                <w:color w:val="FF0000"/>
              </w:rPr>
            </w:pPr>
            <w:r>
              <w:rPr>
                <w:b/>
                <w:sz w:val="28"/>
                <w:szCs w:val="28"/>
              </w:rPr>
              <w:t>3</w:t>
            </w:r>
            <w:r w:rsidRPr="00C25DE0">
              <w:rPr>
                <w:b/>
                <w:sz w:val="28"/>
                <w:szCs w:val="28"/>
              </w:rPr>
              <w:t xml:space="preserve">) </w:t>
            </w:r>
            <w:r w:rsidR="00330DD6">
              <w:rPr>
                <w:b/>
                <w:sz w:val="28"/>
                <w:szCs w:val="28"/>
              </w:rPr>
              <w:t>Secondary Dispatch and Other C</w:t>
            </w:r>
            <w:r w:rsidRPr="00C25DE0">
              <w:rPr>
                <w:b/>
                <w:sz w:val="28"/>
                <w:szCs w:val="28"/>
              </w:rPr>
              <w:t>onsequences</w:t>
            </w:r>
          </w:p>
        </w:tc>
      </w:tr>
      <w:tr w:rsidR="00C25DE0" w:rsidRPr="00B404FF" w:rsidTr="00E40A10">
        <w:trPr>
          <w:jc w:val="center"/>
        </w:trPr>
        <w:tc>
          <w:tcPr>
            <w:tcW w:w="1504" w:type="dxa"/>
          </w:tcPr>
          <w:p w:rsidR="00C25DE0" w:rsidRPr="008D0C83" w:rsidRDefault="00C25DE0" w:rsidP="00C25DE0">
            <w:pPr>
              <w:rPr>
                <w:b/>
              </w:rPr>
            </w:pPr>
            <w:r w:rsidRPr="008D0C83">
              <w:rPr>
                <w:b/>
              </w:rPr>
              <w:t>Leakage minimization</w:t>
            </w:r>
          </w:p>
        </w:tc>
        <w:tc>
          <w:tcPr>
            <w:tcW w:w="1854" w:type="dxa"/>
            <w:gridSpan w:val="2"/>
          </w:tcPr>
          <w:p w:rsidR="00C25DE0" w:rsidRPr="008D0C83" w:rsidRDefault="00C25DE0" w:rsidP="00C25DE0">
            <w:r w:rsidRPr="008D0C83">
              <w:t>What mechanisms exist to limit leakage and secondary dispatch?</w:t>
            </w:r>
          </w:p>
        </w:tc>
        <w:tc>
          <w:tcPr>
            <w:tcW w:w="1278" w:type="dxa"/>
          </w:tcPr>
          <w:p w:rsidR="00C25DE0" w:rsidRPr="008D0C83" w:rsidRDefault="000B7860" w:rsidP="00C25DE0">
            <w:r w:rsidRPr="008D0C83">
              <w:t>G</w:t>
            </w:r>
          </w:p>
        </w:tc>
        <w:tc>
          <w:tcPr>
            <w:tcW w:w="12729" w:type="dxa"/>
            <w:gridSpan w:val="3"/>
          </w:tcPr>
          <w:p w:rsidR="002917F4" w:rsidRPr="008D0C83" w:rsidRDefault="00C25DE0" w:rsidP="00CA2A5D">
            <w:pPr>
              <w:pStyle w:val="ListParagraph"/>
              <w:numPr>
                <w:ilvl w:val="0"/>
                <w:numId w:val="16"/>
              </w:numPr>
            </w:pPr>
            <w:r w:rsidRPr="008D0C83">
              <w:t>How would secondary dispatch occur in the model and how it is designed to limit it? (</w:t>
            </w:r>
            <w:r w:rsidR="000D51F1" w:rsidRPr="008D0C83">
              <w:t>RG</w:t>
            </w:r>
            <w:r w:rsidRPr="008D0C83">
              <w:t xml:space="preserve">-1, </w:t>
            </w:r>
            <w:r w:rsidR="000D51F1" w:rsidRPr="008D0C83">
              <w:t>RG</w:t>
            </w:r>
            <w:r w:rsidR="004E4E66" w:rsidRPr="008D0C83">
              <w:t>-2, UG</w:t>
            </w:r>
            <w:r w:rsidRPr="008D0C83">
              <w:t>-1, U</w:t>
            </w:r>
            <w:r w:rsidR="004E4E66" w:rsidRPr="008D0C83">
              <w:t>G</w:t>
            </w:r>
            <w:r w:rsidRPr="008D0C83">
              <w:t>-2)</w:t>
            </w:r>
          </w:p>
          <w:p w:rsidR="002917F4" w:rsidRPr="002917F4" w:rsidRDefault="006D20B6" w:rsidP="00CA2A5D">
            <w:pPr>
              <w:pStyle w:val="ListParagraph"/>
              <w:numPr>
                <w:ilvl w:val="1"/>
                <w:numId w:val="16"/>
              </w:numPr>
              <w:rPr>
                <w:color w:val="FF0000"/>
              </w:rPr>
            </w:pPr>
            <w:r w:rsidRPr="002917F4">
              <w:rPr>
                <w:color w:val="0070C0"/>
              </w:rPr>
              <w:t xml:space="preserve">A market based on least cost dispatch </w:t>
            </w:r>
            <w:r w:rsidR="00D412D6" w:rsidRPr="002917F4">
              <w:rPr>
                <w:color w:val="0070C0"/>
              </w:rPr>
              <w:t xml:space="preserve">will </w:t>
            </w:r>
            <w:r w:rsidRPr="002917F4">
              <w:rPr>
                <w:color w:val="0070C0"/>
              </w:rPr>
              <w:t>inherently send cleaner resources to a GHG zone because low emitting resources face</w:t>
            </w:r>
            <w:r w:rsidR="00D412D6" w:rsidRPr="002917F4">
              <w:rPr>
                <w:color w:val="0070C0"/>
              </w:rPr>
              <w:t xml:space="preserve"> either</w:t>
            </w:r>
            <w:r w:rsidRPr="002917F4">
              <w:rPr>
                <w:color w:val="0070C0"/>
              </w:rPr>
              <w:t xml:space="preserve"> fewer or no costs to comply with GHG regulations. </w:t>
            </w:r>
            <w:r w:rsidR="00D412D6" w:rsidRPr="002917F4">
              <w:rPr>
                <w:color w:val="0070C0"/>
              </w:rPr>
              <w:t>I</w:t>
            </w:r>
            <w:r w:rsidRPr="002917F4">
              <w:rPr>
                <w:color w:val="0070C0"/>
              </w:rPr>
              <w:t xml:space="preserve">n some instances, higher-emitting resources will need “to backfill” this dispatch to serve load in a non-GHG zone. </w:t>
            </w:r>
          </w:p>
          <w:p w:rsidR="002917F4" w:rsidRPr="002917F4" w:rsidRDefault="00D45840" w:rsidP="002917F4">
            <w:pPr>
              <w:pStyle w:val="ListParagraph"/>
              <w:numPr>
                <w:ilvl w:val="1"/>
                <w:numId w:val="16"/>
              </w:numPr>
              <w:rPr>
                <w:color w:val="FF0000"/>
              </w:rPr>
            </w:pPr>
            <w:r w:rsidRPr="002917F4">
              <w:rPr>
                <w:color w:val="0070C0"/>
              </w:rPr>
              <w:t>Every GHG proposal in EDAM will have to solve the issue of secondary dispatch</w:t>
            </w:r>
            <w:r w:rsidR="00D412D6" w:rsidRPr="002917F4">
              <w:rPr>
                <w:color w:val="0070C0"/>
              </w:rPr>
              <w:t xml:space="preserve">. </w:t>
            </w:r>
            <w:r w:rsidRPr="002917F4">
              <w:rPr>
                <w:color w:val="0070C0"/>
              </w:rPr>
              <w:t xml:space="preserve">The CAISO does not have estimates of secondary dispatch in EDAM, but recognizes that the volume of MW will be higher </w:t>
            </w:r>
            <w:r w:rsidR="00AA00BE" w:rsidRPr="002917F4">
              <w:rPr>
                <w:color w:val="0070C0"/>
              </w:rPr>
              <w:t>than the imbalance in WEIM</w:t>
            </w:r>
            <w:r w:rsidR="00CA2A5D" w:rsidRPr="002917F4">
              <w:rPr>
                <w:color w:val="0070C0"/>
              </w:rPr>
              <w:t xml:space="preserve">. </w:t>
            </w:r>
            <w:r w:rsidRPr="002917F4">
              <w:rPr>
                <w:color w:val="0070C0"/>
              </w:rPr>
              <w:t xml:space="preserve"> </w:t>
            </w:r>
          </w:p>
          <w:p w:rsidR="00D45840" w:rsidRPr="002917F4" w:rsidRDefault="00D45840" w:rsidP="002917F4">
            <w:pPr>
              <w:pStyle w:val="ListParagraph"/>
              <w:numPr>
                <w:ilvl w:val="1"/>
                <w:numId w:val="16"/>
              </w:numPr>
              <w:rPr>
                <w:color w:val="FF0000"/>
              </w:rPr>
            </w:pPr>
            <w:r w:rsidRPr="002917F4">
              <w:rPr>
                <w:color w:val="0070C0"/>
              </w:rPr>
              <w:t xml:space="preserve">Secondary dispatch in the CAISO’s proposal will be limited by: </w:t>
            </w:r>
          </w:p>
          <w:p w:rsidR="00D45840" w:rsidRPr="00D45840" w:rsidRDefault="00AA00BE" w:rsidP="002917F4">
            <w:pPr>
              <w:pStyle w:val="ListParagraph"/>
              <w:numPr>
                <w:ilvl w:val="2"/>
                <w:numId w:val="24"/>
              </w:numPr>
              <w:rPr>
                <w:color w:val="0070C0"/>
              </w:rPr>
            </w:pPr>
            <w:r>
              <w:rPr>
                <w:color w:val="0070C0"/>
              </w:rPr>
              <w:t xml:space="preserve">EDAM BAA </w:t>
            </w:r>
            <w:r w:rsidR="007C4B41">
              <w:rPr>
                <w:color w:val="0070C0"/>
              </w:rPr>
              <w:t xml:space="preserve">net </w:t>
            </w:r>
            <w:r>
              <w:rPr>
                <w:color w:val="0070C0"/>
              </w:rPr>
              <w:t>export t</w:t>
            </w:r>
            <w:r w:rsidR="00D45840" w:rsidRPr="00D45840">
              <w:rPr>
                <w:color w:val="0070C0"/>
              </w:rPr>
              <w:t xml:space="preserve">ransfer </w:t>
            </w:r>
            <w:r w:rsidR="007C4B41">
              <w:rPr>
                <w:color w:val="0070C0"/>
              </w:rPr>
              <w:t>schedule</w:t>
            </w:r>
            <w:r w:rsidR="00D45840">
              <w:rPr>
                <w:color w:val="0070C0"/>
              </w:rPr>
              <w:t xml:space="preserve"> (Note: this is also an enhancement that would apply to the WEIM)</w:t>
            </w:r>
          </w:p>
          <w:p w:rsidR="00D45840" w:rsidRPr="00D45840" w:rsidRDefault="00D45840" w:rsidP="002917F4">
            <w:pPr>
              <w:pStyle w:val="ListParagraph"/>
              <w:numPr>
                <w:ilvl w:val="2"/>
                <w:numId w:val="24"/>
              </w:numPr>
              <w:rPr>
                <w:color w:val="0070C0"/>
              </w:rPr>
            </w:pPr>
            <w:r w:rsidRPr="00D45840">
              <w:rPr>
                <w:color w:val="0070C0"/>
              </w:rPr>
              <w:t xml:space="preserve">The difference between the Upper Economic Limit and the </w:t>
            </w:r>
            <w:r w:rsidR="007C4B41">
              <w:rPr>
                <w:color w:val="0070C0"/>
              </w:rPr>
              <w:t>Reference</w:t>
            </w:r>
            <w:r w:rsidRPr="00D45840">
              <w:rPr>
                <w:color w:val="0070C0"/>
              </w:rPr>
              <w:t xml:space="preserve"> Schedule </w:t>
            </w:r>
            <w:r w:rsidR="007C4B41">
              <w:rPr>
                <w:color w:val="0070C0"/>
              </w:rPr>
              <w:t>(from the RSE optimal solution)</w:t>
            </w:r>
          </w:p>
          <w:p w:rsidR="00D45840" w:rsidRPr="00D45840" w:rsidRDefault="00D45840" w:rsidP="00D45840">
            <w:pPr>
              <w:rPr>
                <w:color w:val="FF0000"/>
              </w:rPr>
            </w:pPr>
          </w:p>
        </w:tc>
      </w:tr>
      <w:tr w:rsidR="00C25DE0" w:rsidRPr="00B404FF" w:rsidTr="00E40A10">
        <w:trPr>
          <w:jc w:val="center"/>
        </w:trPr>
        <w:tc>
          <w:tcPr>
            <w:tcW w:w="1504" w:type="dxa"/>
          </w:tcPr>
          <w:p w:rsidR="00C25DE0" w:rsidRPr="008D0C83" w:rsidRDefault="00C25DE0" w:rsidP="00330DD6">
            <w:pPr>
              <w:rPr>
                <w:b/>
              </w:rPr>
            </w:pPr>
            <w:r w:rsidRPr="008D0C83">
              <w:rPr>
                <w:b/>
              </w:rPr>
              <w:t xml:space="preserve">Other </w:t>
            </w:r>
            <w:r w:rsidR="00330DD6" w:rsidRPr="008D0C83">
              <w:rPr>
                <w:b/>
              </w:rPr>
              <w:t>consequences of approach</w:t>
            </w:r>
          </w:p>
        </w:tc>
        <w:tc>
          <w:tcPr>
            <w:tcW w:w="1854" w:type="dxa"/>
            <w:gridSpan w:val="2"/>
          </w:tcPr>
          <w:p w:rsidR="00C25DE0" w:rsidRPr="008D0C83" w:rsidRDefault="00C25DE0" w:rsidP="00330DD6">
            <w:r w:rsidRPr="008D0C83">
              <w:t xml:space="preserve">Are there other unintended </w:t>
            </w:r>
            <w:r w:rsidR="00330DD6" w:rsidRPr="008D0C83">
              <w:t>consequences</w:t>
            </w:r>
            <w:r w:rsidRPr="008D0C83">
              <w:t xml:space="preserve"> of the model and how does the approach deal with these?</w:t>
            </w:r>
          </w:p>
        </w:tc>
        <w:tc>
          <w:tcPr>
            <w:tcW w:w="1278" w:type="dxa"/>
          </w:tcPr>
          <w:p w:rsidR="00C25DE0" w:rsidRPr="008D0C83" w:rsidRDefault="000B7860" w:rsidP="00C25DE0">
            <w:r w:rsidRPr="008D0C83">
              <w:t>E, G</w:t>
            </w:r>
          </w:p>
        </w:tc>
        <w:tc>
          <w:tcPr>
            <w:tcW w:w="12729" w:type="dxa"/>
            <w:gridSpan w:val="3"/>
          </w:tcPr>
          <w:p w:rsidR="00C25DE0" w:rsidRPr="008D0C83" w:rsidRDefault="00C25DE0" w:rsidP="00C25DE0">
            <w:pPr>
              <w:pStyle w:val="ListParagraph"/>
              <w:numPr>
                <w:ilvl w:val="0"/>
                <w:numId w:val="2"/>
              </w:numPr>
            </w:pPr>
            <w:r w:rsidRPr="008D0C83">
              <w:t>Resource-specific approach</w:t>
            </w:r>
          </w:p>
          <w:p w:rsidR="00C25DE0" w:rsidRPr="008D0C83" w:rsidRDefault="00C25DE0" w:rsidP="00C25DE0">
            <w:pPr>
              <w:pStyle w:val="ListParagraph"/>
              <w:numPr>
                <w:ilvl w:val="1"/>
                <w:numId w:val="2"/>
              </w:numPr>
            </w:pPr>
            <w:r w:rsidRPr="008D0C83">
              <w:t>Under the resource-specific approach, it is possible for resources to have been deemed to serve CA when it is impossible based on their transmission capabilities? If so, how does the approach deal with this?</w:t>
            </w:r>
          </w:p>
          <w:p w:rsidR="00CA2A5D" w:rsidRPr="00E5557C" w:rsidRDefault="007C4B41" w:rsidP="00C25DE0">
            <w:pPr>
              <w:pStyle w:val="ListParagraph"/>
              <w:numPr>
                <w:ilvl w:val="1"/>
                <w:numId w:val="2"/>
              </w:numPr>
              <w:rPr>
                <w:color w:val="0070C0"/>
              </w:rPr>
            </w:pPr>
            <w:r>
              <w:rPr>
                <w:color w:val="0070C0"/>
              </w:rPr>
              <w:t>The GHG attribution is limited by the energy schedule, which in turn is limited by transmission congestion. For this reason, transmission constraints are not directly considered in calculating GHG attributions. However, the CAISO proposes to limit GHG attributions to resources in a BAA to the net export transfer schedule for that BAA.</w:t>
            </w:r>
          </w:p>
          <w:p w:rsidR="00C25DE0" w:rsidRPr="008D0C83" w:rsidRDefault="00C25DE0" w:rsidP="00C25DE0">
            <w:pPr>
              <w:pStyle w:val="ListParagraph"/>
              <w:numPr>
                <w:ilvl w:val="0"/>
                <w:numId w:val="2"/>
              </w:numPr>
            </w:pPr>
            <w:r w:rsidRPr="008D0C83">
              <w:t>Unspecified approach:</w:t>
            </w:r>
          </w:p>
          <w:p w:rsidR="00C25DE0" w:rsidRPr="008D0C83" w:rsidRDefault="00C25DE0" w:rsidP="00C25DE0">
            <w:pPr>
              <w:pStyle w:val="ListParagraph"/>
              <w:numPr>
                <w:ilvl w:val="1"/>
                <w:numId w:val="2"/>
              </w:numPr>
            </w:pPr>
            <w:r w:rsidRPr="008D0C83">
              <w:t>It is possible that non-emitting resources might need to clear the hurdle rate that is meant to reflect GHG costs? (</w:t>
            </w:r>
            <w:r w:rsidR="000D51F1" w:rsidRPr="008D0C83">
              <w:t>UE</w:t>
            </w:r>
            <w:r w:rsidRPr="008D0C83">
              <w:t>-10)</w:t>
            </w:r>
          </w:p>
          <w:p w:rsidR="00C25DE0" w:rsidRPr="008D0C83" w:rsidRDefault="00C25DE0" w:rsidP="00C25DE0">
            <w:pPr>
              <w:pStyle w:val="ListParagraph"/>
              <w:numPr>
                <w:ilvl w:val="1"/>
                <w:numId w:val="2"/>
              </w:numPr>
            </w:pPr>
            <w:r w:rsidRPr="008D0C83">
              <w:t>Would the proposal shift concerns about secondary dispatch from the day-ahead and real-time markets into the forwarding contracting horizon? (</w:t>
            </w:r>
            <w:r w:rsidR="004E4E66" w:rsidRPr="008D0C83">
              <w:t>UG</w:t>
            </w:r>
            <w:r w:rsidRPr="008D0C83">
              <w:t>-2)</w:t>
            </w:r>
          </w:p>
          <w:p w:rsidR="00C25DE0" w:rsidRDefault="00C25DE0" w:rsidP="004E4E66">
            <w:pPr>
              <w:pStyle w:val="ListParagraph"/>
              <w:numPr>
                <w:ilvl w:val="1"/>
                <w:numId w:val="2"/>
              </w:numPr>
              <w:rPr>
                <w:color w:val="FF0000"/>
              </w:rPr>
            </w:pPr>
            <w:r w:rsidRPr="008D0C83">
              <w:t>In what specific way does this approach provide advantages to zero or low-emitting resources as compared to high-emitting resources outside GHG Regulation Areas? (U</w:t>
            </w:r>
            <w:r w:rsidR="004E4E66" w:rsidRPr="008D0C83">
              <w:t>G</w:t>
            </w:r>
            <w:r w:rsidRPr="008D0C83">
              <w:t>-</w:t>
            </w:r>
            <w:r w:rsidR="004E4E66" w:rsidRPr="008D0C83">
              <w:t>4</w:t>
            </w:r>
            <w:r w:rsidRPr="008D0C83">
              <w:t>)</w:t>
            </w:r>
          </w:p>
        </w:tc>
      </w:tr>
      <w:tr w:rsidR="00166048" w:rsidRPr="00B404FF" w:rsidTr="00E40A10">
        <w:trPr>
          <w:jc w:val="center"/>
        </w:trPr>
        <w:tc>
          <w:tcPr>
            <w:tcW w:w="17365" w:type="dxa"/>
            <w:gridSpan w:val="7"/>
            <w:shd w:val="clear" w:color="auto" w:fill="BDD6EE" w:themeFill="accent1" w:themeFillTint="66"/>
          </w:tcPr>
          <w:p w:rsidR="00166048" w:rsidRPr="008D0C83" w:rsidRDefault="00A00DE8" w:rsidP="00166048">
            <w:pPr>
              <w:rPr>
                <w:sz w:val="28"/>
                <w:szCs w:val="28"/>
              </w:rPr>
            </w:pPr>
            <w:r w:rsidRPr="008D0C83">
              <w:lastRenderedPageBreak/>
              <w:br w:type="page"/>
            </w:r>
            <w:r w:rsidR="00C25DE0" w:rsidRPr="008D0C83">
              <w:rPr>
                <w:b/>
                <w:sz w:val="28"/>
                <w:szCs w:val="28"/>
              </w:rPr>
              <w:t>4</w:t>
            </w:r>
            <w:r w:rsidR="00166048" w:rsidRPr="008D0C83">
              <w:rPr>
                <w:b/>
                <w:sz w:val="28"/>
                <w:szCs w:val="28"/>
              </w:rPr>
              <w:t>) Reporting and Settlements</w:t>
            </w:r>
          </w:p>
        </w:tc>
      </w:tr>
      <w:tr w:rsidR="00166048" w:rsidRPr="00B404FF" w:rsidTr="00E40A10">
        <w:trPr>
          <w:jc w:val="center"/>
        </w:trPr>
        <w:tc>
          <w:tcPr>
            <w:tcW w:w="1523" w:type="dxa"/>
            <w:gridSpan w:val="2"/>
          </w:tcPr>
          <w:p w:rsidR="00166048" w:rsidRPr="008D0C83" w:rsidRDefault="00166048" w:rsidP="00166048">
            <w:pPr>
              <w:rPr>
                <w:b/>
              </w:rPr>
            </w:pPr>
            <w:r w:rsidRPr="008D0C83">
              <w:rPr>
                <w:b/>
              </w:rPr>
              <w:t xml:space="preserve">Reporting: </w:t>
            </w:r>
            <w:r w:rsidRPr="008D0C83">
              <w:t>Market Results</w:t>
            </w:r>
            <w:r w:rsidRPr="008D0C83">
              <w:rPr>
                <w:b/>
              </w:rPr>
              <w:t xml:space="preserve"> </w:t>
            </w:r>
          </w:p>
        </w:tc>
        <w:tc>
          <w:tcPr>
            <w:tcW w:w="3329" w:type="dxa"/>
            <w:gridSpan w:val="3"/>
          </w:tcPr>
          <w:p w:rsidR="00166048" w:rsidRPr="008D0C83" w:rsidRDefault="00166048" w:rsidP="00166048">
            <w:r w:rsidRPr="008D0C83">
              <w:t>What type of information and at what granularity will GHG information be reported to support state reporting requirements?</w:t>
            </w:r>
          </w:p>
          <w:p w:rsidR="00166048" w:rsidRPr="008D0C83" w:rsidRDefault="00166048" w:rsidP="00166048"/>
        </w:tc>
        <w:tc>
          <w:tcPr>
            <w:tcW w:w="1349" w:type="dxa"/>
          </w:tcPr>
          <w:p w:rsidR="00166048" w:rsidRPr="00B404FF" w:rsidRDefault="000B7860" w:rsidP="00166048">
            <w:r>
              <w:t>H</w:t>
            </w:r>
          </w:p>
        </w:tc>
        <w:tc>
          <w:tcPr>
            <w:tcW w:w="11164" w:type="dxa"/>
          </w:tcPr>
          <w:p w:rsidR="0010263C" w:rsidRPr="008D0C83" w:rsidRDefault="00166048" w:rsidP="00166048">
            <w:pPr>
              <w:pStyle w:val="ListParagraph"/>
              <w:numPr>
                <w:ilvl w:val="0"/>
                <w:numId w:val="2"/>
              </w:numPr>
            </w:pPr>
            <w:r w:rsidRPr="008D0C83">
              <w:t>What process can be developed to ensure that LSEs and other market participants subject to GHG/RPS/CES regulations will receive data necessary to satisfy compliance obligations? What entity is responsible for reporting imported energy into a GHG zone?  (</w:t>
            </w:r>
            <w:r w:rsidR="004E4E66" w:rsidRPr="008D0C83">
              <w:t>RH</w:t>
            </w:r>
            <w:r w:rsidRPr="008D0C83">
              <w:t xml:space="preserve">-2, </w:t>
            </w:r>
            <w:r w:rsidR="004E4E66" w:rsidRPr="008D0C83">
              <w:t>UH</w:t>
            </w:r>
            <w:r w:rsidRPr="008D0C83">
              <w:t xml:space="preserve">-1, </w:t>
            </w:r>
            <w:r w:rsidR="004E4E66" w:rsidRPr="008D0C83">
              <w:t>UH</w:t>
            </w:r>
            <w:r w:rsidRPr="008D0C83">
              <w:t xml:space="preserve">-2, </w:t>
            </w:r>
            <w:r w:rsidR="004E4E66" w:rsidRPr="008D0C83">
              <w:t>UH</w:t>
            </w:r>
            <w:r w:rsidRPr="008D0C83">
              <w:t xml:space="preserve">-4, </w:t>
            </w:r>
            <w:r w:rsidR="004E4E66" w:rsidRPr="008D0C83">
              <w:t>UH</w:t>
            </w:r>
            <w:r w:rsidRPr="008D0C83">
              <w:t xml:space="preserve">-6, </w:t>
            </w:r>
            <w:r w:rsidR="004E4E66" w:rsidRPr="008D0C83">
              <w:t>UH</w:t>
            </w:r>
            <w:r w:rsidRPr="008D0C83">
              <w:t>-7)</w:t>
            </w:r>
          </w:p>
          <w:p w:rsidR="0010263C" w:rsidRPr="00EF2196" w:rsidRDefault="00EF2196" w:rsidP="002917F4">
            <w:pPr>
              <w:pStyle w:val="ListParagraph"/>
              <w:numPr>
                <w:ilvl w:val="1"/>
                <w:numId w:val="2"/>
              </w:numPr>
              <w:rPr>
                <w:color w:val="0070C0"/>
              </w:rPr>
            </w:pPr>
            <w:r w:rsidRPr="00EF2196">
              <w:rPr>
                <w:color w:val="0070C0"/>
              </w:rPr>
              <w:t>For GHG compliance</w:t>
            </w:r>
            <w:proofErr w:type="gramStart"/>
            <w:r w:rsidRPr="00EF2196">
              <w:rPr>
                <w:color w:val="0070C0"/>
              </w:rPr>
              <w:t>,  the</w:t>
            </w:r>
            <w:proofErr w:type="gramEnd"/>
            <w:r w:rsidRPr="00EF2196">
              <w:rPr>
                <w:color w:val="0070C0"/>
              </w:rPr>
              <w:t xml:space="preserve"> CAISO proposes that EDAM will follow the approach of the WEIM and deeming energy delivered to a GHG Regulation Area for the purpose of complying with regulatory reporting programs. </w:t>
            </w:r>
            <w:r w:rsidR="0010263C" w:rsidRPr="00EF2196">
              <w:rPr>
                <w:color w:val="0070C0"/>
              </w:rPr>
              <w:t>The CAISO can provide EDAM/WEIM Entities with their specific market data to assist them with reporting obligations under GHG reporting programs. The CAISO may also be able to provide aggregate information to help state and reporting entities ensure accurate accounting of power obtained from the</w:t>
            </w:r>
            <w:r>
              <w:rPr>
                <w:color w:val="0070C0"/>
              </w:rPr>
              <w:t xml:space="preserve"> final results from the</w:t>
            </w:r>
            <w:r w:rsidR="0010263C" w:rsidRPr="00EF2196">
              <w:rPr>
                <w:color w:val="0070C0"/>
              </w:rPr>
              <w:t xml:space="preserve"> WEIM.</w:t>
            </w:r>
          </w:p>
          <w:p w:rsidR="0010263C" w:rsidRDefault="006D20B6" w:rsidP="0010263C">
            <w:pPr>
              <w:pStyle w:val="ListParagraph"/>
              <w:numPr>
                <w:ilvl w:val="1"/>
                <w:numId w:val="2"/>
              </w:numPr>
              <w:rPr>
                <w:color w:val="0070C0"/>
              </w:rPr>
            </w:pPr>
            <w:r w:rsidRPr="006D20B6">
              <w:rPr>
                <w:color w:val="0070C0"/>
              </w:rPr>
              <w:t>EDAM does not propose to have special functionality to provide information for the purposes of complying with RPS and CES regulations</w:t>
            </w:r>
            <w:r>
              <w:rPr>
                <w:color w:val="0070C0"/>
              </w:rPr>
              <w:t>, but would like to better understand what requested information would be necessary to support that rep</w:t>
            </w:r>
            <w:r w:rsidR="00D412D6">
              <w:rPr>
                <w:color w:val="0070C0"/>
              </w:rPr>
              <w:t>orting and if that</w:t>
            </w:r>
            <w:r>
              <w:rPr>
                <w:color w:val="0070C0"/>
              </w:rPr>
              <w:t xml:space="preserve"> data</w:t>
            </w:r>
            <w:r w:rsidR="00D412D6">
              <w:rPr>
                <w:color w:val="0070C0"/>
              </w:rPr>
              <w:t xml:space="preserve"> are</w:t>
            </w:r>
            <w:r>
              <w:rPr>
                <w:color w:val="0070C0"/>
              </w:rPr>
              <w:t xml:space="preserve"> readily available and generated by the market</w:t>
            </w:r>
            <w:r w:rsidRPr="006D20B6">
              <w:rPr>
                <w:color w:val="0070C0"/>
              </w:rPr>
              <w:t xml:space="preserve">. </w:t>
            </w:r>
          </w:p>
          <w:p w:rsidR="00EF2196" w:rsidRPr="006D20B6" w:rsidRDefault="00EF2196" w:rsidP="0010263C">
            <w:pPr>
              <w:pStyle w:val="ListParagraph"/>
              <w:numPr>
                <w:ilvl w:val="1"/>
                <w:numId w:val="2"/>
              </w:numPr>
              <w:rPr>
                <w:color w:val="0070C0"/>
              </w:rPr>
            </w:pPr>
            <w:r w:rsidRPr="00E5557C">
              <w:rPr>
                <w:color w:val="0070C0"/>
              </w:rPr>
              <w:t xml:space="preserve">Any GHG attribution is reported by the Market Operator (MO) and </w:t>
            </w:r>
            <w:r>
              <w:rPr>
                <w:color w:val="0070C0"/>
              </w:rPr>
              <w:t>the Scheduling Coordinator (SC).</w:t>
            </w:r>
          </w:p>
          <w:p w:rsidR="00166048" w:rsidRPr="008D0C83" w:rsidRDefault="00166048" w:rsidP="00166048">
            <w:pPr>
              <w:pStyle w:val="ListParagraph"/>
              <w:numPr>
                <w:ilvl w:val="0"/>
                <w:numId w:val="2"/>
              </w:numPr>
            </w:pPr>
            <w:r w:rsidRPr="008D0C83">
              <w:t>Should we consider policy that is in effect/will be in effect by Jan 2024 or try to accommodate hypothetical reporting systems?</w:t>
            </w:r>
          </w:p>
          <w:p w:rsidR="00D412D6" w:rsidRPr="00D412D6" w:rsidRDefault="00D412D6" w:rsidP="00EF2196">
            <w:pPr>
              <w:pStyle w:val="ListParagraph"/>
              <w:numPr>
                <w:ilvl w:val="1"/>
                <w:numId w:val="2"/>
              </w:numPr>
              <w:rPr>
                <w:color w:val="0070C0"/>
              </w:rPr>
            </w:pPr>
            <w:r w:rsidRPr="00D412D6">
              <w:rPr>
                <w:color w:val="0070C0"/>
              </w:rPr>
              <w:t>TBD.</w:t>
            </w:r>
          </w:p>
          <w:p w:rsidR="00166048" w:rsidRPr="008D0C83" w:rsidRDefault="00166048" w:rsidP="00166048">
            <w:pPr>
              <w:pStyle w:val="ListParagraph"/>
              <w:numPr>
                <w:ilvl w:val="0"/>
                <w:numId w:val="2"/>
              </w:numPr>
            </w:pPr>
            <w:r w:rsidRPr="008D0C83">
              <w:t xml:space="preserve">What data needs to be tracked for compliance and </w:t>
            </w:r>
            <w:r w:rsidR="00A00DE8" w:rsidRPr="008D0C83">
              <w:t xml:space="preserve">harmonization with </w:t>
            </w:r>
            <w:r w:rsidRPr="008D0C83">
              <w:t>clean energy policy purposes</w:t>
            </w:r>
            <w:r w:rsidR="00A00DE8" w:rsidRPr="008D0C83">
              <w:t xml:space="preserve"> (including other instruments that attribute generation to load)</w:t>
            </w:r>
            <w:r w:rsidRPr="008D0C83">
              <w:t>?</w:t>
            </w:r>
            <w:r w:rsidR="006D20B6" w:rsidRPr="008D0C83">
              <w:t xml:space="preserve"> </w:t>
            </w:r>
          </w:p>
          <w:p w:rsidR="00EF2196" w:rsidRDefault="00E5557C" w:rsidP="00EF2196">
            <w:pPr>
              <w:pStyle w:val="ListParagraph"/>
              <w:numPr>
                <w:ilvl w:val="1"/>
                <w:numId w:val="2"/>
              </w:numPr>
              <w:rPr>
                <w:color w:val="0070C0"/>
              </w:rPr>
            </w:pPr>
            <w:r w:rsidRPr="00E5557C">
              <w:rPr>
                <w:color w:val="0070C0"/>
              </w:rPr>
              <w:t xml:space="preserve">The CAISO would like to hear from </w:t>
            </w:r>
            <w:r w:rsidR="00B73101" w:rsidRPr="00E5557C">
              <w:rPr>
                <w:color w:val="0070C0"/>
              </w:rPr>
              <w:t>stakeholders</w:t>
            </w:r>
            <w:r w:rsidRPr="00E5557C">
              <w:rPr>
                <w:color w:val="0070C0"/>
              </w:rPr>
              <w:t xml:space="preserve"> on what additional data needs to be tracked.</w:t>
            </w:r>
          </w:p>
          <w:p w:rsidR="00EF2196" w:rsidRPr="00EF2196" w:rsidRDefault="00EF2196" w:rsidP="00EF2196">
            <w:pPr>
              <w:pStyle w:val="ListParagraph"/>
              <w:numPr>
                <w:ilvl w:val="1"/>
                <w:numId w:val="2"/>
              </w:numPr>
              <w:rPr>
                <w:color w:val="0070C0"/>
              </w:rPr>
            </w:pPr>
            <w:r>
              <w:rPr>
                <w:color w:val="0070C0"/>
              </w:rPr>
              <w:t>F</w:t>
            </w:r>
            <w:r w:rsidR="00E5557C">
              <w:rPr>
                <w:color w:val="0070C0"/>
              </w:rPr>
              <w:t xml:space="preserve">or REC reporting, depending on the reporting </w:t>
            </w:r>
            <w:r w:rsidR="00B73101">
              <w:rPr>
                <w:color w:val="0070C0"/>
              </w:rPr>
              <w:t>requirements</w:t>
            </w:r>
            <w:r w:rsidR="00E5557C">
              <w:rPr>
                <w:color w:val="0070C0"/>
              </w:rPr>
              <w:t xml:space="preserve"> developed, </w:t>
            </w:r>
            <w:r w:rsidR="00E5557C" w:rsidRPr="00E5557C">
              <w:rPr>
                <w:color w:val="0070C0"/>
              </w:rPr>
              <w:t>the CAISO anticipates it could support sharing GHG resource specific information with WREGIS</w:t>
            </w:r>
            <w:r w:rsidR="008610EA">
              <w:rPr>
                <w:color w:val="0070C0"/>
              </w:rPr>
              <w:t>.</w:t>
            </w:r>
            <w:r>
              <w:rPr>
                <w:color w:val="0070C0"/>
              </w:rPr>
              <w:t xml:space="preserve"> The CAISO also supports the concept of WREGIS moving to all generation tracking system, subject to approval by states and programs. </w:t>
            </w:r>
          </w:p>
          <w:p w:rsidR="00EF2196" w:rsidRPr="008D0C83" w:rsidRDefault="00166048" w:rsidP="00166048">
            <w:pPr>
              <w:pStyle w:val="ListParagraph"/>
              <w:numPr>
                <w:ilvl w:val="0"/>
                <w:numId w:val="2"/>
              </w:numPr>
            </w:pPr>
            <w:r w:rsidRPr="008D0C83">
              <w:t>How would energy be identified/tracked or tagged under a specified approach? (</w:t>
            </w:r>
            <w:r w:rsidR="004E4E66" w:rsidRPr="008D0C83">
              <w:t>RH</w:t>
            </w:r>
            <w:r w:rsidRPr="008D0C83">
              <w:t xml:space="preserve">-3) </w:t>
            </w:r>
          </w:p>
          <w:p w:rsidR="00166048" w:rsidRPr="008A70D9" w:rsidRDefault="00E5557C" w:rsidP="00EF2196">
            <w:pPr>
              <w:pStyle w:val="ListParagraph"/>
              <w:numPr>
                <w:ilvl w:val="1"/>
                <w:numId w:val="2"/>
              </w:numPr>
            </w:pPr>
            <w:r>
              <w:rPr>
                <w:color w:val="FF0000"/>
              </w:rPr>
              <w:t xml:space="preserve"> </w:t>
            </w:r>
            <w:r w:rsidRPr="00E5557C">
              <w:rPr>
                <w:color w:val="0070C0"/>
              </w:rPr>
              <w:t xml:space="preserve">When </w:t>
            </w:r>
            <w:r w:rsidR="008610EA">
              <w:rPr>
                <w:color w:val="0070C0"/>
              </w:rPr>
              <w:t>the CAISO</w:t>
            </w:r>
            <w:r w:rsidRPr="00E5557C">
              <w:rPr>
                <w:color w:val="0070C0"/>
              </w:rPr>
              <w:t xml:space="preserve"> move</w:t>
            </w:r>
            <w:r w:rsidR="008610EA">
              <w:rPr>
                <w:color w:val="0070C0"/>
              </w:rPr>
              <w:t>s to utilizing a</w:t>
            </w:r>
            <w:r w:rsidRPr="00E5557C">
              <w:rPr>
                <w:color w:val="0070C0"/>
              </w:rPr>
              <w:t xml:space="preserve"> GHG Regulation Area instead of </w:t>
            </w:r>
            <w:r w:rsidR="008610EA">
              <w:rPr>
                <w:color w:val="0070C0"/>
              </w:rPr>
              <w:t>a</w:t>
            </w:r>
            <w:r w:rsidRPr="00E5557C">
              <w:rPr>
                <w:color w:val="0070C0"/>
              </w:rPr>
              <w:t xml:space="preserve"> BAA</w:t>
            </w:r>
            <w:r w:rsidR="008610EA">
              <w:rPr>
                <w:color w:val="0070C0"/>
              </w:rPr>
              <w:t xml:space="preserve"> construct</w:t>
            </w:r>
            <w:r w:rsidRPr="00E5557C">
              <w:rPr>
                <w:color w:val="0070C0"/>
              </w:rPr>
              <w:t xml:space="preserve">, </w:t>
            </w:r>
            <w:r w:rsidR="008610EA">
              <w:rPr>
                <w:color w:val="0070C0"/>
              </w:rPr>
              <w:t>the CAISO w</w:t>
            </w:r>
            <w:r w:rsidRPr="00E5557C">
              <w:rPr>
                <w:color w:val="0070C0"/>
              </w:rPr>
              <w:t xml:space="preserve">ill use the GHG </w:t>
            </w:r>
            <w:r w:rsidR="008610EA">
              <w:rPr>
                <w:color w:val="0070C0"/>
              </w:rPr>
              <w:t>Regulation A</w:t>
            </w:r>
            <w:r w:rsidRPr="00E5557C">
              <w:rPr>
                <w:color w:val="0070C0"/>
              </w:rPr>
              <w:t xml:space="preserve">rea and GHG transfer for attribution. The GHG transfer </w:t>
            </w:r>
            <w:r w:rsidR="008811A6">
              <w:rPr>
                <w:color w:val="0070C0"/>
              </w:rPr>
              <w:t>is similar to the BAA transfer, but it applies to the GHG Regulation Area instead.</w:t>
            </w:r>
            <w:r w:rsidRPr="00E5557C">
              <w:rPr>
                <w:color w:val="0070C0"/>
              </w:rPr>
              <w:t xml:space="preserve"> There </w:t>
            </w:r>
            <w:r w:rsidR="00F32135">
              <w:rPr>
                <w:color w:val="0070C0"/>
              </w:rPr>
              <w:t>is no</w:t>
            </w:r>
            <w:r w:rsidRPr="00E5557C">
              <w:rPr>
                <w:color w:val="0070C0"/>
              </w:rPr>
              <w:t xml:space="preserve"> issue from a modeling </w:t>
            </w:r>
            <w:r w:rsidR="00F32135">
              <w:rPr>
                <w:color w:val="0070C0"/>
              </w:rPr>
              <w:t>or</w:t>
            </w:r>
            <w:r w:rsidRPr="00E5557C">
              <w:rPr>
                <w:color w:val="0070C0"/>
              </w:rPr>
              <w:t xml:space="preserve"> reporting perspective.</w:t>
            </w:r>
            <w:r w:rsidR="00B73101">
              <w:rPr>
                <w:color w:val="0070C0"/>
              </w:rPr>
              <w:t xml:space="preserve"> </w:t>
            </w:r>
            <w:r w:rsidRPr="00E5557C">
              <w:rPr>
                <w:color w:val="0070C0"/>
              </w:rPr>
              <w:t xml:space="preserve">E-tags </w:t>
            </w:r>
            <w:r w:rsidR="00F32135">
              <w:rPr>
                <w:color w:val="0070C0"/>
              </w:rPr>
              <w:t>will</w:t>
            </w:r>
            <w:r w:rsidRPr="00E5557C">
              <w:rPr>
                <w:color w:val="0070C0"/>
              </w:rPr>
              <w:t xml:space="preserve"> not </w:t>
            </w:r>
            <w:r w:rsidR="00F32135">
              <w:rPr>
                <w:color w:val="0070C0"/>
              </w:rPr>
              <w:t xml:space="preserve">be </w:t>
            </w:r>
            <w:r w:rsidRPr="00E5557C">
              <w:rPr>
                <w:color w:val="0070C0"/>
              </w:rPr>
              <w:t>used to account for GHG</w:t>
            </w:r>
            <w:r w:rsidR="00F32135">
              <w:rPr>
                <w:color w:val="0070C0"/>
              </w:rPr>
              <w:t xml:space="preserve"> attribution</w:t>
            </w:r>
            <w:r w:rsidRPr="00E5557C">
              <w:rPr>
                <w:color w:val="0070C0"/>
              </w:rPr>
              <w:t xml:space="preserve">s. Any GHG attribution is reported by the </w:t>
            </w:r>
            <w:r w:rsidR="00EF2196">
              <w:rPr>
                <w:color w:val="0070C0"/>
              </w:rPr>
              <w:t xml:space="preserve">MO and the SC. </w:t>
            </w:r>
          </w:p>
          <w:p w:rsidR="00166048" w:rsidRPr="00A00DE8" w:rsidRDefault="00166048" w:rsidP="00A00DE8">
            <w:pPr>
              <w:rPr>
                <w:color w:val="FF0000"/>
              </w:rPr>
            </w:pPr>
          </w:p>
        </w:tc>
      </w:tr>
      <w:tr w:rsidR="00166048" w:rsidRPr="00B404FF" w:rsidTr="00E40A10">
        <w:trPr>
          <w:jc w:val="center"/>
        </w:trPr>
        <w:tc>
          <w:tcPr>
            <w:tcW w:w="1523" w:type="dxa"/>
            <w:gridSpan w:val="2"/>
          </w:tcPr>
          <w:p w:rsidR="00166048" w:rsidRPr="00B404FF" w:rsidRDefault="00166048" w:rsidP="00166048">
            <w:pPr>
              <w:rPr>
                <w:b/>
              </w:rPr>
            </w:pPr>
            <w:r w:rsidRPr="00B404FF">
              <w:rPr>
                <w:b/>
              </w:rPr>
              <w:t xml:space="preserve">Settlements </w:t>
            </w:r>
          </w:p>
          <w:p w:rsidR="00166048" w:rsidRPr="00B404FF" w:rsidRDefault="00166048" w:rsidP="00166048">
            <w:pPr>
              <w:rPr>
                <w:b/>
              </w:rPr>
            </w:pPr>
          </w:p>
        </w:tc>
        <w:tc>
          <w:tcPr>
            <w:tcW w:w="3329" w:type="dxa"/>
            <w:gridSpan w:val="3"/>
          </w:tcPr>
          <w:p w:rsidR="00166048" w:rsidRPr="00B404FF" w:rsidRDefault="00166048" w:rsidP="00166048">
            <w:r w:rsidRPr="00B404FF">
              <w:lastRenderedPageBreak/>
              <w:t xml:space="preserve">How are GHG costs settled? </w:t>
            </w:r>
          </w:p>
        </w:tc>
        <w:tc>
          <w:tcPr>
            <w:tcW w:w="1349" w:type="dxa"/>
          </w:tcPr>
          <w:p w:rsidR="00166048" w:rsidRDefault="000B7860" w:rsidP="00166048">
            <w:r>
              <w:t>I</w:t>
            </w:r>
          </w:p>
        </w:tc>
        <w:tc>
          <w:tcPr>
            <w:tcW w:w="11164" w:type="dxa"/>
          </w:tcPr>
          <w:p w:rsidR="00166048" w:rsidRPr="008D0C83" w:rsidRDefault="00166048" w:rsidP="00166048">
            <w:pPr>
              <w:pStyle w:val="ListParagraph"/>
              <w:numPr>
                <w:ilvl w:val="0"/>
                <w:numId w:val="2"/>
              </w:numPr>
              <w:rPr>
                <w:color w:val="FF0000"/>
              </w:rPr>
            </w:pPr>
            <w:r w:rsidRPr="008D0C83">
              <w:t xml:space="preserve">What implications of GHG settlement must be incorporated into EDAM design? </w:t>
            </w:r>
          </w:p>
          <w:p w:rsidR="00D45840" w:rsidRPr="00D45840" w:rsidRDefault="00D45840" w:rsidP="00D45840">
            <w:pPr>
              <w:rPr>
                <w:color w:val="0070C0"/>
              </w:rPr>
            </w:pPr>
            <w:r w:rsidRPr="00D45840">
              <w:rPr>
                <w:color w:val="0070C0"/>
              </w:rPr>
              <w:lastRenderedPageBreak/>
              <w:t xml:space="preserve">GHG </w:t>
            </w:r>
            <w:r w:rsidR="008610EA">
              <w:rPr>
                <w:color w:val="0070C0"/>
              </w:rPr>
              <w:t>c</w:t>
            </w:r>
            <w:r w:rsidRPr="00D45840">
              <w:rPr>
                <w:color w:val="0070C0"/>
              </w:rPr>
              <w:t>osts are settled based on the GHG Day Ahead GHG attribution settlement followed by an incremental GHG attribution settlement f</w:t>
            </w:r>
            <w:r w:rsidR="00E5557C">
              <w:rPr>
                <w:color w:val="0070C0"/>
              </w:rPr>
              <w:t xml:space="preserve">or any deviation in FMM and RTD. </w:t>
            </w:r>
          </w:p>
          <w:p w:rsidR="00D45840" w:rsidRPr="00D45840" w:rsidRDefault="00D45840" w:rsidP="00D45840">
            <w:pPr>
              <w:rPr>
                <w:color w:val="FF0000"/>
              </w:rPr>
            </w:pPr>
          </w:p>
          <w:p w:rsidR="00166048" w:rsidRPr="008D0C83" w:rsidRDefault="00166048" w:rsidP="00166048">
            <w:pPr>
              <w:pStyle w:val="ListParagraph"/>
              <w:numPr>
                <w:ilvl w:val="0"/>
                <w:numId w:val="2"/>
              </w:numPr>
            </w:pPr>
            <w:r w:rsidRPr="008D0C83">
              <w:t>Will entities bearing GHG compliance obligations be made whole for purchasing credits? If so, how?</w:t>
            </w:r>
            <w:r w:rsidR="004E4E66" w:rsidRPr="008D0C83">
              <w:t xml:space="preserve"> (RI</w:t>
            </w:r>
            <w:r w:rsidRPr="008D0C83">
              <w:t>-1)</w:t>
            </w:r>
          </w:p>
          <w:p w:rsidR="00D45840" w:rsidRPr="00D45840" w:rsidRDefault="00D45840" w:rsidP="00D45840">
            <w:pPr>
              <w:rPr>
                <w:color w:val="0070C0"/>
              </w:rPr>
            </w:pPr>
            <w:r w:rsidRPr="00D45840">
              <w:rPr>
                <w:color w:val="0070C0"/>
              </w:rPr>
              <w:t xml:space="preserve">Entities will be compensated for their GHG allocations. Generators outside of a GHG </w:t>
            </w:r>
            <w:r w:rsidR="008610EA" w:rsidRPr="00D45840">
              <w:rPr>
                <w:color w:val="0070C0"/>
              </w:rPr>
              <w:t xml:space="preserve">Regulation </w:t>
            </w:r>
            <w:r w:rsidRPr="00D45840">
              <w:rPr>
                <w:color w:val="0070C0"/>
              </w:rPr>
              <w:t>Area with a GHG bid will be compensated based on the marginal cost difference between serving load in a GHG Regulation Area and serving load outside of the GHG Regulation Area.</w:t>
            </w:r>
          </w:p>
          <w:p w:rsidR="00D45840" w:rsidRPr="00D45840" w:rsidRDefault="00D45840" w:rsidP="00D45840">
            <w:pPr>
              <w:rPr>
                <w:color w:val="FF0000"/>
              </w:rPr>
            </w:pPr>
          </w:p>
          <w:p w:rsidR="00166048" w:rsidRPr="0037023E" w:rsidRDefault="00166048" w:rsidP="00166048">
            <w:pPr>
              <w:pStyle w:val="ListParagraph"/>
              <w:numPr>
                <w:ilvl w:val="0"/>
                <w:numId w:val="2"/>
              </w:numPr>
              <w:rPr>
                <w:strike/>
                <w:color w:val="FF0000"/>
              </w:rPr>
            </w:pPr>
            <w:r w:rsidRPr="008D0C83">
              <w:t>In the unspecified approach, how will the hurdle rate revenue be distributed to the suppliers? (</w:t>
            </w:r>
            <w:r w:rsidR="004E4E66" w:rsidRPr="008D0C83">
              <w:t>UI</w:t>
            </w:r>
            <w:r w:rsidRPr="008D0C83">
              <w:t xml:space="preserve">-1, </w:t>
            </w:r>
            <w:r w:rsidR="004E4E66" w:rsidRPr="008D0C83">
              <w:t>UI</w:t>
            </w:r>
            <w:r w:rsidRPr="008D0C83">
              <w:t>-3)</w:t>
            </w:r>
          </w:p>
        </w:tc>
      </w:tr>
      <w:tr w:rsidR="00166048" w:rsidRPr="00B404FF" w:rsidTr="00E40A10">
        <w:trPr>
          <w:jc w:val="center"/>
        </w:trPr>
        <w:tc>
          <w:tcPr>
            <w:tcW w:w="17365" w:type="dxa"/>
            <w:gridSpan w:val="7"/>
            <w:shd w:val="clear" w:color="auto" w:fill="BDD6EE" w:themeFill="accent1" w:themeFillTint="66"/>
          </w:tcPr>
          <w:p w:rsidR="00166048" w:rsidRPr="00166048" w:rsidRDefault="00C25DE0" w:rsidP="00166048">
            <w:pPr>
              <w:rPr>
                <w:sz w:val="28"/>
                <w:szCs w:val="28"/>
              </w:rPr>
            </w:pPr>
            <w:r>
              <w:rPr>
                <w:b/>
                <w:sz w:val="28"/>
                <w:szCs w:val="28"/>
              </w:rPr>
              <w:lastRenderedPageBreak/>
              <w:t>5</w:t>
            </w:r>
            <w:r w:rsidR="00166048" w:rsidRPr="00166048">
              <w:rPr>
                <w:b/>
                <w:sz w:val="28"/>
                <w:szCs w:val="28"/>
              </w:rPr>
              <w:t>) Miscellaneous</w:t>
            </w:r>
          </w:p>
        </w:tc>
      </w:tr>
      <w:tr w:rsidR="00166048" w:rsidRPr="00B404FF" w:rsidTr="00E40A10">
        <w:trPr>
          <w:jc w:val="center"/>
        </w:trPr>
        <w:tc>
          <w:tcPr>
            <w:tcW w:w="1523" w:type="dxa"/>
            <w:gridSpan w:val="2"/>
          </w:tcPr>
          <w:p w:rsidR="00166048" w:rsidRPr="00B404FF" w:rsidRDefault="00166048" w:rsidP="00166048">
            <w:pPr>
              <w:rPr>
                <w:b/>
                <w:color w:val="FF0000"/>
              </w:rPr>
            </w:pPr>
            <w:r>
              <w:rPr>
                <w:b/>
              </w:rPr>
              <w:t>Bidding of GHG costs</w:t>
            </w:r>
          </w:p>
        </w:tc>
        <w:tc>
          <w:tcPr>
            <w:tcW w:w="3329" w:type="dxa"/>
            <w:gridSpan w:val="3"/>
          </w:tcPr>
          <w:p w:rsidR="00166048" w:rsidRPr="00B404FF" w:rsidRDefault="00166048" w:rsidP="00166048">
            <w:r w:rsidRPr="00B404FF">
              <w:t xml:space="preserve">How will GHG costs be reflected to EDAM within, between, and outside a GHG zone? </w:t>
            </w:r>
          </w:p>
        </w:tc>
        <w:tc>
          <w:tcPr>
            <w:tcW w:w="1349" w:type="dxa"/>
          </w:tcPr>
          <w:p w:rsidR="00166048" w:rsidRDefault="00166048" w:rsidP="00166048"/>
        </w:tc>
        <w:tc>
          <w:tcPr>
            <w:tcW w:w="11164" w:type="dxa"/>
          </w:tcPr>
          <w:p w:rsidR="00166048" w:rsidRPr="00B404FF" w:rsidRDefault="00166048" w:rsidP="00166048">
            <w:r w:rsidRPr="00B404FF">
              <w:t xml:space="preserve">Topics: </w:t>
            </w:r>
          </w:p>
          <w:p w:rsidR="00166048" w:rsidRPr="00D45840" w:rsidRDefault="00166048" w:rsidP="00166048">
            <w:pPr>
              <w:pStyle w:val="ListParagraph"/>
              <w:numPr>
                <w:ilvl w:val="0"/>
                <w:numId w:val="2"/>
              </w:numPr>
            </w:pPr>
            <w:r>
              <w:t>S</w:t>
            </w:r>
            <w:r w:rsidRPr="00B404FF">
              <w:t>hould GHG costs be reflected</w:t>
            </w:r>
            <w:r>
              <w:t xml:space="preserve"> </w:t>
            </w:r>
            <w:r w:rsidRPr="008D0C83">
              <w:t>in bids</w:t>
            </w:r>
            <w:r w:rsidRPr="00B404FF">
              <w:t xml:space="preserve">? </w:t>
            </w:r>
            <w:r w:rsidRPr="00D45840">
              <w:rPr>
                <w:color w:val="0070C0"/>
              </w:rPr>
              <w:t>If so, how?</w:t>
            </w:r>
            <w:r w:rsidR="00D45840" w:rsidRPr="00D45840">
              <w:rPr>
                <w:color w:val="0070C0"/>
              </w:rPr>
              <w:t xml:space="preserve"> GHG costs are reflected passed on the </w:t>
            </w:r>
            <w:r w:rsidR="00D45840">
              <w:rPr>
                <w:color w:val="0070C0"/>
              </w:rPr>
              <w:t xml:space="preserve">price and quantity offered: </w:t>
            </w:r>
          </w:p>
          <w:p w:rsidR="00D45840" w:rsidRPr="00D45840" w:rsidRDefault="00D45840" w:rsidP="00D45840">
            <w:pPr>
              <w:numPr>
                <w:ilvl w:val="1"/>
                <w:numId w:val="2"/>
              </w:numPr>
              <w:rPr>
                <w:color w:val="0070C0"/>
              </w:rPr>
            </w:pPr>
            <w:r w:rsidRPr="00D45840">
              <w:rPr>
                <w:color w:val="0070C0"/>
              </w:rPr>
              <w:t>Quantity: MW</w:t>
            </w:r>
          </w:p>
          <w:p w:rsidR="00D45840" w:rsidRPr="00D45840" w:rsidRDefault="00D45840" w:rsidP="00D45840">
            <w:pPr>
              <w:numPr>
                <w:ilvl w:val="1"/>
                <w:numId w:val="2"/>
              </w:numPr>
              <w:rPr>
                <w:color w:val="0070C0"/>
              </w:rPr>
            </w:pPr>
            <w:r w:rsidRPr="00D45840">
              <w:rPr>
                <w:color w:val="0070C0"/>
              </w:rPr>
              <w:t xml:space="preserve">Price: $/MWh </w:t>
            </w:r>
          </w:p>
          <w:p w:rsidR="00D45840" w:rsidRPr="00E40A10" w:rsidRDefault="00D45840" w:rsidP="00E40A10">
            <w:pPr>
              <w:numPr>
                <w:ilvl w:val="1"/>
                <w:numId w:val="2"/>
              </w:numPr>
              <w:rPr>
                <w:color w:val="0070C0"/>
              </w:rPr>
            </w:pPr>
            <w:r w:rsidRPr="00D45840">
              <w:rPr>
                <w:color w:val="0070C0"/>
              </w:rPr>
              <w:t>Frequency: Hourly basis</w:t>
            </w:r>
          </w:p>
          <w:p w:rsidR="00D45840" w:rsidRPr="008D0C83" w:rsidRDefault="00327AC5" w:rsidP="00166048">
            <w:pPr>
              <w:pStyle w:val="ListParagraph"/>
              <w:numPr>
                <w:ilvl w:val="0"/>
                <w:numId w:val="2"/>
              </w:numPr>
            </w:pPr>
            <w:r w:rsidRPr="008D0C83">
              <w:t>How do</w:t>
            </w:r>
            <w:r w:rsidR="00166048" w:rsidRPr="008D0C83">
              <w:t xml:space="preserve"> </w:t>
            </w:r>
            <w:r w:rsidR="0058167D" w:rsidRPr="008D0C83">
              <w:t xml:space="preserve">cost </w:t>
            </w:r>
            <w:r w:rsidR="00166048" w:rsidRPr="008D0C83">
              <w:t xml:space="preserve">reference level (DEBs and proxy costs) </w:t>
            </w:r>
            <w:r w:rsidRPr="008D0C83">
              <w:t>reflect GHG costs</w:t>
            </w:r>
            <w:r w:rsidR="00166048" w:rsidRPr="008D0C83">
              <w:t xml:space="preserve">? </w:t>
            </w:r>
          </w:p>
          <w:p w:rsidR="00D45840" w:rsidRPr="00D45840" w:rsidRDefault="00D45840" w:rsidP="00143976">
            <w:pPr>
              <w:pStyle w:val="ListParagraph"/>
              <w:numPr>
                <w:ilvl w:val="1"/>
                <w:numId w:val="2"/>
              </w:numPr>
              <w:rPr>
                <w:color w:val="0070C0"/>
              </w:rPr>
            </w:pPr>
            <w:r w:rsidRPr="00D45840">
              <w:rPr>
                <w:color w:val="0070C0"/>
              </w:rPr>
              <w:t xml:space="preserve">Within GHG Regulation Area: Included based on prevailing GHG index price and the resource’s specific characteristics (GHG emissions rate, heat rate, etc.). </w:t>
            </w:r>
          </w:p>
          <w:p w:rsidR="00D45840" w:rsidRPr="00D45840" w:rsidRDefault="00D45840" w:rsidP="00143976">
            <w:pPr>
              <w:pStyle w:val="ListParagraph"/>
              <w:numPr>
                <w:ilvl w:val="1"/>
                <w:numId w:val="2"/>
              </w:numPr>
              <w:rPr>
                <w:color w:val="0070C0"/>
              </w:rPr>
            </w:pPr>
            <w:r w:rsidRPr="00D45840">
              <w:rPr>
                <w:color w:val="0070C0"/>
              </w:rPr>
              <w:t>External GHG Regulation Area:  Cap based on GHG index price</w:t>
            </w:r>
          </w:p>
          <w:p w:rsidR="00D45840" w:rsidRPr="008D0C83" w:rsidRDefault="00327AC5" w:rsidP="00166048">
            <w:pPr>
              <w:pStyle w:val="ListParagraph"/>
              <w:numPr>
                <w:ilvl w:val="0"/>
                <w:numId w:val="2"/>
              </w:numPr>
            </w:pPr>
            <w:r w:rsidRPr="008D0C83">
              <w:t>Do they differ between DAM and RTM?</w:t>
            </w:r>
          </w:p>
          <w:p w:rsidR="00515DB2" w:rsidRDefault="00354D11" w:rsidP="00143976">
            <w:pPr>
              <w:pStyle w:val="ListParagraph"/>
              <w:numPr>
                <w:ilvl w:val="1"/>
                <w:numId w:val="2"/>
              </w:numPr>
              <w:rPr>
                <w:color w:val="0070C0"/>
              </w:rPr>
            </w:pPr>
            <w:r>
              <w:rPr>
                <w:color w:val="0070C0"/>
              </w:rPr>
              <w:t xml:space="preserve">TBD. </w:t>
            </w:r>
            <w:r w:rsidR="00D33B1F">
              <w:rPr>
                <w:color w:val="0070C0"/>
              </w:rPr>
              <w:t xml:space="preserve"> Will depend on EDAM design and proposed i</w:t>
            </w:r>
            <w:r>
              <w:rPr>
                <w:color w:val="0070C0"/>
              </w:rPr>
              <w:t>nteractions between DA and RT</w:t>
            </w:r>
            <w:r w:rsidR="00D33B1F">
              <w:rPr>
                <w:color w:val="0070C0"/>
              </w:rPr>
              <w:t xml:space="preserve">. </w:t>
            </w:r>
          </w:p>
          <w:p w:rsidR="00D45840" w:rsidRPr="008D0C83" w:rsidRDefault="00DD63A1" w:rsidP="000B6435">
            <w:pPr>
              <w:pStyle w:val="ListParagraph"/>
              <w:numPr>
                <w:ilvl w:val="0"/>
                <w:numId w:val="2"/>
              </w:numPr>
            </w:pPr>
            <w:r w:rsidRPr="008D0C83">
              <w:t xml:space="preserve">How would this differ between WA and CA in terms of indices used? </w:t>
            </w:r>
          </w:p>
          <w:p w:rsidR="00E5557C" w:rsidRPr="00143976" w:rsidRDefault="00E5557C" w:rsidP="000B6435">
            <w:pPr>
              <w:pStyle w:val="ListParagraph"/>
              <w:numPr>
                <w:ilvl w:val="1"/>
                <w:numId w:val="2"/>
              </w:numPr>
              <w:rPr>
                <w:color w:val="0070C0"/>
              </w:rPr>
            </w:pPr>
            <w:r w:rsidRPr="00143976">
              <w:rPr>
                <w:color w:val="0070C0"/>
              </w:rPr>
              <w:t>Currently, only California index prices are</w:t>
            </w:r>
            <w:r w:rsidR="00143976" w:rsidRPr="00143976">
              <w:rPr>
                <w:color w:val="0070C0"/>
              </w:rPr>
              <w:t xml:space="preserve"> </w:t>
            </w:r>
            <w:hyperlink r:id="rId13" w:history="1">
              <w:r w:rsidR="00143976" w:rsidRPr="00143976">
                <w:rPr>
                  <w:rStyle w:val="Hyperlink"/>
                </w:rPr>
                <w:t>used in cost reference levels</w:t>
              </w:r>
            </w:hyperlink>
            <w:r w:rsidR="00143976" w:rsidRPr="00143976">
              <w:rPr>
                <w:color w:val="0070C0"/>
              </w:rPr>
              <w:t xml:space="preserve">, taking the average values sourced from at least two providers (ICE and Argus). The CAISO proposes, that when applicable, the index prices used are updated to reflect other GHG Regulatory Area prices in cost reference levels. </w:t>
            </w:r>
          </w:p>
          <w:p w:rsidR="00166048" w:rsidRPr="008D0C83" w:rsidRDefault="00166048" w:rsidP="008D0C83">
            <w:pPr>
              <w:pStyle w:val="ListParagraph"/>
            </w:pPr>
            <w:r w:rsidRPr="00B404FF">
              <w:t>And how are they used in market power mitigation?</w:t>
            </w:r>
          </w:p>
        </w:tc>
      </w:tr>
      <w:tr w:rsidR="00166048" w:rsidRPr="00B404FF" w:rsidTr="00E40A10">
        <w:trPr>
          <w:jc w:val="center"/>
        </w:trPr>
        <w:tc>
          <w:tcPr>
            <w:tcW w:w="1523" w:type="dxa"/>
            <w:gridSpan w:val="2"/>
            <w:hideMark/>
          </w:tcPr>
          <w:p w:rsidR="00166048" w:rsidRPr="00B404FF" w:rsidRDefault="00166048" w:rsidP="00166048">
            <w:r w:rsidRPr="008D0C83">
              <w:rPr>
                <w:b/>
              </w:rPr>
              <w:t xml:space="preserve">Effects of </w:t>
            </w:r>
            <w:r w:rsidR="00F5125D" w:rsidRPr="008D0C83">
              <w:rPr>
                <w:b/>
              </w:rPr>
              <w:t>W</w:t>
            </w:r>
            <w:r w:rsidRPr="008D0C83">
              <w:rPr>
                <w:b/>
              </w:rPr>
              <w:t>EIM</w:t>
            </w:r>
          </w:p>
        </w:tc>
        <w:tc>
          <w:tcPr>
            <w:tcW w:w="3329" w:type="dxa"/>
            <w:gridSpan w:val="3"/>
          </w:tcPr>
          <w:p w:rsidR="00166048" w:rsidRPr="00B404FF" w:rsidRDefault="00166048" w:rsidP="00166048">
            <w:r w:rsidRPr="00B404FF">
              <w:t xml:space="preserve">What GHG bid and settlement implications arise from DA vs. RT deviation? </w:t>
            </w:r>
          </w:p>
        </w:tc>
        <w:tc>
          <w:tcPr>
            <w:tcW w:w="1349" w:type="dxa"/>
          </w:tcPr>
          <w:p w:rsidR="00166048" w:rsidRPr="00B404FF" w:rsidRDefault="000B7860" w:rsidP="00166048">
            <w:r>
              <w:t>I, K</w:t>
            </w:r>
          </w:p>
        </w:tc>
        <w:tc>
          <w:tcPr>
            <w:tcW w:w="11164" w:type="dxa"/>
            <w:hideMark/>
          </w:tcPr>
          <w:p w:rsidR="00166048" w:rsidRPr="008D0C83" w:rsidRDefault="00166048" w:rsidP="00166048">
            <w:pPr>
              <w:pStyle w:val="ListParagraph"/>
              <w:numPr>
                <w:ilvl w:val="0"/>
                <w:numId w:val="2"/>
              </w:numPr>
            </w:pPr>
            <w:r w:rsidRPr="008D0C83">
              <w:t xml:space="preserve">Do we need to make updates to the RTM </w:t>
            </w:r>
            <w:r w:rsidR="00F5125D" w:rsidRPr="008D0C83">
              <w:t>W</w:t>
            </w:r>
            <w:r w:rsidRPr="008D0C83">
              <w:t>EIM GHG model to align it with EDAM?</w:t>
            </w:r>
            <w:r w:rsidR="004E4E66" w:rsidRPr="008D0C83">
              <w:t xml:space="preserve"> (U</w:t>
            </w:r>
            <w:r w:rsidRPr="008D0C83">
              <w:t>K-1) If not, what are the im</w:t>
            </w:r>
            <w:r w:rsidR="004E4E66" w:rsidRPr="008D0C83">
              <w:t>plication of this decision? (U</w:t>
            </w:r>
            <w:r w:rsidRPr="008D0C83">
              <w:t>K-2)</w:t>
            </w:r>
          </w:p>
          <w:p w:rsidR="003C024B" w:rsidRDefault="003C024B" w:rsidP="003C024B">
            <w:pPr>
              <w:pStyle w:val="ListParagraph"/>
              <w:numPr>
                <w:ilvl w:val="1"/>
                <w:numId w:val="2"/>
              </w:numPr>
              <w:rPr>
                <w:color w:val="0070C0"/>
              </w:rPr>
            </w:pPr>
            <w:r w:rsidRPr="003C024B">
              <w:rPr>
                <w:color w:val="0070C0"/>
              </w:rPr>
              <w:t>Yes</w:t>
            </w:r>
            <w:r w:rsidR="0083551C">
              <w:rPr>
                <w:color w:val="0070C0"/>
              </w:rPr>
              <w:t xml:space="preserve">. The CAISO anticipates that to maintain alignment with EDAM, the following two changes will be needed to the WEIM: </w:t>
            </w:r>
            <w:r w:rsidR="002917F4">
              <w:rPr>
                <w:color w:val="0070C0"/>
              </w:rPr>
              <w:t>1.) Updating the area</w:t>
            </w:r>
            <w:r w:rsidRPr="003C024B">
              <w:rPr>
                <w:color w:val="0070C0"/>
              </w:rPr>
              <w:t xml:space="preserve"> from the BAA to the “GHG Regulation Area” 2.) Limiting GHG attribution to </w:t>
            </w:r>
            <w:r w:rsidR="00D33B1F">
              <w:rPr>
                <w:color w:val="0070C0"/>
              </w:rPr>
              <w:t>the EDAM BAA net export t</w:t>
            </w:r>
            <w:r w:rsidR="00D33B1F" w:rsidRPr="00D45840">
              <w:rPr>
                <w:color w:val="0070C0"/>
              </w:rPr>
              <w:t xml:space="preserve">ransfer </w:t>
            </w:r>
            <w:r w:rsidR="00D33B1F">
              <w:rPr>
                <w:color w:val="0070C0"/>
              </w:rPr>
              <w:t>sche</w:t>
            </w:r>
            <w:r w:rsidR="00337E30">
              <w:rPr>
                <w:color w:val="0070C0"/>
              </w:rPr>
              <w:t>dule.</w:t>
            </w:r>
          </w:p>
          <w:p w:rsidR="00C8490A" w:rsidRDefault="00C8490A" w:rsidP="003C024B">
            <w:pPr>
              <w:pStyle w:val="ListParagraph"/>
              <w:numPr>
                <w:ilvl w:val="1"/>
                <w:numId w:val="2"/>
              </w:numPr>
              <w:rPr>
                <w:color w:val="0070C0"/>
              </w:rPr>
            </w:pPr>
            <w:r>
              <w:rPr>
                <w:color w:val="0070C0"/>
              </w:rPr>
              <w:lastRenderedPageBreak/>
              <w:t>The RSE optimization model w</w:t>
            </w:r>
            <w:r w:rsidR="00337E30">
              <w:rPr>
                <w:color w:val="0070C0"/>
              </w:rPr>
              <w:t>ill now be the new counterfactu</w:t>
            </w:r>
            <w:r>
              <w:rPr>
                <w:color w:val="0070C0"/>
              </w:rPr>
              <w:t xml:space="preserve">al to calculate secondary dispatch. While not a change to the </w:t>
            </w:r>
            <w:r w:rsidR="00F5125D">
              <w:rPr>
                <w:color w:val="0070C0"/>
              </w:rPr>
              <w:t>W</w:t>
            </w:r>
            <w:r>
              <w:rPr>
                <w:color w:val="0070C0"/>
              </w:rPr>
              <w:t>EIM, it is important to note that</w:t>
            </w:r>
            <w:r w:rsidR="00D33B1F">
              <w:rPr>
                <w:color w:val="0070C0"/>
              </w:rPr>
              <w:t xml:space="preserve"> CAISO is proposing that</w:t>
            </w:r>
            <w:r>
              <w:rPr>
                <w:color w:val="0070C0"/>
              </w:rPr>
              <w:t xml:space="preserve"> the EDAM schedule will </w:t>
            </w:r>
            <w:r w:rsidR="00F32135">
              <w:rPr>
                <w:color w:val="0070C0"/>
              </w:rPr>
              <w:t xml:space="preserve">automatically </w:t>
            </w:r>
            <w:r>
              <w:rPr>
                <w:color w:val="0070C0"/>
              </w:rPr>
              <w:t xml:space="preserve">become the </w:t>
            </w:r>
            <w:r w:rsidR="00F5125D">
              <w:rPr>
                <w:color w:val="0070C0"/>
              </w:rPr>
              <w:t>W</w:t>
            </w:r>
            <w:r>
              <w:rPr>
                <w:color w:val="0070C0"/>
              </w:rPr>
              <w:t>EIM base schedule</w:t>
            </w:r>
            <w:r w:rsidR="00F32135">
              <w:rPr>
                <w:color w:val="0070C0"/>
              </w:rPr>
              <w:t xml:space="preserve"> for an EDAM BAA</w:t>
            </w:r>
            <w:r>
              <w:rPr>
                <w:color w:val="0070C0"/>
              </w:rPr>
              <w:t xml:space="preserve">. </w:t>
            </w:r>
          </w:p>
          <w:p w:rsidR="00D33B1F" w:rsidRDefault="00166048" w:rsidP="00166048">
            <w:pPr>
              <w:pStyle w:val="ListParagraph"/>
              <w:numPr>
                <w:ilvl w:val="0"/>
                <w:numId w:val="2"/>
              </w:numPr>
            </w:pPr>
            <w:r w:rsidRPr="00B404FF">
              <w:t>What allowable changes to either GHG quantity or bid price between DA and RT should be allowed?</w:t>
            </w:r>
          </w:p>
          <w:p w:rsidR="00166048" w:rsidRPr="00D33B1F" w:rsidRDefault="00D33B1F" w:rsidP="00D33B1F">
            <w:pPr>
              <w:pStyle w:val="ListParagraph"/>
              <w:numPr>
                <w:ilvl w:val="1"/>
                <w:numId w:val="2"/>
              </w:numPr>
              <w:rPr>
                <w:color w:val="0070C0"/>
              </w:rPr>
            </w:pPr>
            <w:r>
              <w:rPr>
                <w:color w:val="0070C0"/>
              </w:rPr>
              <w:t xml:space="preserve">TBD.  Will depend on EDAM design and proposed interactions between DA and RT. </w:t>
            </w:r>
          </w:p>
          <w:p w:rsidR="00D33B1F" w:rsidRPr="00B404FF" w:rsidRDefault="00166048" w:rsidP="00E40A10">
            <w:pPr>
              <w:pStyle w:val="ListParagraph"/>
              <w:numPr>
                <w:ilvl w:val="0"/>
                <w:numId w:val="2"/>
              </w:numPr>
            </w:pPr>
            <w:r w:rsidRPr="00B404FF">
              <w:t xml:space="preserve">What are the associated settlement impacts </w:t>
            </w:r>
            <w:r w:rsidRPr="008D0C83">
              <w:t>to any variation allowed? (</w:t>
            </w:r>
            <w:r w:rsidR="004E4E66" w:rsidRPr="008D0C83">
              <w:t>UI</w:t>
            </w:r>
            <w:r w:rsidRPr="008D0C83">
              <w:t>-2)</w:t>
            </w:r>
          </w:p>
        </w:tc>
      </w:tr>
    </w:tbl>
    <w:p w:rsidR="004251EC" w:rsidRPr="009264AC" w:rsidRDefault="004251EC" w:rsidP="00E40A10">
      <w:pPr>
        <w:tabs>
          <w:tab w:val="left" w:pos="7718"/>
        </w:tabs>
      </w:pPr>
    </w:p>
    <w:sectPr w:rsidR="004251EC" w:rsidRPr="009264AC" w:rsidSect="000E23A2">
      <w:headerReference w:type="default" r:id="rId14"/>
      <w:footerReference w:type="default" r:id="rId1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83" w:rsidRDefault="008D0C83" w:rsidP="00424779">
      <w:pPr>
        <w:spacing w:after="0" w:line="240" w:lineRule="auto"/>
      </w:pPr>
      <w:r>
        <w:separator/>
      </w:r>
    </w:p>
  </w:endnote>
  <w:endnote w:type="continuationSeparator" w:id="0">
    <w:p w:rsidR="008D0C83" w:rsidRDefault="008D0C83" w:rsidP="00424779">
      <w:pPr>
        <w:spacing w:after="0" w:line="240" w:lineRule="auto"/>
      </w:pPr>
      <w:r>
        <w:continuationSeparator/>
      </w:r>
    </w:p>
  </w:endnote>
  <w:endnote w:type="continuationNotice" w:id="1">
    <w:p w:rsidR="008D0C83" w:rsidRDefault="008D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83" w:rsidRDefault="008D0C83">
    <w:pPr>
      <w:pStyle w:val="Footer"/>
    </w:pPr>
    <w:r>
      <w:t xml:space="preserve">Updated: </w:t>
    </w:r>
    <w:r w:rsidR="004C54DD">
      <w:t>03/03</w:t>
    </w:r>
    <w:r>
      <w:t>/2022</w:t>
    </w:r>
    <w:r>
      <w:tab/>
    </w:r>
    <w:r>
      <w:tab/>
      <w:t>CAISO PUBLIC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83" w:rsidRDefault="008D0C83" w:rsidP="00424779">
      <w:pPr>
        <w:spacing w:after="0" w:line="240" w:lineRule="auto"/>
      </w:pPr>
      <w:r>
        <w:separator/>
      </w:r>
    </w:p>
  </w:footnote>
  <w:footnote w:type="continuationSeparator" w:id="0">
    <w:p w:rsidR="008D0C83" w:rsidRDefault="008D0C83" w:rsidP="00424779">
      <w:pPr>
        <w:spacing w:after="0" w:line="240" w:lineRule="auto"/>
      </w:pPr>
      <w:r>
        <w:continuationSeparator/>
      </w:r>
    </w:p>
  </w:footnote>
  <w:footnote w:type="continuationNotice" w:id="1">
    <w:p w:rsidR="008D0C83" w:rsidRDefault="008D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83" w:rsidRPr="003C45E3" w:rsidRDefault="008D0C83" w:rsidP="00F37C0E">
    <w:pPr>
      <w:spacing w:after="0"/>
      <w:jc w:val="right"/>
    </w:pPr>
    <w:r>
      <w:rPr>
        <w:noProof/>
      </w:rPr>
      <w:drawing>
        <wp:anchor distT="0" distB="0" distL="114300" distR="114300" simplePos="0" relativeHeight="251658240" behindDoc="1" locked="0" layoutInCell="1" allowOverlap="1" wp14:anchorId="482B9C1F" wp14:editId="25741EF8">
          <wp:simplePos x="0" y="0"/>
          <wp:positionH relativeFrom="margin">
            <wp:align>left</wp:align>
          </wp:positionH>
          <wp:positionV relativeFrom="paragraph">
            <wp:posOffset>8965</wp:posOffset>
          </wp:positionV>
          <wp:extent cx="2057400" cy="384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Logo-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84048"/>
                  </a:xfrm>
                  <a:prstGeom prst="rect">
                    <a:avLst/>
                  </a:prstGeom>
                </pic:spPr>
              </pic:pic>
            </a:graphicData>
          </a:graphic>
        </wp:anchor>
      </w:drawing>
    </w:r>
    <w:r>
      <w:t xml:space="preserve"> </w:t>
    </w:r>
    <w:r>
      <w:tab/>
    </w:r>
    <w:r>
      <w:tab/>
    </w:r>
    <w:r>
      <w:tab/>
    </w:r>
    <w:r>
      <w:tab/>
    </w:r>
    <w:r w:rsidRPr="003C45E3">
      <w:t>EDAM W</w:t>
    </w:r>
    <w:r>
      <w:t>G</w:t>
    </w:r>
    <w:r w:rsidRPr="003C45E3">
      <w:t xml:space="preserve"> 3: G</w:t>
    </w:r>
    <w:r>
      <w:t>HG Acc</w:t>
    </w:r>
    <w:r w:rsidRPr="003C45E3">
      <w:t>ounting and Costs</w:t>
    </w:r>
  </w:p>
  <w:p w:rsidR="008D0C83" w:rsidRPr="00F63EA9" w:rsidRDefault="008D0C83" w:rsidP="00F37C0E">
    <w:pPr>
      <w:pStyle w:val="Header"/>
      <w:jc w:val="right"/>
    </w:pPr>
    <w:r>
      <w:tab/>
    </w:r>
    <w:r>
      <w:tab/>
      <w:t xml:space="preserve">Working Group Scope </w:t>
    </w:r>
    <w:r w:rsidR="004C54DD">
      <w:t>– Resource Specific Approach</w:t>
    </w:r>
  </w:p>
  <w:p w:rsidR="008D0C83" w:rsidRPr="003C45E3" w:rsidRDefault="008D0C83" w:rsidP="003C45E3">
    <w:pPr>
      <w:spacing w:after="0"/>
    </w:pPr>
  </w:p>
  <w:p w:rsidR="008D0C83" w:rsidRPr="00F63EA9" w:rsidRDefault="008D0C83" w:rsidP="00F6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1C7"/>
    <w:multiLevelType w:val="hybridMultilevel"/>
    <w:tmpl w:val="6D64EFC2"/>
    <w:lvl w:ilvl="0" w:tplc="A96E7A4C">
      <w:start w:val="1"/>
      <w:numFmt w:val="bullet"/>
      <w:lvlText w:val=""/>
      <w:lvlJc w:val="left"/>
      <w:pPr>
        <w:tabs>
          <w:tab w:val="num" w:pos="720"/>
        </w:tabs>
        <w:ind w:left="720" w:hanging="360"/>
      </w:pPr>
      <w:rPr>
        <w:rFonts w:ascii="Wingdings" w:hAnsi="Wingdings" w:hint="default"/>
      </w:rPr>
    </w:lvl>
    <w:lvl w:ilvl="1" w:tplc="2D92BFD4">
      <w:start w:val="78"/>
      <w:numFmt w:val="bullet"/>
      <w:lvlText w:val=""/>
      <w:lvlJc w:val="left"/>
      <w:pPr>
        <w:tabs>
          <w:tab w:val="num" w:pos="1440"/>
        </w:tabs>
        <w:ind w:left="1440" w:hanging="360"/>
      </w:pPr>
      <w:rPr>
        <w:rFonts w:ascii="Wingdings" w:hAnsi="Wingdings" w:hint="default"/>
      </w:rPr>
    </w:lvl>
    <w:lvl w:ilvl="2" w:tplc="9BD848FC">
      <w:start w:val="78"/>
      <w:numFmt w:val="bullet"/>
      <w:lvlText w:val=""/>
      <w:lvlJc w:val="left"/>
      <w:pPr>
        <w:tabs>
          <w:tab w:val="num" w:pos="2160"/>
        </w:tabs>
        <w:ind w:left="2160" w:hanging="360"/>
      </w:pPr>
      <w:rPr>
        <w:rFonts w:ascii="Wingdings" w:hAnsi="Wingdings" w:hint="default"/>
      </w:rPr>
    </w:lvl>
    <w:lvl w:ilvl="3" w:tplc="7760FD54">
      <w:start w:val="78"/>
      <w:numFmt w:val="bullet"/>
      <w:lvlText w:val=""/>
      <w:lvlJc w:val="left"/>
      <w:pPr>
        <w:tabs>
          <w:tab w:val="num" w:pos="2880"/>
        </w:tabs>
        <w:ind w:left="2880" w:hanging="360"/>
      </w:pPr>
      <w:rPr>
        <w:rFonts w:ascii="Wingdings" w:hAnsi="Wingdings" w:hint="default"/>
      </w:rPr>
    </w:lvl>
    <w:lvl w:ilvl="4" w:tplc="4C0C0116" w:tentative="1">
      <w:start w:val="1"/>
      <w:numFmt w:val="bullet"/>
      <w:lvlText w:val=""/>
      <w:lvlJc w:val="left"/>
      <w:pPr>
        <w:tabs>
          <w:tab w:val="num" w:pos="3600"/>
        </w:tabs>
        <w:ind w:left="3600" w:hanging="360"/>
      </w:pPr>
      <w:rPr>
        <w:rFonts w:ascii="Wingdings" w:hAnsi="Wingdings" w:hint="default"/>
      </w:rPr>
    </w:lvl>
    <w:lvl w:ilvl="5" w:tplc="170CA1AC" w:tentative="1">
      <w:start w:val="1"/>
      <w:numFmt w:val="bullet"/>
      <w:lvlText w:val=""/>
      <w:lvlJc w:val="left"/>
      <w:pPr>
        <w:tabs>
          <w:tab w:val="num" w:pos="4320"/>
        </w:tabs>
        <w:ind w:left="4320" w:hanging="360"/>
      </w:pPr>
      <w:rPr>
        <w:rFonts w:ascii="Wingdings" w:hAnsi="Wingdings" w:hint="default"/>
      </w:rPr>
    </w:lvl>
    <w:lvl w:ilvl="6" w:tplc="F63C0044" w:tentative="1">
      <w:start w:val="1"/>
      <w:numFmt w:val="bullet"/>
      <w:lvlText w:val=""/>
      <w:lvlJc w:val="left"/>
      <w:pPr>
        <w:tabs>
          <w:tab w:val="num" w:pos="5040"/>
        </w:tabs>
        <w:ind w:left="5040" w:hanging="360"/>
      </w:pPr>
      <w:rPr>
        <w:rFonts w:ascii="Wingdings" w:hAnsi="Wingdings" w:hint="default"/>
      </w:rPr>
    </w:lvl>
    <w:lvl w:ilvl="7" w:tplc="6B924280" w:tentative="1">
      <w:start w:val="1"/>
      <w:numFmt w:val="bullet"/>
      <w:lvlText w:val=""/>
      <w:lvlJc w:val="left"/>
      <w:pPr>
        <w:tabs>
          <w:tab w:val="num" w:pos="5760"/>
        </w:tabs>
        <w:ind w:left="5760" w:hanging="360"/>
      </w:pPr>
      <w:rPr>
        <w:rFonts w:ascii="Wingdings" w:hAnsi="Wingdings" w:hint="default"/>
      </w:rPr>
    </w:lvl>
    <w:lvl w:ilvl="8" w:tplc="87DED1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0396"/>
    <w:multiLevelType w:val="hybridMultilevel"/>
    <w:tmpl w:val="92EAB59E"/>
    <w:lvl w:ilvl="0" w:tplc="EA44E496">
      <w:start w:val="1"/>
      <w:numFmt w:val="bullet"/>
      <w:lvlText w:val=""/>
      <w:lvlJc w:val="left"/>
      <w:pPr>
        <w:tabs>
          <w:tab w:val="num" w:pos="720"/>
        </w:tabs>
        <w:ind w:left="720" w:hanging="360"/>
      </w:pPr>
      <w:rPr>
        <w:rFonts w:ascii="Wingdings" w:hAnsi="Wingdings" w:hint="default"/>
      </w:rPr>
    </w:lvl>
    <w:lvl w:ilvl="1" w:tplc="0FD60C3E" w:tentative="1">
      <w:start w:val="1"/>
      <w:numFmt w:val="bullet"/>
      <w:lvlText w:val=""/>
      <w:lvlJc w:val="left"/>
      <w:pPr>
        <w:tabs>
          <w:tab w:val="num" w:pos="1440"/>
        </w:tabs>
        <w:ind w:left="1440" w:hanging="360"/>
      </w:pPr>
      <w:rPr>
        <w:rFonts w:ascii="Wingdings" w:hAnsi="Wingdings" w:hint="default"/>
      </w:rPr>
    </w:lvl>
    <w:lvl w:ilvl="2" w:tplc="E5A2222C" w:tentative="1">
      <w:start w:val="1"/>
      <w:numFmt w:val="bullet"/>
      <w:lvlText w:val=""/>
      <w:lvlJc w:val="left"/>
      <w:pPr>
        <w:tabs>
          <w:tab w:val="num" w:pos="2160"/>
        </w:tabs>
        <w:ind w:left="2160" w:hanging="360"/>
      </w:pPr>
      <w:rPr>
        <w:rFonts w:ascii="Wingdings" w:hAnsi="Wingdings" w:hint="default"/>
      </w:rPr>
    </w:lvl>
    <w:lvl w:ilvl="3" w:tplc="658414B2" w:tentative="1">
      <w:start w:val="1"/>
      <w:numFmt w:val="bullet"/>
      <w:lvlText w:val=""/>
      <w:lvlJc w:val="left"/>
      <w:pPr>
        <w:tabs>
          <w:tab w:val="num" w:pos="2880"/>
        </w:tabs>
        <w:ind w:left="2880" w:hanging="360"/>
      </w:pPr>
      <w:rPr>
        <w:rFonts w:ascii="Wingdings" w:hAnsi="Wingdings" w:hint="default"/>
      </w:rPr>
    </w:lvl>
    <w:lvl w:ilvl="4" w:tplc="3FB6AA36" w:tentative="1">
      <w:start w:val="1"/>
      <w:numFmt w:val="bullet"/>
      <w:lvlText w:val=""/>
      <w:lvlJc w:val="left"/>
      <w:pPr>
        <w:tabs>
          <w:tab w:val="num" w:pos="3600"/>
        </w:tabs>
        <w:ind w:left="3600" w:hanging="360"/>
      </w:pPr>
      <w:rPr>
        <w:rFonts w:ascii="Wingdings" w:hAnsi="Wingdings" w:hint="default"/>
      </w:rPr>
    </w:lvl>
    <w:lvl w:ilvl="5" w:tplc="6204A77E" w:tentative="1">
      <w:start w:val="1"/>
      <w:numFmt w:val="bullet"/>
      <w:lvlText w:val=""/>
      <w:lvlJc w:val="left"/>
      <w:pPr>
        <w:tabs>
          <w:tab w:val="num" w:pos="4320"/>
        </w:tabs>
        <w:ind w:left="4320" w:hanging="360"/>
      </w:pPr>
      <w:rPr>
        <w:rFonts w:ascii="Wingdings" w:hAnsi="Wingdings" w:hint="default"/>
      </w:rPr>
    </w:lvl>
    <w:lvl w:ilvl="6" w:tplc="3C74A288" w:tentative="1">
      <w:start w:val="1"/>
      <w:numFmt w:val="bullet"/>
      <w:lvlText w:val=""/>
      <w:lvlJc w:val="left"/>
      <w:pPr>
        <w:tabs>
          <w:tab w:val="num" w:pos="5040"/>
        </w:tabs>
        <w:ind w:left="5040" w:hanging="360"/>
      </w:pPr>
      <w:rPr>
        <w:rFonts w:ascii="Wingdings" w:hAnsi="Wingdings" w:hint="default"/>
      </w:rPr>
    </w:lvl>
    <w:lvl w:ilvl="7" w:tplc="BFF21F32" w:tentative="1">
      <w:start w:val="1"/>
      <w:numFmt w:val="bullet"/>
      <w:lvlText w:val=""/>
      <w:lvlJc w:val="left"/>
      <w:pPr>
        <w:tabs>
          <w:tab w:val="num" w:pos="5760"/>
        </w:tabs>
        <w:ind w:left="5760" w:hanging="360"/>
      </w:pPr>
      <w:rPr>
        <w:rFonts w:ascii="Wingdings" w:hAnsi="Wingdings" w:hint="default"/>
      </w:rPr>
    </w:lvl>
    <w:lvl w:ilvl="8" w:tplc="27AEAD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F776C"/>
    <w:multiLevelType w:val="hybridMultilevel"/>
    <w:tmpl w:val="5EB49F66"/>
    <w:lvl w:ilvl="0" w:tplc="B1EC4EC2">
      <w:start w:val="1"/>
      <w:numFmt w:val="bullet"/>
      <w:lvlText w:val=""/>
      <w:lvlJc w:val="left"/>
      <w:pPr>
        <w:tabs>
          <w:tab w:val="num" w:pos="720"/>
        </w:tabs>
        <w:ind w:left="720" w:hanging="360"/>
      </w:pPr>
      <w:rPr>
        <w:rFonts w:ascii="Wingdings" w:hAnsi="Wingdings" w:hint="default"/>
      </w:rPr>
    </w:lvl>
    <w:lvl w:ilvl="1" w:tplc="E59E7536">
      <w:start w:val="78"/>
      <w:numFmt w:val="bullet"/>
      <w:lvlText w:val=""/>
      <w:lvlJc w:val="left"/>
      <w:pPr>
        <w:tabs>
          <w:tab w:val="num" w:pos="1440"/>
        </w:tabs>
        <w:ind w:left="1440" w:hanging="360"/>
      </w:pPr>
      <w:rPr>
        <w:rFonts w:ascii="Wingdings" w:hAnsi="Wingdings" w:hint="default"/>
      </w:rPr>
    </w:lvl>
    <w:lvl w:ilvl="2" w:tplc="FBBCF1A0" w:tentative="1">
      <w:start w:val="1"/>
      <w:numFmt w:val="bullet"/>
      <w:lvlText w:val=""/>
      <w:lvlJc w:val="left"/>
      <w:pPr>
        <w:tabs>
          <w:tab w:val="num" w:pos="2160"/>
        </w:tabs>
        <w:ind w:left="2160" w:hanging="360"/>
      </w:pPr>
      <w:rPr>
        <w:rFonts w:ascii="Wingdings" w:hAnsi="Wingdings" w:hint="default"/>
      </w:rPr>
    </w:lvl>
    <w:lvl w:ilvl="3" w:tplc="314EF036" w:tentative="1">
      <w:start w:val="1"/>
      <w:numFmt w:val="bullet"/>
      <w:lvlText w:val=""/>
      <w:lvlJc w:val="left"/>
      <w:pPr>
        <w:tabs>
          <w:tab w:val="num" w:pos="2880"/>
        </w:tabs>
        <w:ind w:left="2880" w:hanging="360"/>
      </w:pPr>
      <w:rPr>
        <w:rFonts w:ascii="Wingdings" w:hAnsi="Wingdings" w:hint="default"/>
      </w:rPr>
    </w:lvl>
    <w:lvl w:ilvl="4" w:tplc="E9B2E13A" w:tentative="1">
      <w:start w:val="1"/>
      <w:numFmt w:val="bullet"/>
      <w:lvlText w:val=""/>
      <w:lvlJc w:val="left"/>
      <w:pPr>
        <w:tabs>
          <w:tab w:val="num" w:pos="3600"/>
        </w:tabs>
        <w:ind w:left="3600" w:hanging="360"/>
      </w:pPr>
      <w:rPr>
        <w:rFonts w:ascii="Wingdings" w:hAnsi="Wingdings" w:hint="default"/>
      </w:rPr>
    </w:lvl>
    <w:lvl w:ilvl="5" w:tplc="2A042330" w:tentative="1">
      <w:start w:val="1"/>
      <w:numFmt w:val="bullet"/>
      <w:lvlText w:val=""/>
      <w:lvlJc w:val="left"/>
      <w:pPr>
        <w:tabs>
          <w:tab w:val="num" w:pos="4320"/>
        </w:tabs>
        <w:ind w:left="4320" w:hanging="360"/>
      </w:pPr>
      <w:rPr>
        <w:rFonts w:ascii="Wingdings" w:hAnsi="Wingdings" w:hint="default"/>
      </w:rPr>
    </w:lvl>
    <w:lvl w:ilvl="6" w:tplc="688A15DA" w:tentative="1">
      <w:start w:val="1"/>
      <w:numFmt w:val="bullet"/>
      <w:lvlText w:val=""/>
      <w:lvlJc w:val="left"/>
      <w:pPr>
        <w:tabs>
          <w:tab w:val="num" w:pos="5040"/>
        </w:tabs>
        <w:ind w:left="5040" w:hanging="360"/>
      </w:pPr>
      <w:rPr>
        <w:rFonts w:ascii="Wingdings" w:hAnsi="Wingdings" w:hint="default"/>
      </w:rPr>
    </w:lvl>
    <w:lvl w:ilvl="7" w:tplc="94448900" w:tentative="1">
      <w:start w:val="1"/>
      <w:numFmt w:val="bullet"/>
      <w:lvlText w:val=""/>
      <w:lvlJc w:val="left"/>
      <w:pPr>
        <w:tabs>
          <w:tab w:val="num" w:pos="5760"/>
        </w:tabs>
        <w:ind w:left="5760" w:hanging="360"/>
      </w:pPr>
      <w:rPr>
        <w:rFonts w:ascii="Wingdings" w:hAnsi="Wingdings" w:hint="default"/>
      </w:rPr>
    </w:lvl>
    <w:lvl w:ilvl="8" w:tplc="4DECD3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416B"/>
    <w:multiLevelType w:val="hybridMultilevel"/>
    <w:tmpl w:val="E422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C04F48"/>
    <w:multiLevelType w:val="hybridMultilevel"/>
    <w:tmpl w:val="12720548"/>
    <w:lvl w:ilvl="0" w:tplc="00F2AF5C">
      <w:start w:val="3"/>
      <w:numFmt w:val="bullet"/>
      <w:lvlText w:val="-"/>
      <w:lvlJc w:val="left"/>
      <w:pPr>
        <w:ind w:left="720" w:hanging="360"/>
      </w:pPr>
      <w:rPr>
        <w:rFonts w:ascii="Calibri" w:eastAsiaTheme="minorHAnsi" w:hAnsi="Calibri" w:cs="Calibri" w:hint="default"/>
      </w:rPr>
    </w:lvl>
    <w:lvl w:ilvl="1" w:tplc="EA904C44">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A0892"/>
    <w:multiLevelType w:val="hybridMultilevel"/>
    <w:tmpl w:val="E7F43328"/>
    <w:lvl w:ilvl="0" w:tplc="04090001">
      <w:start w:val="1"/>
      <w:numFmt w:val="bullet"/>
      <w:lvlText w:val=""/>
      <w:lvlJc w:val="left"/>
      <w:pPr>
        <w:ind w:left="720" w:hanging="360"/>
      </w:pPr>
      <w:rPr>
        <w:rFonts w:ascii="Symbol" w:hAnsi="Symbol" w:hint="default"/>
      </w:rPr>
    </w:lvl>
    <w:lvl w:ilvl="1" w:tplc="EA904C44">
      <w:start w:val="1"/>
      <w:numFmt w:val="bullet"/>
      <w:lvlText w:val="o"/>
      <w:lvlJc w:val="left"/>
      <w:pPr>
        <w:ind w:left="1440" w:hanging="360"/>
      </w:pPr>
      <w:rPr>
        <w:rFonts w:ascii="Courier New" w:hAnsi="Courier New" w:cs="Courier New" w:hint="default"/>
        <w:color w:val="0070C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B1169"/>
    <w:multiLevelType w:val="hybridMultilevel"/>
    <w:tmpl w:val="1CAAF292"/>
    <w:lvl w:ilvl="0" w:tplc="04090015">
      <w:start w:val="1"/>
      <w:numFmt w:val="upperLetter"/>
      <w:lvlText w:val="%1."/>
      <w:lvlJc w:val="left"/>
      <w:pPr>
        <w:ind w:left="720" w:hanging="360"/>
      </w:pPr>
      <w:rPr>
        <w:rFonts w:hint="default"/>
      </w:rPr>
    </w:lvl>
    <w:lvl w:ilvl="1" w:tplc="00F2AF5C">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2320F"/>
    <w:multiLevelType w:val="hybridMultilevel"/>
    <w:tmpl w:val="FA9E37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553DF"/>
    <w:multiLevelType w:val="hybridMultilevel"/>
    <w:tmpl w:val="C9E4DA50"/>
    <w:lvl w:ilvl="0" w:tplc="EDC418C2">
      <w:start w:val="1"/>
      <w:numFmt w:val="bullet"/>
      <w:lvlText w:val=""/>
      <w:lvlJc w:val="left"/>
      <w:pPr>
        <w:tabs>
          <w:tab w:val="num" w:pos="720"/>
        </w:tabs>
        <w:ind w:left="720" w:hanging="360"/>
      </w:pPr>
      <w:rPr>
        <w:rFonts w:ascii="Wingdings" w:hAnsi="Wingdings" w:hint="default"/>
      </w:rPr>
    </w:lvl>
    <w:lvl w:ilvl="1" w:tplc="3F26E168">
      <w:start w:val="1"/>
      <w:numFmt w:val="bullet"/>
      <w:lvlText w:val=""/>
      <w:lvlJc w:val="left"/>
      <w:pPr>
        <w:tabs>
          <w:tab w:val="num" w:pos="1440"/>
        </w:tabs>
        <w:ind w:left="1440" w:hanging="360"/>
      </w:pPr>
      <w:rPr>
        <w:rFonts w:ascii="Wingdings" w:hAnsi="Wingdings" w:hint="default"/>
      </w:rPr>
    </w:lvl>
    <w:lvl w:ilvl="2" w:tplc="04686D58" w:tentative="1">
      <w:start w:val="1"/>
      <w:numFmt w:val="bullet"/>
      <w:lvlText w:val=""/>
      <w:lvlJc w:val="left"/>
      <w:pPr>
        <w:tabs>
          <w:tab w:val="num" w:pos="2160"/>
        </w:tabs>
        <w:ind w:left="2160" w:hanging="360"/>
      </w:pPr>
      <w:rPr>
        <w:rFonts w:ascii="Wingdings" w:hAnsi="Wingdings" w:hint="default"/>
      </w:rPr>
    </w:lvl>
    <w:lvl w:ilvl="3" w:tplc="2F4A7032" w:tentative="1">
      <w:start w:val="1"/>
      <w:numFmt w:val="bullet"/>
      <w:lvlText w:val=""/>
      <w:lvlJc w:val="left"/>
      <w:pPr>
        <w:tabs>
          <w:tab w:val="num" w:pos="2880"/>
        </w:tabs>
        <w:ind w:left="2880" w:hanging="360"/>
      </w:pPr>
      <w:rPr>
        <w:rFonts w:ascii="Wingdings" w:hAnsi="Wingdings" w:hint="default"/>
      </w:rPr>
    </w:lvl>
    <w:lvl w:ilvl="4" w:tplc="CD5A99C4" w:tentative="1">
      <w:start w:val="1"/>
      <w:numFmt w:val="bullet"/>
      <w:lvlText w:val=""/>
      <w:lvlJc w:val="left"/>
      <w:pPr>
        <w:tabs>
          <w:tab w:val="num" w:pos="3600"/>
        </w:tabs>
        <w:ind w:left="3600" w:hanging="360"/>
      </w:pPr>
      <w:rPr>
        <w:rFonts w:ascii="Wingdings" w:hAnsi="Wingdings" w:hint="default"/>
      </w:rPr>
    </w:lvl>
    <w:lvl w:ilvl="5" w:tplc="9F5E6EB6" w:tentative="1">
      <w:start w:val="1"/>
      <w:numFmt w:val="bullet"/>
      <w:lvlText w:val=""/>
      <w:lvlJc w:val="left"/>
      <w:pPr>
        <w:tabs>
          <w:tab w:val="num" w:pos="4320"/>
        </w:tabs>
        <w:ind w:left="4320" w:hanging="360"/>
      </w:pPr>
      <w:rPr>
        <w:rFonts w:ascii="Wingdings" w:hAnsi="Wingdings" w:hint="default"/>
      </w:rPr>
    </w:lvl>
    <w:lvl w:ilvl="6" w:tplc="A434C8E4" w:tentative="1">
      <w:start w:val="1"/>
      <w:numFmt w:val="bullet"/>
      <w:lvlText w:val=""/>
      <w:lvlJc w:val="left"/>
      <w:pPr>
        <w:tabs>
          <w:tab w:val="num" w:pos="5040"/>
        </w:tabs>
        <w:ind w:left="5040" w:hanging="360"/>
      </w:pPr>
      <w:rPr>
        <w:rFonts w:ascii="Wingdings" w:hAnsi="Wingdings" w:hint="default"/>
      </w:rPr>
    </w:lvl>
    <w:lvl w:ilvl="7" w:tplc="91469126" w:tentative="1">
      <w:start w:val="1"/>
      <w:numFmt w:val="bullet"/>
      <w:lvlText w:val=""/>
      <w:lvlJc w:val="left"/>
      <w:pPr>
        <w:tabs>
          <w:tab w:val="num" w:pos="5760"/>
        </w:tabs>
        <w:ind w:left="5760" w:hanging="360"/>
      </w:pPr>
      <w:rPr>
        <w:rFonts w:ascii="Wingdings" w:hAnsi="Wingdings" w:hint="default"/>
      </w:rPr>
    </w:lvl>
    <w:lvl w:ilvl="8" w:tplc="040E05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6829"/>
    <w:multiLevelType w:val="hybridMultilevel"/>
    <w:tmpl w:val="31E479C0"/>
    <w:lvl w:ilvl="0" w:tplc="EA904C44">
      <w:start w:val="1"/>
      <w:numFmt w:val="bullet"/>
      <w:lvlText w:val="o"/>
      <w:lvlJc w:val="left"/>
      <w:pPr>
        <w:ind w:left="720" w:hanging="360"/>
      </w:pPr>
      <w:rPr>
        <w:rFonts w:ascii="Courier New" w:hAnsi="Courier New" w:cs="Courier New"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76C78"/>
    <w:multiLevelType w:val="hybridMultilevel"/>
    <w:tmpl w:val="F3EC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F2775"/>
    <w:multiLevelType w:val="hybridMultilevel"/>
    <w:tmpl w:val="DF08E20E"/>
    <w:lvl w:ilvl="0" w:tplc="B692B832">
      <w:start w:val="1"/>
      <w:numFmt w:val="bullet"/>
      <w:lvlText w:val=""/>
      <w:lvlJc w:val="left"/>
      <w:pPr>
        <w:tabs>
          <w:tab w:val="num" w:pos="720"/>
        </w:tabs>
        <w:ind w:left="720" w:hanging="360"/>
      </w:pPr>
      <w:rPr>
        <w:rFonts w:ascii="Wingdings" w:hAnsi="Wingdings" w:hint="default"/>
      </w:rPr>
    </w:lvl>
    <w:lvl w:ilvl="1" w:tplc="E6E43BDA">
      <w:start w:val="78"/>
      <w:numFmt w:val="bullet"/>
      <w:lvlText w:val=""/>
      <w:lvlJc w:val="left"/>
      <w:pPr>
        <w:tabs>
          <w:tab w:val="num" w:pos="1440"/>
        </w:tabs>
        <w:ind w:left="1440" w:hanging="360"/>
      </w:pPr>
      <w:rPr>
        <w:rFonts w:ascii="Wingdings" w:hAnsi="Wingdings" w:hint="default"/>
      </w:rPr>
    </w:lvl>
    <w:lvl w:ilvl="2" w:tplc="9A1251D4" w:tentative="1">
      <w:start w:val="1"/>
      <w:numFmt w:val="bullet"/>
      <w:lvlText w:val=""/>
      <w:lvlJc w:val="left"/>
      <w:pPr>
        <w:tabs>
          <w:tab w:val="num" w:pos="2160"/>
        </w:tabs>
        <w:ind w:left="2160" w:hanging="360"/>
      </w:pPr>
      <w:rPr>
        <w:rFonts w:ascii="Wingdings" w:hAnsi="Wingdings" w:hint="default"/>
      </w:rPr>
    </w:lvl>
    <w:lvl w:ilvl="3" w:tplc="96C0AC0A" w:tentative="1">
      <w:start w:val="1"/>
      <w:numFmt w:val="bullet"/>
      <w:lvlText w:val=""/>
      <w:lvlJc w:val="left"/>
      <w:pPr>
        <w:tabs>
          <w:tab w:val="num" w:pos="2880"/>
        </w:tabs>
        <w:ind w:left="2880" w:hanging="360"/>
      </w:pPr>
      <w:rPr>
        <w:rFonts w:ascii="Wingdings" w:hAnsi="Wingdings" w:hint="default"/>
      </w:rPr>
    </w:lvl>
    <w:lvl w:ilvl="4" w:tplc="7FD0B966" w:tentative="1">
      <w:start w:val="1"/>
      <w:numFmt w:val="bullet"/>
      <w:lvlText w:val=""/>
      <w:lvlJc w:val="left"/>
      <w:pPr>
        <w:tabs>
          <w:tab w:val="num" w:pos="3600"/>
        </w:tabs>
        <w:ind w:left="3600" w:hanging="360"/>
      </w:pPr>
      <w:rPr>
        <w:rFonts w:ascii="Wingdings" w:hAnsi="Wingdings" w:hint="default"/>
      </w:rPr>
    </w:lvl>
    <w:lvl w:ilvl="5" w:tplc="2D50C912" w:tentative="1">
      <w:start w:val="1"/>
      <w:numFmt w:val="bullet"/>
      <w:lvlText w:val=""/>
      <w:lvlJc w:val="left"/>
      <w:pPr>
        <w:tabs>
          <w:tab w:val="num" w:pos="4320"/>
        </w:tabs>
        <w:ind w:left="4320" w:hanging="360"/>
      </w:pPr>
      <w:rPr>
        <w:rFonts w:ascii="Wingdings" w:hAnsi="Wingdings" w:hint="default"/>
      </w:rPr>
    </w:lvl>
    <w:lvl w:ilvl="6" w:tplc="3AEAB090" w:tentative="1">
      <w:start w:val="1"/>
      <w:numFmt w:val="bullet"/>
      <w:lvlText w:val=""/>
      <w:lvlJc w:val="left"/>
      <w:pPr>
        <w:tabs>
          <w:tab w:val="num" w:pos="5040"/>
        </w:tabs>
        <w:ind w:left="5040" w:hanging="360"/>
      </w:pPr>
      <w:rPr>
        <w:rFonts w:ascii="Wingdings" w:hAnsi="Wingdings" w:hint="default"/>
      </w:rPr>
    </w:lvl>
    <w:lvl w:ilvl="7" w:tplc="0CF2166E" w:tentative="1">
      <w:start w:val="1"/>
      <w:numFmt w:val="bullet"/>
      <w:lvlText w:val=""/>
      <w:lvlJc w:val="left"/>
      <w:pPr>
        <w:tabs>
          <w:tab w:val="num" w:pos="5760"/>
        </w:tabs>
        <w:ind w:left="5760" w:hanging="360"/>
      </w:pPr>
      <w:rPr>
        <w:rFonts w:ascii="Wingdings" w:hAnsi="Wingdings" w:hint="default"/>
      </w:rPr>
    </w:lvl>
    <w:lvl w:ilvl="8" w:tplc="E98ADE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E1F13"/>
    <w:multiLevelType w:val="hybridMultilevel"/>
    <w:tmpl w:val="94AADA14"/>
    <w:lvl w:ilvl="0" w:tplc="00F2AF5C">
      <w:start w:val="3"/>
      <w:numFmt w:val="bullet"/>
      <w:lvlText w:val="-"/>
      <w:lvlJc w:val="left"/>
      <w:pPr>
        <w:ind w:left="720" w:hanging="360"/>
      </w:pPr>
      <w:rPr>
        <w:rFonts w:ascii="Calibri" w:eastAsiaTheme="minorHAnsi" w:hAnsi="Calibri" w:cs="Calibri" w:hint="default"/>
      </w:rPr>
    </w:lvl>
    <w:lvl w:ilvl="1" w:tplc="00F2AF5C">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7496E"/>
    <w:multiLevelType w:val="hybridMultilevel"/>
    <w:tmpl w:val="7236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C4AC7"/>
    <w:multiLevelType w:val="hybridMultilevel"/>
    <w:tmpl w:val="DD105762"/>
    <w:lvl w:ilvl="0" w:tplc="B5BA1126">
      <w:start w:val="1"/>
      <w:numFmt w:val="bullet"/>
      <w:lvlText w:val=""/>
      <w:lvlJc w:val="left"/>
      <w:pPr>
        <w:tabs>
          <w:tab w:val="num" w:pos="720"/>
        </w:tabs>
        <w:ind w:left="720" w:hanging="360"/>
      </w:pPr>
      <w:rPr>
        <w:rFonts w:ascii="Wingdings" w:hAnsi="Wingdings" w:hint="default"/>
      </w:rPr>
    </w:lvl>
    <w:lvl w:ilvl="1" w:tplc="38BE48D8" w:tentative="1">
      <w:start w:val="1"/>
      <w:numFmt w:val="bullet"/>
      <w:lvlText w:val=""/>
      <w:lvlJc w:val="left"/>
      <w:pPr>
        <w:tabs>
          <w:tab w:val="num" w:pos="1440"/>
        </w:tabs>
        <w:ind w:left="1440" w:hanging="360"/>
      </w:pPr>
      <w:rPr>
        <w:rFonts w:ascii="Wingdings" w:hAnsi="Wingdings" w:hint="default"/>
      </w:rPr>
    </w:lvl>
    <w:lvl w:ilvl="2" w:tplc="1C0076B2" w:tentative="1">
      <w:start w:val="1"/>
      <w:numFmt w:val="bullet"/>
      <w:lvlText w:val=""/>
      <w:lvlJc w:val="left"/>
      <w:pPr>
        <w:tabs>
          <w:tab w:val="num" w:pos="2160"/>
        </w:tabs>
        <w:ind w:left="2160" w:hanging="360"/>
      </w:pPr>
      <w:rPr>
        <w:rFonts w:ascii="Wingdings" w:hAnsi="Wingdings" w:hint="default"/>
      </w:rPr>
    </w:lvl>
    <w:lvl w:ilvl="3" w:tplc="167029D0" w:tentative="1">
      <w:start w:val="1"/>
      <w:numFmt w:val="bullet"/>
      <w:lvlText w:val=""/>
      <w:lvlJc w:val="left"/>
      <w:pPr>
        <w:tabs>
          <w:tab w:val="num" w:pos="2880"/>
        </w:tabs>
        <w:ind w:left="2880" w:hanging="360"/>
      </w:pPr>
      <w:rPr>
        <w:rFonts w:ascii="Wingdings" w:hAnsi="Wingdings" w:hint="default"/>
      </w:rPr>
    </w:lvl>
    <w:lvl w:ilvl="4" w:tplc="99EC8530" w:tentative="1">
      <w:start w:val="1"/>
      <w:numFmt w:val="bullet"/>
      <w:lvlText w:val=""/>
      <w:lvlJc w:val="left"/>
      <w:pPr>
        <w:tabs>
          <w:tab w:val="num" w:pos="3600"/>
        </w:tabs>
        <w:ind w:left="3600" w:hanging="360"/>
      </w:pPr>
      <w:rPr>
        <w:rFonts w:ascii="Wingdings" w:hAnsi="Wingdings" w:hint="default"/>
      </w:rPr>
    </w:lvl>
    <w:lvl w:ilvl="5" w:tplc="0D2CC7C6" w:tentative="1">
      <w:start w:val="1"/>
      <w:numFmt w:val="bullet"/>
      <w:lvlText w:val=""/>
      <w:lvlJc w:val="left"/>
      <w:pPr>
        <w:tabs>
          <w:tab w:val="num" w:pos="4320"/>
        </w:tabs>
        <w:ind w:left="4320" w:hanging="360"/>
      </w:pPr>
      <w:rPr>
        <w:rFonts w:ascii="Wingdings" w:hAnsi="Wingdings" w:hint="default"/>
      </w:rPr>
    </w:lvl>
    <w:lvl w:ilvl="6" w:tplc="AF78295E" w:tentative="1">
      <w:start w:val="1"/>
      <w:numFmt w:val="bullet"/>
      <w:lvlText w:val=""/>
      <w:lvlJc w:val="left"/>
      <w:pPr>
        <w:tabs>
          <w:tab w:val="num" w:pos="5040"/>
        </w:tabs>
        <w:ind w:left="5040" w:hanging="360"/>
      </w:pPr>
      <w:rPr>
        <w:rFonts w:ascii="Wingdings" w:hAnsi="Wingdings" w:hint="default"/>
      </w:rPr>
    </w:lvl>
    <w:lvl w:ilvl="7" w:tplc="87F673BE" w:tentative="1">
      <w:start w:val="1"/>
      <w:numFmt w:val="bullet"/>
      <w:lvlText w:val=""/>
      <w:lvlJc w:val="left"/>
      <w:pPr>
        <w:tabs>
          <w:tab w:val="num" w:pos="5760"/>
        </w:tabs>
        <w:ind w:left="5760" w:hanging="360"/>
      </w:pPr>
      <w:rPr>
        <w:rFonts w:ascii="Wingdings" w:hAnsi="Wingdings" w:hint="default"/>
      </w:rPr>
    </w:lvl>
    <w:lvl w:ilvl="8" w:tplc="A5E238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6336C"/>
    <w:multiLevelType w:val="hybridMultilevel"/>
    <w:tmpl w:val="E32A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30B8D"/>
    <w:multiLevelType w:val="hybridMultilevel"/>
    <w:tmpl w:val="8446D742"/>
    <w:lvl w:ilvl="0" w:tplc="B8AC1B54">
      <w:start w:val="1"/>
      <w:numFmt w:val="bullet"/>
      <w:lvlText w:val=""/>
      <w:lvlJc w:val="left"/>
      <w:pPr>
        <w:tabs>
          <w:tab w:val="num" w:pos="720"/>
        </w:tabs>
        <w:ind w:left="720" w:hanging="360"/>
      </w:pPr>
      <w:rPr>
        <w:rFonts w:ascii="Wingdings" w:hAnsi="Wingdings" w:hint="default"/>
      </w:rPr>
    </w:lvl>
    <w:lvl w:ilvl="1" w:tplc="DD547548" w:tentative="1">
      <w:start w:val="1"/>
      <w:numFmt w:val="bullet"/>
      <w:lvlText w:val=""/>
      <w:lvlJc w:val="left"/>
      <w:pPr>
        <w:tabs>
          <w:tab w:val="num" w:pos="1440"/>
        </w:tabs>
        <w:ind w:left="1440" w:hanging="360"/>
      </w:pPr>
      <w:rPr>
        <w:rFonts w:ascii="Wingdings" w:hAnsi="Wingdings" w:hint="default"/>
      </w:rPr>
    </w:lvl>
    <w:lvl w:ilvl="2" w:tplc="B9F6AA44" w:tentative="1">
      <w:start w:val="1"/>
      <w:numFmt w:val="bullet"/>
      <w:lvlText w:val=""/>
      <w:lvlJc w:val="left"/>
      <w:pPr>
        <w:tabs>
          <w:tab w:val="num" w:pos="2160"/>
        </w:tabs>
        <w:ind w:left="2160" w:hanging="360"/>
      </w:pPr>
      <w:rPr>
        <w:rFonts w:ascii="Wingdings" w:hAnsi="Wingdings" w:hint="default"/>
      </w:rPr>
    </w:lvl>
    <w:lvl w:ilvl="3" w:tplc="93582010" w:tentative="1">
      <w:start w:val="1"/>
      <w:numFmt w:val="bullet"/>
      <w:lvlText w:val=""/>
      <w:lvlJc w:val="left"/>
      <w:pPr>
        <w:tabs>
          <w:tab w:val="num" w:pos="2880"/>
        </w:tabs>
        <w:ind w:left="2880" w:hanging="360"/>
      </w:pPr>
      <w:rPr>
        <w:rFonts w:ascii="Wingdings" w:hAnsi="Wingdings" w:hint="default"/>
      </w:rPr>
    </w:lvl>
    <w:lvl w:ilvl="4" w:tplc="56985932" w:tentative="1">
      <w:start w:val="1"/>
      <w:numFmt w:val="bullet"/>
      <w:lvlText w:val=""/>
      <w:lvlJc w:val="left"/>
      <w:pPr>
        <w:tabs>
          <w:tab w:val="num" w:pos="3600"/>
        </w:tabs>
        <w:ind w:left="3600" w:hanging="360"/>
      </w:pPr>
      <w:rPr>
        <w:rFonts w:ascii="Wingdings" w:hAnsi="Wingdings" w:hint="default"/>
      </w:rPr>
    </w:lvl>
    <w:lvl w:ilvl="5" w:tplc="293C6A6A" w:tentative="1">
      <w:start w:val="1"/>
      <w:numFmt w:val="bullet"/>
      <w:lvlText w:val=""/>
      <w:lvlJc w:val="left"/>
      <w:pPr>
        <w:tabs>
          <w:tab w:val="num" w:pos="4320"/>
        </w:tabs>
        <w:ind w:left="4320" w:hanging="360"/>
      </w:pPr>
      <w:rPr>
        <w:rFonts w:ascii="Wingdings" w:hAnsi="Wingdings" w:hint="default"/>
      </w:rPr>
    </w:lvl>
    <w:lvl w:ilvl="6" w:tplc="C172A81C" w:tentative="1">
      <w:start w:val="1"/>
      <w:numFmt w:val="bullet"/>
      <w:lvlText w:val=""/>
      <w:lvlJc w:val="left"/>
      <w:pPr>
        <w:tabs>
          <w:tab w:val="num" w:pos="5040"/>
        </w:tabs>
        <w:ind w:left="5040" w:hanging="360"/>
      </w:pPr>
      <w:rPr>
        <w:rFonts w:ascii="Wingdings" w:hAnsi="Wingdings" w:hint="default"/>
      </w:rPr>
    </w:lvl>
    <w:lvl w:ilvl="7" w:tplc="E4121EEA" w:tentative="1">
      <w:start w:val="1"/>
      <w:numFmt w:val="bullet"/>
      <w:lvlText w:val=""/>
      <w:lvlJc w:val="left"/>
      <w:pPr>
        <w:tabs>
          <w:tab w:val="num" w:pos="5760"/>
        </w:tabs>
        <w:ind w:left="5760" w:hanging="360"/>
      </w:pPr>
      <w:rPr>
        <w:rFonts w:ascii="Wingdings" w:hAnsi="Wingdings" w:hint="default"/>
      </w:rPr>
    </w:lvl>
    <w:lvl w:ilvl="8" w:tplc="62C6B4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94175"/>
    <w:multiLevelType w:val="hybridMultilevel"/>
    <w:tmpl w:val="A6B64472"/>
    <w:lvl w:ilvl="0" w:tplc="2E1C3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47EB7"/>
    <w:multiLevelType w:val="hybridMultilevel"/>
    <w:tmpl w:val="2DE29DB6"/>
    <w:lvl w:ilvl="0" w:tplc="C9A41152">
      <w:start w:val="1"/>
      <w:numFmt w:val="bullet"/>
      <w:lvlText w:val="–"/>
      <w:lvlJc w:val="left"/>
      <w:pPr>
        <w:tabs>
          <w:tab w:val="num" w:pos="720"/>
        </w:tabs>
        <w:ind w:left="720" w:hanging="360"/>
      </w:pPr>
      <w:rPr>
        <w:rFonts w:ascii="Arial" w:hAnsi="Arial" w:hint="default"/>
      </w:rPr>
    </w:lvl>
    <w:lvl w:ilvl="1" w:tplc="F76EDBFC">
      <w:start w:val="1"/>
      <w:numFmt w:val="bullet"/>
      <w:lvlText w:val="–"/>
      <w:lvlJc w:val="left"/>
      <w:pPr>
        <w:tabs>
          <w:tab w:val="num" w:pos="1440"/>
        </w:tabs>
        <w:ind w:left="1440" w:hanging="360"/>
      </w:pPr>
      <w:rPr>
        <w:rFonts w:ascii="Arial" w:hAnsi="Arial" w:hint="default"/>
      </w:rPr>
    </w:lvl>
    <w:lvl w:ilvl="2" w:tplc="EA2A08B0" w:tentative="1">
      <w:start w:val="1"/>
      <w:numFmt w:val="bullet"/>
      <w:lvlText w:val="–"/>
      <w:lvlJc w:val="left"/>
      <w:pPr>
        <w:tabs>
          <w:tab w:val="num" w:pos="2160"/>
        </w:tabs>
        <w:ind w:left="2160" w:hanging="360"/>
      </w:pPr>
      <w:rPr>
        <w:rFonts w:ascii="Arial" w:hAnsi="Arial" w:hint="default"/>
      </w:rPr>
    </w:lvl>
    <w:lvl w:ilvl="3" w:tplc="9078EA36" w:tentative="1">
      <w:start w:val="1"/>
      <w:numFmt w:val="bullet"/>
      <w:lvlText w:val="–"/>
      <w:lvlJc w:val="left"/>
      <w:pPr>
        <w:tabs>
          <w:tab w:val="num" w:pos="2880"/>
        </w:tabs>
        <w:ind w:left="2880" w:hanging="360"/>
      </w:pPr>
      <w:rPr>
        <w:rFonts w:ascii="Arial" w:hAnsi="Arial" w:hint="default"/>
      </w:rPr>
    </w:lvl>
    <w:lvl w:ilvl="4" w:tplc="A712FF9C" w:tentative="1">
      <w:start w:val="1"/>
      <w:numFmt w:val="bullet"/>
      <w:lvlText w:val="–"/>
      <w:lvlJc w:val="left"/>
      <w:pPr>
        <w:tabs>
          <w:tab w:val="num" w:pos="3600"/>
        </w:tabs>
        <w:ind w:left="3600" w:hanging="360"/>
      </w:pPr>
      <w:rPr>
        <w:rFonts w:ascii="Arial" w:hAnsi="Arial" w:hint="default"/>
      </w:rPr>
    </w:lvl>
    <w:lvl w:ilvl="5" w:tplc="8CAC37EC" w:tentative="1">
      <w:start w:val="1"/>
      <w:numFmt w:val="bullet"/>
      <w:lvlText w:val="–"/>
      <w:lvlJc w:val="left"/>
      <w:pPr>
        <w:tabs>
          <w:tab w:val="num" w:pos="4320"/>
        </w:tabs>
        <w:ind w:left="4320" w:hanging="360"/>
      </w:pPr>
      <w:rPr>
        <w:rFonts w:ascii="Arial" w:hAnsi="Arial" w:hint="default"/>
      </w:rPr>
    </w:lvl>
    <w:lvl w:ilvl="6" w:tplc="A66047D2" w:tentative="1">
      <w:start w:val="1"/>
      <w:numFmt w:val="bullet"/>
      <w:lvlText w:val="–"/>
      <w:lvlJc w:val="left"/>
      <w:pPr>
        <w:tabs>
          <w:tab w:val="num" w:pos="5040"/>
        </w:tabs>
        <w:ind w:left="5040" w:hanging="360"/>
      </w:pPr>
      <w:rPr>
        <w:rFonts w:ascii="Arial" w:hAnsi="Arial" w:hint="default"/>
      </w:rPr>
    </w:lvl>
    <w:lvl w:ilvl="7" w:tplc="D07CCB94" w:tentative="1">
      <w:start w:val="1"/>
      <w:numFmt w:val="bullet"/>
      <w:lvlText w:val="–"/>
      <w:lvlJc w:val="left"/>
      <w:pPr>
        <w:tabs>
          <w:tab w:val="num" w:pos="5760"/>
        </w:tabs>
        <w:ind w:left="5760" w:hanging="360"/>
      </w:pPr>
      <w:rPr>
        <w:rFonts w:ascii="Arial" w:hAnsi="Arial" w:hint="default"/>
      </w:rPr>
    </w:lvl>
    <w:lvl w:ilvl="8" w:tplc="9AC290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A7296B"/>
    <w:multiLevelType w:val="hybridMultilevel"/>
    <w:tmpl w:val="4BB60056"/>
    <w:lvl w:ilvl="0" w:tplc="350435BE">
      <w:start w:val="1"/>
      <w:numFmt w:val="bullet"/>
      <w:lvlText w:val=""/>
      <w:lvlJc w:val="left"/>
      <w:pPr>
        <w:tabs>
          <w:tab w:val="num" w:pos="720"/>
        </w:tabs>
        <w:ind w:left="720" w:hanging="360"/>
      </w:pPr>
      <w:rPr>
        <w:rFonts w:ascii="Wingdings" w:hAnsi="Wingdings" w:hint="default"/>
      </w:rPr>
    </w:lvl>
    <w:lvl w:ilvl="1" w:tplc="2D905722" w:tentative="1">
      <w:start w:val="1"/>
      <w:numFmt w:val="bullet"/>
      <w:lvlText w:val=""/>
      <w:lvlJc w:val="left"/>
      <w:pPr>
        <w:tabs>
          <w:tab w:val="num" w:pos="1440"/>
        </w:tabs>
        <w:ind w:left="1440" w:hanging="360"/>
      </w:pPr>
      <w:rPr>
        <w:rFonts w:ascii="Wingdings" w:hAnsi="Wingdings" w:hint="default"/>
      </w:rPr>
    </w:lvl>
    <w:lvl w:ilvl="2" w:tplc="23421BC2" w:tentative="1">
      <w:start w:val="1"/>
      <w:numFmt w:val="bullet"/>
      <w:lvlText w:val=""/>
      <w:lvlJc w:val="left"/>
      <w:pPr>
        <w:tabs>
          <w:tab w:val="num" w:pos="2160"/>
        </w:tabs>
        <w:ind w:left="2160" w:hanging="360"/>
      </w:pPr>
      <w:rPr>
        <w:rFonts w:ascii="Wingdings" w:hAnsi="Wingdings" w:hint="default"/>
      </w:rPr>
    </w:lvl>
    <w:lvl w:ilvl="3" w:tplc="4ADC69C6" w:tentative="1">
      <w:start w:val="1"/>
      <w:numFmt w:val="bullet"/>
      <w:lvlText w:val=""/>
      <w:lvlJc w:val="left"/>
      <w:pPr>
        <w:tabs>
          <w:tab w:val="num" w:pos="2880"/>
        </w:tabs>
        <w:ind w:left="2880" w:hanging="360"/>
      </w:pPr>
      <w:rPr>
        <w:rFonts w:ascii="Wingdings" w:hAnsi="Wingdings" w:hint="default"/>
      </w:rPr>
    </w:lvl>
    <w:lvl w:ilvl="4" w:tplc="69A6A796" w:tentative="1">
      <w:start w:val="1"/>
      <w:numFmt w:val="bullet"/>
      <w:lvlText w:val=""/>
      <w:lvlJc w:val="left"/>
      <w:pPr>
        <w:tabs>
          <w:tab w:val="num" w:pos="3600"/>
        </w:tabs>
        <w:ind w:left="3600" w:hanging="360"/>
      </w:pPr>
      <w:rPr>
        <w:rFonts w:ascii="Wingdings" w:hAnsi="Wingdings" w:hint="default"/>
      </w:rPr>
    </w:lvl>
    <w:lvl w:ilvl="5" w:tplc="9A24F4A2" w:tentative="1">
      <w:start w:val="1"/>
      <w:numFmt w:val="bullet"/>
      <w:lvlText w:val=""/>
      <w:lvlJc w:val="left"/>
      <w:pPr>
        <w:tabs>
          <w:tab w:val="num" w:pos="4320"/>
        </w:tabs>
        <w:ind w:left="4320" w:hanging="360"/>
      </w:pPr>
      <w:rPr>
        <w:rFonts w:ascii="Wingdings" w:hAnsi="Wingdings" w:hint="default"/>
      </w:rPr>
    </w:lvl>
    <w:lvl w:ilvl="6" w:tplc="9B161CB0" w:tentative="1">
      <w:start w:val="1"/>
      <w:numFmt w:val="bullet"/>
      <w:lvlText w:val=""/>
      <w:lvlJc w:val="left"/>
      <w:pPr>
        <w:tabs>
          <w:tab w:val="num" w:pos="5040"/>
        </w:tabs>
        <w:ind w:left="5040" w:hanging="360"/>
      </w:pPr>
      <w:rPr>
        <w:rFonts w:ascii="Wingdings" w:hAnsi="Wingdings" w:hint="default"/>
      </w:rPr>
    </w:lvl>
    <w:lvl w:ilvl="7" w:tplc="FF98398C" w:tentative="1">
      <w:start w:val="1"/>
      <w:numFmt w:val="bullet"/>
      <w:lvlText w:val=""/>
      <w:lvlJc w:val="left"/>
      <w:pPr>
        <w:tabs>
          <w:tab w:val="num" w:pos="5760"/>
        </w:tabs>
        <w:ind w:left="5760" w:hanging="360"/>
      </w:pPr>
      <w:rPr>
        <w:rFonts w:ascii="Wingdings" w:hAnsi="Wingdings" w:hint="default"/>
      </w:rPr>
    </w:lvl>
    <w:lvl w:ilvl="8" w:tplc="400207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A46CD4"/>
    <w:multiLevelType w:val="hybridMultilevel"/>
    <w:tmpl w:val="9FFC3806"/>
    <w:lvl w:ilvl="0" w:tplc="CEF4F558">
      <w:start w:val="1"/>
      <w:numFmt w:val="bullet"/>
      <w:lvlText w:val=""/>
      <w:lvlJc w:val="left"/>
      <w:pPr>
        <w:tabs>
          <w:tab w:val="num" w:pos="720"/>
        </w:tabs>
        <w:ind w:left="720" w:hanging="360"/>
      </w:pPr>
      <w:rPr>
        <w:rFonts w:ascii="Wingdings" w:hAnsi="Wingdings" w:hint="default"/>
      </w:rPr>
    </w:lvl>
    <w:lvl w:ilvl="1" w:tplc="F47495F4">
      <w:start w:val="78"/>
      <w:numFmt w:val="bullet"/>
      <w:lvlText w:val=""/>
      <w:lvlJc w:val="left"/>
      <w:pPr>
        <w:tabs>
          <w:tab w:val="num" w:pos="1440"/>
        </w:tabs>
        <w:ind w:left="1440" w:hanging="360"/>
      </w:pPr>
      <w:rPr>
        <w:rFonts w:ascii="Wingdings" w:hAnsi="Wingdings" w:hint="default"/>
      </w:rPr>
    </w:lvl>
    <w:lvl w:ilvl="2" w:tplc="3E9EBA66" w:tentative="1">
      <w:start w:val="1"/>
      <w:numFmt w:val="bullet"/>
      <w:lvlText w:val=""/>
      <w:lvlJc w:val="left"/>
      <w:pPr>
        <w:tabs>
          <w:tab w:val="num" w:pos="2160"/>
        </w:tabs>
        <w:ind w:left="2160" w:hanging="360"/>
      </w:pPr>
      <w:rPr>
        <w:rFonts w:ascii="Wingdings" w:hAnsi="Wingdings" w:hint="default"/>
      </w:rPr>
    </w:lvl>
    <w:lvl w:ilvl="3" w:tplc="6F22E9BC" w:tentative="1">
      <w:start w:val="1"/>
      <w:numFmt w:val="bullet"/>
      <w:lvlText w:val=""/>
      <w:lvlJc w:val="left"/>
      <w:pPr>
        <w:tabs>
          <w:tab w:val="num" w:pos="2880"/>
        </w:tabs>
        <w:ind w:left="2880" w:hanging="360"/>
      </w:pPr>
      <w:rPr>
        <w:rFonts w:ascii="Wingdings" w:hAnsi="Wingdings" w:hint="default"/>
      </w:rPr>
    </w:lvl>
    <w:lvl w:ilvl="4" w:tplc="667614C6" w:tentative="1">
      <w:start w:val="1"/>
      <w:numFmt w:val="bullet"/>
      <w:lvlText w:val=""/>
      <w:lvlJc w:val="left"/>
      <w:pPr>
        <w:tabs>
          <w:tab w:val="num" w:pos="3600"/>
        </w:tabs>
        <w:ind w:left="3600" w:hanging="360"/>
      </w:pPr>
      <w:rPr>
        <w:rFonts w:ascii="Wingdings" w:hAnsi="Wingdings" w:hint="default"/>
      </w:rPr>
    </w:lvl>
    <w:lvl w:ilvl="5" w:tplc="6E44B1A8" w:tentative="1">
      <w:start w:val="1"/>
      <w:numFmt w:val="bullet"/>
      <w:lvlText w:val=""/>
      <w:lvlJc w:val="left"/>
      <w:pPr>
        <w:tabs>
          <w:tab w:val="num" w:pos="4320"/>
        </w:tabs>
        <w:ind w:left="4320" w:hanging="360"/>
      </w:pPr>
      <w:rPr>
        <w:rFonts w:ascii="Wingdings" w:hAnsi="Wingdings" w:hint="default"/>
      </w:rPr>
    </w:lvl>
    <w:lvl w:ilvl="6" w:tplc="120CBC68" w:tentative="1">
      <w:start w:val="1"/>
      <w:numFmt w:val="bullet"/>
      <w:lvlText w:val=""/>
      <w:lvlJc w:val="left"/>
      <w:pPr>
        <w:tabs>
          <w:tab w:val="num" w:pos="5040"/>
        </w:tabs>
        <w:ind w:left="5040" w:hanging="360"/>
      </w:pPr>
      <w:rPr>
        <w:rFonts w:ascii="Wingdings" w:hAnsi="Wingdings" w:hint="default"/>
      </w:rPr>
    </w:lvl>
    <w:lvl w:ilvl="7" w:tplc="8BB873F6" w:tentative="1">
      <w:start w:val="1"/>
      <w:numFmt w:val="bullet"/>
      <w:lvlText w:val=""/>
      <w:lvlJc w:val="left"/>
      <w:pPr>
        <w:tabs>
          <w:tab w:val="num" w:pos="5760"/>
        </w:tabs>
        <w:ind w:left="5760" w:hanging="360"/>
      </w:pPr>
      <w:rPr>
        <w:rFonts w:ascii="Wingdings" w:hAnsi="Wingdings" w:hint="default"/>
      </w:rPr>
    </w:lvl>
    <w:lvl w:ilvl="8" w:tplc="20ACC4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D14C9"/>
    <w:multiLevelType w:val="hybridMultilevel"/>
    <w:tmpl w:val="47BA0D72"/>
    <w:lvl w:ilvl="0" w:tplc="32C03C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A0430"/>
    <w:multiLevelType w:val="hybridMultilevel"/>
    <w:tmpl w:val="BCA21B76"/>
    <w:lvl w:ilvl="0" w:tplc="0506FAEC">
      <w:start w:val="1"/>
      <w:numFmt w:val="bullet"/>
      <w:lvlText w:val=""/>
      <w:lvlJc w:val="left"/>
      <w:pPr>
        <w:tabs>
          <w:tab w:val="num" w:pos="720"/>
        </w:tabs>
        <w:ind w:left="720" w:hanging="360"/>
      </w:pPr>
      <w:rPr>
        <w:rFonts w:ascii="Wingdings" w:hAnsi="Wingdings" w:hint="default"/>
      </w:rPr>
    </w:lvl>
    <w:lvl w:ilvl="1" w:tplc="F41A1B94">
      <w:start w:val="1"/>
      <w:numFmt w:val="bullet"/>
      <w:lvlText w:val=""/>
      <w:lvlJc w:val="left"/>
      <w:pPr>
        <w:tabs>
          <w:tab w:val="num" w:pos="1440"/>
        </w:tabs>
        <w:ind w:left="1440" w:hanging="360"/>
      </w:pPr>
      <w:rPr>
        <w:rFonts w:ascii="Wingdings" w:hAnsi="Wingdings" w:hint="default"/>
      </w:rPr>
    </w:lvl>
    <w:lvl w:ilvl="2" w:tplc="6CFEC21A" w:tentative="1">
      <w:start w:val="1"/>
      <w:numFmt w:val="bullet"/>
      <w:lvlText w:val=""/>
      <w:lvlJc w:val="left"/>
      <w:pPr>
        <w:tabs>
          <w:tab w:val="num" w:pos="2160"/>
        </w:tabs>
        <w:ind w:left="2160" w:hanging="360"/>
      </w:pPr>
      <w:rPr>
        <w:rFonts w:ascii="Wingdings" w:hAnsi="Wingdings" w:hint="default"/>
      </w:rPr>
    </w:lvl>
    <w:lvl w:ilvl="3" w:tplc="E41A77DC" w:tentative="1">
      <w:start w:val="1"/>
      <w:numFmt w:val="bullet"/>
      <w:lvlText w:val=""/>
      <w:lvlJc w:val="left"/>
      <w:pPr>
        <w:tabs>
          <w:tab w:val="num" w:pos="2880"/>
        </w:tabs>
        <w:ind w:left="2880" w:hanging="360"/>
      </w:pPr>
      <w:rPr>
        <w:rFonts w:ascii="Wingdings" w:hAnsi="Wingdings" w:hint="default"/>
      </w:rPr>
    </w:lvl>
    <w:lvl w:ilvl="4" w:tplc="9BEC29F6" w:tentative="1">
      <w:start w:val="1"/>
      <w:numFmt w:val="bullet"/>
      <w:lvlText w:val=""/>
      <w:lvlJc w:val="left"/>
      <w:pPr>
        <w:tabs>
          <w:tab w:val="num" w:pos="3600"/>
        </w:tabs>
        <w:ind w:left="3600" w:hanging="360"/>
      </w:pPr>
      <w:rPr>
        <w:rFonts w:ascii="Wingdings" w:hAnsi="Wingdings" w:hint="default"/>
      </w:rPr>
    </w:lvl>
    <w:lvl w:ilvl="5" w:tplc="2A964ABE" w:tentative="1">
      <w:start w:val="1"/>
      <w:numFmt w:val="bullet"/>
      <w:lvlText w:val=""/>
      <w:lvlJc w:val="left"/>
      <w:pPr>
        <w:tabs>
          <w:tab w:val="num" w:pos="4320"/>
        </w:tabs>
        <w:ind w:left="4320" w:hanging="360"/>
      </w:pPr>
      <w:rPr>
        <w:rFonts w:ascii="Wingdings" w:hAnsi="Wingdings" w:hint="default"/>
      </w:rPr>
    </w:lvl>
    <w:lvl w:ilvl="6" w:tplc="C0AE5704" w:tentative="1">
      <w:start w:val="1"/>
      <w:numFmt w:val="bullet"/>
      <w:lvlText w:val=""/>
      <w:lvlJc w:val="left"/>
      <w:pPr>
        <w:tabs>
          <w:tab w:val="num" w:pos="5040"/>
        </w:tabs>
        <w:ind w:left="5040" w:hanging="360"/>
      </w:pPr>
      <w:rPr>
        <w:rFonts w:ascii="Wingdings" w:hAnsi="Wingdings" w:hint="default"/>
      </w:rPr>
    </w:lvl>
    <w:lvl w:ilvl="7" w:tplc="A2A89B36" w:tentative="1">
      <w:start w:val="1"/>
      <w:numFmt w:val="bullet"/>
      <w:lvlText w:val=""/>
      <w:lvlJc w:val="left"/>
      <w:pPr>
        <w:tabs>
          <w:tab w:val="num" w:pos="5760"/>
        </w:tabs>
        <w:ind w:left="5760" w:hanging="360"/>
      </w:pPr>
      <w:rPr>
        <w:rFonts w:ascii="Wingdings" w:hAnsi="Wingdings" w:hint="default"/>
      </w:rPr>
    </w:lvl>
    <w:lvl w:ilvl="8" w:tplc="DFC635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70345"/>
    <w:multiLevelType w:val="hybridMultilevel"/>
    <w:tmpl w:val="EC868C12"/>
    <w:lvl w:ilvl="0" w:tplc="04090001">
      <w:start w:val="1"/>
      <w:numFmt w:val="bullet"/>
      <w:lvlText w:val=""/>
      <w:lvlJc w:val="left"/>
      <w:pPr>
        <w:ind w:left="720" w:hanging="360"/>
      </w:pPr>
      <w:rPr>
        <w:rFonts w:ascii="Symbol" w:hAnsi="Symbol" w:hint="default"/>
      </w:rPr>
    </w:lvl>
    <w:lvl w:ilvl="1" w:tplc="EA904C44">
      <w:start w:val="1"/>
      <w:numFmt w:val="bullet"/>
      <w:lvlText w:val="o"/>
      <w:lvlJc w:val="left"/>
      <w:pPr>
        <w:ind w:left="1440" w:hanging="360"/>
      </w:pPr>
      <w:rPr>
        <w:rFonts w:ascii="Courier New" w:hAnsi="Courier New" w:cs="Courier New" w:hint="default"/>
        <w:color w:val="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21"/>
  </w:num>
  <w:num w:numId="5">
    <w:abstractNumId w:val="18"/>
  </w:num>
  <w:num w:numId="6">
    <w:abstractNumId w:val="7"/>
  </w:num>
  <w:num w:numId="7">
    <w:abstractNumId w:val="6"/>
  </w:num>
  <w:num w:numId="8">
    <w:abstractNumId w:val="12"/>
  </w:num>
  <w:num w:numId="9">
    <w:abstractNumId w:val="14"/>
  </w:num>
  <w:num w:numId="10">
    <w:abstractNumId w:val="11"/>
  </w:num>
  <w:num w:numId="11">
    <w:abstractNumId w:val="17"/>
  </w:num>
  <w:num w:numId="12">
    <w:abstractNumId w:val="0"/>
  </w:num>
  <w:num w:numId="13">
    <w:abstractNumId w:val="10"/>
  </w:num>
  <w:num w:numId="14">
    <w:abstractNumId w:val="22"/>
  </w:num>
  <w:num w:numId="15">
    <w:abstractNumId w:val="20"/>
  </w:num>
  <w:num w:numId="16">
    <w:abstractNumId w:val="23"/>
  </w:num>
  <w:num w:numId="17">
    <w:abstractNumId w:val="16"/>
  </w:num>
  <w:num w:numId="18">
    <w:abstractNumId w:val="19"/>
  </w:num>
  <w:num w:numId="19">
    <w:abstractNumId w:val="8"/>
  </w:num>
  <w:num w:numId="20">
    <w:abstractNumId w:val="2"/>
  </w:num>
  <w:num w:numId="21">
    <w:abstractNumId w:val="3"/>
  </w:num>
  <w:num w:numId="22">
    <w:abstractNumId w:val="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79"/>
    <w:rsid w:val="000022A5"/>
    <w:rsid w:val="00002641"/>
    <w:rsid w:val="00012C64"/>
    <w:rsid w:val="000B4FBC"/>
    <w:rsid w:val="000B6435"/>
    <w:rsid w:val="000B7860"/>
    <w:rsid w:val="000C1232"/>
    <w:rsid w:val="000C172D"/>
    <w:rsid w:val="000C7D88"/>
    <w:rsid w:val="000D3BB9"/>
    <w:rsid w:val="000D4FEE"/>
    <w:rsid w:val="000D51F1"/>
    <w:rsid w:val="000E23A2"/>
    <w:rsid w:val="0010263C"/>
    <w:rsid w:val="0011549E"/>
    <w:rsid w:val="001242DA"/>
    <w:rsid w:val="0012529E"/>
    <w:rsid w:val="00143976"/>
    <w:rsid w:val="00166048"/>
    <w:rsid w:val="00193866"/>
    <w:rsid w:val="001A6CE5"/>
    <w:rsid w:val="001B3A68"/>
    <w:rsid w:val="001C0CC0"/>
    <w:rsid w:val="001C42DA"/>
    <w:rsid w:val="001D0EC2"/>
    <w:rsid w:val="00202D26"/>
    <w:rsid w:val="002408C5"/>
    <w:rsid w:val="002528D3"/>
    <w:rsid w:val="002547C5"/>
    <w:rsid w:val="0026144A"/>
    <w:rsid w:val="00261509"/>
    <w:rsid w:val="00280B07"/>
    <w:rsid w:val="00281C9A"/>
    <w:rsid w:val="002917F4"/>
    <w:rsid w:val="002A4FA3"/>
    <w:rsid w:val="003237CA"/>
    <w:rsid w:val="00325685"/>
    <w:rsid w:val="00325F99"/>
    <w:rsid w:val="00327AC5"/>
    <w:rsid w:val="00330DD6"/>
    <w:rsid w:val="00337E30"/>
    <w:rsid w:val="00344057"/>
    <w:rsid w:val="00354D11"/>
    <w:rsid w:val="0037023E"/>
    <w:rsid w:val="0037717E"/>
    <w:rsid w:val="00384761"/>
    <w:rsid w:val="00394767"/>
    <w:rsid w:val="003A1EA6"/>
    <w:rsid w:val="003B38E6"/>
    <w:rsid w:val="003B6BEC"/>
    <w:rsid w:val="003C024B"/>
    <w:rsid w:val="003C268D"/>
    <w:rsid w:val="003C45E3"/>
    <w:rsid w:val="003C6160"/>
    <w:rsid w:val="00414F2D"/>
    <w:rsid w:val="00424779"/>
    <w:rsid w:val="00424B95"/>
    <w:rsid w:val="004251EC"/>
    <w:rsid w:val="00432966"/>
    <w:rsid w:val="00437086"/>
    <w:rsid w:val="0044487D"/>
    <w:rsid w:val="00455E8A"/>
    <w:rsid w:val="00460984"/>
    <w:rsid w:val="004A366D"/>
    <w:rsid w:val="004C1F07"/>
    <w:rsid w:val="004C3464"/>
    <w:rsid w:val="004C54DD"/>
    <w:rsid w:val="004E4E66"/>
    <w:rsid w:val="00515DB2"/>
    <w:rsid w:val="0052323B"/>
    <w:rsid w:val="00535B88"/>
    <w:rsid w:val="00535F2F"/>
    <w:rsid w:val="00550000"/>
    <w:rsid w:val="00570ABF"/>
    <w:rsid w:val="0058167D"/>
    <w:rsid w:val="005C77A1"/>
    <w:rsid w:val="005D69CE"/>
    <w:rsid w:val="005D7295"/>
    <w:rsid w:val="005E7776"/>
    <w:rsid w:val="006045DB"/>
    <w:rsid w:val="006100FF"/>
    <w:rsid w:val="00615E9D"/>
    <w:rsid w:val="00633B17"/>
    <w:rsid w:val="006401CA"/>
    <w:rsid w:val="0066440C"/>
    <w:rsid w:val="00667E31"/>
    <w:rsid w:val="006813BE"/>
    <w:rsid w:val="006874D7"/>
    <w:rsid w:val="006D20B6"/>
    <w:rsid w:val="006F58B8"/>
    <w:rsid w:val="00702B65"/>
    <w:rsid w:val="007132DA"/>
    <w:rsid w:val="00724874"/>
    <w:rsid w:val="00735CFB"/>
    <w:rsid w:val="00745DFF"/>
    <w:rsid w:val="00752A34"/>
    <w:rsid w:val="007674FD"/>
    <w:rsid w:val="00770078"/>
    <w:rsid w:val="007A113D"/>
    <w:rsid w:val="007A38A9"/>
    <w:rsid w:val="007A4F85"/>
    <w:rsid w:val="007C4B41"/>
    <w:rsid w:val="007E66BE"/>
    <w:rsid w:val="00816F73"/>
    <w:rsid w:val="0083551C"/>
    <w:rsid w:val="00836535"/>
    <w:rsid w:val="00840750"/>
    <w:rsid w:val="008418A2"/>
    <w:rsid w:val="008610EA"/>
    <w:rsid w:val="00880D4F"/>
    <w:rsid w:val="008811A6"/>
    <w:rsid w:val="00892878"/>
    <w:rsid w:val="008964AE"/>
    <w:rsid w:val="008A4B63"/>
    <w:rsid w:val="008A70D9"/>
    <w:rsid w:val="008C1F9F"/>
    <w:rsid w:val="008D0C83"/>
    <w:rsid w:val="009014E3"/>
    <w:rsid w:val="0091486B"/>
    <w:rsid w:val="009264AC"/>
    <w:rsid w:val="0092796F"/>
    <w:rsid w:val="00931B81"/>
    <w:rsid w:val="00943C88"/>
    <w:rsid w:val="00951C85"/>
    <w:rsid w:val="00952C56"/>
    <w:rsid w:val="0096551A"/>
    <w:rsid w:val="00992AA2"/>
    <w:rsid w:val="009A29CA"/>
    <w:rsid w:val="009A690A"/>
    <w:rsid w:val="009E7482"/>
    <w:rsid w:val="009F04F5"/>
    <w:rsid w:val="009F6C59"/>
    <w:rsid w:val="00A00DE8"/>
    <w:rsid w:val="00A34748"/>
    <w:rsid w:val="00A45198"/>
    <w:rsid w:val="00A5056D"/>
    <w:rsid w:val="00A6283C"/>
    <w:rsid w:val="00A65454"/>
    <w:rsid w:val="00A77E18"/>
    <w:rsid w:val="00AA00BE"/>
    <w:rsid w:val="00AA2DCA"/>
    <w:rsid w:val="00AA5C81"/>
    <w:rsid w:val="00AB083B"/>
    <w:rsid w:val="00AE1D1A"/>
    <w:rsid w:val="00AE25BF"/>
    <w:rsid w:val="00AE3B65"/>
    <w:rsid w:val="00AE3E76"/>
    <w:rsid w:val="00B404FF"/>
    <w:rsid w:val="00B40749"/>
    <w:rsid w:val="00B54548"/>
    <w:rsid w:val="00B6586E"/>
    <w:rsid w:val="00B73101"/>
    <w:rsid w:val="00B7366E"/>
    <w:rsid w:val="00B83474"/>
    <w:rsid w:val="00B90274"/>
    <w:rsid w:val="00BA4F12"/>
    <w:rsid w:val="00BB0687"/>
    <w:rsid w:val="00BB33A8"/>
    <w:rsid w:val="00BD2A18"/>
    <w:rsid w:val="00BD5BC9"/>
    <w:rsid w:val="00C04118"/>
    <w:rsid w:val="00C05CAB"/>
    <w:rsid w:val="00C07274"/>
    <w:rsid w:val="00C143D7"/>
    <w:rsid w:val="00C25DE0"/>
    <w:rsid w:val="00C50BD1"/>
    <w:rsid w:val="00C71320"/>
    <w:rsid w:val="00C71D18"/>
    <w:rsid w:val="00C75334"/>
    <w:rsid w:val="00C76079"/>
    <w:rsid w:val="00C8490A"/>
    <w:rsid w:val="00C952B5"/>
    <w:rsid w:val="00CA2A5D"/>
    <w:rsid w:val="00CB6935"/>
    <w:rsid w:val="00CC3C03"/>
    <w:rsid w:val="00CD1C6A"/>
    <w:rsid w:val="00CD7D7F"/>
    <w:rsid w:val="00CE473B"/>
    <w:rsid w:val="00CE7F7F"/>
    <w:rsid w:val="00D01F98"/>
    <w:rsid w:val="00D336EE"/>
    <w:rsid w:val="00D33B1F"/>
    <w:rsid w:val="00D412D6"/>
    <w:rsid w:val="00D416B3"/>
    <w:rsid w:val="00D43383"/>
    <w:rsid w:val="00D45840"/>
    <w:rsid w:val="00D513FC"/>
    <w:rsid w:val="00D60510"/>
    <w:rsid w:val="00D732CA"/>
    <w:rsid w:val="00D765FC"/>
    <w:rsid w:val="00D80816"/>
    <w:rsid w:val="00D80F6B"/>
    <w:rsid w:val="00D9300D"/>
    <w:rsid w:val="00DC685A"/>
    <w:rsid w:val="00DD20B4"/>
    <w:rsid w:val="00DD63A1"/>
    <w:rsid w:val="00DD680C"/>
    <w:rsid w:val="00DE262C"/>
    <w:rsid w:val="00DE319A"/>
    <w:rsid w:val="00DE69E8"/>
    <w:rsid w:val="00DF4B88"/>
    <w:rsid w:val="00E12022"/>
    <w:rsid w:val="00E15212"/>
    <w:rsid w:val="00E2689A"/>
    <w:rsid w:val="00E32470"/>
    <w:rsid w:val="00E378B3"/>
    <w:rsid w:val="00E40A10"/>
    <w:rsid w:val="00E51BF3"/>
    <w:rsid w:val="00E5557C"/>
    <w:rsid w:val="00E5589A"/>
    <w:rsid w:val="00E55EE6"/>
    <w:rsid w:val="00E90F81"/>
    <w:rsid w:val="00E91A06"/>
    <w:rsid w:val="00EE0996"/>
    <w:rsid w:val="00EE2577"/>
    <w:rsid w:val="00EF2196"/>
    <w:rsid w:val="00F060F4"/>
    <w:rsid w:val="00F32135"/>
    <w:rsid w:val="00F37C0E"/>
    <w:rsid w:val="00F5125D"/>
    <w:rsid w:val="00F63EA9"/>
    <w:rsid w:val="00F757B2"/>
    <w:rsid w:val="00F87C72"/>
    <w:rsid w:val="00FA23E6"/>
    <w:rsid w:val="00FB3C1E"/>
    <w:rsid w:val="00FC0976"/>
    <w:rsid w:val="00FD7C8A"/>
    <w:rsid w:val="00FE3E7B"/>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CD87"/>
  <w15:chartTrackingRefBased/>
  <w15:docId w15:val="{DB568A80-9325-4C73-BB2F-891E285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79"/>
  </w:style>
  <w:style w:type="paragraph" w:styleId="Footer">
    <w:name w:val="footer"/>
    <w:basedOn w:val="Normal"/>
    <w:link w:val="FooterChar"/>
    <w:uiPriority w:val="99"/>
    <w:unhideWhenUsed/>
    <w:rsid w:val="0042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79"/>
  </w:style>
  <w:style w:type="paragraph" w:styleId="ListParagraph">
    <w:name w:val="List Paragraph"/>
    <w:basedOn w:val="Normal"/>
    <w:uiPriority w:val="34"/>
    <w:qFormat/>
    <w:rsid w:val="003B38E6"/>
    <w:pPr>
      <w:ind w:left="720"/>
      <w:contextualSpacing/>
    </w:pPr>
  </w:style>
  <w:style w:type="table" w:styleId="TableGrid">
    <w:name w:val="Table Grid"/>
    <w:basedOn w:val="TableNormal"/>
    <w:uiPriority w:val="39"/>
    <w:rsid w:val="0001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25B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E2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5BF"/>
    <w:rPr>
      <w:sz w:val="20"/>
      <w:szCs w:val="20"/>
    </w:rPr>
  </w:style>
  <w:style w:type="character" w:styleId="FootnoteReference">
    <w:name w:val="footnote reference"/>
    <w:basedOn w:val="DefaultParagraphFont"/>
    <w:uiPriority w:val="99"/>
    <w:semiHidden/>
    <w:unhideWhenUsed/>
    <w:rsid w:val="00AE25BF"/>
    <w:rPr>
      <w:vertAlign w:val="superscript"/>
    </w:rPr>
  </w:style>
  <w:style w:type="paragraph" w:styleId="BalloonText">
    <w:name w:val="Balloon Text"/>
    <w:basedOn w:val="Normal"/>
    <w:link w:val="BalloonTextChar"/>
    <w:uiPriority w:val="99"/>
    <w:semiHidden/>
    <w:unhideWhenUsed/>
    <w:rsid w:val="0052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3B"/>
    <w:rPr>
      <w:rFonts w:ascii="Segoe UI" w:hAnsi="Segoe UI" w:cs="Segoe UI"/>
      <w:sz w:val="18"/>
      <w:szCs w:val="18"/>
    </w:rPr>
  </w:style>
  <w:style w:type="character" w:styleId="Hyperlink">
    <w:name w:val="Hyperlink"/>
    <w:basedOn w:val="DefaultParagraphFont"/>
    <w:uiPriority w:val="99"/>
    <w:unhideWhenUsed/>
    <w:rsid w:val="00DF4B88"/>
    <w:rPr>
      <w:color w:val="0563C1" w:themeColor="hyperlink"/>
      <w:u w:val="single"/>
    </w:rPr>
  </w:style>
  <w:style w:type="character" w:styleId="CommentReference">
    <w:name w:val="annotation reference"/>
    <w:basedOn w:val="DefaultParagraphFont"/>
    <w:uiPriority w:val="99"/>
    <w:semiHidden/>
    <w:unhideWhenUsed/>
    <w:rsid w:val="006874D7"/>
    <w:rPr>
      <w:sz w:val="16"/>
      <w:szCs w:val="16"/>
    </w:rPr>
  </w:style>
  <w:style w:type="paragraph" w:styleId="CommentText">
    <w:name w:val="annotation text"/>
    <w:basedOn w:val="Normal"/>
    <w:link w:val="CommentTextChar"/>
    <w:uiPriority w:val="99"/>
    <w:semiHidden/>
    <w:unhideWhenUsed/>
    <w:rsid w:val="006874D7"/>
    <w:pPr>
      <w:spacing w:line="240" w:lineRule="auto"/>
    </w:pPr>
    <w:rPr>
      <w:sz w:val="20"/>
      <w:szCs w:val="20"/>
    </w:rPr>
  </w:style>
  <w:style w:type="character" w:customStyle="1" w:styleId="CommentTextChar">
    <w:name w:val="Comment Text Char"/>
    <w:basedOn w:val="DefaultParagraphFont"/>
    <w:link w:val="CommentText"/>
    <w:uiPriority w:val="99"/>
    <w:semiHidden/>
    <w:rsid w:val="006874D7"/>
    <w:rPr>
      <w:sz w:val="20"/>
      <w:szCs w:val="20"/>
    </w:rPr>
  </w:style>
  <w:style w:type="paragraph" w:styleId="CommentSubject">
    <w:name w:val="annotation subject"/>
    <w:basedOn w:val="CommentText"/>
    <w:next w:val="CommentText"/>
    <w:link w:val="CommentSubjectChar"/>
    <w:uiPriority w:val="99"/>
    <w:semiHidden/>
    <w:unhideWhenUsed/>
    <w:rsid w:val="006874D7"/>
    <w:rPr>
      <w:b/>
      <w:bCs/>
    </w:rPr>
  </w:style>
  <w:style w:type="character" w:customStyle="1" w:styleId="CommentSubjectChar">
    <w:name w:val="Comment Subject Char"/>
    <w:basedOn w:val="CommentTextChar"/>
    <w:link w:val="CommentSubject"/>
    <w:uiPriority w:val="99"/>
    <w:semiHidden/>
    <w:rsid w:val="006874D7"/>
    <w:rPr>
      <w:b/>
      <w:bCs/>
      <w:sz w:val="20"/>
      <w:szCs w:val="20"/>
    </w:rPr>
  </w:style>
  <w:style w:type="paragraph" w:styleId="NormalWeb">
    <w:name w:val="Normal (Web)"/>
    <w:basedOn w:val="Normal"/>
    <w:uiPriority w:val="99"/>
    <w:unhideWhenUsed/>
    <w:rsid w:val="00E51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5004">
      <w:bodyDiv w:val="1"/>
      <w:marLeft w:val="0"/>
      <w:marRight w:val="0"/>
      <w:marTop w:val="0"/>
      <w:marBottom w:val="0"/>
      <w:divBdr>
        <w:top w:val="none" w:sz="0" w:space="0" w:color="auto"/>
        <w:left w:val="none" w:sz="0" w:space="0" w:color="auto"/>
        <w:bottom w:val="none" w:sz="0" w:space="0" w:color="auto"/>
        <w:right w:val="none" w:sz="0" w:space="0" w:color="auto"/>
      </w:divBdr>
      <w:divsChild>
        <w:div w:id="2124037148">
          <w:marLeft w:val="720"/>
          <w:marRight w:val="0"/>
          <w:marTop w:val="134"/>
          <w:marBottom w:val="0"/>
          <w:divBdr>
            <w:top w:val="none" w:sz="0" w:space="0" w:color="auto"/>
            <w:left w:val="none" w:sz="0" w:space="0" w:color="auto"/>
            <w:bottom w:val="none" w:sz="0" w:space="0" w:color="auto"/>
            <w:right w:val="none" w:sz="0" w:space="0" w:color="auto"/>
          </w:divBdr>
        </w:div>
      </w:divsChild>
    </w:div>
    <w:div w:id="542795679">
      <w:bodyDiv w:val="1"/>
      <w:marLeft w:val="0"/>
      <w:marRight w:val="0"/>
      <w:marTop w:val="0"/>
      <w:marBottom w:val="0"/>
      <w:divBdr>
        <w:top w:val="none" w:sz="0" w:space="0" w:color="auto"/>
        <w:left w:val="none" w:sz="0" w:space="0" w:color="auto"/>
        <w:bottom w:val="none" w:sz="0" w:space="0" w:color="auto"/>
        <w:right w:val="none" w:sz="0" w:space="0" w:color="auto"/>
      </w:divBdr>
      <w:divsChild>
        <w:div w:id="1240948093">
          <w:marLeft w:val="720"/>
          <w:marRight w:val="0"/>
          <w:marTop w:val="134"/>
          <w:marBottom w:val="0"/>
          <w:divBdr>
            <w:top w:val="none" w:sz="0" w:space="0" w:color="auto"/>
            <w:left w:val="none" w:sz="0" w:space="0" w:color="auto"/>
            <w:bottom w:val="none" w:sz="0" w:space="0" w:color="auto"/>
            <w:right w:val="none" w:sz="0" w:space="0" w:color="auto"/>
          </w:divBdr>
        </w:div>
      </w:divsChild>
    </w:div>
    <w:div w:id="837774298">
      <w:bodyDiv w:val="1"/>
      <w:marLeft w:val="0"/>
      <w:marRight w:val="0"/>
      <w:marTop w:val="0"/>
      <w:marBottom w:val="0"/>
      <w:divBdr>
        <w:top w:val="none" w:sz="0" w:space="0" w:color="auto"/>
        <w:left w:val="none" w:sz="0" w:space="0" w:color="auto"/>
        <w:bottom w:val="none" w:sz="0" w:space="0" w:color="auto"/>
        <w:right w:val="none" w:sz="0" w:space="0" w:color="auto"/>
      </w:divBdr>
    </w:div>
    <w:div w:id="910892956">
      <w:bodyDiv w:val="1"/>
      <w:marLeft w:val="0"/>
      <w:marRight w:val="0"/>
      <w:marTop w:val="0"/>
      <w:marBottom w:val="0"/>
      <w:divBdr>
        <w:top w:val="none" w:sz="0" w:space="0" w:color="auto"/>
        <w:left w:val="none" w:sz="0" w:space="0" w:color="auto"/>
        <w:bottom w:val="none" w:sz="0" w:space="0" w:color="auto"/>
        <w:right w:val="none" w:sz="0" w:space="0" w:color="auto"/>
      </w:divBdr>
      <w:divsChild>
        <w:div w:id="1523326178">
          <w:marLeft w:val="720"/>
          <w:marRight w:val="0"/>
          <w:marTop w:val="134"/>
          <w:marBottom w:val="0"/>
          <w:divBdr>
            <w:top w:val="none" w:sz="0" w:space="0" w:color="auto"/>
            <w:left w:val="none" w:sz="0" w:space="0" w:color="auto"/>
            <w:bottom w:val="none" w:sz="0" w:space="0" w:color="auto"/>
            <w:right w:val="none" w:sz="0" w:space="0" w:color="auto"/>
          </w:divBdr>
        </w:div>
        <w:div w:id="1566063926">
          <w:marLeft w:val="720"/>
          <w:marRight w:val="0"/>
          <w:marTop w:val="134"/>
          <w:marBottom w:val="0"/>
          <w:divBdr>
            <w:top w:val="none" w:sz="0" w:space="0" w:color="auto"/>
            <w:left w:val="none" w:sz="0" w:space="0" w:color="auto"/>
            <w:bottom w:val="none" w:sz="0" w:space="0" w:color="auto"/>
            <w:right w:val="none" w:sz="0" w:space="0" w:color="auto"/>
          </w:divBdr>
        </w:div>
        <w:div w:id="1301882806">
          <w:marLeft w:val="720"/>
          <w:marRight w:val="0"/>
          <w:marTop w:val="134"/>
          <w:marBottom w:val="0"/>
          <w:divBdr>
            <w:top w:val="none" w:sz="0" w:space="0" w:color="auto"/>
            <w:left w:val="none" w:sz="0" w:space="0" w:color="auto"/>
            <w:bottom w:val="none" w:sz="0" w:space="0" w:color="auto"/>
            <w:right w:val="none" w:sz="0" w:space="0" w:color="auto"/>
          </w:divBdr>
        </w:div>
        <w:div w:id="264118130">
          <w:marLeft w:val="1267"/>
          <w:marRight w:val="0"/>
          <w:marTop w:val="115"/>
          <w:marBottom w:val="0"/>
          <w:divBdr>
            <w:top w:val="none" w:sz="0" w:space="0" w:color="auto"/>
            <w:left w:val="none" w:sz="0" w:space="0" w:color="auto"/>
            <w:bottom w:val="none" w:sz="0" w:space="0" w:color="auto"/>
            <w:right w:val="none" w:sz="0" w:space="0" w:color="auto"/>
          </w:divBdr>
        </w:div>
        <w:div w:id="397480604">
          <w:marLeft w:val="1267"/>
          <w:marRight w:val="0"/>
          <w:marTop w:val="115"/>
          <w:marBottom w:val="0"/>
          <w:divBdr>
            <w:top w:val="none" w:sz="0" w:space="0" w:color="auto"/>
            <w:left w:val="none" w:sz="0" w:space="0" w:color="auto"/>
            <w:bottom w:val="none" w:sz="0" w:space="0" w:color="auto"/>
            <w:right w:val="none" w:sz="0" w:space="0" w:color="auto"/>
          </w:divBdr>
        </w:div>
        <w:div w:id="1382287292">
          <w:marLeft w:val="1267"/>
          <w:marRight w:val="0"/>
          <w:marTop w:val="115"/>
          <w:marBottom w:val="0"/>
          <w:divBdr>
            <w:top w:val="none" w:sz="0" w:space="0" w:color="auto"/>
            <w:left w:val="none" w:sz="0" w:space="0" w:color="auto"/>
            <w:bottom w:val="none" w:sz="0" w:space="0" w:color="auto"/>
            <w:right w:val="none" w:sz="0" w:space="0" w:color="auto"/>
          </w:divBdr>
        </w:div>
      </w:divsChild>
    </w:div>
    <w:div w:id="1122840384">
      <w:bodyDiv w:val="1"/>
      <w:marLeft w:val="0"/>
      <w:marRight w:val="0"/>
      <w:marTop w:val="0"/>
      <w:marBottom w:val="0"/>
      <w:divBdr>
        <w:top w:val="none" w:sz="0" w:space="0" w:color="auto"/>
        <w:left w:val="none" w:sz="0" w:space="0" w:color="auto"/>
        <w:bottom w:val="none" w:sz="0" w:space="0" w:color="auto"/>
        <w:right w:val="none" w:sz="0" w:space="0" w:color="auto"/>
      </w:divBdr>
      <w:divsChild>
        <w:div w:id="1281299464">
          <w:marLeft w:val="1267"/>
          <w:marRight w:val="0"/>
          <w:marTop w:val="96"/>
          <w:marBottom w:val="0"/>
          <w:divBdr>
            <w:top w:val="none" w:sz="0" w:space="0" w:color="auto"/>
            <w:left w:val="none" w:sz="0" w:space="0" w:color="auto"/>
            <w:bottom w:val="none" w:sz="0" w:space="0" w:color="auto"/>
            <w:right w:val="none" w:sz="0" w:space="0" w:color="auto"/>
          </w:divBdr>
        </w:div>
        <w:div w:id="203372624">
          <w:marLeft w:val="1267"/>
          <w:marRight w:val="0"/>
          <w:marTop w:val="96"/>
          <w:marBottom w:val="0"/>
          <w:divBdr>
            <w:top w:val="none" w:sz="0" w:space="0" w:color="auto"/>
            <w:left w:val="none" w:sz="0" w:space="0" w:color="auto"/>
            <w:bottom w:val="none" w:sz="0" w:space="0" w:color="auto"/>
            <w:right w:val="none" w:sz="0" w:space="0" w:color="auto"/>
          </w:divBdr>
        </w:div>
        <w:div w:id="1594245466">
          <w:marLeft w:val="1267"/>
          <w:marRight w:val="0"/>
          <w:marTop w:val="96"/>
          <w:marBottom w:val="0"/>
          <w:divBdr>
            <w:top w:val="none" w:sz="0" w:space="0" w:color="auto"/>
            <w:left w:val="none" w:sz="0" w:space="0" w:color="auto"/>
            <w:bottom w:val="none" w:sz="0" w:space="0" w:color="auto"/>
            <w:right w:val="none" w:sz="0" w:space="0" w:color="auto"/>
          </w:divBdr>
        </w:div>
      </w:divsChild>
    </w:div>
    <w:div w:id="1248080835">
      <w:bodyDiv w:val="1"/>
      <w:marLeft w:val="0"/>
      <w:marRight w:val="0"/>
      <w:marTop w:val="0"/>
      <w:marBottom w:val="0"/>
      <w:divBdr>
        <w:top w:val="none" w:sz="0" w:space="0" w:color="auto"/>
        <w:left w:val="none" w:sz="0" w:space="0" w:color="auto"/>
        <w:bottom w:val="none" w:sz="0" w:space="0" w:color="auto"/>
        <w:right w:val="none" w:sz="0" w:space="0" w:color="auto"/>
      </w:divBdr>
      <w:divsChild>
        <w:div w:id="288167849">
          <w:marLeft w:val="720"/>
          <w:marRight w:val="0"/>
          <w:marTop w:val="134"/>
          <w:marBottom w:val="0"/>
          <w:divBdr>
            <w:top w:val="none" w:sz="0" w:space="0" w:color="auto"/>
            <w:left w:val="none" w:sz="0" w:space="0" w:color="auto"/>
            <w:bottom w:val="none" w:sz="0" w:space="0" w:color="auto"/>
            <w:right w:val="none" w:sz="0" w:space="0" w:color="auto"/>
          </w:divBdr>
        </w:div>
      </w:divsChild>
    </w:div>
    <w:div w:id="1428693753">
      <w:bodyDiv w:val="1"/>
      <w:marLeft w:val="0"/>
      <w:marRight w:val="0"/>
      <w:marTop w:val="0"/>
      <w:marBottom w:val="0"/>
      <w:divBdr>
        <w:top w:val="none" w:sz="0" w:space="0" w:color="auto"/>
        <w:left w:val="none" w:sz="0" w:space="0" w:color="auto"/>
        <w:bottom w:val="none" w:sz="0" w:space="0" w:color="auto"/>
        <w:right w:val="none" w:sz="0" w:space="0" w:color="auto"/>
      </w:divBdr>
      <w:divsChild>
        <w:div w:id="1596354660">
          <w:marLeft w:val="1267"/>
          <w:marRight w:val="0"/>
          <w:marTop w:val="86"/>
          <w:marBottom w:val="120"/>
          <w:divBdr>
            <w:top w:val="none" w:sz="0" w:space="0" w:color="auto"/>
            <w:left w:val="none" w:sz="0" w:space="0" w:color="auto"/>
            <w:bottom w:val="none" w:sz="0" w:space="0" w:color="auto"/>
            <w:right w:val="none" w:sz="0" w:space="0" w:color="auto"/>
          </w:divBdr>
        </w:div>
      </w:divsChild>
    </w:div>
    <w:div w:id="1453283876">
      <w:bodyDiv w:val="1"/>
      <w:marLeft w:val="0"/>
      <w:marRight w:val="0"/>
      <w:marTop w:val="0"/>
      <w:marBottom w:val="0"/>
      <w:divBdr>
        <w:top w:val="none" w:sz="0" w:space="0" w:color="auto"/>
        <w:left w:val="none" w:sz="0" w:space="0" w:color="auto"/>
        <w:bottom w:val="none" w:sz="0" w:space="0" w:color="auto"/>
        <w:right w:val="none" w:sz="0" w:space="0" w:color="auto"/>
      </w:divBdr>
      <w:divsChild>
        <w:div w:id="824396631">
          <w:marLeft w:val="720"/>
          <w:marRight w:val="0"/>
          <w:marTop w:val="125"/>
          <w:marBottom w:val="0"/>
          <w:divBdr>
            <w:top w:val="none" w:sz="0" w:space="0" w:color="auto"/>
            <w:left w:val="none" w:sz="0" w:space="0" w:color="auto"/>
            <w:bottom w:val="none" w:sz="0" w:space="0" w:color="auto"/>
            <w:right w:val="none" w:sz="0" w:space="0" w:color="auto"/>
          </w:divBdr>
        </w:div>
        <w:div w:id="916212842">
          <w:marLeft w:val="1267"/>
          <w:marRight w:val="0"/>
          <w:marTop w:val="115"/>
          <w:marBottom w:val="0"/>
          <w:divBdr>
            <w:top w:val="none" w:sz="0" w:space="0" w:color="auto"/>
            <w:left w:val="none" w:sz="0" w:space="0" w:color="auto"/>
            <w:bottom w:val="none" w:sz="0" w:space="0" w:color="auto"/>
            <w:right w:val="none" w:sz="0" w:space="0" w:color="auto"/>
          </w:divBdr>
        </w:div>
        <w:div w:id="2112042401">
          <w:marLeft w:val="1886"/>
          <w:marRight w:val="0"/>
          <w:marTop w:val="86"/>
          <w:marBottom w:val="0"/>
          <w:divBdr>
            <w:top w:val="none" w:sz="0" w:space="0" w:color="auto"/>
            <w:left w:val="none" w:sz="0" w:space="0" w:color="auto"/>
            <w:bottom w:val="none" w:sz="0" w:space="0" w:color="auto"/>
            <w:right w:val="none" w:sz="0" w:space="0" w:color="auto"/>
          </w:divBdr>
        </w:div>
        <w:div w:id="84033500">
          <w:marLeft w:val="1267"/>
          <w:marRight w:val="0"/>
          <w:marTop w:val="115"/>
          <w:marBottom w:val="0"/>
          <w:divBdr>
            <w:top w:val="none" w:sz="0" w:space="0" w:color="auto"/>
            <w:left w:val="none" w:sz="0" w:space="0" w:color="auto"/>
            <w:bottom w:val="none" w:sz="0" w:space="0" w:color="auto"/>
            <w:right w:val="none" w:sz="0" w:space="0" w:color="auto"/>
          </w:divBdr>
        </w:div>
        <w:div w:id="406654942">
          <w:marLeft w:val="1886"/>
          <w:marRight w:val="0"/>
          <w:marTop w:val="86"/>
          <w:marBottom w:val="0"/>
          <w:divBdr>
            <w:top w:val="none" w:sz="0" w:space="0" w:color="auto"/>
            <w:left w:val="none" w:sz="0" w:space="0" w:color="auto"/>
            <w:bottom w:val="none" w:sz="0" w:space="0" w:color="auto"/>
            <w:right w:val="none" w:sz="0" w:space="0" w:color="auto"/>
          </w:divBdr>
        </w:div>
        <w:div w:id="269973830">
          <w:marLeft w:val="2347"/>
          <w:marRight w:val="0"/>
          <w:marTop w:val="77"/>
          <w:marBottom w:val="0"/>
          <w:divBdr>
            <w:top w:val="none" w:sz="0" w:space="0" w:color="auto"/>
            <w:left w:val="none" w:sz="0" w:space="0" w:color="auto"/>
            <w:bottom w:val="none" w:sz="0" w:space="0" w:color="auto"/>
            <w:right w:val="none" w:sz="0" w:space="0" w:color="auto"/>
          </w:divBdr>
        </w:div>
        <w:div w:id="1382361137">
          <w:marLeft w:val="2347"/>
          <w:marRight w:val="0"/>
          <w:marTop w:val="77"/>
          <w:marBottom w:val="0"/>
          <w:divBdr>
            <w:top w:val="none" w:sz="0" w:space="0" w:color="auto"/>
            <w:left w:val="none" w:sz="0" w:space="0" w:color="auto"/>
            <w:bottom w:val="none" w:sz="0" w:space="0" w:color="auto"/>
            <w:right w:val="none" w:sz="0" w:space="0" w:color="auto"/>
          </w:divBdr>
        </w:div>
        <w:div w:id="2102984835">
          <w:marLeft w:val="1886"/>
          <w:marRight w:val="0"/>
          <w:marTop w:val="86"/>
          <w:marBottom w:val="0"/>
          <w:divBdr>
            <w:top w:val="none" w:sz="0" w:space="0" w:color="auto"/>
            <w:left w:val="none" w:sz="0" w:space="0" w:color="auto"/>
            <w:bottom w:val="none" w:sz="0" w:space="0" w:color="auto"/>
            <w:right w:val="none" w:sz="0" w:space="0" w:color="auto"/>
          </w:divBdr>
        </w:div>
        <w:div w:id="1102606830">
          <w:marLeft w:val="2347"/>
          <w:marRight w:val="0"/>
          <w:marTop w:val="77"/>
          <w:marBottom w:val="0"/>
          <w:divBdr>
            <w:top w:val="none" w:sz="0" w:space="0" w:color="auto"/>
            <w:left w:val="none" w:sz="0" w:space="0" w:color="auto"/>
            <w:bottom w:val="none" w:sz="0" w:space="0" w:color="auto"/>
            <w:right w:val="none" w:sz="0" w:space="0" w:color="auto"/>
          </w:divBdr>
        </w:div>
      </w:divsChild>
    </w:div>
    <w:div w:id="1521432557">
      <w:bodyDiv w:val="1"/>
      <w:marLeft w:val="0"/>
      <w:marRight w:val="0"/>
      <w:marTop w:val="0"/>
      <w:marBottom w:val="0"/>
      <w:divBdr>
        <w:top w:val="none" w:sz="0" w:space="0" w:color="auto"/>
        <w:left w:val="none" w:sz="0" w:space="0" w:color="auto"/>
        <w:bottom w:val="none" w:sz="0" w:space="0" w:color="auto"/>
        <w:right w:val="none" w:sz="0" w:space="0" w:color="auto"/>
      </w:divBdr>
    </w:div>
    <w:div w:id="1621256571">
      <w:bodyDiv w:val="1"/>
      <w:marLeft w:val="0"/>
      <w:marRight w:val="0"/>
      <w:marTop w:val="0"/>
      <w:marBottom w:val="0"/>
      <w:divBdr>
        <w:top w:val="none" w:sz="0" w:space="0" w:color="auto"/>
        <w:left w:val="none" w:sz="0" w:space="0" w:color="auto"/>
        <w:bottom w:val="none" w:sz="0" w:space="0" w:color="auto"/>
        <w:right w:val="none" w:sz="0" w:space="0" w:color="auto"/>
      </w:divBdr>
    </w:div>
    <w:div w:id="1786382186">
      <w:bodyDiv w:val="1"/>
      <w:marLeft w:val="0"/>
      <w:marRight w:val="0"/>
      <w:marTop w:val="0"/>
      <w:marBottom w:val="0"/>
      <w:divBdr>
        <w:top w:val="none" w:sz="0" w:space="0" w:color="auto"/>
        <w:left w:val="none" w:sz="0" w:space="0" w:color="auto"/>
        <w:bottom w:val="none" w:sz="0" w:space="0" w:color="auto"/>
        <w:right w:val="none" w:sz="0" w:space="0" w:color="auto"/>
      </w:divBdr>
    </w:div>
    <w:div w:id="1886285795">
      <w:bodyDiv w:val="1"/>
      <w:marLeft w:val="0"/>
      <w:marRight w:val="0"/>
      <w:marTop w:val="0"/>
      <w:marBottom w:val="0"/>
      <w:divBdr>
        <w:top w:val="none" w:sz="0" w:space="0" w:color="auto"/>
        <w:left w:val="none" w:sz="0" w:space="0" w:color="auto"/>
        <w:bottom w:val="none" w:sz="0" w:space="0" w:color="auto"/>
        <w:right w:val="none" w:sz="0" w:space="0" w:color="auto"/>
      </w:divBdr>
      <w:divsChild>
        <w:div w:id="433939250">
          <w:marLeft w:val="1267"/>
          <w:marRight w:val="0"/>
          <w:marTop w:val="115"/>
          <w:marBottom w:val="0"/>
          <w:divBdr>
            <w:top w:val="none" w:sz="0" w:space="0" w:color="auto"/>
            <w:left w:val="none" w:sz="0" w:space="0" w:color="auto"/>
            <w:bottom w:val="none" w:sz="0" w:space="0" w:color="auto"/>
            <w:right w:val="none" w:sz="0" w:space="0" w:color="auto"/>
          </w:divBdr>
        </w:div>
        <w:div w:id="75057360">
          <w:marLeft w:val="1267"/>
          <w:marRight w:val="0"/>
          <w:marTop w:val="115"/>
          <w:marBottom w:val="0"/>
          <w:divBdr>
            <w:top w:val="none" w:sz="0" w:space="0" w:color="auto"/>
            <w:left w:val="none" w:sz="0" w:space="0" w:color="auto"/>
            <w:bottom w:val="none" w:sz="0" w:space="0" w:color="auto"/>
            <w:right w:val="none" w:sz="0" w:space="0" w:color="auto"/>
          </w:divBdr>
        </w:div>
      </w:divsChild>
    </w:div>
    <w:div w:id="19889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mcm.caiso.com/BPM%20Document%20Library/Market%20Instruments/BPM_for_Market%20Instruments_V69_redlin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iso.com/InitiativeDocuments/HomeworkResponses-ExtendedDay-AheadMarket-WorkingGroup3-GreenhouseGasAccounting-Costs-Feb17-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69A3-EB9A-40B5-B660-7D342E976AF7}"/>
</file>

<file path=customXml/itemProps2.xml><?xml version="1.0" encoding="utf-8"?>
<ds:datastoreItem xmlns:ds="http://schemas.openxmlformats.org/officeDocument/2006/customXml" ds:itemID="{F8172164-5D03-4C82-9015-51E1877749EB}"/>
</file>

<file path=customXml/itemProps3.xml><?xml version="1.0" encoding="utf-8"?>
<ds:datastoreItem xmlns:ds="http://schemas.openxmlformats.org/officeDocument/2006/customXml" ds:itemID="{AB0E6BFE-57A1-41F4-ADE5-19071424524E}">
  <ds:schemaRefs>
    <ds:schemaRef ds:uri="http://schemas.microsoft.com/office/2006/metadata/properties"/>
    <ds:schemaRef ds:uri="http://schemas.microsoft.com/office/infopath/2007/PartnerControls"/>
    <ds:schemaRef ds:uri="2e64aaae-efe8-4b36-9ab4-486f04499e09"/>
    <ds:schemaRef ds:uri="http://schemas.microsoft.com/sharepoint/v3"/>
  </ds:schemaRefs>
</ds:datastoreItem>
</file>

<file path=customXml/itemProps4.xml><?xml version="1.0" encoding="utf-8"?>
<ds:datastoreItem xmlns:ds="http://schemas.openxmlformats.org/officeDocument/2006/customXml" ds:itemID="{471AF171-0616-429C-9282-5A8AD4770BF1}">
  <ds:schemaRefs>
    <ds:schemaRef ds:uri="http://schemas.microsoft.com/sharepoint/v3/contenttype/forms"/>
  </ds:schemaRefs>
</ds:datastoreItem>
</file>

<file path=customXml/itemProps5.xml><?xml version="1.0" encoding="utf-8"?>
<ds:datastoreItem xmlns:ds="http://schemas.openxmlformats.org/officeDocument/2006/customXml" ds:itemID="{01DA100B-75AE-47EE-AAE6-2ADFFBC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Bosanac, Milos</dc:creator>
  <cp:keywords/>
  <dc:description/>
  <cp:lastModifiedBy>Head, Kevin</cp:lastModifiedBy>
  <cp:revision>28</cp:revision>
  <dcterms:created xsi:type="dcterms:W3CDTF">2022-02-25T18:13:00Z</dcterms:created>
  <dcterms:modified xsi:type="dcterms:W3CDTF">2022-03-03T16:29:00Z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d2f8be99-d378-4813-84b9-7c4753042ce2</vt:lpwstr>
  </property>
  <property fmtid="{D5CDD505-2E9C-101B-9397-08002B2CF9AE}" pid="4" name="AutoClassRecordSeries">
    <vt:lpwstr>64;#Administrative:ADM01-205 - General Administrative Records|5af69918-5d89-4304-b8de-c3e9f48db833</vt:lpwstr>
  </property>
  <property fmtid="{D5CDD505-2E9C-101B-9397-08002B2CF9AE}" pid="5" name="AutoClassDocumentType">
    <vt:lpwstr/>
  </property>
  <property fmtid="{D5CDD505-2E9C-101B-9397-08002B2CF9AE}" pid="6" name="AutoClassTopic">
    <vt:lpwstr/>
  </property>
</Properties>
</file>