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4C3" w:rsidRDefault="00B41AEE" w:rsidP="000824C3">
      <w:pPr>
        <w:pStyle w:val="Title"/>
        <w:rPr>
          <w:noProof/>
        </w:rPr>
      </w:pPr>
      <w:r w:rsidRPr="00F27481">
        <w:rPr>
          <w:noProof/>
        </w:rPr>
        <w:drawing>
          <wp:anchor distT="0" distB="0" distL="114300" distR="114300" simplePos="0" relativeHeight="251661312" behindDoc="0" locked="0" layoutInCell="1" allowOverlap="1" wp14:anchorId="4548CDE9" wp14:editId="15103458">
            <wp:simplePos x="0" y="0"/>
            <wp:positionH relativeFrom="margin">
              <wp:align>center</wp:align>
            </wp:positionH>
            <wp:positionV relativeFrom="paragraph">
              <wp:posOffset>445580</wp:posOffset>
            </wp:positionV>
            <wp:extent cx="3663315" cy="684530"/>
            <wp:effectExtent l="0" t="0" r="0" b="1270"/>
            <wp:wrapNone/>
            <wp:docPr id="12" name="Picture 12" descr="CAIS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ISO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63315" cy="684530"/>
                    </a:xfrm>
                    <a:prstGeom prst="rect">
                      <a:avLst/>
                    </a:prstGeom>
                    <a:noFill/>
                  </pic:spPr>
                </pic:pic>
              </a:graphicData>
            </a:graphic>
            <wp14:sizeRelH relativeFrom="page">
              <wp14:pctWidth>0</wp14:pctWidth>
            </wp14:sizeRelH>
            <wp14:sizeRelV relativeFrom="page">
              <wp14:pctHeight>0</wp14:pctHeight>
            </wp14:sizeRelV>
          </wp:anchor>
        </w:drawing>
      </w:r>
    </w:p>
    <w:p w:rsidR="00541DF2" w:rsidRDefault="00541DF2" w:rsidP="00541DF2">
      <w:r w:rsidRPr="00F27481">
        <w:rPr>
          <w:noProof/>
        </w:rPr>
        <w:drawing>
          <wp:anchor distT="0" distB="0" distL="114300" distR="114300" simplePos="0" relativeHeight="251659264" behindDoc="1" locked="0" layoutInCell="1" allowOverlap="1" wp14:anchorId="2AC0598A" wp14:editId="3037DB53">
            <wp:simplePos x="0" y="0"/>
            <wp:positionH relativeFrom="page">
              <wp:align>right</wp:align>
            </wp:positionH>
            <wp:positionV relativeFrom="paragraph">
              <wp:posOffset>162560</wp:posOffset>
            </wp:positionV>
            <wp:extent cx="7772400" cy="8527415"/>
            <wp:effectExtent l="0" t="0" r="0" b="6985"/>
            <wp:wrapNone/>
            <wp:docPr id="10" name="Picture 2"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ckgroun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2400" cy="8527415"/>
                    </a:xfrm>
                    <a:prstGeom prst="rect">
                      <a:avLst/>
                    </a:prstGeom>
                    <a:noFill/>
                  </pic:spPr>
                </pic:pic>
              </a:graphicData>
            </a:graphic>
            <wp14:sizeRelH relativeFrom="page">
              <wp14:pctWidth>0</wp14:pctWidth>
            </wp14:sizeRelH>
            <wp14:sizeRelV relativeFrom="page">
              <wp14:pctHeight>0</wp14:pctHeight>
            </wp14:sizeRelV>
          </wp:anchor>
        </w:drawing>
      </w:r>
    </w:p>
    <w:p w:rsidR="00541DF2" w:rsidRDefault="00541DF2" w:rsidP="00541DF2"/>
    <w:p w:rsidR="00541DF2" w:rsidRDefault="00541DF2" w:rsidP="00541DF2"/>
    <w:p w:rsidR="00541DF2" w:rsidRPr="00541DF2" w:rsidRDefault="00541DF2" w:rsidP="00541DF2"/>
    <w:p w:rsidR="00541DF2" w:rsidRDefault="00541DF2" w:rsidP="000824C3">
      <w:pPr>
        <w:pStyle w:val="Title"/>
        <w:jc w:val="center"/>
        <w:rPr>
          <w:noProof/>
        </w:rPr>
      </w:pPr>
    </w:p>
    <w:p w:rsidR="00541DF2" w:rsidRDefault="00541DF2" w:rsidP="000824C3">
      <w:pPr>
        <w:pStyle w:val="Title"/>
        <w:jc w:val="center"/>
        <w:rPr>
          <w:noProof/>
        </w:rPr>
      </w:pPr>
    </w:p>
    <w:p w:rsidR="00541DF2" w:rsidRDefault="00541DF2" w:rsidP="000824C3">
      <w:pPr>
        <w:pStyle w:val="Title"/>
        <w:jc w:val="center"/>
        <w:rPr>
          <w:noProof/>
        </w:rPr>
      </w:pPr>
    </w:p>
    <w:p w:rsidR="00541DF2" w:rsidRDefault="00541DF2" w:rsidP="000824C3">
      <w:pPr>
        <w:pStyle w:val="Title"/>
        <w:jc w:val="center"/>
        <w:rPr>
          <w:noProof/>
        </w:rPr>
      </w:pPr>
    </w:p>
    <w:p w:rsidR="00A57A0D" w:rsidRDefault="000824C3" w:rsidP="000824C3">
      <w:pPr>
        <w:pStyle w:val="Title"/>
        <w:jc w:val="center"/>
        <w:rPr>
          <w:noProof/>
        </w:rPr>
      </w:pPr>
      <w:r>
        <w:rPr>
          <w:noProof/>
        </w:rPr>
        <w:t>Extended Day Ahead Market</w:t>
      </w:r>
    </w:p>
    <w:p w:rsidR="000824C3" w:rsidRDefault="007867E8" w:rsidP="000824C3">
      <w:pPr>
        <w:jc w:val="center"/>
        <w:rPr>
          <w:sz w:val="36"/>
          <w:szCs w:val="36"/>
        </w:rPr>
      </w:pPr>
      <w:r>
        <w:rPr>
          <w:sz w:val="36"/>
          <w:szCs w:val="36"/>
        </w:rPr>
        <w:t>Working Group 3</w:t>
      </w:r>
      <w:r w:rsidR="000824C3">
        <w:rPr>
          <w:sz w:val="36"/>
          <w:szCs w:val="36"/>
        </w:rPr>
        <w:t xml:space="preserve"> Weekly Report</w:t>
      </w:r>
    </w:p>
    <w:p w:rsidR="000824C3" w:rsidRDefault="000824C3" w:rsidP="000824C3">
      <w:pPr>
        <w:jc w:val="center"/>
        <w:rPr>
          <w:sz w:val="36"/>
          <w:szCs w:val="36"/>
        </w:rPr>
      </w:pPr>
    </w:p>
    <w:p w:rsidR="000824C3" w:rsidRDefault="000824C3" w:rsidP="000824C3">
      <w:pPr>
        <w:jc w:val="center"/>
        <w:rPr>
          <w:sz w:val="36"/>
          <w:szCs w:val="36"/>
        </w:rPr>
      </w:pPr>
    </w:p>
    <w:p w:rsidR="000824C3" w:rsidRDefault="006E6E8C" w:rsidP="000824C3">
      <w:pPr>
        <w:jc w:val="center"/>
        <w:rPr>
          <w:sz w:val="36"/>
          <w:szCs w:val="36"/>
        </w:rPr>
      </w:pPr>
      <w:r>
        <w:rPr>
          <w:sz w:val="36"/>
          <w:szCs w:val="36"/>
        </w:rPr>
        <w:t>Week 8</w:t>
      </w:r>
      <w:r w:rsidR="000824C3">
        <w:rPr>
          <w:sz w:val="36"/>
          <w:szCs w:val="36"/>
        </w:rPr>
        <w:t xml:space="preserve"> Report</w:t>
      </w:r>
    </w:p>
    <w:p w:rsidR="000824C3" w:rsidRPr="000824C3" w:rsidRDefault="006E6E8C" w:rsidP="000824C3">
      <w:pPr>
        <w:jc w:val="center"/>
        <w:rPr>
          <w:sz w:val="36"/>
          <w:szCs w:val="36"/>
        </w:rPr>
      </w:pPr>
      <w:r>
        <w:rPr>
          <w:sz w:val="36"/>
          <w:szCs w:val="36"/>
        </w:rPr>
        <w:t>2/21/22 – 2/25</w:t>
      </w:r>
      <w:r w:rsidR="000824C3">
        <w:rPr>
          <w:sz w:val="36"/>
          <w:szCs w:val="36"/>
        </w:rPr>
        <w:t>/22</w:t>
      </w:r>
    </w:p>
    <w:p w:rsidR="00A57A0D" w:rsidRDefault="00A57A0D">
      <w:pPr>
        <w:rPr>
          <w:noProof/>
        </w:rPr>
      </w:pPr>
    </w:p>
    <w:p w:rsidR="00A57A0D" w:rsidRDefault="00A57A0D">
      <w:pPr>
        <w:rPr>
          <w:rFonts w:asciiTheme="majorHAnsi" w:eastAsiaTheme="majorEastAsia" w:hAnsiTheme="majorHAnsi" w:cstheme="majorBidi"/>
          <w:noProof/>
          <w:color w:val="2E74B5" w:themeColor="accent1" w:themeShade="BF"/>
          <w:sz w:val="32"/>
          <w:szCs w:val="32"/>
        </w:rPr>
      </w:pPr>
      <w:r>
        <w:rPr>
          <w:noProof/>
        </w:rPr>
        <w:br w:type="page"/>
      </w:r>
    </w:p>
    <w:p w:rsidR="00C71573" w:rsidRPr="00C71573" w:rsidRDefault="00A17AA0" w:rsidP="00C71573">
      <w:pPr>
        <w:pStyle w:val="Heading1"/>
        <w:rPr>
          <w:noProof/>
        </w:rPr>
      </w:pPr>
      <w:r>
        <w:rPr>
          <w:noProof/>
        </w:rPr>
        <w:lastRenderedPageBreak/>
        <w:t>Progress Tracker</w:t>
      </w:r>
    </w:p>
    <w:tbl>
      <w:tblPr>
        <w:tblW w:w="9450" w:type="dxa"/>
        <w:jc w:val="center"/>
        <w:tblLook w:val="04A0" w:firstRow="1" w:lastRow="0" w:firstColumn="1" w:lastColumn="0" w:noHBand="0" w:noVBand="1"/>
      </w:tblPr>
      <w:tblGrid>
        <w:gridCol w:w="6750"/>
        <w:gridCol w:w="2700"/>
      </w:tblGrid>
      <w:tr w:rsidR="00AD285D" w:rsidRPr="00A57A0D" w:rsidTr="00295636">
        <w:trPr>
          <w:trHeight w:val="300"/>
          <w:jc w:val="center"/>
        </w:trPr>
        <w:tc>
          <w:tcPr>
            <w:tcW w:w="6750" w:type="dxa"/>
            <w:tcBorders>
              <w:top w:val="nil"/>
              <w:left w:val="nil"/>
              <w:bottom w:val="single" w:sz="4" w:space="0" w:color="auto"/>
              <w:right w:val="nil"/>
            </w:tcBorders>
            <w:shd w:val="clear" w:color="auto" w:fill="auto"/>
            <w:noWrap/>
            <w:vAlign w:val="bottom"/>
            <w:hideMark/>
          </w:tcPr>
          <w:p w:rsidR="00AD285D" w:rsidRPr="00A57A0D" w:rsidRDefault="00AD285D" w:rsidP="00295636">
            <w:pPr>
              <w:spacing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General Accounting: GHG Compliance Area(s)</w:t>
            </w:r>
          </w:p>
        </w:tc>
        <w:tc>
          <w:tcPr>
            <w:tcW w:w="2700" w:type="dxa"/>
            <w:tcBorders>
              <w:top w:val="nil"/>
              <w:left w:val="nil"/>
              <w:bottom w:val="single" w:sz="4" w:space="0" w:color="auto"/>
              <w:right w:val="nil"/>
            </w:tcBorders>
            <w:shd w:val="clear" w:color="auto" w:fill="auto"/>
            <w:noWrap/>
            <w:vAlign w:val="bottom"/>
            <w:hideMark/>
          </w:tcPr>
          <w:p w:rsidR="00AD285D" w:rsidRPr="00A57A0D" w:rsidRDefault="00AD285D" w:rsidP="00295636">
            <w:pPr>
              <w:spacing w:line="240" w:lineRule="auto"/>
              <w:jc w:val="center"/>
              <w:rPr>
                <w:rFonts w:ascii="Calibri" w:eastAsia="Times New Roman" w:hAnsi="Calibri" w:cs="Calibri"/>
                <w:b/>
                <w:bCs/>
                <w:color w:val="000000"/>
                <w:sz w:val="24"/>
                <w:szCs w:val="24"/>
              </w:rPr>
            </w:pPr>
          </w:p>
        </w:tc>
      </w:tr>
      <w:tr w:rsidR="00AD285D" w:rsidRPr="00A57A0D" w:rsidTr="00295636">
        <w:trPr>
          <w:trHeight w:val="300"/>
          <w:jc w:val="center"/>
        </w:trPr>
        <w:tc>
          <w:tcPr>
            <w:tcW w:w="6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285D" w:rsidRPr="00A57A0D" w:rsidRDefault="00AD285D" w:rsidP="00295636">
            <w:pPr>
              <w:spacing w:line="240" w:lineRule="auto"/>
              <w:jc w:val="right"/>
              <w:rPr>
                <w:rFonts w:ascii="Calibri" w:eastAsia="Times New Roman" w:hAnsi="Calibri" w:cs="Calibri"/>
                <w:color w:val="000000"/>
                <w:sz w:val="24"/>
                <w:szCs w:val="24"/>
              </w:rPr>
            </w:pPr>
            <w:r>
              <w:rPr>
                <w:rFonts w:ascii="Calibri" w:eastAsia="Times New Roman" w:hAnsi="Calibri" w:cs="Calibri"/>
                <w:color w:val="000000"/>
                <w:sz w:val="24"/>
                <w:szCs w:val="24"/>
              </w:rPr>
              <w:t>Boundaries (State, GHG Compliance Areas, BAA, LSE, International?)</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285D" w:rsidRDefault="00C71573" w:rsidP="00C71573">
            <w:pPr>
              <w:jc w:val="center"/>
              <w:rPr>
                <w:b/>
                <w:i/>
              </w:rPr>
            </w:pPr>
            <w:r>
              <w:rPr>
                <w:b/>
                <w:i/>
              </w:rPr>
              <w:t xml:space="preserve">Completed (RS) </w:t>
            </w:r>
            <w:r w:rsidR="005E68E1">
              <w:rPr>
                <w:b/>
                <w:i/>
              </w:rPr>
              <w:t>– 2/24</w:t>
            </w:r>
          </w:p>
          <w:p w:rsidR="00C71573" w:rsidRPr="008459EB" w:rsidRDefault="00C71573" w:rsidP="00C71573">
            <w:pPr>
              <w:jc w:val="center"/>
              <w:rPr>
                <w:b/>
                <w:i/>
              </w:rPr>
            </w:pPr>
            <w:r>
              <w:rPr>
                <w:b/>
                <w:i/>
              </w:rPr>
              <w:t>In Progress (U/Z) – 1/</w:t>
            </w:r>
            <w:r w:rsidR="005E68E1">
              <w:rPr>
                <w:b/>
                <w:i/>
              </w:rPr>
              <w:t>26</w:t>
            </w:r>
          </w:p>
        </w:tc>
      </w:tr>
      <w:tr w:rsidR="00AD285D" w:rsidRPr="00A57A0D" w:rsidTr="00295636">
        <w:trPr>
          <w:trHeight w:val="300"/>
          <w:jc w:val="center"/>
        </w:trPr>
        <w:tc>
          <w:tcPr>
            <w:tcW w:w="6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285D" w:rsidRPr="00A57A0D" w:rsidRDefault="00AD285D" w:rsidP="00295636">
            <w:pPr>
              <w:spacing w:line="240" w:lineRule="auto"/>
              <w:jc w:val="right"/>
              <w:rPr>
                <w:rFonts w:ascii="Calibri" w:eastAsia="Times New Roman" w:hAnsi="Calibri" w:cs="Calibri"/>
                <w:color w:val="000000"/>
                <w:sz w:val="24"/>
                <w:szCs w:val="24"/>
              </w:rPr>
            </w:pPr>
            <w:r w:rsidRPr="00D474E3">
              <w:rPr>
                <w:rFonts w:ascii="Calibri" w:eastAsia="Times New Roman" w:hAnsi="Calibri" w:cs="Calibri"/>
                <w:color w:val="000000"/>
                <w:sz w:val="24"/>
                <w:szCs w:val="24"/>
              </w:rPr>
              <w:tab/>
              <w:t>Implications for BAA spanning multiple states</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8E1" w:rsidRDefault="005E68E1" w:rsidP="005E68E1">
            <w:pPr>
              <w:jc w:val="center"/>
              <w:rPr>
                <w:b/>
                <w:i/>
              </w:rPr>
            </w:pPr>
            <w:r>
              <w:rPr>
                <w:b/>
                <w:i/>
              </w:rPr>
              <w:t>Completed (RS) – 2/24</w:t>
            </w:r>
          </w:p>
          <w:p w:rsidR="00AD285D" w:rsidRPr="00C0565D" w:rsidRDefault="005E68E1" w:rsidP="005E68E1">
            <w:pPr>
              <w:jc w:val="center"/>
            </w:pPr>
            <w:r>
              <w:rPr>
                <w:b/>
                <w:i/>
              </w:rPr>
              <w:t>In Progress (U/Z) – 1/26</w:t>
            </w:r>
          </w:p>
        </w:tc>
      </w:tr>
      <w:tr w:rsidR="00AD285D" w:rsidRPr="00A57A0D" w:rsidTr="00295636">
        <w:trPr>
          <w:trHeight w:val="300"/>
          <w:jc w:val="center"/>
        </w:trPr>
        <w:tc>
          <w:tcPr>
            <w:tcW w:w="67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285D" w:rsidRPr="00A57A0D" w:rsidRDefault="00AD285D" w:rsidP="00295636">
            <w:pPr>
              <w:spacing w:line="240" w:lineRule="auto"/>
              <w:jc w:val="right"/>
              <w:rPr>
                <w:rFonts w:ascii="Calibri" w:eastAsia="Times New Roman" w:hAnsi="Calibri" w:cs="Calibri"/>
                <w:color w:val="000000"/>
                <w:sz w:val="24"/>
                <w:szCs w:val="24"/>
              </w:rPr>
            </w:pPr>
            <w:r w:rsidRPr="00D474E3">
              <w:rPr>
                <w:rFonts w:ascii="Calibri" w:eastAsia="Times New Roman" w:hAnsi="Calibri" w:cs="Calibri"/>
                <w:color w:val="000000"/>
                <w:sz w:val="24"/>
                <w:szCs w:val="24"/>
              </w:rPr>
              <w:tab/>
              <w:t>Impacts to EIM</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285D" w:rsidRPr="005E68E1" w:rsidRDefault="005E68E1" w:rsidP="005E68E1">
            <w:pPr>
              <w:jc w:val="center"/>
              <w:rPr>
                <w:b/>
                <w:i/>
              </w:rPr>
            </w:pPr>
            <w:r>
              <w:rPr>
                <w:b/>
                <w:i/>
              </w:rPr>
              <w:t>In progress (RS) - 2/24</w:t>
            </w:r>
          </w:p>
        </w:tc>
      </w:tr>
      <w:tr w:rsidR="00AD285D" w:rsidRPr="00A57A0D" w:rsidTr="00295636">
        <w:trPr>
          <w:trHeight w:val="300"/>
          <w:jc w:val="center"/>
        </w:trPr>
        <w:tc>
          <w:tcPr>
            <w:tcW w:w="67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285D" w:rsidRPr="00A57A0D" w:rsidRDefault="00AD285D" w:rsidP="00295636">
            <w:pPr>
              <w:spacing w:line="240" w:lineRule="auto"/>
              <w:jc w:val="right"/>
              <w:rPr>
                <w:rFonts w:ascii="Calibri" w:eastAsia="Times New Roman" w:hAnsi="Calibri" w:cs="Calibri"/>
                <w:color w:val="000000"/>
                <w:sz w:val="24"/>
                <w:szCs w:val="24"/>
              </w:rPr>
            </w:pPr>
            <w:r w:rsidRPr="00D474E3">
              <w:rPr>
                <w:rFonts w:ascii="Calibri" w:eastAsia="Times New Roman" w:hAnsi="Calibri" w:cs="Calibri"/>
                <w:color w:val="000000"/>
                <w:sz w:val="24"/>
                <w:szCs w:val="24"/>
              </w:rPr>
              <w:tab/>
              <w:t>Rules that need to be established for renewable resource dispatch in/out of a GHG zone</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rsidR="005E68E1" w:rsidRDefault="005E68E1" w:rsidP="005E68E1">
            <w:pPr>
              <w:jc w:val="center"/>
              <w:rPr>
                <w:b/>
                <w:i/>
              </w:rPr>
            </w:pPr>
            <w:r>
              <w:rPr>
                <w:b/>
                <w:i/>
              </w:rPr>
              <w:t>Completed (RS) – 2/24</w:t>
            </w:r>
          </w:p>
          <w:p w:rsidR="00AD285D" w:rsidRDefault="005E68E1" w:rsidP="005E68E1">
            <w:pPr>
              <w:jc w:val="center"/>
            </w:pPr>
            <w:r>
              <w:rPr>
                <w:b/>
                <w:i/>
              </w:rPr>
              <w:t>In Progress (U/Z) – 1/26</w:t>
            </w:r>
          </w:p>
        </w:tc>
      </w:tr>
      <w:tr w:rsidR="00AD285D" w:rsidRPr="00A57A0D" w:rsidTr="00295636">
        <w:trPr>
          <w:trHeight w:val="300"/>
          <w:jc w:val="center"/>
        </w:trPr>
        <w:tc>
          <w:tcPr>
            <w:tcW w:w="6750" w:type="dxa"/>
            <w:tcBorders>
              <w:top w:val="single" w:sz="4" w:space="0" w:color="auto"/>
              <w:left w:val="nil"/>
              <w:bottom w:val="single" w:sz="4" w:space="0" w:color="auto"/>
              <w:right w:val="nil"/>
            </w:tcBorders>
            <w:shd w:val="clear" w:color="auto" w:fill="auto"/>
            <w:noWrap/>
            <w:vAlign w:val="bottom"/>
            <w:hideMark/>
          </w:tcPr>
          <w:p w:rsidR="00AD285D" w:rsidRPr="00A57A0D" w:rsidRDefault="00AD285D" w:rsidP="00295636">
            <w:pPr>
              <w:spacing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General Accounting: Availability</w:t>
            </w:r>
          </w:p>
        </w:tc>
        <w:tc>
          <w:tcPr>
            <w:tcW w:w="2700" w:type="dxa"/>
            <w:tcBorders>
              <w:top w:val="single" w:sz="4" w:space="0" w:color="auto"/>
              <w:left w:val="nil"/>
              <w:bottom w:val="single" w:sz="4" w:space="0" w:color="auto"/>
              <w:right w:val="nil"/>
            </w:tcBorders>
            <w:shd w:val="clear" w:color="auto" w:fill="auto"/>
            <w:noWrap/>
            <w:vAlign w:val="bottom"/>
            <w:hideMark/>
          </w:tcPr>
          <w:p w:rsidR="00AD285D" w:rsidRPr="00C0565D" w:rsidRDefault="00AD285D" w:rsidP="00295636">
            <w:pPr>
              <w:jc w:val="center"/>
            </w:pPr>
          </w:p>
        </w:tc>
      </w:tr>
      <w:tr w:rsidR="00AD285D" w:rsidRPr="00A57A0D" w:rsidTr="00295636">
        <w:trPr>
          <w:trHeight w:val="300"/>
          <w:jc w:val="center"/>
        </w:trPr>
        <w:tc>
          <w:tcPr>
            <w:tcW w:w="6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285D" w:rsidRPr="00A57A0D" w:rsidRDefault="00AD285D" w:rsidP="00295636">
            <w:pPr>
              <w:spacing w:line="240" w:lineRule="auto"/>
              <w:jc w:val="right"/>
              <w:rPr>
                <w:rFonts w:ascii="Calibri" w:eastAsia="Times New Roman" w:hAnsi="Calibri" w:cs="Calibri"/>
                <w:color w:val="000000"/>
                <w:sz w:val="24"/>
                <w:szCs w:val="24"/>
              </w:rPr>
            </w:pPr>
            <w:r>
              <w:rPr>
                <w:rFonts w:ascii="Calibri" w:eastAsia="Times New Roman" w:hAnsi="Calibri" w:cs="Calibri"/>
                <w:color w:val="000000"/>
                <w:sz w:val="24"/>
                <w:szCs w:val="24"/>
              </w:rPr>
              <w:t>R</w:t>
            </w:r>
            <w:r w:rsidRPr="00AC25D0">
              <w:rPr>
                <w:rFonts w:ascii="Calibri" w:eastAsia="Times New Roman" w:hAnsi="Calibri" w:cs="Calibri"/>
                <w:color w:val="000000"/>
                <w:sz w:val="24"/>
                <w:szCs w:val="24"/>
              </w:rPr>
              <w:t xml:space="preserve">ules for availability </w:t>
            </w:r>
            <w:r>
              <w:rPr>
                <w:rFonts w:ascii="Calibri" w:eastAsia="Times New Roman" w:hAnsi="Calibri" w:cs="Calibri"/>
                <w:color w:val="000000"/>
                <w:sz w:val="24"/>
                <w:szCs w:val="24"/>
              </w:rPr>
              <w:t>to serve load in GHG compliance area</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285D" w:rsidRPr="00D75228" w:rsidRDefault="00AD285D" w:rsidP="00295636">
            <w:pPr>
              <w:spacing w:line="240" w:lineRule="auto"/>
              <w:jc w:val="center"/>
              <w:rPr>
                <w:rFonts w:ascii="Calibri" w:eastAsia="Times New Roman" w:hAnsi="Calibri" w:cs="Calibri"/>
                <w:b/>
                <w:color w:val="000000"/>
                <w:sz w:val="24"/>
                <w:szCs w:val="24"/>
              </w:rPr>
            </w:pPr>
            <w:r>
              <w:rPr>
                <w:rFonts w:ascii="Calibri" w:eastAsia="Times New Roman" w:hAnsi="Calibri" w:cs="Calibri"/>
                <w:b/>
                <w:color w:val="000000"/>
                <w:sz w:val="24"/>
                <w:szCs w:val="24"/>
              </w:rPr>
              <w:t xml:space="preserve">Completed - </w:t>
            </w:r>
            <w:r w:rsidRPr="00D75228">
              <w:rPr>
                <w:rFonts w:ascii="Calibri" w:eastAsia="Times New Roman" w:hAnsi="Calibri" w:cs="Calibri"/>
                <w:b/>
                <w:color w:val="000000"/>
                <w:sz w:val="24"/>
                <w:szCs w:val="24"/>
              </w:rPr>
              <w:t>1/13/2022</w:t>
            </w:r>
          </w:p>
        </w:tc>
      </w:tr>
      <w:tr w:rsidR="00AD285D" w:rsidRPr="00A57A0D" w:rsidTr="00295636">
        <w:trPr>
          <w:trHeight w:val="300"/>
          <w:jc w:val="center"/>
        </w:trPr>
        <w:tc>
          <w:tcPr>
            <w:tcW w:w="6750" w:type="dxa"/>
            <w:tcBorders>
              <w:top w:val="single" w:sz="4" w:space="0" w:color="auto"/>
              <w:left w:val="nil"/>
              <w:bottom w:val="single" w:sz="4" w:space="0" w:color="auto"/>
              <w:right w:val="nil"/>
            </w:tcBorders>
            <w:shd w:val="clear" w:color="auto" w:fill="auto"/>
            <w:noWrap/>
            <w:vAlign w:val="bottom"/>
            <w:hideMark/>
          </w:tcPr>
          <w:p w:rsidR="00AD285D" w:rsidRPr="00A57A0D" w:rsidRDefault="00AD285D" w:rsidP="00295636">
            <w:pPr>
              <w:spacing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General Accounting: Costs being optimized</w:t>
            </w:r>
          </w:p>
        </w:tc>
        <w:tc>
          <w:tcPr>
            <w:tcW w:w="2700" w:type="dxa"/>
            <w:tcBorders>
              <w:top w:val="single" w:sz="4" w:space="0" w:color="auto"/>
              <w:left w:val="nil"/>
              <w:bottom w:val="single" w:sz="4" w:space="0" w:color="auto"/>
              <w:right w:val="nil"/>
            </w:tcBorders>
            <w:shd w:val="clear" w:color="auto" w:fill="auto"/>
            <w:noWrap/>
            <w:vAlign w:val="bottom"/>
            <w:hideMark/>
          </w:tcPr>
          <w:p w:rsidR="00AD285D" w:rsidRPr="00A57A0D" w:rsidRDefault="00AD285D" w:rsidP="00295636">
            <w:pPr>
              <w:spacing w:line="240" w:lineRule="auto"/>
              <w:jc w:val="center"/>
              <w:rPr>
                <w:rFonts w:ascii="Calibri" w:eastAsia="Times New Roman" w:hAnsi="Calibri" w:cs="Calibri"/>
                <w:b/>
                <w:bCs/>
                <w:color w:val="000000"/>
                <w:sz w:val="24"/>
                <w:szCs w:val="24"/>
              </w:rPr>
            </w:pPr>
          </w:p>
        </w:tc>
      </w:tr>
      <w:tr w:rsidR="00AD285D" w:rsidRPr="00A57A0D" w:rsidTr="00295636">
        <w:trPr>
          <w:trHeight w:val="300"/>
          <w:jc w:val="center"/>
        </w:trPr>
        <w:tc>
          <w:tcPr>
            <w:tcW w:w="6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285D" w:rsidRPr="00A57A0D" w:rsidRDefault="00AD285D" w:rsidP="00295636">
            <w:pPr>
              <w:spacing w:line="240" w:lineRule="auto"/>
              <w:jc w:val="right"/>
              <w:rPr>
                <w:rFonts w:ascii="Calibri" w:eastAsia="Times New Roman" w:hAnsi="Calibri" w:cs="Calibri"/>
                <w:color w:val="000000"/>
                <w:sz w:val="24"/>
                <w:szCs w:val="24"/>
              </w:rPr>
            </w:pPr>
            <w:r>
              <w:rPr>
                <w:rFonts w:ascii="Calibri" w:eastAsia="Times New Roman" w:hAnsi="Calibri" w:cs="Calibri"/>
                <w:color w:val="000000"/>
                <w:sz w:val="24"/>
                <w:szCs w:val="24"/>
              </w:rPr>
              <w:t xml:space="preserve">Are we optimizing Carbon prices?  </w:t>
            </w:r>
            <w:r w:rsidRPr="00AC25D0">
              <w:rPr>
                <w:rFonts w:ascii="Calibri" w:eastAsia="Times New Roman" w:hAnsi="Calibri" w:cs="Calibri"/>
                <w:color w:val="000000"/>
                <w:sz w:val="24"/>
                <w:szCs w:val="24"/>
              </w:rPr>
              <w:t>RPS/CES?</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285D" w:rsidRPr="00A57A0D" w:rsidRDefault="00AD285D" w:rsidP="00295636">
            <w:pPr>
              <w:spacing w:line="240" w:lineRule="auto"/>
              <w:jc w:val="center"/>
              <w:rPr>
                <w:rFonts w:ascii="Calibri" w:eastAsia="Times New Roman" w:hAnsi="Calibri" w:cs="Calibri"/>
                <w:color w:val="000000"/>
                <w:sz w:val="24"/>
                <w:szCs w:val="24"/>
              </w:rPr>
            </w:pPr>
            <w:r>
              <w:rPr>
                <w:rFonts w:ascii="Calibri" w:eastAsia="Times New Roman" w:hAnsi="Calibri" w:cs="Calibri"/>
                <w:b/>
                <w:color w:val="000000"/>
                <w:sz w:val="24"/>
                <w:szCs w:val="24"/>
              </w:rPr>
              <w:t xml:space="preserve">Completed - </w:t>
            </w:r>
            <w:r w:rsidRPr="00D75228">
              <w:rPr>
                <w:rFonts w:ascii="Calibri" w:eastAsia="Times New Roman" w:hAnsi="Calibri" w:cs="Calibri"/>
                <w:b/>
                <w:color w:val="000000"/>
                <w:sz w:val="24"/>
                <w:szCs w:val="24"/>
              </w:rPr>
              <w:t>1</w:t>
            </w:r>
            <w:r>
              <w:rPr>
                <w:rFonts w:ascii="Calibri" w:eastAsia="Times New Roman" w:hAnsi="Calibri" w:cs="Calibri"/>
                <w:b/>
                <w:color w:val="000000"/>
                <w:sz w:val="24"/>
                <w:szCs w:val="24"/>
              </w:rPr>
              <w:t>/11</w:t>
            </w:r>
            <w:r w:rsidRPr="00D75228">
              <w:rPr>
                <w:rFonts w:ascii="Calibri" w:eastAsia="Times New Roman" w:hAnsi="Calibri" w:cs="Calibri"/>
                <w:b/>
                <w:color w:val="000000"/>
                <w:sz w:val="24"/>
                <w:szCs w:val="24"/>
              </w:rPr>
              <w:t>/2022</w:t>
            </w:r>
          </w:p>
        </w:tc>
      </w:tr>
      <w:tr w:rsidR="00AD285D" w:rsidRPr="00A57A0D" w:rsidTr="00295636">
        <w:trPr>
          <w:trHeight w:val="300"/>
          <w:jc w:val="center"/>
        </w:trPr>
        <w:tc>
          <w:tcPr>
            <w:tcW w:w="6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285D" w:rsidRPr="00A57A0D" w:rsidRDefault="00AD285D" w:rsidP="00295636">
            <w:pPr>
              <w:spacing w:line="240" w:lineRule="auto"/>
              <w:jc w:val="right"/>
              <w:rPr>
                <w:rFonts w:ascii="Calibri" w:eastAsia="Times New Roman" w:hAnsi="Calibri" w:cs="Calibri"/>
                <w:color w:val="000000"/>
                <w:sz w:val="24"/>
                <w:szCs w:val="24"/>
              </w:rPr>
            </w:pPr>
            <w:r w:rsidRPr="00AC25D0">
              <w:rPr>
                <w:rFonts w:ascii="Calibri" w:eastAsia="Times New Roman" w:hAnsi="Calibri" w:cs="Calibri"/>
                <w:color w:val="000000"/>
                <w:sz w:val="24"/>
                <w:szCs w:val="24"/>
              </w:rPr>
              <w:t>Types</w:t>
            </w:r>
            <w:r>
              <w:rPr>
                <w:rFonts w:ascii="Calibri" w:eastAsia="Times New Roman" w:hAnsi="Calibri" w:cs="Calibri"/>
                <w:color w:val="000000"/>
                <w:sz w:val="24"/>
                <w:szCs w:val="24"/>
              </w:rPr>
              <w:t xml:space="preserve"> of pricing :  c</w:t>
            </w:r>
            <w:r w:rsidRPr="00AC25D0">
              <w:rPr>
                <w:rFonts w:ascii="Calibri" w:eastAsia="Times New Roman" w:hAnsi="Calibri" w:cs="Calibri"/>
                <w:color w:val="000000"/>
                <w:sz w:val="24"/>
                <w:szCs w:val="24"/>
              </w:rPr>
              <w:t>arbon pricing</w:t>
            </w:r>
            <w:r>
              <w:rPr>
                <w:rFonts w:ascii="Calibri" w:eastAsia="Times New Roman" w:hAnsi="Calibri" w:cs="Calibri"/>
                <w:color w:val="000000"/>
                <w:sz w:val="24"/>
                <w:szCs w:val="24"/>
              </w:rPr>
              <w:t xml:space="preserve">, clean </w:t>
            </w:r>
            <w:r w:rsidRPr="00AC25D0">
              <w:rPr>
                <w:rFonts w:ascii="Calibri" w:eastAsia="Times New Roman" w:hAnsi="Calibri" w:cs="Calibri"/>
                <w:color w:val="000000"/>
                <w:sz w:val="24"/>
                <w:szCs w:val="24"/>
              </w:rPr>
              <w:t>energy/renewable</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285D" w:rsidRPr="00A57A0D" w:rsidRDefault="00AD285D" w:rsidP="00295636">
            <w:pPr>
              <w:spacing w:line="240" w:lineRule="auto"/>
              <w:jc w:val="center"/>
              <w:rPr>
                <w:rFonts w:ascii="Calibri" w:eastAsia="Times New Roman" w:hAnsi="Calibri" w:cs="Calibri"/>
                <w:color w:val="000000"/>
                <w:sz w:val="24"/>
                <w:szCs w:val="24"/>
              </w:rPr>
            </w:pPr>
            <w:r>
              <w:rPr>
                <w:rFonts w:ascii="Calibri" w:eastAsia="Times New Roman" w:hAnsi="Calibri" w:cs="Calibri"/>
                <w:b/>
                <w:color w:val="000000"/>
                <w:sz w:val="24"/>
                <w:szCs w:val="24"/>
              </w:rPr>
              <w:t xml:space="preserve">Completed - </w:t>
            </w:r>
            <w:r w:rsidRPr="00D75228">
              <w:rPr>
                <w:rFonts w:ascii="Calibri" w:eastAsia="Times New Roman" w:hAnsi="Calibri" w:cs="Calibri"/>
                <w:b/>
                <w:color w:val="000000"/>
                <w:sz w:val="24"/>
                <w:szCs w:val="24"/>
              </w:rPr>
              <w:t>1</w:t>
            </w:r>
            <w:r>
              <w:rPr>
                <w:rFonts w:ascii="Calibri" w:eastAsia="Times New Roman" w:hAnsi="Calibri" w:cs="Calibri"/>
                <w:b/>
                <w:color w:val="000000"/>
                <w:sz w:val="24"/>
                <w:szCs w:val="24"/>
              </w:rPr>
              <w:t>/11</w:t>
            </w:r>
            <w:r w:rsidRPr="00D75228">
              <w:rPr>
                <w:rFonts w:ascii="Calibri" w:eastAsia="Times New Roman" w:hAnsi="Calibri" w:cs="Calibri"/>
                <w:b/>
                <w:color w:val="000000"/>
                <w:sz w:val="24"/>
                <w:szCs w:val="24"/>
              </w:rPr>
              <w:t>/2022</w:t>
            </w:r>
          </w:p>
        </w:tc>
      </w:tr>
      <w:tr w:rsidR="00AD285D" w:rsidRPr="00A57A0D" w:rsidTr="00295636">
        <w:trPr>
          <w:trHeight w:val="300"/>
          <w:jc w:val="center"/>
        </w:trPr>
        <w:tc>
          <w:tcPr>
            <w:tcW w:w="67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285D" w:rsidRPr="00AC25D0" w:rsidRDefault="00AD285D" w:rsidP="00295636">
            <w:pPr>
              <w:spacing w:line="240" w:lineRule="auto"/>
              <w:jc w:val="right"/>
              <w:rPr>
                <w:rFonts w:ascii="Calibri" w:eastAsia="Times New Roman" w:hAnsi="Calibri" w:cs="Calibri"/>
                <w:color w:val="000000"/>
                <w:sz w:val="24"/>
                <w:szCs w:val="24"/>
              </w:rPr>
            </w:pPr>
            <w:r>
              <w:rPr>
                <w:rFonts w:ascii="Calibri" w:eastAsia="Times New Roman" w:hAnsi="Calibri" w:cs="Calibri"/>
                <w:color w:val="000000"/>
                <w:sz w:val="24"/>
                <w:szCs w:val="24"/>
              </w:rPr>
              <w:t xml:space="preserve">Transactions: GHG zone (Gen </w:t>
            </w:r>
            <w:r w:rsidRPr="00397A41">
              <w:rPr>
                <w:rFonts w:ascii="Calibri" w:eastAsia="Times New Roman" w:hAnsi="Calibri" w:cs="Calibri"/>
                <w:color w:val="000000"/>
                <w:sz w:val="24"/>
                <w:szCs w:val="24"/>
              </w:rPr>
              <w:t>in GHG zone</w:t>
            </w:r>
            <w:r>
              <w:rPr>
                <w:rFonts w:ascii="Calibri" w:eastAsia="Times New Roman" w:hAnsi="Calibri" w:cs="Calibri"/>
                <w:color w:val="000000"/>
                <w:sz w:val="24"/>
                <w:szCs w:val="24"/>
              </w:rPr>
              <w:t xml:space="preserve">, Imports into GHG zone) vs Non-GHG zone (Gen </w:t>
            </w:r>
            <w:r w:rsidRPr="00397A41">
              <w:rPr>
                <w:rFonts w:ascii="Calibri" w:eastAsia="Times New Roman" w:hAnsi="Calibri" w:cs="Calibri"/>
                <w:color w:val="000000"/>
                <w:sz w:val="24"/>
                <w:szCs w:val="24"/>
              </w:rPr>
              <w:t>in non-GHG zone</w:t>
            </w:r>
            <w:r>
              <w:rPr>
                <w:rFonts w:ascii="Calibri" w:eastAsia="Times New Roman" w:hAnsi="Calibri" w:cs="Calibri"/>
                <w:color w:val="000000"/>
                <w:sz w:val="24"/>
                <w:szCs w:val="24"/>
              </w:rPr>
              <w:t xml:space="preserve">, </w:t>
            </w:r>
            <w:r w:rsidRPr="00397A41">
              <w:rPr>
                <w:rFonts w:ascii="Calibri" w:eastAsia="Times New Roman" w:hAnsi="Calibri" w:cs="Calibri"/>
                <w:color w:val="000000"/>
                <w:sz w:val="24"/>
                <w:szCs w:val="24"/>
              </w:rPr>
              <w:t xml:space="preserve">Exports into GHG zone </w:t>
            </w:r>
            <w:r>
              <w:rPr>
                <w:rFonts w:ascii="Calibri" w:eastAsia="Times New Roman" w:hAnsi="Calibri" w:cs="Calibri"/>
                <w:color w:val="000000"/>
                <w:sz w:val="24"/>
                <w:szCs w:val="24"/>
              </w:rPr>
              <w:t>)</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68E1" w:rsidRDefault="005E68E1" w:rsidP="005E68E1">
            <w:pPr>
              <w:jc w:val="center"/>
              <w:rPr>
                <w:b/>
                <w:i/>
              </w:rPr>
            </w:pPr>
            <w:r>
              <w:rPr>
                <w:b/>
                <w:i/>
              </w:rPr>
              <w:t>Completed (RS) – 2/24</w:t>
            </w:r>
          </w:p>
          <w:p w:rsidR="00AD285D" w:rsidRPr="00A57A0D" w:rsidRDefault="005E68E1" w:rsidP="005E68E1">
            <w:pPr>
              <w:spacing w:line="240" w:lineRule="auto"/>
              <w:jc w:val="center"/>
              <w:rPr>
                <w:rFonts w:ascii="Calibri" w:eastAsia="Times New Roman" w:hAnsi="Calibri" w:cs="Calibri"/>
                <w:color w:val="000000"/>
                <w:sz w:val="24"/>
                <w:szCs w:val="24"/>
              </w:rPr>
            </w:pPr>
            <w:r>
              <w:rPr>
                <w:b/>
                <w:i/>
              </w:rPr>
              <w:t>In Progress (U/Z) – 1/26</w:t>
            </w:r>
          </w:p>
        </w:tc>
      </w:tr>
      <w:tr w:rsidR="00AD285D" w:rsidRPr="00A57A0D" w:rsidTr="00295636">
        <w:trPr>
          <w:trHeight w:val="300"/>
          <w:jc w:val="center"/>
        </w:trPr>
        <w:tc>
          <w:tcPr>
            <w:tcW w:w="6750" w:type="dxa"/>
            <w:tcBorders>
              <w:top w:val="single" w:sz="4" w:space="0" w:color="auto"/>
              <w:left w:val="nil"/>
              <w:bottom w:val="single" w:sz="4" w:space="0" w:color="auto"/>
              <w:right w:val="nil"/>
            </w:tcBorders>
            <w:shd w:val="clear" w:color="auto" w:fill="auto"/>
            <w:noWrap/>
            <w:vAlign w:val="bottom"/>
            <w:hideMark/>
          </w:tcPr>
          <w:p w:rsidR="00AD285D" w:rsidRPr="00A57A0D" w:rsidRDefault="00AD285D" w:rsidP="00295636">
            <w:pPr>
              <w:spacing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 xml:space="preserve">General Accounting: </w:t>
            </w:r>
            <w:r w:rsidRPr="00401CF6">
              <w:rPr>
                <w:rFonts w:ascii="Calibri" w:eastAsia="Times New Roman" w:hAnsi="Calibri" w:cs="Calibri"/>
                <w:b/>
                <w:bCs/>
                <w:color w:val="000000"/>
                <w:sz w:val="24"/>
                <w:szCs w:val="24"/>
              </w:rPr>
              <w:t>Emissions attribution</w:t>
            </w:r>
          </w:p>
        </w:tc>
        <w:tc>
          <w:tcPr>
            <w:tcW w:w="2700" w:type="dxa"/>
            <w:tcBorders>
              <w:top w:val="single" w:sz="4" w:space="0" w:color="auto"/>
              <w:left w:val="nil"/>
              <w:bottom w:val="single" w:sz="4" w:space="0" w:color="auto"/>
              <w:right w:val="nil"/>
            </w:tcBorders>
            <w:shd w:val="clear" w:color="auto" w:fill="auto"/>
            <w:noWrap/>
            <w:vAlign w:val="bottom"/>
            <w:hideMark/>
          </w:tcPr>
          <w:p w:rsidR="00AD285D" w:rsidRPr="00A57A0D" w:rsidRDefault="00AD285D" w:rsidP="00295636">
            <w:pPr>
              <w:spacing w:line="240" w:lineRule="auto"/>
              <w:jc w:val="center"/>
              <w:rPr>
                <w:rFonts w:ascii="Calibri" w:eastAsia="Times New Roman" w:hAnsi="Calibri" w:cs="Calibri"/>
                <w:b/>
                <w:bCs/>
                <w:color w:val="000000"/>
                <w:sz w:val="24"/>
                <w:szCs w:val="24"/>
              </w:rPr>
            </w:pPr>
          </w:p>
        </w:tc>
      </w:tr>
      <w:tr w:rsidR="00AD285D" w:rsidRPr="00A57A0D" w:rsidTr="00295636">
        <w:trPr>
          <w:trHeight w:val="300"/>
          <w:jc w:val="center"/>
        </w:trPr>
        <w:tc>
          <w:tcPr>
            <w:tcW w:w="6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285D" w:rsidRPr="00A57A0D" w:rsidRDefault="00AD285D" w:rsidP="00295636">
            <w:pPr>
              <w:spacing w:line="240" w:lineRule="auto"/>
              <w:jc w:val="right"/>
              <w:rPr>
                <w:rFonts w:ascii="Calibri" w:eastAsia="Times New Roman" w:hAnsi="Calibri" w:cs="Calibri"/>
                <w:color w:val="000000"/>
                <w:sz w:val="24"/>
                <w:szCs w:val="24"/>
              </w:rPr>
            </w:pPr>
            <w:r>
              <w:rPr>
                <w:rFonts w:ascii="Calibri" w:eastAsia="Times New Roman" w:hAnsi="Calibri" w:cs="Calibri"/>
                <w:color w:val="000000"/>
                <w:sz w:val="24"/>
                <w:szCs w:val="24"/>
              </w:rPr>
              <w:t xml:space="preserve">Resource specific, </w:t>
            </w:r>
            <w:r w:rsidRPr="00401CF6">
              <w:rPr>
                <w:rFonts w:ascii="Calibri" w:eastAsia="Times New Roman" w:hAnsi="Calibri" w:cs="Calibri"/>
                <w:color w:val="000000"/>
                <w:sz w:val="24"/>
                <w:szCs w:val="24"/>
              </w:rPr>
              <w:t>Unspecified</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8E1" w:rsidRDefault="005E68E1" w:rsidP="005E68E1">
            <w:pPr>
              <w:jc w:val="center"/>
              <w:rPr>
                <w:b/>
                <w:i/>
              </w:rPr>
            </w:pPr>
            <w:r>
              <w:rPr>
                <w:b/>
                <w:i/>
              </w:rPr>
              <w:t>Completed (RS) – 2/24</w:t>
            </w:r>
          </w:p>
          <w:p w:rsidR="00AD285D" w:rsidRPr="00A57A0D" w:rsidRDefault="005E68E1" w:rsidP="005E68E1">
            <w:pPr>
              <w:spacing w:line="240" w:lineRule="auto"/>
              <w:jc w:val="center"/>
              <w:rPr>
                <w:rFonts w:ascii="Calibri" w:eastAsia="Times New Roman" w:hAnsi="Calibri" w:cs="Calibri"/>
                <w:color w:val="000000"/>
                <w:sz w:val="24"/>
                <w:szCs w:val="24"/>
              </w:rPr>
            </w:pPr>
            <w:r>
              <w:rPr>
                <w:b/>
                <w:i/>
              </w:rPr>
              <w:t>In Progress (U/Z) – 1/26</w:t>
            </w:r>
          </w:p>
        </w:tc>
      </w:tr>
      <w:tr w:rsidR="00AD285D" w:rsidRPr="00A57A0D" w:rsidTr="00295636">
        <w:trPr>
          <w:trHeight w:val="300"/>
          <w:jc w:val="center"/>
        </w:trPr>
        <w:tc>
          <w:tcPr>
            <w:tcW w:w="67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285D" w:rsidRPr="00A57A0D" w:rsidRDefault="00AD285D" w:rsidP="00295636">
            <w:pPr>
              <w:spacing w:line="240" w:lineRule="auto"/>
              <w:jc w:val="right"/>
              <w:rPr>
                <w:rFonts w:ascii="Calibri" w:eastAsia="Times New Roman" w:hAnsi="Calibri" w:cs="Calibri"/>
                <w:color w:val="000000"/>
                <w:sz w:val="24"/>
                <w:szCs w:val="24"/>
              </w:rPr>
            </w:pPr>
            <w:r w:rsidRPr="00401CF6">
              <w:rPr>
                <w:rFonts w:ascii="Calibri" w:eastAsia="Times New Roman" w:hAnsi="Calibri" w:cs="Calibri"/>
                <w:color w:val="000000"/>
                <w:sz w:val="24"/>
                <w:szCs w:val="24"/>
              </w:rPr>
              <w:t>Determining emissions rate attribution with different participation options</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68E1" w:rsidRDefault="005E68E1" w:rsidP="005E68E1">
            <w:pPr>
              <w:jc w:val="center"/>
              <w:rPr>
                <w:b/>
                <w:i/>
              </w:rPr>
            </w:pPr>
            <w:r>
              <w:rPr>
                <w:b/>
                <w:i/>
              </w:rPr>
              <w:t>Completed (RS) – 2/24</w:t>
            </w:r>
          </w:p>
          <w:p w:rsidR="00AD285D" w:rsidRPr="00A57A0D" w:rsidRDefault="005E68E1" w:rsidP="005E68E1">
            <w:pPr>
              <w:spacing w:line="240" w:lineRule="auto"/>
              <w:jc w:val="center"/>
              <w:rPr>
                <w:rFonts w:ascii="Calibri" w:eastAsia="Times New Roman" w:hAnsi="Calibri" w:cs="Calibri"/>
                <w:color w:val="000000"/>
                <w:sz w:val="24"/>
                <w:szCs w:val="24"/>
              </w:rPr>
            </w:pPr>
            <w:r>
              <w:rPr>
                <w:b/>
                <w:i/>
              </w:rPr>
              <w:t>In Progress (U/Z) – 1/26</w:t>
            </w:r>
          </w:p>
        </w:tc>
      </w:tr>
      <w:tr w:rsidR="00AD285D" w:rsidRPr="00A57A0D" w:rsidTr="00295636">
        <w:trPr>
          <w:trHeight w:val="300"/>
          <w:jc w:val="center"/>
        </w:trPr>
        <w:tc>
          <w:tcPr>
            <w:tcW w:w="6750" w:type="dxa"/>
            <w:tcBorders>
              <w:top w:val="single" w:sz="4" w:space="0" w:color="auto"/>
              <w:bottom w:val="single" w:sz="4" w:space="0" w:color="auto"/>
            </w:tcBorders>
            <w:shd w:val="clear" w:color="auto" w:fill="auto"/>
            <w:noWrap/>
            <w:vAlign w:val="center"/>
          </w:tcPr>
          <w:p w:rsidR="00AD285D" w:rsidRPr="00401CF6" w:rsidRDefault="00AD285D" w:rsidP="00295636">
            <w:pPr>
              <w:spacing w:line="240" w:lineRule="auto"/>
              <w:rPr>
                <w:rFonts w:ascii="Calibri" w:eastAsia="Times New Roman" w:hAnsi="Calibri" w:cs="Calibri"/>
                <w:color w:val="000000"/>
                <w:sz w:val="24"/>
                <w:szCs w:val="24"/>
              </w:rPr>
            </w:pPr>
            <w:r>
              <w:rPr>
                <w:rFonts w:ascii="Calibri" w:eastAsia="Times New Roman" w:hAnsi="Calibri" w:cs="Calibri"/>
                <w:b/>
                <w:bCs/>
                <w:color w:val="000000"/>
                <w:sz w:val="24"/>
                <w:szCs w:val="24"/>
              </w:rPr>
              <w:t>General Accounting: Participation options</w:t>
            </w:r>
          </w:p>
        </w:tc>
        <w:tc>
          <w:tcPr>
            <w:tcW w:w="2700" w:type="dxa"/>
            <w:tcBorders>
              <w:top w:val="single" w:sz="4" w:space="0" w:color="auto"/>
              <w:bottom w:val="single" w:sz="4" w:space="0" w:color="auto"/>
            </w:tcBorders>
            <w:shd w:val="clear" w:color="auto" w:fill="auto"/>
            <w:noWrap/>
            <w:vAlign w:val="bottom"/>
          </w:tcPr>
          <w:p w:rsidR="00AD285D" w:rsidRPr="00510005" w:rsidRDefault="00AD285D" w:rsidP="00295636">
            <w:pPr>
              <w:spacing w:line="240" w:lineRule="auto"/>
              <w:jc w:val="center"/>
              <w:rPr>
                <w:rFonts w:ascii="Calibri" w:eastAsia="Times New Roman" w:hAnsi="Calibri" w:cs="Calibri"/>
                <w:b/>
                <w:i/>
                <w:color w:val="000000"/>
                <w:sz w:val="24"/>
                <w:szCs w:val="24"/>
              </w:rPr>
            </w:pPr>
          </w:p>
        </w:tc>
      </w:tr>
      <w:tr w:rsidR="00AD285D" w:rsidRPr="00A57A0D" w:rsidTr="00295636">
        <w:trPr>
          <w:trHeight w:val="300"/>
          <w:jc w:val="center"/>
        </w:trPr>
        <w:tc>
          <w:tcPr>
            <w:tcW w:w="67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285D" w:rsidRPr="00401CF6" w:rsidRDefault="00AD285D" w:rsidP="00295636">
            <w:pPr>
              <w:spacing w:line="240" w:lineRule="auto"/>
              <w:jc w:val="right"/>
              <w:rPr>
                <w:rFonts w:ascii="Calibri" w:eastAsia="Times New Roman" w:hAnsi="Calibri" w:cs="Calibri"/>
                <w:color w:val="000000"/>
                <w:sz w:val="24"/>
                <w:szCs w:val="24"/>
              </w:rPr>
            </w:pPr>
            <w:r w:rsidRPr="00397A41">
              <w:rPr>
                <w:rFonts w:ascii="Calibri" w:eastAsia="Times New Roman" w:hAnsi="Calibri" w:cs="Calibri"/>
                <w:color w:val="000000"/>
                <w:sz w:val="24"/>
                <w:szCs w:val="24"/>
              </w:rPr>
              <w:t>Determining emissions attribution with differ</w:t>
            </w:r>
            <w:r>
              <w:rPr>
                <w:rFonts w:ascii="Calibri" w:eastAsia="Times New Roman" w:hAnsi="Calibri" w:cs="Calibri"/>
                <w:color w:val="000000"/>
                <w:sz w:val="24"/>
                <w:szCs w:val="24"/>
              </w:rPr>
              <w:t>ent participation options</w:t>
            </w:r>
            <w:r w:rsidRPr="00397A41">
              <w:rPr>
                <w:rFonts w:ascii="Calibri" w:eastAsia="Times New Roman" w:hAnsi="Calibri" w:cs="Calibri"/>
                <w:color w:val="000000"/>
                <w:sz w:val="24"/>
                <w:szCs w:val="24"/>
              </w:rPr>
              <w:t xml:space="preserve">: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68E1" w:rsidRDefault="005E68E1" w:rsidP="005E68E1">
            <w:pPr>
              <w:jc w:val="center"/>
              <w:rPr>
                <w:b/>
                <w:i/>
              </w:rPr>
            </w:pPr>
            <w:r>
              <w:rPr>
                <w:b/>
                <w:i/>
              </w:rPr>
              <w:t>Completed (RS) – 2/24</w:t>
            </w:r>
          </w:p>
          <w:p w:rsidR="00AD285D" w:rsidRPr="00510005" w:rsidRDefault="005E68E1" w:rsidP="005E68E1">
            <w:pPr>
              <w:spacing w:line="240" w:lineRule="auto"/>
              <w:jc w:val="center"/>
              <w:rPr>
                <w:rFonts w:ascii="Calibri" w:eastAsia="Times New Roman" w:hAnsi="Calibri" w:cs="Calibri"/>
                <w:b/>
                <w:i/>
                <w:color w:val="000000"/>
                <w:sz w:val="24"/>
                <w:szCs w:val="24"/>
              </w:rPr>
            </w:pPr>
            <w:r>
              <w:rPr>
                <w:b/>
                <w:i/>
              </w:rPr>
              <w:t>In Progress (U/Z) – 1/26</w:t>
            </w:r>
          </w:p>
        </w:tc>
      </w:tr>
      <w:tr w:rsidR="00AD285D" w:rsidRPr="00A57A0D" w:rsidTr="00295636">
        <w:trPr>
          <w:trHeight w:val="300"/>
          <w:jc w:val="center"/>
        </w:trPr>
        <w:tc>
          <w:tcPr>
            <w:tcW w:w="6750" w:type="dxa"/>
            <w:tcBorders>
              <w:top w:val="single" w:sz="4" w:space="0" w:color="auto"/>
              <w:bottom w:val="single" w:sz="4" w:space="0" w:color="auto"/>
            </w:tcBorders>
            <w:shd w:val="clear" w:color="auto" w:fill="auto"/>
            <w:noWrap/>
            <w:vAlign w:val="center"/>
          </w:tcPr>
          <w:p w:rsidR="00AD285D" w:rsidRPr="00401CF6" w:rsidRDefault="00AD285D" w:rsidP="00295636">
            <w:pPr>
              <w:spacing w:line="240" w:lineRule="auto"/>
              <w:rPr>
                <w:rFonts w:ascii="Calibri" w:eastAsia="Times New Roman" w:hAnsi="Calibri" w:cs="Calibri"/>
                <w:color w:val="000000"/>
                <w:sz w:val="24"/>
                <w:szCs w:val="24"/>
              </w:rPr>
            </w:pPr>
            <w:r>
              <w:rPr>
                <w:rFonts w:ascii="Calibri" w:eastAsia="Times New Roman" w:hAnsi="Calibri" w:cs="Calibri"/>
                <w:b/>
                <w:bCs/>
                <w:color w:val="000000"/>
                <w:sz w:val="24"/>
                <w:szCs w:val="24"/>
              </w:rPr>
              <w:t xml:space="preserve">General Accounting: </w:t>
            </w:r>
            <w:r w:rsidRPr="006D47D1">
              <w:rPr>
                <w:rFonts w:ascii="Calibri" w:eastAsia="Times New Roman" w:hAnsi="Calibri" w:cs="Calibri"/>
                <w:b/>
                <w:bCs/>
                <w:color w:val="000000"/>
                <w:sz w:val="24"/>
                <w:szCs w:val="24"/>
              </w:rPr>
              <w:t>Multiple GHG Zones</w:t>
            </w:r>
          </w:p>
        </w:tc>
        <w:tc>
          <w:tcPr>
            <w:tcW w:w="2700" w:type="dxa"/>
            <w:tcBorders>
              <w:top w:val="single" w:sz="4" w:space="0" w:color="auto"/>
              <w:bottom w:val="single" w:sz="4" w:space="0" w:color="auto"/>
            </w:tcBorders>
            <w:shd w:val="clear" w:color="auto" w:fill="auto"/>
            <w:noWrap/>
            <w:vAlign w:val="bottom"/>
          </w:tcPr>
          <w:p w:rsidR="00AD285D" w:rsidRPr="00510005" w:rsidRDefault="00AD285D" w:rsidP="00295636">
            <w:pPr>
              <w:spacing w:line="240" w:lineRule="auto"/>
              <w:jc w:val="center"/>
              <w:rPr>
                <w:rFonts w:ascii="Calibri" w:eastAsia="Times New Roman" w:hAnsi="Calibri" w:cs="Calibri"/>
                <w:b/>
                <w:i/>
                <w:color w:val="000000"/>
                <w:sz w:val="24"/>
                <w:szCs w:val="24"/>
              </w:rPr>
            </w:pPr>
          </w:p>
        </w:tc>
      </w:tr>
      <w:tr w:rsidR="00AD285D" w:rsidRPr="00A57A0D" w:rsidTr="00295636">
        <w:trPr>
          <w:trHeight w:val="300"/>
          <w:jc w:val="center"/>
        </w:trPr>
        <w:tc>
          <w:tcPr>
            <w:tcW w:w="67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285D" w:rsidRPr="00401CF6" w:rsidRDefault="00AD285D" w:rsidP="00295636">
            <w:pPr>
              <w:spacing w:line="240" w:lineRule="auto"/>
              <w:jc w:val="right"/>
              <w:rPr>
                <w:rFonts w:ascii="Calibri" w:eastAsia="Times New Roman" w:hAnsi="Calibri" w:cs="Calibri"/>
                <w:color w:val="000000"/>
                <w:sz w:val="24"/>
                <w:szCs w:val="24"/>
              </w:rPr>
            </w:pPr>
            <w:r w:rsidRPr="00397A41">
              <w:rPr>
                <w:rFonts w:ascii="Calibri" w:eastAsia="Times New Roman" w:hAnsi="Calibri" w:cs="Calibri"/>
                <w:color w:val="000000"/>
                <w:sz w:val="24"/>
                <w:szCs w:val="24"/>
              </w:rPr>
              <w:t>Can the model accommodate multiple GHG zones? If so, how?</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68E1" w:rsidRDefault="005E68E1" w:rsidP="005E68E1">
            <w:pPr>
              <w:jc w:val="center"/>
              <w:rPr>
                <w:b/>
                <w:i/>
              </w:rPr>
            </w:pPr>
            <w:r>
              <w:rPr>
                <w:b/>
                <w:i/>
              </w:rPr>
              <w:t>Completed (RS) – 2/24</w:t>
            </w:r>
          </w:p>
          <w:p w:rsidR="00AD285D" w:rsidRPr="00510005" w:rsidRDefault="005E68E1" w:rsidP="005E68E1">
            <w:pPr>
              <w:spacing w:line="240" w:lineRule="auto"/>
              <w:jc w:val="center"/>
              <w:rPr>
                <w:rFonts w:ascii="Calibri" w:eastAsia="Times New Roman" w:hAnsi="Calibri" w:cs="Calibri"/>
                <w:b/>
                <w:i/>
                <w:color w:val="000000"/>
                <w:sz w:val="24"/>
                <w:szCs w:val="24"/>
              </w:rPr>
            </w:pPr>
            <w:r>
              <w:rPr>
                <w:b/>
                <w:i/>
              </w:rPr>
              <w:t>In Progress (U/Z) – 1/26</w:t>
            </w:r>
          </w:p>
        </w:tc>
      </w:tr>
      <w:tr w:rsidR="00AD285D" w:rsidRPr="00A57A0D" w:rsidTr="00295636">
        <w:trPr>
          <w:trHeight w:val="300"/>
          <w:jc w:val="center"/>
        </w:trPr>
        <w:tc>
          <w:tcPr>
            <w:tcW w:w="6750" w:type="dxa"/>
            <w:tcBorders>
              <w:top w:val="single" w:sz="4" w:space="0" w:color="auto"/>
              <w:bottom w:val="single" w:sz="4" w:space="0" w:color="auto"/>
            </w:tcBorders>
            <w:shd w:val="clear" w:color="auto" w:fill="auto"/>
            <w:noWrap/>
            <w:vAlign w:val="center"/>
          </w:tcPr>
          <w:p w:rsidR="00AD285D" w:rsidRPr="00401CF6" w:rsidRDefault="00AD285D" w:rsidP="00295636">
            <w:pPr>
              <w:spacing w:line="240" w:lineRule="auto"/>
              <w:rPr>
                <w:rFonts w:ascii="Calibri" w:eastAsia="Times New Roman" w:hAnsi="Calibri" w:cs="Calibri"/>
                <w:color w:val="000000"/>
                <w:sz w:val="24"/>
                <w:szCs w:val="24"/>
              </w:rPr>
            </w:pPr>
            <w:r>
              <w:rPr>
                <w:rFonts w:ascii="Calibri" w:eastAsia="Times New Roman" w:hAnsi="Calibri" w:cs="Calibri"/>
                <w:b/>
                <w:bCs/>
                <w:color w:val="000000"/>
                <w:sz w:val="24"/>
                <w:szCs w:val="24"/>
              </w:rPr>
              <w:t>Approach-specific Issues: Baseline for evaluation of attribution</w:t>
            </w:r>
          </w:p>
        </w:tc>
        <w:tc>
          <w:tcPr>
            <w:tcW w:w="2700" w:type="dxa"/>
            <w:tcBorders>
              <w:top w:val="single" w:sz="4" w:space="0" w:color="auto"/>
              <w:bottom w:val="single" w:sz="4" w:space="0" w:color="auto"/>
            </w:tcBorders>
            <w:shd w:val="clear" w:color="auto" w:fill="auto"/>
            <w:noWrap/>
            <w:vAlign w:val="bottom"/>
          </w:tcPr>
          <w:p w:rsidR="00AD285D" w:rsidRPr="00510005" w:rsidRDefault="00AD285D" w:rsidP="00295636">
            <w:pPr>
              <w:spacing w:line="240" w:lineRule="auto"/>
              <w:jc w:val="center"/>
              <w:rPr>
                <w:rFonts w:ascii="Calibri" w:eastAsia="Times New Roman" w:hAnsi="Calibri" w:cs="Calibri"/>
                <w:b/>
                <w:i/>
                <w:color w:val="000000"/>
                <w:sz w:val="24"/>
                <w:szCs w:val="24"/>
              </w:rPr>
            </w:pPr>
          </w:p>
        </w:tc>
      </w:tr>
      <w:tr w:rsidR="00AD285D" w:rsidRPr="00A57A0D" w:rsidTr="00295636">
        <w:trPr>
          <w:trHeight w:val="300"/>
          <w:jc w:val="center"/>
        </w:trPr>
        <w:tc>
          <w:tcPr>
            <w:tcW w:w="67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285D" w:rsidRDefault="00AD285D" w:rsidP="00295636">
            <w:pPr>
              <w:spacing w:line="240" w:lineRule="auto"/>
              <w:jc w:val="right"/>
              <w:rPr>
                <w:rFonts w:ascii="Calibri" w:eastAsia="Times New Roman" w:hAnsi="Calibri" w:cs="Calibri"/>
                <w:color w:val="000000"/>
                <w:sz w:val="24"/>
                <w:szCs w:val="24"/>
              </w:rPr>
            </w:pPr>
            <w:r>
              <w:rPr>
                <w:rFonts w:ascii="Calibri" w:eastAsia="Times New Roman" w:hAnsi="Calibri" w:cs="Calibri"/>
                <w:color w:val="000000"/>
                <w:sz w:val="24"/>
                <w:szCs w:val="24"/>
              </w:rPr>
              <w:t>(Resource-specific approach only)</w:t>
            </w:r>
          </w:p>
          <w:p w:rsidR="00AD285D" w:rsidRPr="00401CF6" w:rsidRDefault="00AD285D" w:rsidP="00295636">
            <w:pPr>
              <w:spacing w:line="240" w:lineRule="auto"/>
              <w:jc w:val="right"/>
              <w:rPr>
                <w:rFonts w:ascii="Calibri" w:eastAsia="Times New Roman" w:hAnsi="Calibri" w:cs="Calibri"/>
                <w:color w:val="000000"/>
                <w:sz w:val="24"/>
                <w:szCs w:val="24"/>
              </w:rPr>
            </w:pPr>
            <w:r w:rsidRPr="00397A41">
              <w:rPr>
                <w:rFonts w:ascii="Calibri" w:eastAsia="Times New Roman" w:hAnsi="Calibri" w:cs="Calibri"/>
                <w:color w:val="000000"/>
                <w:sz w:val="24"/>
                <w:szCs w:val="24"/>
              </w:rPr>
              <w:t>What should the baseline for evaluating GHG attribution?</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285D" w:rsidRPr="005E68E1" w:rsidRDefault="005E68E1" w:rsidP="005E68E1">
            <w:pPr>
              <w:jc w:val="center"/>
              <w:rPr>
                <w:b/>
                <w:i/>
              </w:rPr>
            </w:pPr>
            <w:r>
              <w:rPr>
                <w:b/>
                <w:i/>
              </w:rPr>
              <w:t>In Progress (RS) – 2/24</w:t>
            </w:r>
          </w:p>
        </w:tc>
      </w:tr>
      <w:tr w:rsidR="00AD285D" w:rsidRPr="00A57A0D" w:rsidTr="00295636">
        <w:trPr>
          <w:trHeight w:val="300"/>
          <w:jc w:val="center"/>
        </w:trPr>
        <w:tc>
          <w:tcPr>
            <w:tcW w:w="6750" w:type="dxa"/>
            <w:tcBorders>
              <w:top w:val="single" w:sz="4" w:space="0" w:color="auto"/>
              <w:bottom w:val="single" w:sz="4" w:space="0" w:color="auto"/>
            </w:tcBorders>
            <w:shd w:val="clear" w:color="auto" w:fill="auto"/>
            <w:noWrap/>
            <w:vAlign w:val="center"/>
          </w:tcPr>
          <w:p w:rsidR="00AD285D" w:rsidRPr="00401CF6" w:rsidRDefault="00AD285D" w:rsidP="00295636">
            <w:pPr>
              <w:spacing w:line="240" w:lineRule="auto"/>
              <w:rPr>
                <w:rFonts w:ascii="Calibri" w:eastAsia="Times New Roman" w:hAnsi="Calibri" w:cs="Calibri"/>
                <w:color w:val="000000"/>
                <w:sz w:val="24"/>
                <w:szCs w:val="24"/>
              </w:rPr>
            </w:pPr>
            <w:r>
              <w:rPr>
                <w:rFonts w:ascii="Calibri" w:eastAsia="Times New Roman" w:hAnsi="Calibri" w:cs="Calibri"/>
                <w:b/>
                <w:bCs/>
                <w:color w:val="000000"/>
                <w:sz w:val="24"/>
                <w:szCs w:val="24"/>
              </w:rPr>
              <w:t xml:space="preserve">Approach-specific Issues: </w:t>
            </w:r>
            <w:r w:rsidRPr="00397A41">
              <w:rPr>
                <w:rFonts w:ascii="Calibri" w:eastAsia="Times New Roman" w:hAnsi="Calibri" w:cs="Calibri"/>
                <w:b/>
                <w:bCs/>
                <w:color w:val="000000"/>
                <w:sz w:val="24"/>
                <w:szCs w:val="24"/>
              </w:rPr>
              <w:t>Hurdle rate calculation</w:t>
            </w:r>
          </w:p>
        </w:tc>
        <w:tc>
          <w:tcPr>
            <w:tcW w:w="2700" w:type="dxa"/>
            <w:tcBorders>
              <w:top w:val="single" w:sz="4" w:space="0" w:color="auto"/>
              <w:bottom w:val="single" w:sz="4" w:space="0" w:color="auto"/>
            </w:tcBorders>
            <w:shd w:val="clear" w:color="auto" w:fill="auto"/>
            <w:noWrap/>
            <w:vAlign w:val="bottom"/>
          </w:tcPr>
          <w:p w:rsidR="00AD285D" w:rsidRPr="00510005" w:rsidRDefault="00AD285D" w:rsidP="00295636">
            <w:pPr>
              <w:spacing w:line="240" w:lineRule="auto"/>
              <w:jc w:val="center"/>
              <w:rPr>
                <w:rFonts w:ascii="Calibri" w:eastAsia="Times New Roman" w:hAnsi="Calibri" w:cs="Calibri"/>
                <w:b/>
                <w:i/>
                <w:color w:val="000000"/>
                <w:sz w:val="24"/>
                <w:szCs w:val="24"/>
              </w:rPr>
            </w:pPr>
          </w:p>
        </w:tc>
      </w:tr>
      <w:tr w:rsidR="00AD285D" w:rsidRPr="00A57A0D" w:rsidTr="00295636">
        <w:trPr>
          <w:trHeight w:val="300"/>
          <w:jc w:val="center"/>
        </w:trPr>
        <w:tc>
          <w:tcPr>
            <w:tcW w:w="67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285D" w:rsidRDefault="00AD285D" w:rsidP="00295636">
            <w:pPr>
              <w:spacing w:line="240" w:lineRule="auto"/>
              <w:jc w:val="right"/>
              <w:rPr>
                <w:rFonts w:ascii="Calibri" w:eastAsia="Times New Roman" w:hAnsi="Calibri" w:cs="Calibri"/>
                <w:color w:val="000000"/>
                <w:sz w:val="24"/>
                <w:szCs w:val="24"/>
              </w:rPr>
            </w:pPr>
            <w:r>
              <w:rPr>
                <w:rFonts w:ascii="Calibri" w:eastAsia="Times New Roman" w:hAnsi="Calibri" w:cs="Calibri"/>
                <w:color w:val="000000"/>
                <w:sz w:val="24"/>
                <w:szCs w:val="24"/>
              </w:rPr>
              <w:t>(Unspecified/zonal approach only)</w:t>
            </w:r>
          </w:p>
          <w:p w:rsidR="00AD285D" w:rsidRPr="00401CF6" w:rsidRDefault="00AD285D" w:rsidP="00295636">
            <w:pPr>
              <w:spacing w:line="240" w:lineRule="auto"/>
              <w:jc w:val="right"/>
              <w:rPr>
                <w:rFonts w:ascii="Calibri" w:eastAsia="Times New Roman" w:hAnsi="Calibri" w:cs="Calibri"/>
                <w:color w:val="000000"/>
                <w:sz w:val="24"/>
                <w:szCs w:val="24"/>
              </w:rPr>
            </w:pPr>
            <w:r w:rsidRPr="00397A41">
              <w:rPr>
                <w:rFonts w:ascii="Calibri" w:eastAsia="Times New Roman" w:hAnsi="Calibri" w:cs="Calibri"/>
                <w:color w:val="000000"/>
                <w:sz w:val="24"/>
                <w:szCs w:val="24"/>
              </w:rPr>
              <w:t>How would the hurdle rate calculation work?</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285D" w:rsidRDefault="00AD285D" w:rsidP="00295636">
            <w:pPr>
              <w:spacing w:line="240" w:lineRule="auto"/>
              <w:jc w:val="center"/>
              <w:rPr>
                <w:b/>
                <w:i/>
              </w:rPr>
            </w:pPr>
            <w:r>
              <w:rPr>
                <w:b/>
                <w:i/>
              </w:rPr>
              <w:t>In Progress</w:t>
            </w:r>
          </w:p>
          <w:p w:rsidR="00AD285D" w:rsidRPr="00510005" w:rsidRDefault="00AD285D" w:rsidP="005E68E1">
            <w:pPr>
              <w:spacing w:line="240" w:lineRule="auto"/>
              <w:jc w:val="center"/>
              <w:rPr>
                <w:rFonts w:ascii="Calibri" w:eastAsia="Times New Roman" w:hAnsi="Calibri" w:cs="Calibri"/>
                <w:b/>
                <w:i/>
                <w:color w:val="000000"/>
                <w:sz w:val="24"/>
                <w:szCs w:val="24"/>
              </w:rPr>
            </w:pPr>
            <w:r>
              <w:rPr>
                <w:b/>
                <w:i/>
              </w:rPr>
              <w:t>1/2</w:t>
            </w:r>
            <w:r w:rsidR="005E68E1">
              <w:rPr>
                <w:b/>
                <w:i/>
              </w:rPr>
              <w:t>6</w:t>
            </w:r>
            <w:r w:rsidRPr="008459EB">
              <w:rPr>
                <w:b/>
                <w:i/>
              </w:rPr>
              <w:t>/2022</w:t>
            </w:r>
          </w:p>
        </w:tc>
      </w:tr>
      <w:tr w:rsidR="00AD285D" w:rsidRPr="00A57A0D" w:rsidTr="00295636">
        <w:trPr>
          <w:trHeight w:val="300"/>
          <w:jc w:val="center"/>
        </w:trPr>
        <w:tc>
          <w:tcPr>
            <w:tcW w:w="6750" w:type="dxa"/>
            <w:tcBorders>
              <w:top w:val="single" w:sz="4" w:space="0" w:color="auto"/>
              <w:bottom w:val="single" w:sz="4" w:space="0" w:color="auto"/>
            </w:tcBorders>
            <w:shd w:val="clear" w:color="auto" w:fill="auto"/>
            <w:noWrap/>
            <w:vAlign w:val="center"/>
          </w:tcPr>
          <w:p w:rsidR="00AD285D" w:rsidRPr="00401CF6" w:rsidRDefault="00AD285D" w:rsidP="00295636">
            <w:pPr>
              <w:spacing w:line="240" w:lineRule="auto"/>
              <w:rPr>
                <w:rFonts w:ascii="Calibri" w:eastAsia="Times New Roman" w:hAnsi="Calibri" w:cs="Calibri"/>
                <w:color w:val="000000"/>
                <w:sz w:val="24"/>
                <w:szCs w:val="24"/>
              </w:rPr>
            </w:pPr>
            <w:r w:rsidRPr="00397A41">
              <w:rPr>
                <w:rFonts w:ascii="Calibri" w:eastAsia="Times New Roman" w:hAnsi="Calibri" w:cs="Calibri"/>
                <w:b/>
                <w:bCs/>
                <w:color w:val="000000"/>
                <w:sz w:val="24"/>
                <w:szCs w:val="24"/>
              </w:rPr>
              <w:t>Approach-specific Issues:</w:t>
            </w:r>
            <w:r>
              <w:rPr>
                <w:rFonts w:ascii="Calibri" w:eastAsia="Times New Roman" w:hAnsi="Calibri" w:cs="Calibri"/>
                <w:b/>
                <w:bCs/>
                <w:color w:val="000000"/>
                <w:sz w:val="24"/>
                <w:szCs w:val="24"/>
              </w:rPr>
              <w:t xml:space="preserve"> </w:t>
            </w:r>
            <w:r w:rsidRPr="00397A41">
              <w:rPr>
                <w:rFonts w:ascii="Calibri" w:eastAsia="Times New Roman" w:hAnsi="Calibri" w:cs="Calibri"/>
                <w:b/>
                <w:bCs/>
                <w:color w:val="000000"/>
                <w:sz w:val="24"/>
                <w:szCs w:val="24"/>
              </w:rPr>
              <w:t>Alternate pathways to serve GHG zones</w:t>
            </w:r>
          </w:p>
        </w:tc>
        <w:tc>
          <w:tcPr>
            <w:tcW w:w="2700" w:type="dxa"/>
            <w:tcBorders>
              <w:top w:val="single" w:sz="4" w:space="0" w:color="auto"/>
              <w:bottom w:val="single" w:sz="4" w:space="0" w:color="auto"/>
            </w:tcBorders>
            <w:shd w:val="clear" w:color="auto" w:fill="auto"/>
            <w:noWrap/>
            <w:vAlign w:val="bottom"/>
          </w:tcPr>
          <w:p w:rsidR="00AD285D" w:rsidRPr="00510005" w:rsidRDefault="00AD285D" w:rsidP="00295636">
            <w:pPr>
              <w:spacing w:line="240" w:lineRule="auto"/>
              <w:jc w:val="center"/>
              <w:rPr>
                <w:rFonts w:ascii="Calibri" w:eastAsia="Times New Roman" w:hAnsi="Calibri" w:cs="Calibri"/>
                <w:b/>
                <w:i/>
                <w:color w:val="000000"/>
                <w:sz w:val="24"/>
                <w:szCs w:val="24"/>
              </w:rPr>
            </w:pPr>
          </w:p>
        </w:tc>
      </w:tr>
      <w:tr w:rsidR="00AD285D" w:rsidRPr="00A57A0D" w:rsidTr="00295636">
        <w:trPr>
          <w:trHeight w:val="300"/>
          <w:jc w:val="center"/>
        </w:trPr>
        <w:tc>
          <w:tcPr>
            <w:tcW w:w="67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285D" w:rsidRDefault="00AD285D" w:rsidP="00295636">
            <w:pPr>
              <w:spacing w:line="240" w:lineRule="auto"/>
              <w:jc w:val="right"/>
              <w:rPr>
                <w:rFonts w:ascii="Calibri" w:eastAsia="Times New Roman" w:hAnsi="Calibri" w:cs="Calibri"/>
                <w:color w:val="000000"/>
                <w:sz w:val="24"/>
                <w:szCs w:val="24"/>
              </w:rPr>
            </w:pPr>
            <w:r>
              <w:rPr>
                <w:rFonts w:ascii="Calibri" w:eastAsia="Times New Roman" w:hAnsi="Calibri" w:cs="Calibri"/>
                <w:color w:val="000000"/>
                <w:sz w:val="24"/>
                <w:szCs w:val="24"/>
              </w:rPr>
              <w:t>(Unspecified/zonal approach only)</w:t>
            </w:r>
          </w:p>
          <w:p w:rsidR="00AD285D" w:rsidRPr="00401CF6" w:rsidRDefault="00AD285D" w:rsidP="00295636">
            <w:pPr>
              <w:spacing w:line="240" w:lineRule="auto"/>
              <w:jc w:val="right"/>
              <w:rPr>
                <w:rFonts w:ascii="Calibri" w:eastAsia="Times New Roman" w:hAnsi="Calibri" w:cs="Calibri"/>
                <w:color w:val="000000"/>
                <w:sz w:val="24"/>
                <w:szCs w:val="24"/>
              </w:rPr>
            </w:pPr>
            <w:r w:rsidRPr="00397A41">
              <w:rPr>
                <w:rFonts w:ascii="Calibri" w:eastAsia="Times New Roman" w:hAnsi="Calibri" w:cs="Calibri"/>
                <w:color w:val="000000"/>
                <w:sz w:val="24"/>
                <w:szCs w:val="24"/>
              </w:rPr>
              <w:t>What alternative pathways would exist for a resource in a non-GHG zone to serve a GHG zone?</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285D" w:rsidRDefault="00AD285D" w:rsidP="00295636">
            <w:pPr>
              <w:spacing w:line="240" w:lineRule="auto"/>
              <w:jc w:val="center"/>
              <w:rPr>
                <w:b/>
                <w:i/>
              </w:rPr>
            </w:pPr>
            <w:r>
              <w:rPr>
                <w:b/>
                <w:i/>
              </w:rPr>
              <w:t>In Progress</w:t>
            </w:r>
          </w:p>
          <w:p w:rsidR="00AD285D" w:rsidRPr="00510005" w:rsidRDefault="00AD285D" w:rsidP="005E68E1">
            <w:pPr>
              <w:spacing w:line="240" w:lineRule="auto"/>
              <w:jc w:val="center"/>
              <w:rPr>
                <w:rFonts w:ascii="Calibri" w:eastAsia="Times New Roman" w:hAnsi="Calibri" w:cs="Calibri"/>
                <w:b/>
                <w:i/>
                <w:color w:val="000000"/>
                <w:sz w:val="24"/>
                <w:szCs w:val="24"/>
              </w:rPr>
            </w:pPr>
            <w:r>
              <w:rPr>
                <w:b/>
                <w:i/>
              </w:rPr>
              <w:t>1/2</w:t>
            </w:r>
            <w:r w:rsidR="005E68E1">
              <w:rPr>
                <w:b/>
                <w:i/>
              </w:rPr>
              <w:t>6</w:t>
            </w:r>
            <w:r w:rsidRPr="008459EB">
              <w:rPr>
                <w:b/>
                <w:i/>
              </w:rPr>
              <w:t>/2022</w:t>
            </w:r>
          </w:p>
        </w:tc>
      </w:tr>
      <w:tr w:rsidR="00AD285D" w:rsidRPr="00A57A0D" w:rsidTr="00295636">
        <w:trPr>
          <w:trHeight w:val="300"/>
          <w:jc w:val="center"/>
        </w:trPr>
        <w:tc>
          <w:tcPr>
            <w:tcW w:w="6750" w:type="dxa"/>
            <w:tcBorders>
              <w:top w:val="single" w:sz="4" w:space="0" w:color="auto"/>
              <w:bottom w:val="single" w:sz="4" w:space="0" w:color="auto"/>
            </w:tcBorders>
            <w:shd w:val="clear" w:color="auto" w:fill="auto"/>
            <w:noWrap/>
            <w:vAlign w:val="center"/>
          </w:tcPr>
          <w:p w:rsidR="00AD285D" w:rsidRPr="00401CF6" w:rsidRDefault="00AD285D" w:rsidP="00295636">
            <w:pPr>
              <w:spacing w:line="240" w:lineRule="auto"/>
              <w:rPr>
                <w:rFonts w:ascii="Calibri" w:eastAsia="Times New Roman" w:hAnsi="Calibri" w:cs="Calibri"/>
                <w:color w:val="000000"/>
                <w:sz w:val="24"/>
                <w:szCs w:val="24"/>
              </w:rPr>
            </w:pPr>
            <w:r w:rsidRPr="00A51814">
              <w:rPr>
                <w:rFonts w:ascii="Calibri" w:eastAsia="Times New Roman" w:hAnsi="Calibri" w:cs="Calibri"/>
                <w:b/>
                <w:bCs/>
                <w:color w:val="000000"/>
                <w:sz w:val="24"/>
                <w:szCs w:val="24"/>
              </w:rPr>
              <w:t>Secondary Dispatch and Other Consequences</w:t>
            </w:r>
            <w:r w:rsidRPr="00397A41">
              <w:rPr>
                <w:rFonts w:ascii="Calibri" w:eastAsia="Times New Roman" w:hAnsi="Calibri" w:cs="Calibri"/>
                <w:b/>
                <w:bCs/>
                <w:color w:val="000000"/>
                <w:sz w:val="24"/>
                <w:szCs w:val="24"/>
              </w:rPr>
              <w:t>:</w:t>
            </w:r>
            <w:r>
              <w:rPr>
                <w:rFonts w:ascii="Calibri" w:eastAsia="Times New Roman" w:hAnsi="Calibri" w:cs="Calibri"/>
                <w:b/>
                <w:bCs/>
                <w:color w:val="000000"/>
                <w:sz w:val="24"/>
                <w:szCs w:val="24"/>
              </w:rPr>
              <w:t xml:space="preserve"> </w:t>
            </w:r>
            <w:r w:rsidRPr="00A51814">
              <w:rPr>
                <w:rFonts w:ascii="Calibri" w:eastAsia="Times New Roman" w:hAnsi="Calibri" w:cs="Calibri"/>
                <w:b/>
                <w:bCs/>
                <w:color w:val="000000"/>
                <w:sz w:val="24"/>
                <w:szCs w:val="24"/>
              </w:rPr>
              <w:t>Leakage minimization</w:t>
            </w:r>
          </w:p>
        </w:tc>
        <w:tc>
          <w:tcPr>
            <w:tcW w:w="2700" w:type="dxa"/>
            <w:tcBorders>
              <w:top w:val="single" w:sz="4" w:space="0" w:color="auto"/>
              <w:bottom w:val="single" w:sz="4" w:space="0" w:color="auto"/>
            </w:tcBorders>
            <w:shd w:val="clear" w:color="auto" w:fill="auto"/>
            <w:noWrap/>
            <w:vAlign w:val="bottom"/>
          </w:tcPr>
          <w:p w:rsidR="00AD285D" w:rsidRPr="00510005" w:rsidRDefault="00AD285D" w:rsidP="00295636">
            <w:pPr>
              <w:spacing w:line="240" w:lineRule="auto"/>
              <w:jc w:val="center"/>
              <w:rPr>
                <w:rFonts w:ascii="Calibri" w:eastAsia="Times New Roman" w:hAnsi="Calibri" w:cs="Calibri"/>
                <w:b/>
                <w:i/>
                <w:color w:val="000000"/>
                <w:sz w:val="24"/>
                <w:szCs w:val="24"/>
              </w:rPr>
            </w:pPr>
          </w:p>
        </w:tc>
      </w:tr>
      <w:tr w:rsidR="00AD285D" w:rsidRPr="00A57A0D" w:rsidTr="00295636">
        <w:trPr>
          <w:trHeight w:val="300"/>
          <w:jc w:val="center"/>
        </w:trPr>
        <w:tc>
          <w:tcPr>
            <w:tcW w:w="67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285D" w:rsidRPr="00401CF6" w:rsidRDefault="00AD285D" w:rsidP="00295636">
            <w:pPr>
              <w:spacing w:line="240" w:lineRule="auto"/>
              <w:jc w:val="right"/>
              <w:rPr>
                <w:rFonts w:ascii="Calibri" w:eastAsia="Times New Roman" w:hAnsi="Calibri" w:cs="Calibri"/>
                <w:color w:val="000000"/>
                <w:sz w:val="24"/>
                <w:szCs w:val="24"/>
              </w:rPr>
            </w:pPr>
            <w:r w:rsidRPr="00A51814">
              <w:rPr>
                <w:rFonts w:ascii="Calibri" w:eastAsia="Times New Roman" w:hAnsi="Calibri" w:cs="Calibri"/>
                <w:color w:val="000000"/>
                <w:sz w:val="24"/>
                <w:szCs w:val="24"/>
              </w:rPr>
              <w:t>What mechanisms exist to limit leakage and secondary dispatch?</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68E1" w:rsidRDefault="005E68E1" w:rsidP="005E68E1">
            <w:pPr>
              <w:jc w:val="center"/>
              <w:rPr>
                <w:b/>
                <w:i/>
              </w:rPr>
            </w:pPr>
            <w:r>
              <w:rPr>
                <w:b/>
                <w:i/>
              </w:rPr>
              <w:t>Completed (RS) – 2/24</w:t>
            </w:r>
          </w:p>
          <w:p w:rsidR="00AD285D" w:rsidRPr="00510005" w:rsidRDefault="005E68E1" w:rsidP="005E68E1">
            <w:pPr>
              <w:spacing w:line="240" w:lineRule="auto"/>
              <w:jc w:val="center"/>
              <w:rPr>
                <w:rFonts w:ascii="Calibri" w:eastAsia="Times New Roman" w:hAnsi="Calibri" w:cs="Calibri"/>
                <w:b/>
                <w:i/>
                <w:color w:val="000000"/>
                <w:sz w:val="24"/>
                <w:szCs w:val="24"/>
              </w:rPr>
            </w:pPr>
            <w:r>
              <w:rPr>
                <w:b/>
                <w:i/>
              </w:rPr>
              <w:t>In Progress (U/Z) – 1/26</w:t>
            </w:r>
          </w:p>
        </w:tc>
      </w:tr>
      <w:tr w:rsidR="00AD285D" w:rsidRPr="00A57A0D" w:rsidTr="00295636">
        <w:trPr>
          <w:trHeight w:val="300"/>
          <w:jc w:val="center"/>
        </w:trPr>
        <w:tc>
          <w:tcPr>
            <w:tcW w:w="6750" w:type="dxa"/>
            <w:tcBorders>
              <w:bottom w:val="single" w:sz="4" w:space="0" w:color="auto"/>
            </w:tcBorders>
            <w:shd w:val="clear" w:color="auto" w:fill="auto"/>
            <w:noWrap/>
            <w:vAlign w:val="center"/>
          </w:tcPr>
          <w:p w:rsidR="00AD285D" w:rsidRPr="00401CF6" w:rsidRDefault="00AD285D" w:rsidP="00295636">
            <w:pPr>
              <w:spacing w:line="240" w:lineRule="auto"/>
              <w:rPr>
                <w:rFonts w:ascii="Calibri" w:eastAsia="Times New Roman" w:hAnsi="Calibri" w:cs="Calibri"/>
                <w:color w:val="000000"/>
                <w:sz w:val="24"/>
                <w:szCs w:val="24"/>
              </w:rPr>
            </w:pPr>
            <w:r w:rsidRPr="00A51814">
              <w:rPr>
                <w:rFonts w:ascii="Calibri" w:eastAsia="Times New Roman" w:hAnsi="Calibri" w:cs="Calibri"/>
                <w:b/>
                <w:bCs/>
                <w:color w:val="000000"/>
                <w:sz w:val="24"/>
                <w:szCs w:val="24"/>
              </w:rPr>
              <w:lastRenderedPageBreak/>
              <w:t>Secondary Dispatch and Other Consequences</w:t>
            </w:r>
            <w:r w:rsidRPr="00397A41">
              <w:rPr>
                <w:rFonts w:ascii="Calibri" w:eastAsia="Times New Roman" w:hAnsi="Calibri" w:cs="Calibri"/>
                <w:b/>
                <w:bCs/>
                <w:color w:val="000000"/>
                <w:sz w:val="24"/>
                <w:szCs w:val="24"/>
              </w:rPr>
              <w:t>:</w:t>
            </w:r>
            <w:r>
              <w:rPr>
                <w:rFonts w:ascii="Calibri" w:eastAsia="Times New Roman" w:hAnsi="Calibri" w:cs="Calibri"/>
                <w:b/>
                <w:bCs/>
                <w:color w:val="000000"/>
                <w:sz w:val="24"/>
                <w:szCs w:val="24"/>
              </w:rPr>
              <w:t xml:space="preserve"> </w:t>
            </w:r>
            <w:r w:rsidRPr="00A51814">
              <w:rPr>
                <w:rFonts w:ascii="Calibri" w:eastAsia="Times New Roman" w:hAnsi="Calibri" w:cs="Calibri"/>
                <w:b/>
                <w:bCs/>
                <w:color w:val="000000"/>
                <w:sz w:val="24"/>
                <w:szCs w:val="24"/>
              </w:rPr>
              <w:t>Other consequences of approach</w:t>
            </w:r>
          </w:p>
        </w:tc>
        <w:tc>
          <w:tcPr>
            <w:tcW w:w="2700" w:type="dxa"/>
            <w:tcBorders>
              <w:bottom w:val="single" w:sz="4" w:space="0" w:color="auto"/>
            </w:tcBorders>
            <w:shd w:val="clear" w:color="auto" w:fill="auto"/>
            <w:noWrap/>
            <w:vAlign w:val="bottom"/>
          </w:tcPr>
          <w:p w:rsidR="00AD285D" w:rsidRPr="00510005" w:rsidRDefault="00AD285D" w:rsidP="00295636">
            <w:pPr>
              <w:spacing w:line="240" w:lineRule="auto"/>
              <w:jc w:val="center"/>
              <w:rPr>
                <w:rFonts w:ascii="Calibri" w:eastAsia="Times New Roman" w:hAnsi="Calibri" w:cs="Calibri"/>
                <w:b/>
                <w:i/>
                <w:color w:val="000000"/>
                <w:sz w:val="24"/>
                <w:szCs w:val="24"/>
              </w:rPr>
            </w:pPr>
          </w:p>
        </w:tc>
      </w:tr>
      <w:tr w:rsidR="00AD285D" w:rsidRPr="00A57A0D" w:rsidTr="00295636">
        <w:trPr>
          <w:trHeight w:val="300"/>
          <w:jc w:val="center"/>
        </w:trPr>
        <w:tc>
          <w:tcPr>
            <w:tcW w:w="67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285D" w:rsidRPr="00401CF6" w:rsidRDefault="00AD285D" w:rsidP="00295636">
            <w:pPr>
              <w:spacing w:line="240" w:lineRule="auto"/>
              <w:jc w:val="right"/>
              <w:rPr>
                <w:rFonts w:ascii="Calibri" w:eastAsia="Times New Roman" w:hAnsi="Calibri" w:cs="Calibri"/>
                <w:color w:val="000000"/>
                <w:sz w:val="24"/>
                <w:szCs w:val="24"/>
              </w:rPr>
            </w:pPr>
            <w:r w:rsidRPr="00A51814">
              <w:rPr>
                <w:rFonts w:ascii="Calibri" w:eastAsia="Times New Roman" w:hAnsi="Calibri" w:cs="Calibri"/>
                <w:color w:val="000000"/>
                <w:sz w:val="24"/>
                <w:szCs w:val="24"/>
              </w:rPr>
              <w:t>Are there other unintended consequences of the model and how does the approach deal with these?</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68E1" w:rsidRDefault="005E68E1" w:rsidP="005E68E1">
            <w:pPr>
              <w:jc w:val="center"/>
              <w:rPr>
                <w:b/>
                <w:i/>
              </w:rPr>
            </w:pPr>
            <w:r>
              <w:rPr>
                <w:b/>
                <w:i/>
              </w:rPr>
              <w:t>Completed (RS) – 2/24</w:t>
            </w:r>
          </w:p>
          <w:p w:rsidR="00AD285D" w:rsidRPr="00510005" w:rsidRDefault="005E68E1" w:rsidP="005E68E1">
            <w:pPr>
              <w:spacing w:line="240" w:lineRule="auto"/>
              <w:jc w:val="center"/>
              <w:rPr>
                <w:rFonts w:ascii="Calibri" w:eastAsia="Times New Roman" w:hAnsi="Calibri" w:cs="Calibri"/>
                <w:b/>
                <w:i/>
                <w:color w:val="000000"/>
                <w:sz w:val="24"/>
                <w:szCs w:val="24"/>
              </w:rPr>
            </w:pPr>
            <w:r>
              <w:rPr>
                <w:b/>
                <w:i/>
              </w:rPr>
              <w:t>In Progress (U/Z) – 1/26</w:t>
            </w:r>
          </w:p>
        </w:tc>
      </w:tr>
      <w:tr w:rsidR="00AD285D" w:rsidRPr="00A57A0D" w:rsidTr="00295636">
        <w:trPr>
          <w:trHeight w:val="300"/>
          <w:jc w:val="center"/>
        </w:trPr>
        <w:tc>
          <w:tcPr>
            <w:tcW w:w="6750" w:type="dxa"/>
            <w:tcBorders>
              <w:top w:val="single" w:sz="4" w:space="0" w:color="auto"/>
              <w:left w:val="nil"/>
              <w:bottom w:val="single" w:sz="4" w:space="0" w:color="auto"/>
              <w:right w:val="nil"/>
            </w:tcBorders>
            <w:shd w:val="clear" w:color="auto" w:fill="auto"/>
            <w:noWrap/>
          </w:tcPr>
          <w:p w:rsidR="00AD285D" w:rsidRPr="00C0565D" w:rsidRDefault="00AD285D" w:rsidP="00295636">
            <w:pPr>
              <w:spacing w:line="240" w:lineRule="auto"/>
              <w:rPr>
                <w:rFonts w:ascii="Calibri" w:eastAsia="Times New Roman" w:hAnsi="Calibri" w:cs="Calibri"/>
                <w:b/>
                <w:color w:val="000000"/>
                <w:sz w:val="24"/>
                <w:szCs w:val="24"/>
              </w:rPr>
            </w:pPr>
            <w:r w:rsidRPr="00A51814">
              <w:rPr>
                <w:rFonts w:ascii="Calibri" w:eastAsia="Times New Roman" w:hAnsi="Calibri" w:cs="Calibri"/>
                <w:b/>
                <w:color w:val="000000"/>
                <w:sz w:val="24"/>
                <w:szCs w:val="24"/>
              </w:rPr>
              <w:t>Reporting and Settlements</w:t>
            </w:r>
            <w:r>
              <w:rPr>
                <w:rFonts w:ascii="Calibri" w:eastAsia="Times New Roman" w:hAnsi="Calibri" w:cs="Calibri"/>
                <w:b/>
                <w:color w:val="000000"/>
                <w:sz w:val="24"/>
                <w:szCs w:val="24"/>
              </w:rPr>
              <w:t xml:space="preserve">: </w:t>
            </w:r>
            <w:r w:rsidRPr="00A51814">
              <w:rPr>
                <w:rFonts w:ascii="Calibri" w:eastAsia="Times New Roman" w:hAnsi="Calibri" w:cs="Calibri"/>
                <w:b/>
                <w:color w:val="000000"/>
                <w:sz w:val="24"/>
                <w:szCs w:val="24"/>
              </w:rPr>
              <w:t>Market Results</w:t>
            </w:r>
          </w:p>
        </w:tc>
        <w:tc>
          <w:tcPr>
            <w:tcW w:w="2700" w:type="dxa"/>
            <w:tcBorders>
              <w:top w:val="single" w:sz="4" w:space="0" w:color="auto"/>
              <w:left w:val="nil"/>
              <w:bottom w:val="single" w:sz="4" w:space="0" w:color="auto"/>
              <w:right w:val="nil"/>
            </w:tcBorders>
            <w:shd w:val="clear" w:color="auto" w:fill="auto"/>
            <w:noWrap/>
            <w:vAlign w:val="bottom"/>
          </w:tcPr>
          <w:p w:rsidR="00AD285D" w:rsidRPr="00A57A0D" w:rsidRDefault="00AD285D" w:rsidP="00295636">
            <w:pPr>
              <w:spacing w:line="240" w:lineRule="auto"/>
              <w:jc w:val="center"/>
              <w:rPr>
                <w:rFonts w:ascii="Calibri" w:eastAsia="Times New Roman" w:hAnsi="Calibri" w:cs="Calibri"/>
                <w:color w:val="000000"/>
                <w:sz w:val="24"/>
                <w:szCs w:val="24"/>
              </w:rPr>
            </w:pPr>
          </w:p>
        </w:tc>
      </w:tr>
      <w:tr w:rsidR="00AD285D" w:rsidRPr="00A57A0D" w:rsidTr="00295636">
        <w:trPr>
          <w:trHeight w:val="300"/>
          <w:jc w:val="center"/>
        </w:trPr>
        <w:tc>
          <w:tcPr>
            <w:tcW w:w="6750" w:type="dxa"/>
            <w:tcBorders>
              <w:top w:val="single" w:sz="4" w:space="0" w:color="auto"/>
              <w:left w:val="single" w:sz="4" w:space="0" w:color="auto"/>
              <w:bottom w:val="single" w:sz="4" w:space="0" w:color="auto"/>
              <w:right w:val="single" w:sz="4" w:space="0" w:color="auto"/>
            </w:tcBorders>
            <w:shd w:val="clear" w:color="auto" w:fill="auto"/>
            <w:noWrap/>
          </w:tcPr>
          <w:p w:rsidR="00AD285D" w:rsidRPr="00711139" w:rsidRDefault="00AD285D" w:rsidP="00295636">
            <w:pPr>
              <w:spacing w:line="240" w:lineRule="auto"/>
              <w:jc w:val="right"/>
              <w:rPr>
                <w:rFonts w:ascii="Calibri" w:eastAsia="Times New Roman" w:hAnsi="Calibri" w:cs="Calibri"/>
                <w:color w:val="000000"/>
                <w:sz w:val="24"/>
                <w:szCs w:val="24"/>
              </w:rPr>
            </w:pPr>
            <w:r w:rsidRPr="00A51814">
              <w:rPr>
                <w:rFonts w:ascii="Calibri" w:eastAsia="Times New Roman" w:hAnsi="Calibri" w:cs="Calibri"/>
                <w:color w:val="000000"/>
                <w:sz w:val="24"/>
                <w:szCs w:val="24"/>
              </w:rPr>
              <w:t>What type of information and at what granularity will GHG information be reported to support state reporting requirements?</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68E1" w:rsidRDefault="005E68E1" w:rsidP="005E68E1">
            <w:pPr>
              <w:jc w:val="center"/>
              <w:rPr>
                <w:b/>
                <w:i/>
              </w:rPr>
            </w:pPr>
            <w:r>
              <w:rPr>
                <w:b/>
                <w:i/>
              </w:rPr>
              <w:t>Completed (RS) – 2/24</w:t>
            </w:r>
          </w:p>
          <w:p w:rsidR="00AD285D" w:rsidRPr="00A57A0D" w:rsidRDefault="005E68E1" w:rsidP="005E68E1">
            <w:pPr>
              <w:spacing w:line="240" w:lineRule="auto"/>
              <w:jc w:val="center"/>
              <w:rPr>
                <w:rFonts w:ascii="Calibri" w:eastAsia="Times New Roman" w:hAnsi="Calibri" w:cs="Calibri"/>
                <w:color w:val="000000"/>
                <w:sz w:val="24"/>
                <w:szCs w:val="24"/>
              </w:rPr>
            </w:pPr>
            <w:r>
              <w:rPr>
                <w:b/>
                <w:i/>
              </w:rPr>
              <w:t>In Progress (U/Z) – 1/26</w:t>
            </w:r>
          </w:p>
        </w:tc>
      </w:tr>
      <w:tr w:rsidR="00AD285D" w:rsidRPr="00A57A0D" w:rsidTr="00295636">
        <w:trPr>
          <w:trHeight w:val="300"/>
          <w:jc w:val="center"/>
        </w:trPr>
        <w:tc>
          <w:tcPr>
            <w:tcW w:w="6750" w:type="dxa"/>
            <w:tcBorders>
              <w:top w:val="single" w:sz="4" w:space="0" w:color="auto"/>
              <w:left w:val="single" w:sz="4" w:space="0" w:color="auto"/>
              <w:bottom w:val="single" w:sz="4" w:space="0" w:color="auto"/>
              <w:right w:val="single" w:sz="4" w:space="0" w:color="auto"/>
            </w:tcBorders>
            <w:shd w:val="clear" w:color="auto" w:fill="auto"/>
            <w:noWrap/>
          </w:tcPr>
          <w:p w:rsidR="00AD285D" w:rsidRPr="00711139" w:rsidRDefault="00AD285D" w:rsidP="00295636">
            <w:pPr>
              <w:spacing w:line="240" w:lineRule="auto"/>
              <w:jc w:val="right"/>
              <w:rPr>
                <w:rFonts w:ascii="Calibri" w:eastAsia="Times New Roman" w:hAnsi="Calibri" w:cs="Calibri"/>
                <w:color w:val="000000"/>
                <w:sz w:val="24"/>
                <w:szCs w:val="24"/>
              </w:rPr>
            </w:pPr>
            <w:r w:rsidRPr="00A51814">
              <w:rPr>
                <w:rFonts w:ascii="Calibri" w:eastAsia="Times New Roman" w:hAnsi="Calibri" w:cs="Calibri"/>
                <w:color w:val="000000"/>
                <w:sz w:val="24"/>
                <w:szCs w:val="24"/>
              </w:rPr>
              <w:t>Should we consider policy that is in effect/will be in effect by Jan 2024 or try to accommodate hypothetical reporting systems?</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285D" w:rsidRPr="006D47D1" w:rsidRDefault="00AD285D" w:rsidP="00295636">
            <w:pPr>
              <w:spacing w:line="240" w:lineRule="auto"/>
              <w:jc w:val="center"/>
              <w:rPr>
                <w:rFonts w:ascii="Calibri" w:eastAsia="Times New Roman" w:hAnsi="Calibri" w:cs="Calibri"/>
                <w:b/>
                <w:color w:val="000000"/>
                <w:sz w:val="24"/>
                <w:szCs w:val="24"/>
              </w:rPr>
            </w:pPr>
            <w:r w:rsidRPr="006D47D1">
              <w:rPr>
                <w:rFonts w:ascii="Calibri" w:eastAsia="Times New Roman" w:hAnsi="Calibri" w:cs="Calibri"/>
                <w:b/>
                <w:color w:val="000000"/>
                <w:sz w:val="24"/>
                <w:szCs w:val="24"/>
              </w:rPr>
              <w:t>Completed – 2/14/2022</w:t>
            </w:r>
          </w:p>
        </w:tc>
      </w:tr>
      <w:tr w:rsidR="00AD285D" w:rsidRPr="00A57A0D" w:rsidTr="00295636">
        <w:trPr>
          <w:trHeight w:val="300"/>
          <w:jc w:val="center"/>
        </w:trPr>
        <w:tc>
          <w:tcPr>
            <w:tcW w:w="6750" w:type="dxa"/>
            <w:tcBorders>
              <w:top w:val="single" w:sz="4" w:space="0" w:color="auto"/>
              <w:left w:val="single" w:sz="4" w:space="0" w:color="auto"/>
              <w:bottom w:val="single" w:sz="4" w:space="0" w:color="auto"/>
              <w:right w:val="single" w:sz="4" w:space="0" w:color="auto"/>
            </w:tcBorders>
            <w:shd w:val="clear" w:color="auto" w:fill="auto"/>
            <w:noWrap/>
          </w:tcPr>
          <w:p w:rsidR="00AD285D" w:rsidRPr="00245F0C" w:rsidRDefault="00AD285D" w:rsidP="00295636">
            <w:pPr>
              <w:spacing w:line="240" w:lineRule="auto"/>
              <w:jc w:val="right"/>
              <w:rPr>
                <w:rFonts w:ascii="Calibri" w:eastAsia="Times New Roman" w:hAnsi="Calibri" w:cs="Calibri"/>
                <w:color w:val="000000"/>
                <w:sz w:val="24"/>
                <w:szCs w:val="24"/>
              </w:rPr>
            </w:pPr>
            <w:r w:rsidRPr="00A51814">
              <w:rPr>
                <w:rFonts w:ascii="Calibri" w:eastAsia="Times New Roman" w:hAnsi="Calibri" w:cs="Calibri"/>
                <w:color w:val="000000"/>
                <w:sz w:val="24"/>
                <w:szCs w:val="24"/>
              </w:rPr>
              <w:t>What data needs to be tracked for compliance and harmonization with clean energy policy purposes (including other instruments that attribute generation to load)?</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68E1" w:rsidRDefault="005E68E1" w:rsidP="005E68E1">
            <w:pPr>
              <w:jc w:val="center"/>
              <w:rPr>
                <w:b/>
                <w:i/>
              </w:rPr>
            </w:pPr>
            <w:r>
              <w:rPr>
                <w:b/>
                <w:i/>
              </w:rPr>
              <w:t>Completed (RS) – 2/24</w:t>
            </w:r>
          </w:p>
          <w:p w:rsidR="00AD285D" w:rsidRPr="00A57A0D" w:rsidRDefault="005E68E1" w:rsidP="005E68E1">
            <w:pPr>
              <w:spacing w:line="240" w:lineRule="auto"/>
              <w:jc w:val="center"/>
              <w:rPr>
                <w:rFonts w:ascii="Calibri" w:eastAsia="Times New Roman" w:hAnsi="Calibri" w:cs="Calibri"/>
                <w:color w:val="000000"/>
                <w:sz w:val="24"/>
                <w:szCs w:val="24"/>
              </w:rPr>
            </w:pPr>
            <w:r>
              <w:rPr>
                <w:b/>
                <w:i/>
              </w:rPr>
              <w:t>In Progress (U/Z) – 1/26</w:t>
            </w:r>
          </w:p>
        </w:tc>
      </w:tr>
      <w:tr w:rsidR="00AD285D" w:rsidRPr="00A57A0D" w:rsidTr="00295636">
        <w:trPr>
          <w:trHeight w:val="300"/>
          <w:jc w:val="center"/>
        </w:trPr>
        <w:tc>
          <w:tcPr>
            <w:tcW w:w="6750" w:type="dxa"/>
            <w:tcBorders>
              <w:top w:val="single" w:sz="4" w:space="0" w:color="auto"/>
              <w:left w:val="single" w:sz="4" w:space="0" w:color="auto"/>
              <w:bottom w:val="single" w:sz="4" w:space="0" w:color="auto"/>
              <w:right w:val="single" w:sz="4" w:space="0" w:color="auto"/>
            </w:tcBorders>
            <w:shd w:val="clear" w:color="auto" w:fill="auto"/>
            <w:noWrap/>
          </w:tcPr>
          <w:p w:rsidR="00AD285D" w:rsidRPr="00245F0C" w:rsidRDefault="00AD285D" w:rsidP="00295636">
            <w:pPr>
              <w:spacing w:line="240" w:lineRule="auto"/>
              <w:jc w:val="right"/>
              <w:rPr>
                <w:rFonts w:ascii="Calibri" w:eastAsia="Times New Roman" w:hAnsi="Calibri" w:cs="Calibri"/>
                <w:color w:val="000000"/>
                <w:sz w:val="24"/>
                <w:szCs w:val="24"/>
              </w:rPr>
            </w:pPr>
            <w:r w:rsidRPr="00A51814">
              <w:rPr>
                <w:rFonts w:ascii="Calibri" w:eastAsia="Times New Roman" w:hAnsi="Calibri" w:cs="Calibri"/>
                <w:color w:val="000000"/>
                <w:sz w:val="24"/>
                <w:szCs w:val="24"/>
              </w:rPr>
              <w:t>How would energy be identified/tracked or tagged under a specified approach?</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68E1" w:rsidRDefault="005E68E1" w:rsidP="005E68E1">
            <w:pPr>
              <w:jc w:val="center"/>
              <w:rPr>
                <w:b/>
                <w:i/>
              </w:rPr>
            </w:pPr>
            <w:r>
              <w:rPr>
                <w:b/>
                <w:i/>
              </w:rPr>
              <w:t>Completed (RS) – 2/24</w:t>
            </w:r>
          </w:p>
          <w:p w:rsidR="00AD285D" w:rsidRPr="00A57A0D" w:rsidRDefault="005E68E1" w:rsidP="005E68E1">
            <w:pPr>
              <w:spacing w:line="240" w:lineRule="auto"/>
              <w:jc w:val="center"/>
              <w:rPr>
                <w:rFonts w:ascii="Calibri" w:eastAsia="Times New Roman" w:hAnsi="Calibri" w:cs="Calibri"/>
                <w:color w:val="000000"/>
                <w:sz w:val="24"/>
                <w:szCs w:val="24"/>
              </w:rPr>
            </w:pPr>
            <w:r>
              <w:rPr>
                <w:b/>
                <w:i/>
              </w:rPr>
              <w:t>In Progress (U/Z) – 1/26</w:t>
            </w:r>
          </w:p>
        </w:tc>
      </w:tr>
      <w:tr w:rsidR="00AD285D" w:rsidRPr="00A57A0D" w:rsidTr="00295636">
        <w:trPr>
          <w:trHeight w:val="300"/>
          <w:jc w:val="center"/>
        </w:trPr>
        <w:tc>
          <w:tcPr>
            <w:tcW w:w="6750" w:type="dxa"/>
            <w:tcBorders>
              <w:top w:val="single" w:sz="4" w:space="0" w:color="auto"/>
              <w:left w:val="nil"/>
              <w:bottom w:val="single" w:sz="4" w:space="0" w:color="auto"/>
              <w:right w:val="nil"/>
            </w:tcBorders>
            <w:shd w:val="clear" w:color="auto" w:fill="auto"/>
            <w:noWrap/>
          </w:tcPr>
          <w:p w:rsidR="00AD285D" w:rsidRPr="00C0565D" w:rsidRDefault="00AD285D" w:rsidP="00295636">
            <w:pPr>
              <w:spacing w:line="240" w:lineRule="auto"/>
              <w:rPr>
                <w:rFonts w:ascii="Calibri" w:eastAsia="Times New Roman" w:hAnsi="Calibri" w:cs="Calibri"/>
                <w:b/>
                <w:color w:val="000000"/>
                <w:sz w:val="24"/>
                <w:szCs w:val="24"/>
              </w:rPr>
            </w:pPr>
            <w:r w:rsidRPr="00A51814">
              <w:rPr>
                <w:rFonts w:ascii="Calibri" w:eastAsia="Times New Roman" w:hAnsi="Calibri" w:cs="Calibri"/>
                <w:b/>
                <w:color w:val="000000"/>
                <w:sz w:val="24"/>
                <w:szCs w:val="24"/>
              </w:rPr>
              <w:t xml:space="preserve">Reporting and Settlements: </w:t>
            </w:r>
            <w:r>
              <w:rPr>
                <w:rFonts w:ascii="Calibri" w:eastAsia="Times New Roman" w:hAnsi="Calibri" w:cs="Calibri"/>
                <w:b/>
                <w:color w:val="000000"/>
                <w:sz w:val="24"/>
                <w:szCs w:val="24"/>
              </w:rPr>
              <w:t>Settlements</w:t>
            </w:r>
          </w:p>
        </w:tc>
        <w:tc>
          <w:tcPr>
            <w:tcW w:w="2700" w:type="dxa"/>
            <w:tcBorders>
              <w:top w:val="single" w:sz="4" w:space="0" w:color="auto"/>
              <w:left w:val="nil"/>
              <w:bottom w:val="single" w:sz="4" w:space="0" w:color="auto"/>
              <w:right w:val="nil"/>
            </w:tcBorders>
            <w:shd w:val="clear" w:color="auto" w:fill="auto"/>
            <w:noWrap/>
            <w:vAlign w:val="bottom"/>
          </w:tcPr>
          <w:p w:rsidR="00AD285D" w:rsidRPr="00A57A0D" w:rsidRDefault="00AD285D" w:rsidP="00295636">
            <w:pPr>
              <w:spacing w:line="240" w:lineRule="auto"/>
              <w:jc w:val="center"/>
              <w:rPr>
                <w:rFonts w:ascii="Calibri" w:eastAsia="Times New Roman" w:hAnsi="Calibri" w:cs="Calibri"/>
                <w:color w:val="000000"/>
                <w:sz w:val="24"/>
                <w:szCs w:val="24"/>
              </w:rPr>
            </w:pPr>
          </w:p>
        </w:tc>
      </w:tr>
      <w:tr w:rsidR="00AD285D" w:rsidRPr="00A57A0D" w:rsidTr="00295636">
        <w:trPr>
          <w:trHeight w:val="300"/>
          <w:jc w:val="center"/>
        </w:trPr>
        <w:tc>
          <w:tcPr>
            <w:tcW w:w="6750" w:type="dxa"/>
            <w:tcBorders>
              <w:top w:val="single" w:sz="4" w:space="0" w:color="auto"/>
              <w:left w:val="single" w:sz="4" w:space="0" w:color="auto"/>
              <w:bottom w:val="single" w:sz="4" w:space="0" w:color="auto"/>
              <w:right w:val="single" w:sz="4" w:space="0" w:color="auto"/>
            </w:tcBorders>
            <w:shd w:val="clear" w:color="auto" w:fill="auto"/>
            <w:noWrap/>
          </w:tcPr>
          <w:p w:rsidR="00AD285D" w:rsidRPr="00711139" w:rsidRDefault="00AD285D" w:rsidP="00295636">
            <w:pPr>
              <w:spacing w:line="240" w:lineRule="auto"/>
              <w:jc w:val="right"/>
              <w:rPr>
                <w:rFonts w:ascii="Calibri" w:eastAsia="Times New Roman" w:hAnsi="Calibri" w:cs="Calibri"/>
                <w:color w:val="000000"/>
                <w:sz w:val="24"/>
                <w:szCs w:val="24"/>
              </w:rPr>
            </w:pPr>
            <w:r w:rsidRPr="00A51814">
              <w:rPr>
                <w:rFonts w:ascii="Calibri" w:eastAsia="Times New Roman" w:hAnsi="Calibri" w:cs="Calibri"/>
                <w:color w:val="000000"/>
                <w:sz w:val="24"/>
                <w:szCs w:val="24"/>
              </w:rPr>
              <w:t>Will entities bearing GHG compliance obligations be made whole for p</w:t>
            </w:r>
            <w:r>
              <w:rPr>
                <w:rFonts w:ascii="Calibri" w:eastAsia="Times New Roman" w:hAnsi="Calibri" w:cs="Calibri"/>
                <w:color w:val="000000"/>
                <w:sz w:val="24"/>
                <w:szCs w:val="24"/>
              </w:rPr>
              <w:t>urchasing credits? If so, how?</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68E1" w:rsidRDefault="005E68E1" w:rsidP="005E68E1">
            <w:pPr>
              <w:jc w:val="center"/>
              <w:rPr>
                <w:b/>
                <w:i/>
              </w:rPr>
            </w:pPr>
            <w:r>
              <w:rPr>
                <w:b/>
                <w:i/>
              </w:rPr>
              <w:t>Completed (RS) – 2/24</w:t>
            </w:r>
          </w:p>
          <w:p w:rsidR="00AD285D" w:rsidRPr="00A57A0D" w:rsidRDefault="005E68E1" w:rsidP="005E68E1">
            <w:pPr>
              <w:spacing w:line="240" w:lineRule="auto"/>
              <w:jc w:val="center"/>
              <w:rPr>
                <w:rFonts w:ascii="Calibri" w:eastAsia="Times New Roman" w:hAnsi="Calibri" w:cs="Calibri"/>
                <w:color w:val="000000"/>
                <w:sz w:val="24"/>
                <w:szCs w:val="24"/>
              </w:rPr>
            </w:pPr>
            <w:r>
              <w:rPr>
                <w:b/>
                <w:i/>
              </w:rPr>
              <w:t>In Progress (U/Z) – 1/26</w:t>
            </w:r>
          </w:p>
        </w:tc>
      </w:tr>
      <w:tr w:rsidR="00AD285D" w:rsidRPr="00A57A0D" w:rsidTr="00295636">
        <w:trPr>
          <w:trHeight w:val="300"/>
          <w:jc w:val="center"/>
        </w:trPr>
        <w:tc>
          <w:tcPr>
            <w:tcW w:w="6750" w:type="dxa"/>
            <w:tcBorders>
              <w:top w:val="single" w:sz="4" w:space="0" w:color="auto"/>
              <w:left w:val="single" w:sz="4" w:space="0" w:color="auto"/>
              <w:bottom w:val="single" w:sz="4" w:space="0" w:color="auto"/>
              <w:right w:val="single" w:sz="4" w:space="0" w:color="auto"/>
            </w:tcBorders>
            <w:shd w:val="clear" w:color="auto" w:fill="auto"/>
            <w:noWrap/>
          </w:tcPr>
          <w:p w:rsidR="00AD285D" w:rsidRPr="00A51814" w:rsidRDefault="00AD285D" w:rsidP="00295636">
            <w:pPr>
              <w:spacing w:line="240" w:lineRule="auto"/>
              <w:jc w:val="right"/>
              <w:rPr>
                <w:rFonts w:ascii="Calibri" w:eastAsia="Times New Roman" w:hAnsi="Calibri" w:cs="Calibri"/>
                <w:color w:val="000000"/>
                <w:sz w:val="24"/>
                <w:szCs w:val="24"/>
              </w:rPr>
            </w:pPr>
            <w:r w:rsidRPr="00A51814">
              <w:rPr>
                <w:rFonts w:ascii="Calibri" w:eastAsia="Times New Roman" w:hAnsi="Calibri" w:cs="Calibri"/>
                <w:color w:val="000000"/>
                <w:sz w:val="24"/>
                <w:szCs w:val="24"/>
              </w:rPr>
              <w:t>In the unspecified approach, how will the hurdle rate revenue be distributed to the suppliers?</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285D" w:rsidRPr="00A57A0D" w:rsidRDefault="00AD285D" w:rsidP="00295636">
            <w:pPr>
              <w:spacing w:line="240" w:lineRule="auto"/>
              <w:jc w:val="center"/>
              <w:rPr>
                <w:rFonts w:ascii="Calibri" w:eastAsia="Times New Roman" w:hAnsi="Calibri" w:cs="Calibri"/>
                <w:color w:val="000000"/>
                <w:sz w:val="24"/>
                <w:szCs w:val="24"/>
              </w:rPr>
            </w:pPr>
          </w:p>
        </w:tc>
      </w:tr>
      <w:tr w:rsidR="00AD285D" w:rsidRPr="00A57A0D" w:rsidTr="00295636">
        <w:trPr>
          <w:trHeight w:val="300"/>
          <w:jc w:val="center"/>
        </w:trPr>
        <w:tc>
          <w:tcPr>
            <w:tcW w:w="6750" w:type="dxa"/>
            <w:tcBorders>
              <w:top w:val="single" w:sz="4" w:space="0" w:color="auto"/>
              <w:left w:val="nil"/>
              <w:bottom w:val="single" w:sz="4" w:space="0" w:color="auto"/>
              <w:right w:val="nil"/>
            </w:tcBorders>
            <w:shd w:val="clear" w:color="auto" w:fill="auto"/>
            <w:noWrap/>
          </w:tcPr>
          <w:p w:rsidR="00AD285D" w:rsidRPr="00C0565D" w:rsidRDefault="00AD285D" w:rsidP="00295636">
            <w:pPr>
              <w:spacing w:line="240" w:lineRule="auto"/>
              <w:rPr>
                <w:rFonts w:ascii="Calibri" w:eastAsia="Times New Roman" w:hAnsi="Calibri" w:cs="Calibri"/>
                <w:b/>
                <w:color w:val="000000"/>
                <w:sz w:val="24"/>
                <w:szCs w:val="24"/>
              </w:rPr>
            </w:pPr>
            <w:r>
              <w:rPr>
                <w:rFonts w:ascii="Calibri" w:eastAsia="Times New Roman" w:hAnsi="Calibri" w:cs="Calibri"/>
                <w:b/>
                <w:color w:val="000000"/>
                <w:sz w:val="24"/>
                <w:szCs w:val="24"/>
              </w:rPr>
              <w:t xml:space="preserve">Miscellaneous: </w:t>
            </w:r>
            <w:r w:rsidRPr="00A51814">
              <w:rPr>
                <w:rFonts w:ascii="Calibri" w:eastAsia="Times New Roman" w:hAnsi="Calibri" w:cs="Calibri"/>
                <w:b/>
                <w:color w:val="000000"/>
                <w:sz w:val="24"/>
                <w:szCs w:val="24"/>
              </w:rPr>
              <w:t>Bidding of GHG costs</w:t>
            </w:r>
          </w:p>
        </w:tc>
        <w:tc>
          <w:tcPr>
            <w:tcW w:w="2700" w:type="dxa"/>
            <w:tcBorders>
              <w:top w:val="single" w:sz="4" w:space="0" w:color="auto"/>
              <w:left w:val="nil"/>
              <w:bottom w:val="single" w:sz="4" w:space="0" w:color="auto"/>
              <w:right w:val="nil"/>
            </w:tcBorders>
            <w:shd w:val="clear" w:color="auto" w:fill="auto"/>
            <w:noWrap/>
            <w:vAlign w:val="bottom"/>
          </w:tcPr>
          <w:p w:rsidR="00AD285D" w:rsidRPr="00A57A0D" w:rsidRDefault="00AD285D" w:rsidP="00295636">
            <w:pPr>
              <w:spacing w:line="240" w:lineRule="auto"/>
              <w:jc w:val="center"/>
              <w:rPr>
                <w:rFonts w:ascii="Calibri" w:eastAsia="Times New Roman" w:hAnsi="Calibri" w:cs="Calibri"/>
                <w:color w:val="000000"/>
                <w:sz w:val="24"/>
                <w:szCs w:val="24"/>
              </w:rPr>
            </w:pPr>
          </w:p>
        </w:tc>
      </w:tr>
      <w:tr w:rsidR="00AD285D" w:rsidRPr="00A57A0D" w:rsidTr="00295636">
        <w:trPr>
          <w:trHeight w:val="300"/>
          <w:jc w:val="center"/>
        </w:trPr>
        <w:tc>
          <w:tcPr>
            <w:tcW w:w="6750" w:type="dxa"/>
            <w:tcBorders>
              <w:top w:val="single" w:sz="4" w:space="0" w:color="auto"/>
              <w:left w:val="single" w:sz="4" w:space="0" w:color="auto"/>
              <w:bottom w:val="single" w:sz="4" w:space="0" w:color="auto"/>
              <w:right w:val="single" w:sz="4" w:space="0" w:color="auto"/>
            </w:tcBorders>
            <w:shd w:val="clear" w:color="auto" w:fill="auto"/>
            <w:noWrap/>
          </w:tcPr>
          <w:p w:rsidR="00AD285D" w:rsidRPr="00711139" w:rsidRDefault="00AD285D" w:rsidP="00295636">
            <w:pPr>
              <w:spacing w:line="240" w:lineRule="auto"/>
              <w:jc w:val="right"/>
              <w:rPr>
                <w:rFonts w:ascii="Calibri" w:eastAsia="Times New Roman" w:hAnsi="Calibri" w:cs="Calibri"/>
                <w:color w:val="000000"/>
                <w:sz w:val="24"/>
                <w:szCs w:val="24"/>
              </w:rPr>
            </w:pPr>
            <w:r w:rsidRPr="00F4725D">
              <w:rPr>
                <w:rFonts w:ascii="Calibri" w:eastAsia="Times New Roman" w:hAnsi="Calibri" w:cs="Calibri"/>
                <w:color w:val="000000"/>
                <w:sz w:val="24"/>
                <w:szCs w:val="24"/>
              </w:rPr>
              <w:t>Should GHG costs be reflected in bids? If so, how?</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68E1" w:rsidRDefault="005E68E1" w:rsidP="005E68E1">
            <w:pPr>
              <w:jc w:val="center"/>
              <w:rPr>
                <w:b/>
                <w:i/>
              </w:rPr>
            </w:pPr>
            <w:r>
              <w:rPr>
                <w:b/>
                <w:i/>
              </w:rPr>
              <w:t>Completed (RS) – 2/24</w:t>
            </w:r>
          </w:p>
          <w:p w:rsidR="00AD285D" w:rsidRPr="00A57A0D" w:rsidRDefault="005E68E1" w:rsidP="005E68E1">
            <w:pPr>
              <w:spacing w:line="240" w:lineRule="auto"/>
              <w:jc w:val="center"/>
              <w:rPr>
                <w:rFonts w:ascii="Calibri" w:eastAsia="Times New Roman" w:hAnsi="Calibri" w:cs="Calibri"/>
                <w:color w:val="000000"/>
                <w:sz w:val="24"/>
                <w:szCs w:val="24"/>
              </w:rPr>
            </w:pPr>
            <w:r>
              <w:rPr>
                <w:b/>
                <w:i/>
              </w:rPr>
              <w:t>In Progress (U/Z) – 1/26</w:t>
            </w:r>
          </w:p>
        </w:tc>
      </w:tr>
      <w:tr w:rsidR="00AD285D" w:rsidRPr="00A57A0D" w:rsidTr="00295636">
        <w:trPr>
          <w:trHeight w:val="300"/>
          <w:jc w:val="center"/>
        </w:trPr>
        <w:tc>
          <w:tcPr>
            <w:tcW w:w="6750" w:type="dxa"/>
            <w:tcBorders>
              <w:top w:val="single" w:sz="4" w:space="0" w:color="auto"/>
              <w:left w:val="single" w:sz="4" w:space="0" w:color="auto"/>
              <w:bottom w:val="single" w:sz="4" w:space="0" w:color="auto"/>
              <w:right w:val="single" w:sz="4" w:space="0" w:color="auto"/>
            </w:tcBorders>
            <w:shd w:val="clear" w:color="auto" w:fill="auto"/>
            <w:noWrap/>
          </w:tcPr>
          <w:p w:rsidR="00AD285D" w:rsidRPr="00F4725D" w:rsidRDefault="00AD285D" w:rsidP="00295636">
            <w:pPr>
              <w:spacing w:line="240" w:lineRule="auto"/>
              <w:jc w:val="right"/>
              <w:rPr>
                <w:rFonts w:ascii="Calibri" w:eastAsia="Times New Roman" w:hAnsi="Calibri" w:cs="Calibri"/>
                <w:color w:val="000000"/>
                <w:sz w:val="24"/>
                <w:szCs w:val="24"/>
              </w:rPr>
            </w:pPr>
            <w:r w:rsidRPr="00F4725D">
              <w:rPr>
                <w:rFonts w:ascii="Calibri" w:eastAsia="Times New Roman" w:hAnsi="Calibri" w:cs="Calibri"/>
                <w:color w:val="000000"/>
                <w:sz w:val="24"/>
                <w:szCs w:val="24"/>
              </w:rPr>
              <w:t>How do cost reference level (DEBs and proxy costs) reflect GHG costs?</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68E1" w:rsidRDefault="005E68E1" w:rsidP="005E68E1">
            <w:pPr>
              <w:jc w:val="center"/>
              <w:rPr>
                <w:b/>
                <w:i/>
              </w:rPr>
            </w:pPr>
            <w:r>
              <w:rPr>
                <w:b/>
                <w:i/>
              </w:rPr>
              <w:t>Completed (RS) – 2/24</w:t>
            </w:r>
          </w:p>
          <w:p w:rsidR="00AD285D" w:rsidRPr="00A57A0D" w:rsidRDefault="005E68E1" w:rsidP="005E68E1">
            <w:pPr>
              <w:spacing w:line="240" w:lineRule="auto"/>
              <w:jc w:val="center"/>
              <w:rPr>
                <w:rFonts w:ascii="Calibri" w:eastAsia="Times New Roman" w:hAnsi="Calibri" w:cs="Calibri"/>
                <w:color w:val="000000"/>
                <w:sz w:val="24"/>
                <w:szCs w:val="24"/>
              </w:rPr>
            </w:pPr>
            <w:r>
              <w:rPr>
                <w:b/>
                <w:i/>
              </w:rPr>
              <w:t>In Progress (U/Z) – 1/26</w:t>
            </w:r>
          </w:p>
        </w:tc>
      </w:tr>
      <w:tr w:rsidR="00AD285D" w:rsidRPr="00A57A0D" w:rsidTr="00295636">
        <w:trPr>
          <w:trHeight w:val="300"/>
          <w:jc w:val="center"/>
        </w:trPr>
        <w:tc>
          <w:tcPr>
            <w:tcW w:w="6750" w:type="dxa"/>
            <w:tcBorders>
              <w:top w:val="single" w:sz="4" w:space="0" w:color="auto"/>
              <w:left w:val="nil"/>
              <w:bottom w:val="single" w:sz="4" w:space="0" w:color="auto"/>
              <w:right w:val="nil"/>
            </w:tcBorders>
            <w:shd w:val="clear" w:color="auto" w:fill="auto"/>
            <w:noWrap/>
          </w:tcPr>
          <w:p w:rsidR="00AD285D" w:rsidRPr="00C0565D" w:rsidRDefault="00AD285D" w:rsidP="00295636">
            <w:pPr>
              <w:spacing w:line="240" w:lineRule="auto"/>
              <w:rPr>
                <w:rFonts w:ascii="Calibri" w:eastAsia="Times New Roman" w:hAnsi="Calibri" w:cs="Calibri"/>
                <w:b/>
                <w:color w:val="000000"/>
                <w:sz w:val="24"/>
                <w:szCs w:val="24"/>
              </w:rPr>
            </w:pPr>
            <w:r>
              <w:rPr>
                <w:rFonts w:ascii="Calibri" w:eastAsia="Times New Roman" w:hAnsi="Calibri" w:cs="Calibri"/>
                <w:b/>
                <w:color w:val="000000"/>
                <w:sz w:val="24"/>
                <w:szCs w:val="24"/>
              </w:rPr>
              <w:t>Miscellaneous: EIM (roll over to real Time)</w:t>
            </w:r>
          </w:p>
        </w:tc>
        <w:tc>
          <w:tcPr>
            <w:tcW w:w="2700" w:type="dxa"/>
            <w:tcBorders>
              <w:top w:val="single" w:sz="4" w:space="0" w:color="auto"/>
              <w:left w:val="nil"/>
              <w:bottom w:val="single" w:sz="4" w:space="0" w:color="auto"/>
              <w:right w:val="nil"/>
            </w:tcBorders>
            <w:shd w:val="clear" w:color="auto" w:fill="auto"/>
            <w:noWrap/>
            <w:vAlign w:val="bottom"/>
          </w:tcPr>
          <w:p w:rsidR="00AD285D" w:rsidRPr="00A57A0D" w:rsidRDefault="00AD285D" w:rsidP="00295636">
            <w:pPr>
              <w:spacing w:line="240" w:lineRule="auto"/>
              <w:jc w:val="center"/>
              <w:rPr>
                <w:rFonts w:ascii="Calibri" w:eastAsia="Times New Roman" w:hAnsi="Calibri" w:cs="Calibri"/>
                <w:color w:val="000000"/>
                <w:sz w:val="24"/>
                <w:szCs w:val="24"/>
              </w:rPr>
            </w:pPr>
          </w:p>
        </w:tc>
      </w:tr>
      <w:tr w:rsidR="00AD285D" w:rsidRPr="00A57A0D" w:rsidTr="00295636">
        <w:trPr>
          <w:trHeight w:val="300"/>
          <w:jc w:val="center"/>
        </w:trPr>
        <w:tc>
          <w:tcPr>
            <w:tcW w:w="6750" w:type="dxa"/>
            <w:tcBorders>
              <w:top w:val="single" w:sz="4" w:space="0" w:color="auto"/>
              <w:left w:val="single" w:sz="4" w:space="0" w:color="auto"/>
              <w:bottom w:val="single" w:sz="4" w:space="0" w:color="auto"/>
              <w:right w:val="single" w:sz="4" w:space="0" w:color="auto"/>
            </w:tcBorders>
            <w:shd w:val="clear" w:color="auto" w:fill="auto"/>
            <w:noWrap/>
          </w:tcPr>
          <w:p w:rsidR="00AD285D" w:rsidRPr="00711139" w:rsidRDefault="00AD285D" w:rsidP="00295636">
            <w:pPr>
              <w:spacing w:line="240" w:lineRule="auto"/>
              <w:jc w:val="right"/>
              <w:rPr>
                <w:rFonts w:ascii="Calibri" w:eastAsia="Times New Roman" w:hAnsi="Calibri" w:cs="Calibri"/>
                <w:color w:val="000000"/>
                <w:sz w:val="24"/>
                <w:szCs w:val="24"/>
              </w:rPr>
            </w:pPr>
            <w:r w:rsidRPr="00F4725D">
              <w:rPr>
                <w:rFonts w:ascii="Calibri" w:eastAsia="Times New Roman" w:hAnsi="Calibri" w:cs="Calibri"/>
                <w:color w:val="000000"/>
                <w:sz w:val="24"/>
                <w:szCs w:val="24"/>
              </w:rPr>
              <w:t>Do we need to make updates to the RTM EIM GHG model to align it with EDAM?</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68E1" w:rsidRDefault="005E68E1" w:rsidP="005E68E1">
            <w:pPr>
              <w:jc w:val="center"/>
              <w:rPr>
                <w:b/>
                <w:i/>
              </w:rPr>
            </w:pPr>
            <w:r>
              <w:rPr>
                <w:b/>
                <w:i/>
              </w:rPr>
              <w:t>In Progress (RS) – 2/24</w:t>
            </w:r>
          </w:p>
          <w:p w:rsidR="00AD285D" w:rsidRPr="00A57A0D" w:rsidRDefault="005E68E1" w:rsidP="005E68E1">
            <w:pPr>
              <w:spacing w:line="240" w:lineRule="auto"/>
              <w:jc w:val="center"/>
              <w:rPr>
                <w:rFonts w:ascii="Calibri" w:eastAsia="Times New Roman" w:hAnsi="Calibri" w:cs="Calibri"/>
                <w:color w:val="000000"/>
                <w:sz w:val="24"/>
                <w:szCs w:val="24"/>
              </w:rPr>
            </w:pPr>
            <w:r>
              <w:rPr>
                <w:b/>
                <w:i/>
              </w:rPr>
              <w:t>In Progress (U/Z) – 1/26</w:t>
            </w:r>
          </w:p>
        </w:tc>
      </w:tr>
      <w:tr w:rsidR="00AD285D" w:rsidRPr="00A57A0D" w:rsidTr="00295636">
        <w:trPr>
          <w:trHeight w:val="300"/>
          <w:jc w:val="center"/>
        </w:trPr>
        <w:tc>
          <w:tcPr>
            <w:tcW w:w="6750" w:type="dxa"/>
            <w:tcBorders>
              <w:top w:val="single" w:sz="4" w:space="0" w:color="auto"/>
              <w:left w:val="single" w:sz="4" w:space="0" w:color="auto"/>
              <w:bottom w:val="single" w:sz="4" w:space="0" w:color="auto"/>
              <w:right w:val="single" w:sz="4" w:space="0" w:color="auto"/>
            </w:tcBorders>
            <w:shd w:val="clear" w:color="auto" w:fill="auto"/>
            <w:noWrap/>
          </w:tcPr>
          <w:p w:rsidR="00AD285D" w:rsidRPr="00360177" w:rsidRDefault="00AD285D" w:rsidP="00295636">
            <w:pPr>
              <w:spacing w:line="240" w:lineRule="auto"/>
              <w:jc w:val="right"/>
              <w:rPr>
                <w:rFonts w:ascii="Calibri" w:eastAsia="Times New Roman" w:hAnsi="Calibri" w:cs="Calibri"/>
                <w:color w:val="000000"/>
                <w:sz w:val="24"/>
                <w:szCs w:val="24"/>
              </w:rPr>
            </w:pPr>
            <w:r w:rsidRPr="00360177">
              <w:rPr>
                <w:rFonts w:ascii="Calibri" w:eastAsia="Times New Roman" w:hAnsi="Calibri" w:cs="Calibri"/>
                <w:color w:val="000000"/>
                <w:sz w:val="24"/>
                <w:szCs w:val="24"/>
              </w:rPr>
              <w:t>What are the associated settlement impacts to any variation allowed?</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68E1" w:rsidRDefault="005E68E1" w:rsidP="005E68E1">
            <w:pPr>
              <w:jc w:val="center"/>
              <w:rPr>
                <w:b/>
                <w:i/>
              </w:rPr>
            </w:pPr>
            <w:r>
              <w:rPr>
                <w:b/>
                <w:i/>
              </w:rPr>
              <w:t>In Progress (RS) – 2/24</w:t>
            </w:r>
          </w:p>
          <w:p w:rsidR="00AD285D" w:rsidRPr="00A57A0D" w:rsidRDefault="005E68E1" w:rsidP="005E68E1">
            <w:pPr>
              <w:spacing w:line="240" w:lineRule="auto"/>
              <w:jc w:val="center"/>
              <w:rPr>
                <w:rFonts w:ascii="Calibri" w:eastAsia="Times New Roman" w:hAnsi="Calibri" w:cs="Calibri"/>
                <w:color w:val="000000"/>
                <w:sz w:val="24"/>
                <w:szCs w:val="24"/>
              </w:rPr>
            </w:pPr>
            <w:r>
              <w:rPr>
                <w:b/>
                <w:i/>
              </w:rPr>
              <w:t>In Progress (U/Z) – 1/26</w:t>
            </w:r>
          </w:p>
        </w:tc>
      </w:tr>
    </w:tbl>
    <w:p w:rsidR="00AD285D" w:rsidRPr="00A17AA0" w:rsidRDefault="00AD285D" w:rsidP="00AD285D"/>
    <w:p w:rsidR="00C2450E" w:rsidRDefault="00C2450E" w:rsidP="00C2450E"/>
    <w:p w:rsidR="00A17AA0" w:rsidRDefault="00A17AA0" w:rsidP="00A17AA0"/>
    <w:p w:rsidR="00C71573" w:rsidRPr="00C71573" w:rsidRDefault="00C71573" w:rsidP="00C71573">
      <w:pPr>
        <w:rPr>
          <w:b/>
          <w:u w:val="single"/>
        </w:rPr>
      </w:pPr>
      <w:r w:rsidRPr="00C71573">
        <w:rPr>
          <w:b/>
          <w:u w:val="single"/>
        </w:rPr>
        <w:t>Key:</w:t>
      </w:r>
    </w:p>
    <w:p w:rsidR="00C71573" w:rsidRDefault="00C71573" w:rsidP="00206D52">
      <w:r w:rsidRPr="00206D52">
        <w:rPr>
          <w:i/>
        </w:rPr>
        <w:t>Completed (RS)</w:t>
      </w:r>
      <w:r>
        <w:t>: Scope area has been completed for the resource-specific approach</w:t>
      </w:r>
    </w:p>
    <w:p w:rsidR="00C71573" w:rsidRDefault="00C71573" w:rsidP="00206D52">
      <w:r w:rsidRPr="00206D52">
        <w:rPr>
          <w:i/>
        </w:rPr>
        <w:t>Completed (U/Z)</w:t>
      </w:r>
      <w:r>
        <w:t>: Scope area has been completed for the unspecified/zonal approach</w:t>
      </w:r>
    </w:p>
    <w:p w:rsidR="00C71573" w:rsidRDefault="00C71573" w:rsidP="00206D52">
      <w:r w:rsidRPr="00206D52">
        <w:rPr>
          <w:i/>
        </w:rPr>
        <w:t>In progress (RS)</w:t>
      </w:r>
      <w:r>
        <w:t>: Scope area has been discussed but not completed for the resource-specific approach</w:t>
      </w:r>
    </w:p>
    <w:p w:rsidR="00C71573" w:rsidRDefault="00C71573" w:rsidP="00206D52">
      <w:r w:rsidRPr="00206D52">
        <w:rPr>
          <w:i/>
        </w:rPr>
        <w:t>In progress (U/Z)</w:t>
      </w:r>
      <w:r>
        <w:t>: Scope area has been discussed but not completed for the unspecified/zonal approach</w:t>
      </w:r>
    </w:p>
    <w:p w:rsidR="00A17AA0" w:rsidRPr="00A17AA0" w:rsidRDefault="00A17AA0" w:rsidP="00A17AA0"/>
    <w:p w:rsidR="00A17AA0" w:rsidRDefault="00A17AA0" w:rsidP="00B44823">
      <w:r>
        <w:br w:type="page"/>
      </w:r>
    </w:p>
    <w:p w:rsidR="00B94A90" w:rsidRDefault="009029EF" w:rsidP="009029EF">
      <w:pPr>
        <w:pStyle w:val="Heading1"/>
      </w:pPr>
      <w:r>
        <w:lastRenderedPageBreak/>
        <w:t>Weekly Discussion</w:t>
      </w:r>
    </w:p>
    <w:p w:rsidR="00C641E5" w:rsidRDefault="006E6E8C" w:rsidP="006E6E8C">
      <w:pPr>
        <w:pStyle w:val="Heading2"/>
        <w:rPr>
          <w:b/>
        </w:rPr>
      </w:pPr>
      <w:r>
        <w:t>February 22</w:t>
      </w:r>
    </w:p>
    <w:p w:rsidR="00C641E5" w:rsidRDefault="00C641E5" w:rsidP="00C641E5">
      <w:r w:rsidRPr="00B84829">
        <w:rPr>
          <w:b/>
        </w:rPr>
        <w:t>Scope Items Discussed</w:t>
      </w:r>
      <w:r>
        <w:t xml:space="preserve">: </w:t>
      </w:r>
      <w:r w:rsidR="00ED2D6C">
        <w:t>Foundational items</w:t>
      </w:r>
    </w:p>
    <w:p w:rsidR="0063326A" w:rsidRDefault="0063326A" w:rsidP="007305EA">
      <w:r w:rsidRPr="00B84829">
        <w:rPr>
          <w:b/>
        </w:rPr>
        <w:t>Presenters</w:t>
      </w:r>
      <w:r>
        <w:t xml:space="preserve">: </w:t>
      </w:r>
      <w:r w:rsidR="00ED2D6C">
        <w:t>Kevin Head, California ISO</w:t>
      </w:r>
    </w:p>
    <w:p w:rsidR="0063326A" w:rsidRDefault="00DB0694" w:rsidP="0063326A">
      <w:r>
        <w:tab/>
      </w:r>
    </w:p>
    <w:p w:rsidR="004B3A60" w:rsidRDefault="00ED2D6C" w:rsidP="00ED2D6C">
      <w:r>
        <w:t>Continuing the review of WG3 participant questions from the “homework assignment, Kevin reviewed the category of “foundational” questions, which are questions not specific to an individual WG3 Scope Item, but rather more general.  These eight questions and Kevin’s responses are poste</w:t>
      </w:r>
      <w:r w:rsidR="00AF6DAC">
        <w:t>d on the WG3 website.  Each item was discussed and then a Q&amp;A session following his review.</w:t>
      </w:r>
    </w:p>
    <w:p w:rsidR="004B3A60" w:rsidRDefault="004B3A60" w:rsidP="0063326A"/>
    <w:p w:rsidR="00A67E23" w:rsidRDefault="0063326A" w:rsidP="009B2217">
      <w:r w:rsidRPr="00B84829">
        <w:rPr>
          <w:b/>
        </w:rPr>
        <w:t>Discussion</w:t>
      </w:r>
      <w:r w:rsidR="001B38FC">
        <w:t>:</w:t>
      </w:r>
    </w:p>
    <w:p w:rsidR="004B3A60" w:rsidRDefault="00AF6DAC" w:rsidP="00AF6DAC">
      <w:r>
        <w:t>There was limited discussion on these items.  One comment requested that the upcoming WG3 sessions on deeper dive into Resource Specific and Unspecified Resource EDAM design alternatives include a com pare and contract approach, specifically regarding leakage and secondary dispatch impacts.</w:t>
      </w:r>
    </w:p>
    <w:p w:rsidR="006729B2" w:rsidRDefault="006729B2" w:rsidP="006729B2"/>
    <w:p w:rsidR="0063326A" w:rsidRDefault="0063326A" w:rsidP="0063326A">
      <w:r w:rsidRPr="00B84829">
        <w:rPr>
          <w:b/>
        </w:rPr>
        <w:t>Conclusion</w:t>
      </w:r>
      <w:r>
        <w:t>:</w:t>
      </w:r>
    </w:p>
    <w:p w:rsidR="0063326A" w:rsidRPr="00DF00F5" w:rsidRDefault="00AF6DAC" w:rsidP="0063326A">
      <w:r>
        <w:t>With</w:t>
      </w:r>
      <w:r w:rsidR="001B6ABC">
        <w:t xml:space="preserve"> the discussion </w:t>
      </w:r>
      <w:r>
        <w:t>of these Foundational questions, this concludes the review of the submitted homework assignment questions.  Going forward, these content of these questions have been imbedded into the discussion on individual scope items in upcoming WG sessions.</w:t>
      </w:r>
    </w:p>
    <w:p w:rsidR="0063326A" w:rsidRDefault="0063326A" w:rsidP="0063326A">
      <w:pPr>
        <w:rPr>
          <w:b/>
        </w:rPr>
      </w:pPr>
    </w:p>
    <w:p w:rsidR="003410CE" w:rsidRDefault="003410CE" w:rsidP="0063326A">
      <w:pPr>
        <w:rPr>
          <w:b/>
        </w:rPr>
      </w:pPr>
    </w:p>
    <w:p w:rsidR="003410CE" w:rsidRDefault="003410CE" w:rsidP="003410CE">
      <w:r w:rsidRPr="00B84829">
        <w:rPr>
          <w:b/>
        </w:rPr>
        <w:t>Scope Items Discussed</w:t>
      </w:r>
      <w:r w:rsidR="0025299D">
        <w:t>: Foundational</w:t>
      </w:r>
    </w:p>
    <w:p w:rsidR="0025299D" w:rsidRPr="0025299D" w:rsidRDefault="003410CE" w:rsidP="0025299D">
      <w:pPr>
        <w:rPr>
          <w:i/>
          <w:color w:val="0000FF"/>
        </w:rPr>
      </w:pPr>
      <w:r w:rsidRPr="00B84829">
        <w:rPr>
          <w:b/>
        </w:rPr>
        <w:t>Presenters</w:t>
      </w:r>
      <w:r>
        <w:t xml:space="preserve">: </w:t>
      </w:r>
      <w:r w:rsidR="0025299D" w:rsidRPr="0025299D">
        <w:t>Abhishek Hundiwale</w:t>
      </w:r>
      <w:r w:rsidR="0025299D">
        <w:t xml:space="preserve">, </w:t>
      </w:r>
      <w:r>
        <w:t xml:space="preserve">California </w:t>
      </w:r>
      <w:proofErr w:type="gramStart"/>
      <w:r>
        <w:t>ISO</w:t>
      </w:r>
      <w:r w:rsidR="0025299D">
        <w:t xml:space="preserve">  </w:t>
      </w:r>
      <w:r w:rsidR="0025299D" w:rsidRPr="0025299D">
        <w:rPr>
          <w:i/>
          <w:color w:val="0000FF"/>
        </w:rPr>
        <w:t>Current</w:t>
      </w:r>
      <w:proofErr w:type="gramEnd"/>
      <w:r w:rsidR="0025299D" w:rsidRPr="0025299D">
        <w:rPr>
          <w:i/>
          <w:color w:val="0000FF"/>
        </w:rPr>
        <w:t xml:space="preserve"> Framework for Greenhouse Gas</w:t>
      </w:r>
    </w:p>
    <w:p w:rsidR="003410CE" w:rsidRPr="0025299D" w:rsidRDefault="0025299D" w:rsidP="0025299D">
      <w:pPr>
        <w:rPr>
          <w:i/>
          <w:color w:val="0000FF"/>
        </w:rPr>
      </w:pPr>
      <w:r w:rsidRPr="0025299D">
        <w:rPr>
          <w:i/>
          <w:color w:val="0000FF"/>
        </w:rPr>
        <w:t>(GHG) Accounting within CAISO Markets</w:t>
      </w:r>
    </w:p>
    <w:p w:rsidR="003410CE" w:rsidRDefault="003410CE" w:rsidP="003410CE">
      <w:r>
        <w:tab/>
      </w:r>
    </w:p>
    <w:p w:rsidR="003410CE" w:rsidRDefault="003410CE" w:rsidP="007B19E4">
      <w:r>
        <w:t>C</w:t>
      </w:r>
      <w:r w:rsidR="0025299D">
        <w:t xml:space="preserve">alifornia ISO subject matter expert (SME) presented on the existing GHG framework in CAISO markets.  </w:t>
      </w:r>
      <w:r>
        <w:t xml:space="preserve"> </w:t>
      </w:r>
      <w:r w:rsidR="007B19E4">
        <w:t>The presentation covered GHG compliance costs bids, basic attribution principles, and how the design has evolved since WEIM go-live with a focus to reduce the potential magnitude of secondary dispatch.</w:t>
      </w:r>
    </w:p>
    <w:p w:rsidR="003410CE" w:rsidRDefault="003410CE" w:rsidP="003410CE"/>
    <w:p w:rsidR="003410CE" w:rsidRDefault="003410CE" w:rsidP="003410CE">
      <w:r w:rsidRPr="00B84829">
        <w:rPr>
          <w:b/>
        </w:rPr>
        <w:t>Discussion</w:t>
      </w:r>
      <w:r>
        <w:t>:</w:t>
      </w:r>
    </w:p>
    <w:p w:rsidR="003410CE" w:rsidRDefault="00FE56A9" w:rsidP="00FE56A9">
      <w:r>
        <w:t>There were</w:t>
      </w:r>
      <w:r w:rsidR="003410CE">
        <w:t xml:space="preserve"> </w:t>
      </w:r>
      <w:r>
        <w:t xml:space="preserve">questions and clarifying discussion on the basic dispatch example from the presentation showing three dispatch levels relative to base schedule.   There was also discussion on the graph showing the general reduction of percentage of transfers serving CAISO load that are potential secondary dispatch following the 1/1/2018 market enhancements. </w:t>
      </w:r>
      <w:r w:rsidR="003A1A91">
        <w:t xml:space="preserve"> A concern over the existence of potential secondary dispatch and the magnitudes shown in the graph was expressed and discussed.  In response to this concern, multiple participants offered that full participation in an EDAM GHG optimization (full market footprint GHG zone) could mitigate the level these potential secondary dispatches.</w:t>
      </w:r>
    </w:p>
    <w:p w:rsidR="003410CE" w:rsidRDefault="003410CE" w:rsidP="003410CE"/>
    <w:p w:rsidR="003410CE" w:rsidRDefault="003410CE" w:rsidP="003410CE">
      <w:r w:rsidRPr="00B84829">
        <w:rPr>
          <w:b/>
        </w:rPr>
        <w:t>Conclusion</w:t>
      </w:r>
      <w:r>
        <w:t>:</w:t>
      </w:r>
    </w:p>
    <w:p w:rsidR="003410CE" w:rsidRPr="00DF00F5" w:rsidRDefault="00877A90" w:rsidP="003410CE">
      <w:r>
        <w:t>This review of existing CAISO market GHG features and principles serves as a foundation for Thursdays Resource Specific 2.0 discussion.</w:t>
      </w:r>
    </w:p>
    <w:p w:rsidR="003410CE" w:rsidRDefault="003410CE" w:rsidP="0063326A">
      <w:pPr>
        <w:rPr>
          <w:b/>
        </w:rPr>
      </w:pPr>
    </w:p>
    <w:p w:rsidR="003A7836" w:rsidRDefault="003A7836" w:rsidP="0063326A">
      <w:pPr>
        <w:rPr>
          <w:b/>
        </w:rPr>
      </w:pPr>
    </w:p>
    <w:p w:rsidR="003A7836" w:rsidRDefault="003A7836" w:rsidP="0063326A">
      <w:pPr>
        <w:rPr>
          <w:b/>
        </w:rPr>
      </w:pPr>
    </w:p>
    <w:p w:rsidR="003A7836" w:rsidRDefault="003A7836" w:rsidP="003A7836">
      <w:r w:rsidRPr="00B84829">
        <w:rPr>
          <w:b/>
        </w:rPr>
        <w:t>Scope Items Discussed</w:t>
      </w:r>
      <w:r>
        <w:t>: Foundational</w:t>
      </w:r>
    </w:p>
    <w:p w:rsidR="003A7836" w:rsidRPr="0025299D" w:rsidRDefault="003A7836" w:rsidP="003A7836">
      <w:pPr>
        <w:rPr>
          <w:i/>
          <w:color w:val="0000FF"/>
        </w:rPr>
      </w:pPr>
      <w:r w:rsidRPr="00B84829">
        <w:rPr>
          <w:b/>
        </w:rPr>
        <w:t>Presenters</w:t>
      </w:r>
      <w:r>
        <w:t>: Kevin Head, California ISO</w:t>
      </w:r>
    </w:p>
    <w:p w:rsidR="003A7836" w:rsidRDefault="003A7836" w:rsidP="003A7836">
      <w:r>
        <w:tab/>
      </w:r>
    </w:p>
    <w:p w:rsidR="003A7836" w:rsidRDefault="009B01B4" w:rsidP="003A7836">
      <w:r>
        <w:t xml:space="preserve">The WG3 Scope Items document, which was updated last week to include references to </w:t>
      </w:r>
      <w:proofErr w:type="gramStart"/>
      <w:r>
        <w:t>participants</w:t>
      </w:r>
      <w:proofErr w:type="gramEnd"/>
      <w:r>
        <w:t xml:space="preserve"> questions, was further updated to include context related to current CAISO market design.  This document was reviewed in its entirety in this session.</w:t>
      </w:r>
    </w:p>
    <w:p w:rsidR="003A7836" w:rsidRDefault="003A7836" w:rsidP="003A7836"/>
    <w:p w:rsidR="003A7836" w:rsidRDefault="003A7836" w:rsidP="003A7836">
      <w:r w:rsidRPr="00B84829">
        <w:rPr>
          <w:b/>
        </w:rPr>
        <w:t>Discussion</w:t>
      </w:r>
      <w:r>
        <w:t>:</w:t>
      </w:r>
    </w:p>
    <w:p w:rsidR="003A7836" w:rsidRDefault="009B01B4" w:rsidP="003A7836">
      <w:r>
        <w:t>Due to time constraints, there was not much opportunity for Q&amp;A on this topic.  The sole discussion topic was on the difference between current single GHG zone construct and the EDAM with potentially more than one GHG zone.  Currently, the single GHG zone is consistent with BAA boundary, but not necessarily in EDAM.  Some discussion took place regarding how a GHG bid adder might work under this EDAM scenario.</w:t>
      </w:r>
    </w:p>
    <w:p w:rsidR="003A7836" w:rsidRDefault="003A7836" w:rsidP="003A7836"/>
    <w:p w:rsidR="003A7836" w:rsidRDefault="003A7836" w:rsidP="003A7836">
      <w:r w:rsidRPr="00B84829">
        <w:rPr>
          <w:b/>
        </w:rPr>
        <w:t>Conclusion</w:t>
      </w:r>
      <w:r>
        <w:t>:</w:t>
      </w:r>
    </w:p>
    <w:p w:rsidR="009B01B4" w:rsidRPr="00DF00F5" w:rsidRDefault="009B01B4" w:rsidP="009B01B4">
      <w:r>
        <w:t>This review of existing CAISO market GHG features and principles serves as a foundation for Thursdays Resource Specific 2.0 discussion.</w:t>
      </w:r>
    </w:p>
    <w:p w:rsidR="003A7836" w:rsidRPr="00DF00F5" w:rsidRDefault="003A7836" w:rsidP="003A7836"/>
    <w:p w:rsidR="003A7836" w:rsidRDefault="003A7836" w:rsidP="0063326A">
      <w:pPr>
        <w:rPr>
          <w:b/>
        </w:rPr>
      </w:pPr>
    </w:p>
    <w:p w:rsidR="003410CE" w:rsidRDefault="003410CE" w:rsidP="0063326A">
      <w:pPr>
        <w:rPr>
          <w:b/>
        </w:rPr>
      </w:pPr>
    </w:p>
    <w:p w:rsidR="003410CE" w:rsidRDefault="003410CE" w:rsidP="0063326A">
      <w:pPr>
        <w:rPr>
          <w:b/>
        </w:rPr>
      </w:pPr>
    </w:p>
    <w:p w:rsidR="003410CE" w:rsidRDefault="003410CE" w:rsidP="0063326A">
      <w:pPr>
        <w:rPr>
          <w:b/>
        </w:rPr>
      </w:pPr>
    </w:p>
    <w:p w:rsidR="003410CE" w:rsidRDefault="003410CE" w:rsidP="0063326A">
      <w:pPr>
        <w:rPr>
          <w:b/>
        </w:rPr>
      </w:pPr>
    </w:p>
    <w:p w:rsidR="006729B2" w:rsidRDefault="006729B2" w:rsidP="0063326A">
      <w:pPr>
        <w:rPr>
          <w:b/>
        </w:rPr>
      </w:pPr>
    </w:p>
    <w:p w:rsidR="00FA271B" w:rsidRDefault="00175B8E" w:rsidP="00FA271B">
      <w:pPr>
        <w:pStyle w:val="Heading2"/>
      </w:pPr>
      <w:r>
        <w:t>February 24</w:t>
      </w:r>
    </w:p>
    <w:p w:rsidR="00FA271B" w:rsidRDefault="00FA271B" w:rsidP="00FA271B">
      <w:pPr>
        <w:rPr>
          <w:b/>
        </w:rPr>
      </w:pPr>
    </w:p>
    <w:p w:rsidR="00FA271B" w:rsidRDefault="00FA271B" w:rsidP="00FA271B">
      <w:r w:rsidRPr="00B84829">
        <w:rPr>
          <w:b/>
        </w:rPr>
        <w:t>Scope Items Discussed</w:t>
      </w:r>
      <w:r>
        <w:t>: All – WG Schedule</w:t>
      </w:r>
    </w:p>
    <w:p w:rsidR="00FA271B" w:rsidRDefault="00FA271B" w:rsidP="004B61BA">
      <w:r w:rsidRPr="00B84829">
        <w:rPr>
          <w:b/>
        </w:rPr>
        <w:t>Presenters</w:t>
      </w:r>
      <w:r w:rsidR="004B61BA">
        <w:t xml:space="preserve">: </w:t>
      </w:r>
      <w:r w:rsidR="004B61BA" w:rsidRPr="004B61BA">
        <w:t>Anja Gilbert &amp; George Angelidis</w:t>
      </w:r>
      <w:r>
        <w:t>, California ISO</w:t>
      </w:r>
      <w:r w:rsidR="004B61BA">
        <w:t xml:space="preserve">   </w:t>
      </w:r>
      <w:r w:rsidR="004B61BA" w:rsidRPr="004B61BA">
        <w:rPr>
          <w:i/>
          <w:color w:val="0000FF"/>
        </w:rPr>
        <w:t>Resource Specific Option Version 2.0</w:t>
      </w:r>
    </w:p>
    <w:p w:rsidR="0091559B" w:rsidRDefault="0091559B" w:rsidP="00FA271B"/>
    <w:p w:rsidR="0091559B" w:rsidRDefault="0091559B" w:rsidP="0091559B">
      <w:r>
        <w:t>Anja presented “version 2.0” of the Resource Specific EDAM design option.  The presentation covered design objectives and a comprehensive review of design topics, from GHG zone definitions, participation options, optimization, and attribution/accounting.  George presented a second part focusing on the RSE optimization model as the base schedule for secondary dispatch accounting.</w:t>
      </w:r>
    </w:p>
    <w:p w:rsidR="00FA271B" w:rsidRDefault="00020C90" w:rsidP="00FA271B">
      <w:r>
        <w:tab/>
      </w:r>
    </w:p>
    <w:p w:rsidR="006729B2" w:rsidRDefault="00FA271B" w:rsidP="00FA271B">
      <w:r w:rsidRPr="00B84829">
        <w:rPr>
          <w:b/>
        </w:rPr>
        <w:t>Discussion</w:t>
      </w:r>
      <w:r w:rsidR="00020C90">
        <w:t>:</w:t>
      </w:r>
    </w:p>
    <w:p w:rsidR="00020C90" w:rsidRDefault="0091559B" w:rsidP="002F16E3">
      <w:r>
        <w:t>Discussion / Q&amp;A topics included:</w:t>
      </w:r>
    </w:p>
    <w:p w:rsidR="0091559B" w:rsidRDefault="00435446" w:rsidP="0091559B">
      <w:pPr>
        <w:pStyle w:val="ListParagraph"/>
        <w:numPr>
          <w:ilvl w:val="0"/>
          <w:numId w:val="18"/>
        </w:numPr>
      </w:pPr>
      <w:r>
        <w:t xml:space="preserve">Discuss the scenario of a </w:t>
      </w:r>
      <w:proofErr w:type="gramStart"/>
      <w:r>
        <w:t>non</w:t>
      </w:r>
      <w:proofErr w:type="gramEnd"/>
      <w:r>
        <w:t xml:space="preserve"> </w:t>
      </w:r>
      <w:r w:rsidR="001845CD">
        <w:t>“</w:t>
      </w:r>
      <w:r>
        <w:t>pseudo tied</w:t>
      </w:r>
      <w:r w:rsidR="001845CD">
        <w:t>”</w:t>
      </w:r>
      <w:r>
        <w:t xml:space="preserve"> resource located external to a GHG zone but contracted to serve load in the GHG zone.  George commented that such a resource could be treated as if it were pseudo tie resource to the GHG zone, for attribution purposes.</w:t>
      </w:r>
    </w:p>
    <w:p w:rsidR="00435446" w:rsidRDefault="00435446" w:rsidP="0091559B">
      <w:pPr>
        <w:pStyle w:val="ListParagraph"/>
        <w:numPr>
          <w:ilvl w:val="0"/>
          <w:numId w:val="18"/>
        </w:numPr>
      </w:pPr>
      <w:r>
        <w:t>A clarifying question on the scenario o</w:t>
      </w:r>
      <w:bookmarkStart w:id="0" w:name="_GoBack"/>
      <w:bookmarkEnd w:id="0"/>
      <w:r>
        <w:t xml:space="preserve">f a </w:t>
      </w:r>
      <w:proofErr w:type="spellStart"/>
      <w:r>
        <w:t>self schedule</w:t>
      </w:r>
      <w:proofErr w:type="spellEnd"/>
      <w:r>
        <w:t xml:space="preserve"> that is dispatched and attributed to a GHG zone; the clarification is that a </w:t>
      </w:r>
      <w:proofErr w:type="spellStart"/>
      <w:r>
        <w:t>self schedule</w:t>
      </w:r>
      <w:proofErr w:type="spellEnd"/>
      <w:r>
        <w:t xml:space="preserve"> also </w:t>
      </w:r>
      <w:r w:rsidR="001845CD">
        <w:t xml:space="preserve">needs to </w:t>
      </w:r>
      <w:r>
        <w:t>have an energy</w:t>
      </w:r>
      <w:r w:rsidR="001845CD">
        <w:t xml:space="preserve"> and a GHG</w:t>
      </w:r>
      <w:r>
        <w:t xml:space="preserve"> bid</w:t>
      </w:r>
      <w:r w:rsidR="001845CD">
        <w:t xml:space="preserve"> to be deemed to serve a GHG zone</w:t>
      </w:r>
      <w:r>
        <w:t>.</w:t>
      </w:r>
    </w:p>
    <w:p w:rsidR="00435446" w:rsidRDefault="00435446" w:rsidP="0091559B">
      <w:pPr>
        <w:pStyle w:val="ListParagraph"/>
        <w:numPr>
          <w:ilvl w:val="0"/>
          <w:numId w:val="18"/>
        </w:numPr>
      </w:pPr>
      <w:r>
        <w:lastRenderedPageBreak/>
        <w:t xml:space="preserve">Discussion on a how to differentiate participation options between multiple schedulers for a JOU resource.  The shares could be accounted independently, and for attribution proposes, the </w:t>
      </w:r>
      <w:r w:rsidR="001845CD">
        <w:t xml:space="preserve">GHG zone </w:t>
      </w:r>
      <w:r>
        <w:t xml:space="preserve">of the resource is always </w:t>
      </w:r>
      <w:r w:rsidR="001845CD">
        <w:t xml:space="preserve">based on whether it is subject to GHG regulations which is often </w:t>
      </w:r>
      <w:r>
        <w:t>tied to its physical location.</w:t>
      </w:r>
    </w:p>
    <w:p w:rsidR="00435446" w:rsidRDefault="005E627B" w:rsidP="00A378A3">
      <w:pPr>
        <w:pStyle w:val="ListParagraph"/>
        <w:numPr>
          <w:ilvl w:val="0"/>
          <w:numId w:val="18"/>
        </w:numPr>
      </w:pPr>
      <w:r>
        <w:t xml:space="preserve">What is the definition of linkage in the context of EDAM </w:t>
      </w:r>
      <w:proofErr w:type="gramStart"/>
      <w:r>
        <w:t>design.</w:t>
      </w:r>
      <w:proofErr w:type="gramEnd"/>
      <w:r>
        <w:t xml:space="preserve">  The definition of linkage is established by each corresponding regulator</w:t>
      </w:r>
      <w:r w:rsidR="00C131E7">
        <w:t>y agency, CARB and Washington</w:t>
      </w:r>
      <w:r w:rsidR="001845CD">
        <w:t xml:space="preserve"> Department of Ecology</w:t>
      </w:r>
      <w:r w:rsidR="00C131E7">
        <w:t xml:space="preserve"> i</w:t>
      </w:r>
      <w:r>
        <w:t xml:space="preserve">n this discussion. </w:t>
      </w:r>
      <w:r w:rsidR="00A378A3">
        <w:t xml:space="preserve"> This led to a more detailed discussion of the “initial phase” implementation (where the CAISO is not proposing to build functionality to support cross regulation area GHG attribution) versus a potential longer term design to support linkage between dissimilar GHG zones within the market optimization.  </w:t>
      </w:r>
    </w:p>
    <w:p w:rsidR="005E627B" w:rsidRDefault="00127593" w:rsidP="0091559B">
      <w:pPr>
        <w:pStyle w:val="ListParagraph"/>
        <w:numPr>
          <w:ilvl w:val="0"/>
          <w:numId w:val="18"/>
        </w:numPr>
      </w:pPr>
      <w:r>
        <w:t>There was a discussion on the current CAISO proposal to enhance the GHG attribution deeming algorithm to include an aggregate transfer limit from within a BAA.  The current implementation treats all resources outside the GHG zone the same with</w:t>
      </w:r>
      <w:r w:rsidR="00C131E7">
        <w:t xml:space="preserve"> respect to transmission limits</w:t>
      </w:r>
      <w:r>
        <w:t>.</w:t>
      </w:r>
      <w:r w:rsidR="001845CD">
        <w:t xml:space="preserve"> The newly proposed model would create differential GHG marginal prices across the non-GHG zone because of this additional transfer limitation that is proposed to be added to the model.</w:t>
      </w:r>
    </w:p>
    <w:p w:rsidR="00127593" w:rsidRDefault="006611E7" w:rsidP="0091559B">
      <w:pPr>
        <w:pStyle w:val="ListParagraph"/>
        <w:numPr>
          <w:ilvl w:val="0"/>
          <w:numId w:val="18"/>
        </w:numPr>
      </w:pPr>
      <w:r>
        <w:t>James Lynn of CAISO responded to a request to provide an overview of how EDAM GHG dispatch and pricing would carry forward to the real time market.  Key points made were (1) EDAM produces a market award, not a dispatch, (2) the real time market solution may increase or decrease the DA award (attributions), and (3) the reporting of market attributions (to CARB, in today’s WEIM context) will be based on the RT market.</w:t>
      </w:r>
    </w:p>
    <w:p w:rsidR="006611E7" w:rsidRDefault="006611E7" w:rsidP="0091559B">
      <w:pPr>
        <w:pStyle w:val="ListParagraph"/>
        <w:numPr>
          <w:ilvl w:val="0"/>
          <w:numId w:val="18"/>
        </w:numPr>
      </w:pPr>
      <w:r>
        <w:t>In response to Georges overview of the RSE optimization model for the base schedules; there was a debate regarding whether this optimization should be based on load forecast versus bid in demand.  George clarified that this is not a market, it’s a counterfactual basis for the market, and as such, should be based on load forecast, where the objective is BAA resource adequacy.</w:t>
      </w:r>
    </w:p>
    <w:p w:rsidR="0091559B" w:rsidRDefault="0091559B" w:rsidP="002F16E3"/>
    <w:p w:rsidR="00020C90" w:rsidRDefault="00020C90" w:rsidP="00FA271B"/>
    <w:p w:rsidR="00020C90" w:rsidRDefault="00020C90" w:rsidP="00020C90">
      <w:r w:rsidRPr="00B84829">
        <w:rPr>
          <w:b/>
        </w:rPr>
        <w:t>Conclusion</w:t>
      </w:r>
      <w:r>
        <w:t>:</w:t>
      </w:r>
    </w:p>
    <w:p w:rsidR="00020C90" w:rsidRPr="00020C90" w:rsidRDefault="00020C90" w:rsidP="00FA271B">
      <w:r>
        <w:t xml:space="preserve">The </w:t>
      </w:r>
      <w:r w:rsidR="006611E7">
        <w:t xml:space="preserve">Resource Specific V2.0 discussion was concluded and all questions discussed.  </w:t>
      </w:r>
    </w:p>
    <w:p w:rsidR="006729B2" w:rsidRDefault="006729B2" w:rsidP="0063326A">
      <w:pPr>
        <w:rPr>
          <w:b/>
        </w:rPr>
      </w:pPr>
    </w:p>
    <w:p w:rsidR="00141ED6" w:rsidRPr="009029EF" w:rsidRDefault="00141ED6" w:rsidP="00141ED6"/>
    <w:sectPr w:rsidR="00141ED6" w:rsidRPr="009029EF" w:rsidSect="00FD42C3">
      <w:headerReference w:type="default" r:id="rId10"/>
      <w:foot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1E7" w:rsidRDefault="006611E7" w:rsidP="00FD42C3">
      <w:pPr>
        <w:spacing w:line="240" w:lineRule="auto"/>
      </w:pPr>
      <w:r>
        <w:separator/>
      </w:r>
    </w:p>
  </w:endnote>
  <w:endnote w:type="continuationSeparator" w:id="0">
    <w:p w:rsidR="006611E7" w:rsidRDefault="006611E7" w:rsidP="00FD42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813169"/>
      <w:docPartObj>
        <w:docPartGallery w:val="Page Numbers (Bottom of Page)"/>
        <w:docPartUnique/>
      </w:docPartObj>
    </w:sdtPr>
    <w:sdtEndPr>
      <w:rPr>
        <w:noProof/>
      </w:rPr>
    </w:sdtEndPr>
    <w:sdtContent>
      <w:p w:rsidR="006611E7" w:rsidRDefault="006611E7">
        <w:pPr>
          <w:pStyle w:val="Footer"/>
          <w:jc w:val="center"/>
        </w:pPr>
        <w:r>
          <w:fldChar w:fldCharType="begin"/>
        </w:r>
        <w:r>
          <w:instrText xml:space="preserve"> PAGE   \* MERGEFORMAT </w:instrText>
        </w:r>
        <w:r>
          <w:fldChar w:fldCharType="separate"/>
        </w:r>
        <w:r w:rsidR="00A76F32">
          <w:rPr>
            <w:noProof/>
          </w:rPr>
          <w:t>5</w:t>
        </w:r>
        <w:r>
          <w:rPr>
            <w:noProof/>
          </w:rPr>
          <w:fldChar w:fldCharType="end"/>
        </w:r>
      </w:p>
    </w:sdtContent>
  </w:sdt>
  <w:p w:rsidR="006611E7" w:rsidRDefault="006611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1E7" w:rsidRDefault="006611E7" w:rsidP="00FD42C3">
      <w:pPr>
        <w:spacing w:line="240" w:lineRule="auto"/>
      </w:pPr>
      <w:r>
        <w:separator/>
      </w:r>
    </w:p>
  </w:footnote>
  <w:footnote w:type="continuationSeparator" w:id="0">
    <w:p w:rsidR="006611E7" w:rsidRDefault="006611E7" w:rsidP="00FD42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1E7" w:rsidRDefault="006611E7" w:rsidP="00FD42C3">
    <w:pPr>
      <w:pStyle w:val="Header"/>
    </w:pPr>
    <w:r>
      <w:t>Extended Day Ahead Market</w:t>
    </w:r>
    <w:r>
      <w:tab/>
    </w:r>
    <w:r>
      <w:tab/>
      <w:t>Working Group 3 Weekly Report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6C0"/>
    <w:multiLevelType w:val="hybridMultilevel"/>
    <w:tmpl w:val="96329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4496A"/>
    <w:multiLevelType w:val="hybridMultilevel"/>
    <w:tmpl w:val="57A60202"/>
    <w:lvl w:ilvl="0" w:tplc="8960978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15F79"/>
    <w:multiLevelType w:val="hybridMultilevel"/>
    <w:tmpl w:val="F78A1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CC0C6F"/>
    <w:multiLevelType w:val="hybridMultilevel"/>
    <w:tmpl w:val="794E42AE"/>
    <w:lvl w:ilvl="0" w:tplc="3C9A6E7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43E3D"/>
    <w:multiLevelType w:val="hybridMultilevel"/>
    <w:tmpl w:val="A50090B2"/>
    <w:lvl w:ilvl="0" w:tplc="CB2626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3A026A"/>
    <w:multiLevelType w:val="hybridMultilevel"/>
    <w:tmpl w:val="90D25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8428A5"/>
    <w:multiLevelType w:val="hybridMultilevel"/>
    <w:tmpl w:val="0EB80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842CEF"/>
    <w:multiLevelType w:val="hybridMultilevel"/>
    <w:tmpl w:val="40324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1F7498"/>
    <w:multiLevelType w:val="hybridMultilevel"/>
    <w:tmpl w:val="86A01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672F0E"/>
    <w:multiLevelType w:val="hybridMultilevel"/>
    <w:tmpl w:val="C8B2E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DD30D5"/>
    <w:multiLevelType w:val="hybridMultilevel"/>
    <w:tmpl w:val="40324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18329C"/>
    <w:multiLevelType w:val="hybridMultilevel"/>
    <w:tmpl w:val="8F8A0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441146"/>
    <w:multiLevelType w:val="hybridMultilevel"/>
    <w:tmpl w:val="DA92C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9B2A4E"/>
    <w:multiLevelType w:val="hybridMultilevel"/>
    <w:tmpl w:val="5A5CF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6260F5"/>
    <w:multiLevelType w:val="hybridMultilevel"/>
    <w:tmpl w:val="C69CD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BB473E"/>
    <w:multiLevelType w:val="hybridMultilevel"/>
    <w:tmpl w:val="BBE03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F62099"/>
    <w:multiLevelType w:val="hybridMultilevel"/>
    <w:tmpl w:val="D2FE1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DC1093"/>
    <w:multiLevelType w:val="hybridMultilevel"/>
    <w:tmpl w:val="24C29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A7470E"/>
    <w:multiLevelType w:val="hybridMultilevel"/>
    <w:tmpl w:val="48520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9"/>
  </w:num>
  <w:num w:numId="4">
    <w:abstractNumId w:val="5"/>
  </w:num>
  <w:num w:numId="5">
    <w:abstractNumId w:val="6"/>
  </w:num>
  <w:num w:numId="6">
    <w:abstractNumId w:val="8"/>
  </w:num>
  <w:num w:numId="7">
    <w:abstractNumId w:val="2"/>
  </w:num>
  <w:num w:numId="8">
    <w:abstractNumId w:val="11"/>
  </w:num>
  <w:num w:numId="9">
    <w:abstractNumId w:val="13"/>
  </w:num>
  <w:num w:numId="10">
    <w:abstractNumId w:val="18"/>
  </w:num>
  <w:num w:numId="11">
    <w:abstractNumId w:val="17"/>
  </w:num>
  <w:num w:numId="12">
    <w:abstractNumId w:val="16"/>
  </w:num>
  <w:num w:numId="13">
    <w:abstractNumId w:val="0"/>
  </w:num>
  <w:num w:numId="14">
    <w:abstractNumId w:val="14"/>
  </w:num>
  <w:num w:numId="15">
    <w:abstractNumId w:val="10"/>
  </w:num>
  <w:num w:numId="16">
    <w:abstractNumId w:val="4"/>
  </w:num>
  <w:num w:numId="17">
    <w:abstractNumId w:val="7"/>
  </w:num>
  <w:num w:numId="18">
    <w:abstractNumId w:val="1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6AE"/>
    <w:rsid w:val="0000517A"/>
    <w:rsid w:val="000121E9"/>
    <w:rsid w:val="00020C90"/>
    <w:rsid w:val="000326E8"/>
    <w:rsid w:val="00044860"/>
    <w:rsid w:val="00063636"/>
    <w:rsid w:val="000760F5"/>
    <w:rsid w:val="000824C3"/>
    <w:rsid w:val="000930C5"/>
    <w:rsid w:val="00093942"/>
    <w:rsid w:val="00097FF5"/>
    <w:rsid w:val="000A457D"/>
    <w:rsid w:val="000D1B77"/>
    <w:rsid w:val="001072B3"/>
    <w:rsid w:val="00127593"/>
    <w:rsid w:val="00132CF6"/>
    <w:rsid w:val="00141ED6"/>
    <w:rsid w:val="00167A5E"/>
    <w:rsid w:val="001715DB"/>
    <w:rsid w:val="00175B8E"/>
    <w:rsid w:val="00183682"/>
    <w:rsid w:val="001845CD"/>
    <w:rsid w:val="001850DD"/>
    <w:rsid w:val="0018675A"/>
    <w:rsid w:val="00191706"/>
    <w:rsid w:val="00191BE1"/>
    <w:rsid w:val="001A1A61"/>
    <w:rsid w:val="001B38FC"/>
    <w:rsid w:val="001B48E2"/>
    <w:rsid w:val="001B6ABC"/>
    <w:rsid w:val="001B7F29"/>
    <w:rsid w:val="001C7A76"/>
    <w:rsid w:val="001D3193"/>
    <w:rsid w:val="001F111A"/>
    <w:rsid w:val="002033F6"/>
    <w:rsid w:val="00206D52"/>
    <w:rsid w:val="00233A4B"/>
    <w:rsid w:val="00236D4C"/>
    <w:rsid w:val="00245F0C"/>
    <w:rsid w:val="0025299D"/>
    <w:rsid w:val="002549B2"/>
    <w:rsid w:val="00257896"/>
    <w:rsid w:val="00261DFE"/>
    <w:rsid w:val="002705F2"/>
    <w:rsid w:val="00276C4B"/>
    <w:rsid w:val="00284B26"/>
    <w:rsid w:val="00285C4D"/>
    <w:rsid w:val="00285E61"/>
    <w:rsid w:val="002C27F3"/>
    <w:rsid w:val="002C4CCF"/>
    <w:rsid w:val="002D0425"/>
    <w:rsid w:val="002D1B51"/>
    <w:rsid w:val="002F16E3"/>
    <w:rsid w:val="002F227C"/>
    <w:rsid w:val="0031531C"/>
    <w:rsid w:val="00333FF6"/>
    <w:rsid w:val="003410CE"/>
    <w:rsid w:val="00342DE0"/>
    <w:rsid w:val="00360177"/>
    <w:rsid w:val="00360689"/>
    <w:rsid w:val="00391F05"/>
    <w:rsid w:val="00395230"/>
    <w:rsid w:val="003A1A91"/>
    <w:rsid w:val="003A7836"/>
    <w:rsid w:val="003D2309"/>
    <w:rsid w:val="003D297D"/>
    <w:rsid w:val="003E2F89"/>
    <w:rsid w:val="003E366B"/>
    <w:rsid w:val="003E5F22"/>
    <w:rsid w:val="003F31EC"/>
    <w:rsid w:val="00401CF6"/>
    <w:rsid w:val="00423158"/>
    <w:rsid w:val="004245DF"/>
    <w:rsid w:val="004265A5"/>
    <w:rsid w:val="00434878"/>
    <w:rsid w:val="00435446"/>
    <w:rsid w:val="00445B19"/>
    <w:rsid w:val="00454A51"/>
    <w:rsid w:val="00464622"/>
    <w:rsid w:val="004658C2"/>
    <w:rsid w:val="004819B1"/>
    <w:rsid w:val="00482BBC"/>
    <w:rsid w:val="004941BD"/>
    <w:rsid w:val="004A467D"/>
    <w:rsid w:val="004B3A60"/>
    <w:rsid w:val="004B4736"/>
    <w:rsid w:val="004B61BA"/>
    <w:rsid w:val="004C1584"/>
    <w:rsid w:val="00510005"/>
    <w:rsid w:val="0052653B"/>
    <w:rsid w:val="00527B2F"/>
    <w:rsid w:val="00541DF2"/>
    <w:rsid w:val="005511C5"/>
    <w:rsid w:val="00553EA3"/>
    <w:rsid w:val="005550C8"/>
    <w:rsid w:val="005624E2"/>
    <w:rsid w:val="0057014C"/>
    <w:rsid w:val="005A108B"/>
    <w:rsid w:val="005C4029"/>
    <w:rsid w:val="005E627B"/>
    <w:rsid w:val="005E68E1"/>
    <w:rsid w:val="005F2992"/>
    <w:rsid w:val="005F2AB3"/>
    <w:rsid w:val="006151C6"/>
    <w:rsid w:val="00615D2B"/>
    <w:rsid w:val="00621D3A"/>
    <w:rsid w:val="00622EF0"/>
    <w:rsid w:val="0063326A"/>
    <w:rsid w:val="00637985"/>
    <w:rsid w:val="00650FA3"/>
    <w:rsid w:val="00655721"/>
    <w:rsid w:val="006611E7"/>
    <w:rsid w:val="006729B2"/>
    <w:rsid w:val="006B7227"/>
    <w:rsid w:val="006D6AB2"/>
    <w:rsid w:val="006E47E0"/>
    <w:rsid w:val="006E6E8C"/>
    <w:rsid w:val="00705629"/>
    <w:rsid w:val="00711139"/>
    <w:rsid w:val="007176AE"/>
    <w:rsid w:val="007224E3"/>
    <w:rsid w:val="007253CE"/>
    <w:rsid w:val="007305EA"/>
    <w:rsid w:val="00733BC3"/>
    <w:rsid w:val="00755F7E"/>
    <w:rsid w:val="0075673A"/>
    <w:rsid w:val="00757CC4"/>
    <w:rsid w:val="00764D71"/>
    <w:rsid w:val="007867E8"/>
    <w:rsid w:val="007B1679"/>
    <w:rsid w:val="007B19E4"/>
    <w:rsid w:val="007B1C58"/>
    <w:rsid w:val="007C1AA2"/>
    <w:rsid w:val="007C4AE0"/>
    <w:rsid w:val="007D5FF8"/>
    <w:rsid w:val="00815F91"/>
    <w:rsid w:val="00816730"/>
    <w:rsid w:val="0082759D"/>
    <w:rsid w:val="008459EB"/>
    <w:rsid w:val="00865A61"/>
    <w:rsid w:val="00877A90"/>
    <w:rsid w:val="0089304A"/>
    <w:rsid w:val="008B1DE7"/>
    <w:rsid w:val="008B7DC7"/>
    <w:rsid w:val="008D205D"/>
    <w:rsid w:val="008E39BC"/>
    <w:rsid w:val="008E7D09"/>
    <w:rsid w:val="008F1B6F"/>
    <w:rsid w:val="0090129C"/>
    <w:rsid w:val="009029EF"/>
    <w:rsid w:val="009062DA"/>
    <w:rsid w:val="00914FEF"/>
    <w:rsid w:val="0091559B"/>
    <w:rsid w:val="00922B6F"/>
    <w:rsid w:val="00945A5C"/>
    <w:rsid w:val="00951E94"/>
    <w:rsid w:val="00962E63"/>
    <w:rsid w:val="00971174"/>
    <w:rsid w:val="0098143C"/>
    <w:rsid w:val="00991A24"/>
    <w:rsid w:val="009A0418"/>
    <w:rsid w:val="009B01B4"/>
    <w:rsid w:val="009B2217"/>
    <w:rsid w:val="009C5B38"/>
    <w:rsid w:val="009D531D"/>
    <w:rsid w:val="009D55D8"/>
    <w:rsid w:val="009E35BE"/>
    <w:rsid w:val="00A17AA0"/>
    <w:rsid w:val="00A378A3"/>
    <w:rsid w:val="00A57A0D"/>
    <w:rsid w:val="00A67E23"/>
    <w:rsid w:val="00A76F32"/>
    <w:rsid w:val="00A80898"/>
    <w:rsid w:val="00A9436A"/>
    <w:rsid w:val="00A94E5A"/>
    <w:rsid w:val="00AA27AD"/>
    <w:rsid w:val="00AA7B08"/>
    <w:rsid w:val="00AC25D0"/>
    <w:rsid w:val="00AD0132"/>
    <w:rsid w:val="00AD285D"/>
    <w:rsid w:val="00AF17EF"/>
    <w:rsid w:val="00AF6DAC"/>
    <w:rsid w:val="00AF7AD6"/>
    <w:rsid w:val="00B00A29"/>
    <w:rsid w:val="00B03EF0"/>
    <w:rsid w:val="00B1079C"/>
    <w:rsid w:val="00B14DE1"/>
    <w:rsid w:val="00B1692A"/>
    <w:rsid w:val="00B17948"/>
    <w:rsid w:val="00B2231F"/>
    <w:rsid w:val="00B23378"/>
    <w:rsid w:val="00B31873"/>
    <w:rsid w:val="00B3695C"/>
    <w:rsid w:val="00B4052A"/>
    <w:rsid w:val="00B41AEE"/>
    <w:rsid w:val="00B44823"/>
    <w:rsid w:val="00B4677A"/>
    <w:rsid w:val="00B47AAE"/>
    <w:rsid w:val="00B50E69"/>
    <w:rsid w:val="00B65AAB"/>
    <w:rsid w:val="00B66966"/>
    <w:rsid w:val="00B67317"/>
    <w:rsid w:val="00B758CC"/>
    <w:rsid w:val="00B84829"/>
    <w:rsid w:val="00B94A90"/>
    <w:rsid w:val="00BB392C"/>
    <w:rsid w:val="00BC086F"/>
    <w:rsid w:val="00BC40C7"/>
    <w:rsid w:val="00BC742E"/>
    <w:rsid w:val="00BD2DFF"/>
    <w:rsid w:val="00BE27F6"/>
    <w:rsid w:val="00BF00F0"/>
    <w:rsid w:val="00BF26AE"/>
    <w:rsid w:val="00BF37C8"/>
    <w:rsid w:val="00C01AF2"/>
    <w:rsid w:val="00C02769"/>
    <w:rsid w:val="00C0565D"/>
    <w:rsid w:val="00C131E7"/>
    <w:rsid w:val="00C2450E"/>
    <w:rsid w:val="00C525B1"/>
    <w:rsid w:val="00C55459"/>
    <w:rsid w:val="00C641E5"/>
    <w:rsid w:val="00C71573"/>
    <w:rsid w:val="00C86404"/>
    <w:rsid w:val="00C93B20"/>
    <w:rsid w:val="00C95079"/>
    <w:rsid w:val="00C976B9"/>
    <w:rsid w:val="00CB2CAB"/>
    <w:rsid w:val="00CC1150"/>
    <w:rsid w:val="00CC30DF"/>
    <w:rsid w:val="00CC6B00"/>
    <w:rsid w:val="00CD0107"/>
    <w:rsid w:val="00CE357F"/>
    <w:rsid w:val="00CE5AF2"/>
    <w:rsid w:val="00D000E9"/>
    <w:rsid w:val="00D0592F"/>
    <w:rsid w:val="00D133A6"/>
    <w:rsid w:val="00D20123"/>
    <w:rsid w:val="00D2668C"/>
    <w:rsid w:val="00D2775C"/>
    <w:rsid w:val="00D474E3"/>
    <w:rsid w:val="00D6047B"/>
    <w:rsid w:val="00D611E9"/>
    <w:rsid w:val="00D71A36"/>
    <w:rsid w:val="00D727AC"/>
    <w:rsid w:val="00D75228"/>
    <w:rsid w:val="00D758B3"/>
    <w:rsid w:val="00D81D64"/>
    <w:rsid w:val="00D87E74"/>
    <w:rsid w:val="00DB0694"/>
    <w:rsid w:val="00DC496F"/>
    <w:rsid w:val="00DC7BCC"/>
    <w:rsid w:val="00DD50BC"/>
    <w:rsid w:val="00DF00F5"/>
    <w:rsid w:val="00E14CFE"/>
    <w:rsid w:val="00E54D4F"/>
    <w:rsid w:val="00E70781"/>
    <w:rsid w:val="00E7731D"/>
    <w:rsid w:val="00E80A95"/>
    <w:rsid w:val="00E830C5"/>
    <w:rsid w:val="00EA08B1"/>
    <w:rsid w:val="00EB4D68"/>
    <w:rsid w:val="00EC62FA"/>
    <w:rsid w:val="00EC7D5A"/>
    <w:rsid w:val="00ED2D6C"/>
    <w:rsid w:val="00F03A25"/>
    <w:rsid w:val="00F11A53"/>
    <w:rsid w:val="00F1256D"/>
    <w:rsid w:val="00F40595"/>
    <w:rsid w:val="00F47663"/>
    <w:rsid w:val="00F75365"/>
    <w:rsid w:val="00F97724"/>
    <w:rsid w:val="00FA271B"/>
    <w:rsid w:val="00FC31CC"/>
    <w:rsid w:val="00FD2D72"/>
    <w:rsid w:val="00FD42C3"/>
    <w:rsid w:val="00FD5C2F"/>
    <w:rsid w:val="00FE56A9"/>
    <w:rsid w:val="00FE6DC9"/>
    <w:rsid w:val="00FF1F74"/>
    <w:rsid w:val="00FF36E9"/>
    <w:rsid w:val="00FF6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chartTrackingRefBased/>
  <w15:docId w15:val="{75CAE682-EC56-41D7-B981-37B817307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9EF"/>
    <w:pPr>
      <w:spacing w:after="0"/>
      <w:contextualSpacing/>
    </w:pPr>
  </w:style>
  <w:style w:type="paragraph" w:styleId="Heading1">
    <w:name w:val="heading 1"/>
    <w:basedOn w:val="Normal"/>
    <w:next w:val="Normal"/>
    <w:link w:val="Heading1Char"/>
    <w:uiPriority w:val="9"/>
    <w:qFormat/>
    <w:rsid w:val="009029EF"/>
    <w:pPr>
      <w:keepNext/>
      <w:keepLines/>
      <w:spacing w:before="120" w:after="100" w:afterAutospacing="1"/>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9029EF"/>
    <w:pPr>
      <w:keepNext/>
      <w:keepLines/>
      <w:spacing w:before="40"/>
      <w:outlineLvl w:val="1"/>
    </w:pPr>
    <w:rPr>
      <w:rFonts w:asciiTheme="majorHAnsi" w:eastAsiaTheme="majorEastAsia" w:hAnsiTheme="majorHAnsi" w:cstheme="majorBidi"/>
      <w:color w:val="4472C4" w:themeColor="accent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4A90"/>
    <w:rPr>
      <w:color w:val="0000FF"/>
      <w:u w:val="single"/>
    </w:rPr>
  </w:style>
  <w:style w:type="character" w:customStyle="1" w:styleId="Heading1Char">
    <w:name w:val="Heading 1 Char"/>
    <w:basedOn w:val="DefaultParagraphFont"/>
    <w:link w:val="Heading1"/>
    <w:uiPriority w:val="9"/>
    <w:rsid w:val="009029EF"/>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9029EF"/>
    <w:rPr>
      <w:rFonts w:asciiTheme="majorHAnsi" w:eastAsiaTheme="majorEastAsia" w:hAnsiTheme="majorHAnsi" w:cstheme="majorBidi"/>
      <w:color w:val="4472C4" w:themeColor="accent5"/>
      <w:sz w:val="26"/>
      <w:szCs w:val="26"/>
    </w:rPr>
  </w:style>
  <w:style w:type="paragraph" w:styleId="TOCHeading">
    <w:name w:val="TOC Heading"/>
    <w:basedOn w:val="Heading1"/>
    <w:next w:val="Normal"/>
    <w:uiPriority w:val="39"/>
    <w:unhideWhenUsed/>
    <w:qFormat/>
    <w:rsid w:val="00945A5C"/>
    <w:pPr>
      <w:outlineLvl w:val="9"/>
    </w:pPr>
  </w:style>
  <w:style w:type="paragraph" w:styleId="TOC1">
    <w:name w:val="toc 1"/>
    <w:basedOn w:val="Normal"/>
    <w:next w:val="Normal"/>
    <w:autoRedefine/>
    <w:uiPriority w:val="39"/>
    <w:unhideWhenUsed/>
    <w:rsid w:val="00945A5C"/>
    <w:pPr>
      <w:spacing w:after="100"/>
    </w:pPr>
  </w:style>
  <w:style w:type="paragraph" w:styleId="TOC2">
    <w:name w:val="toc 2"/>
    <w:basedOn w:val="Normal"/>
    <w:next w:val="Normal"/>
    <w:autoRedefine/>
    <w:uiPriority w:val="39"/>
    <w:unhideWhenUsed/>
    <w:rsid w:val="0057014C"/>
    <w:pPr>
      <w:spacing w:after="100"/>
      <w:ind w:left="220"/>
    </w:pPr>
  </w:style>
  <w:style w:type="paragraph" w:styleId="Title">
    <w:name w:val="Title"/>
    <w:basedOn w:val="Normal"/>
    <w:next w:val="Normal"/>
    <w:link w:val="TitleChar"/>
    <w:uiPriority w:val="10"/>
    <w:qFormat/>
    <w:rsid w:val="000824C3"/>
    <w:pPr>
      <w:spacing w:line="240" w:lineRule="auto"/>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824C3"/>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FD42C3"/>
    <w:pPr>
      <w:tabs>
        <w:tab w:val="center" w:pos="4680"/>
        <w:tab w:val="right" w:pos="9360"/>
      </w:tabs>
      <w:spacing w:line="240" w:lineRule="auto"/>
    </w:pPr>
  </w:style>
  <w:style w:type="character" w:customStyle="1" w:styleId="HeaderChar">
    <w:name w:val="Header Char"/>
    <w:basedOn w:val="DefaultParagraphFont"/>
    <w:link w:val="Header"/>
    <w:uiPriority w:val="99"/>
    <w:rsid w:val="00FD42C3"/>
  </w:style>
  <w:style w:type="paragraph" w:styleId="Footer">
    <w:name w:val="footer"/>
    <w:basedOn w:val="Normal"/>
    <w:link w:val="FooterChar"/>
    <w:uiPriority w:val="99"/>
    <w:unhideWhenUsed/>
    <w:rsid w:val="00FD42C3"/>
    <w:pPr>
      <w:tabs>
        <w:tab w:val="center" w:pos="4680"/>
        <w:tab w:val="right" w:pos="9360"/>
      </w:tabs>
      <w:spacing w:line="240" w:lineRule="auto"/>
    </w:pPr>
  </w:style>
  <w:style w:type="character" w:customStyle="1" w:styleId="FooterChar">
    <w:name w:val="Footer Char"/>
    <w:basedOn w:val="DefaultParagraphFont"/>
    <w:link w:val="Footer"/>
    <w:uiPriority w:val="99"/>
    <w:rsid w:val="00FD42C3"/>
  </w:style>
  <w:style w:type="paragraph" w:styleId="ListParagraph">
    <w:name w:val="List Paragraph"/>
    <w:basedOn w:val="Normal"/>
    <w:uiPriority w:val="34"/>
    <w:qFormat/>
    <w:rsid w:val="00D758B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27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AE7C70-E75C-4B8E-8E94-D5C89F25BDC6}">
  <ds:schemaRefs>
    <ds:schemaRef ds:uri="http://schemas.openxmlformats.org/officeDocument/2006/bibliography"/>
  </ds:schemaRefs>
</ds:datastoreItem>
</file>

<file path=customXml/itemProps2.xml><?xml version="1.0" encoding="utf-8"?>
<ds:datastoreItem xmlns:ds="http://schemas.openxmlformats.org/officeDocument/2006/customXml" ds:itemID="{1AAAFA40-F53D-45A9-87BC-9BAA730B6C4E}"/>
</file>

<file path=customXml/itemProps3.xml><?xml version="1.0" encoding="utf-8"?>
<ds:datastoreItem xmlns:ds="http://schemas.openxmlformats.org/officeDocument/2006/customXml" ds:itemID="{5A32A057-FCEB-4C43-8BD4-26FC12DC6055}"/>
</file>

<file path=customXml/itemProps4.xml><?xml version="1.0" encoding="utf-8"?>
<ds:datastoreItem xmlns:ds="http://schemas.openxmlformats.org/officeDocument/2006/customXml" ds:itemID="{D71DFDBD-2F03-4180-BBC6-275BBBCB5BFB}"/>
</file>

<file path=docProps/app.xml><?xml version="1.0" encoding="utf-8"?>
<Properties xmlns="http://schemas.openxmlformats.org/officeDocument/2006/extended-properties" xmlns:vt="http://schemas.openxmlformats.org/officeDocument/2006/docPropsVTypes">
  <Template>Normal</Template>
  <TotalTime>1</TotalTime>
  <Pages>6</Pages>
  <Words>1644</Words>
  <Characters>9375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California ISO</Company>
  <LinksUpToDate>false</LinksUpToDate>
  <CharactersWithSpaces>10998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Emily</dc:creator>
  <cp:keywords/>
  <dc:description/>
  <cp:lastModifiedBy>Head, Kevin</cp:lastModifiedBy>
  <cp:revision>3</cp:revision>
  <dcterms:created xsi:type="dcterms:W3CDTF">2022-03-01T23:25:00Z</dcterms:created>
  <dcterms:modified xsi:type="dcterms:W3CDTF">2022-03-01T23:26:00Z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0x0101003C4558D17C5424438ED9E058A452A00D</vt:lpwstr>
  </property>
</Properties>
</file>