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4A7" w:rsidRDefault="00743585" w:rsidP="00114A2F">
      <w:bookmarkStart w:id="0" w:name="_GoBack"/>
      <w:bookmarkEnd w:id="0"/>
      <w:r>
        <w:t xml:space="preserve">The ISO’s Grid Management Charge (“GMC”) is a mechanism for recovering the ISO’s </w:t>
      </w:r>
      <w:r w:rsidR="00A66277">
        <w:t xml:space="preserve">annual </w:t>
      </w:r>
      <w:r>
        <w:t xml:space="preserve">revenue requirement from ISO customers.  </w:t>
      </w:r>
      <w:r w:rsidR="00A66277">
        <w:t xml:space="preserve">The </w:t>
      </w:r>
      <w:r w:rsidR="00D714A7">
        <w:t>2016 charges are as follows:</w:t>
      </w:r>
    </w:p>
    <w:p w:rsidR="00D714A7" w:rsidRDefault="00D714A7" w:rsidP="00114A2F">
      <w:r>
        <w:rPr>
          <w:noProof/>
        </w:rPr>
        <w:drawing>
          <wp:inline distT="0" distB="0" distL="0" distR="0" wp14:anchorId="0BC0BB5F" wp14:editId="7BE0F490">
            <wp:extent cx="5647619" cy="3466667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47619" cy="34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585" w:rsidRDefault="00D714A7" w:rsidP="00114A2F">
      <w:r>
        <w:t xml:space="preserve">For study purposes we only evaluated the Market Services Charge, System Operations Charge and CRR Service Charge because the additional fees above provide minimal revenue.  </w:t>
      </w:r>
      <w:r w:rsidR="00743585">
        <w:t>We estimate that, with regionalization of the ISO, GMC charges will decrease on a $/MWh basis due to improved efficiencies in operating the system and markets</w:t>
      </w:r>
      <w:r>
        <w:t xml:space="preserve"> along with the increase in load</w:t>
      </w:r>
      <w:r w:rsidR="00743585">
        <w:t>.</w:t>
      </w:r>
    </w:p>
    <w:p w:rsidR="00114A2F" w:rsidRDefault="00743585" w:rsidP="00114A2F">
      <w:r>
        <w:t xml:space="preserve">Our projection </w:t>
      </w:r>
      <w:r w:rsidR="003E2D4F">
        <w:t xml:space="preserve">of the GMC in 2020 and 2030 </w:t>
      </w:r>
      <w:r>
        <w:t xml:space="preserve">depends on a projection of future revenue requirements, for ISO as currently defined, for ISO plus PacifiCorp, and for an expanded regional ISO.  </w:t>
      </w:r>
      <w:r w:rsidR="003E2D4F">
        <w:t xml:space="preserve">Currently, the ISO can change </w:t>
      </w:r>
      <w:r w:rsidR="00AC15D2">
        <w:t>its</w:t>
      </w:r>
      <w:r w:rsidR="003E2D4F">
        <w:t xml:space="preserve"> annual revenue requirement up to </w:t>
      </w:r>
      <w:r w:rsidR="00AC15D2">
        <w:t>a</w:t>
      </w:r>
      <w:r w:rsidR="003E2D4F">
        <w:t xml:space="preserve"> revenue cap approved by FERC and,</w:t>
      </w:r>
      <w:r w:rsidR="00114A2F">
        <w:t xml:space="preserve"> as part of the rate design filings with FERC, the ISO requests a cap on its annual revenue requirement.  The cap allows the ISO to plan their annual budget without the need to file a tariff rate change with FERC to recover its costs.  In 201</w:t>
      </w:r>
      <w:r w:rsidR="00D714A7">
        <w:t>2</w:t>
      </w:r>
      <w:r w:rsidR="00114A2F">
        <w:t>, the ISO submitted a FERC filing to revise its</w:t>
      </w:r>
      <w:r w:rsidR="00AC15D2">
        <w:t xml:space="preserve"> G</w:t>
      </w:r>
      <w:r w:rsidR="00114A2F">
        <w:t xml:space="preserve">rid </w:t>
      </w:r>
      <w:r w:rsidR="00AC15D2">
        <w:t>M</w:t>
      </w:r>
      <w:r w:rsidR="00114A2F">
        <w:t xml:space="preserve">anagement </w:t>
      </w:r>
      <w:r w:rsidR="00AC15D2">
        <w:t>C</w:t>
      </w:r>
      <w:r w:rsidR="00114A2F">
        <w:t xml:space="preserve">harge; FERC approved a cap of $202 million for </w:t>
      </w:r>
      <w:r w:rsidR="00D714A7">
        <w:t>starting in 2012</w:t>
      </w:r>
      <w:r w:rsidR="00114A2F">
        <w:t xml:space="preserve"> with no sunset date on the annual revenue requirement cap.  In lieu of the sunset date, the ISO will conduct a cost-of service study every three years.  The justification for the $202 million cap is contained within the FERC filing (http://ferc.gov/whats-new/comm-meet/2014/121814/E-14.pdf).  Once the ISOs projected annual revenue requirement need exceeds $202 million, then the ISO must seek FERC approval in advance of the financial year for </w:t>
      </w:r>
      <w:r w:rsidR="00114A2F">
        <w:lastRenderedPageBreak/>
        <w:t>a new cap level.</w:t>
      </w:r>
      <w:r w:rsidR="003E2D4F">
        <w:t xml:space="preserve">  We assume the future revenue requirement is based on this </w:t>
      </w:r>
      <w:r w:rsidR="00AC15D2">
        <w:t xml:space="preserve">existing </w:t>
      </w:r>
      <w:r w:rsidR="003E2D4F">
        <w:t>revenue requirement cap, and not on the future potential budget.</w:t>
      </w:r>
    </w:p>
    <w:p w:rsidR="00114A2F" w:rsidRDefault="00114A2F" w:rsidP="00114A2F">
      <w:r>
        <w:t xml:space="preserve">With the expansion of the ISO balancing authority area to incorporate PacifiCorp, the ISO estimates, for budget purposes, an additional $5 million cost in 2020 to cover direct and indirect expenses.  However, the cost is associated with </w:t>
      </w:r>
      <w:r w:rsidR="006F5D4C">
        <w:t xml:space="preserve">an </w:t>
      </w:r>
      <w:r>
        <w:t xml:space="preserve">additional </w:t>
      </w:r>
      <w:r w:rsidR="006F5D4C">
        <w:t xml:space="preserve">30 </w:t>
      </w:r>
      <w:r>
        <w:t>staff</w:t>
      </w:r>
      <w:r w:rsidR="006F5D4C">
        <w:t>.</w:t>
      </w:r>
      <w:r>
        <w:t xml:space="preserve"> </w:t>
      </w:r>
      <w:r w:rsidR="006F5D4C">
        <w:t xml:space="preserve"> E</w:t>
      </w:r>
      <w:r>
        <w:t>xisting technology and physical infrastructure that the ISO has in place will not change.  The additional $5 million</w:t>
      </w:r>
      <w:r w:rsidR="00AC15D2">
        <w:t xml:space="preserve"> in expenses, plus a $5 million for contingencies,</w:t>
      </w:r>
      <w:r>
        <w:t xml:space="preserve"> would increase the ISO’s annual revenue requirement cap to $212 million.</w:t>
      </w:r>
    </w:p>
    <w:p w:rsidR="00114A2F" w:rsidRDefault="00114A2F" w:rsidP="00114A2F">
      <w:r>
        <w:t>This estimate is based on the following:</w:t>
      </w:r>
    </w:p>
    <w:p w:rsidR="00114A2F" w:rsidRDefault="00114A2F" w:rsidP="00114A2F">
      <w:r>
        <w:t>Original Cap</w:t>
      </w:r>
      <w:r>
        <w:tab/>
      </w:r>
      <w:r>
        <w:tab/>
        <w:t>$202 million</w:t>
      </w:r>
    </w:p>
    <w:p w:rsidR="00114A2F" w:rsidRDefault="00114A2F" w:rsidP="00114A2F">
      <w:r>
        <w:t>ISO + PAC</w:t>
      </w:r>
      <w:r>
        <w:tab/>
      </w:r>
      <w:r>
        <w:tab/>
        <w:t>$    5 million</w:t>
      </w:r>
    </w:p>
    <w:p w:rsidR="00114A2F" w:rsidRDefault="00114A2F" w:rsidP="00114A2F">
      <w:r>
        <w:t>Subtotal</w:t>
      </w:r>
      <w:r>
        <w:tab/>
      </w:r>
      <w:r>
        <w:tab/>
        <w:t>$207 million</w:t>
      </w:r>
    </w:p>
    <w:p w:rsidR="00114A2F" w:rsidRDefault="00114A2F" w:rsidP="00114A2F">
      <w:r>
        <w:t>Contingency (2.5%)</w:t>
      </w:r>
      <w:r>
        <w:tab/>
        <w:t>$    5 million</w:t>
      </w:r>
    </w:p>
    <w:p w:rsidR="00114A2F" w:rsidRDefault="00114A2F" w:rsidP="00114A2F">
      <w:r>
        <w:t>Total</w:t>
      </w:r>
      <w:r>
        <w:tab/>
      </w:r>
      <w:r>
        <w:tab/>
      </w:r>
      <w:r>
        <w:tab/>
        <w:t>$212 million</w:t>
      </w:r>
    </w:p>
    <w:p w:rsidR="00114A2F" w:rsidRDefault="00114A2F" w:rsidP="00114A2F">
      <w:r>
        <w:t xml:space="preserve">The ISO estimates the revenue requirement cap would increase </w:t>
      </w:r>
      <w:r w:rsidR="006F5D4C">
        <w:t xml:space="preserve">an additional </w:t>
      </w:r>
      <w:r>
        <w:t>$70 million if the ISO expand</w:t>
      </w:r>
      <w:r w:rsidR="00AC15D2">
        <w:t>ed to US WECC, without the PMAs</w:t>
      </w:r>
      <w:r>
        <w:t>, in 2020.  The increased cap would be used to cover costs for an estimated additional 160 employees and some physical infrast</w:t>
      </w:r>
      <w:r w:rsidR="00AC15D2">
        <w:t xml:space="preserve">ructure. </w:t>
      </w:r>
      <w:r w:rsidR="006F5D4C">
        <w:t xml:space="preserve"> </w:t>
      </w:r>
      <w:r w:rsidR="00AC15D2">
        <w:t>The i</w:t>
      </w:r>
      <w:r>
        <w:t>nf</w:t>
      </w:r>
      <w:r w:rsidR="00AC15D2">
        <w:t>rastructure investments include</w:t>
      </w:r>
      <w:r>
        <w:t xml:space="preserve"> hardware but not a new building.  </w:t>
      </w:r>
    </w:p>
    <w:p w:rsidR="00114A2F" w:rsidRDefault="00114A2F" w:rsidP="00114A2F">
      <w:r>
        <w:t>This estimate is based on the following:</w:t>
      </w:r>
    </w:p>
    <w:p w:rsidR="00114A2F" w:rsidRDefault="00114A2F" w:rsidP="00114A2F">
      <w:r>
        <w:t>Cap</w:t>
      </w:r>
      <w:r>
        <w:tab/>
      </w:r>
      <w:r>
        <w:tab/>
      </w:r>
      <w:r>
        <w:tab/>
        <w:t>$212 million</w:t>
      </w:r>
    </w:p>
    <w:p w:rsidR="00114A2F" w:rsidRDefault="00114A2F" w:rsidP="00114A2F">
      <w:r>
        <w:t>Additional Staffing</w:t>
      </w:r>
      <w:r>
        <w:tab/>
        <w:t>$  27 million</w:t>
      </w:r>
    </w:p>
    <w:p w:rsidR="00114A2F" w:rsidRDefault="00114A2F" w:rsidP="00114A2F">
      <w:r>
        <w:t>Infrastructure</w:t>
      </w:r>
      <w:r>
        <w:tab/>
      </w:r>
      <w:r>
        <w:tab/>
        <w:t>$  36 million</w:t>
      </w:r>
    </w:p>
    <w:p w:rsidR="00114A2F" w:rsidRDefault="00114A2F" w:rsidP="00114A2F">
      <w:r>
        <w:t>Subtotal</w:t>
      </w:r>
      <w:r>
        <w:tab/>
      </w:r>
      <w:r>
        <w:tab/>
        <w:t>$275 million</w:t>
      </w:r>
    </w:p>
    <w:p w:rsidR="00114A2F" w:rsidRDefault="00114A2F" w:rsidP="00114A2F">
      <w:r>
        <w:t>Contingency (2.5%)</w:t>
      </w:r>
      <w:r>
        <w:tab/>
        <w:t>$    7 million</w:t>
      </w:r>
    </w:p>
    <w:p w:rsidR="00114A2F" w:rsidRDefault="00114A2F" w:rsidP="00114A2F">
      <w:r>
        <w:t>Total</w:t>
      </w:r>
      <w:r>
        <w:tab/>
      </w:r>
      <w:r>
        <w:tab/>
      </w:r>
      <w:r>
        <w:tab/>
        <w:t>$282 million</w:t>
      </w:r>
    </w:p>
    <w:sectPr w:rsidR="00114A2F" w:rsidSect="008B0003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D7F" w:rsidRDefault="00F96D7F">
      <w:r>
        <w:separator/>
      </w:r>
    </w:p>
  </w:endnote>
  <w:endnote w:type="continuationSeparator" w:id="0">
    <w:p w:rsidR="00F96D7F" w:rsidRDefault="00F96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44593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B7CA6" w:rsidRPr="00934425" w:rsidRDefault="00A62302" w:rsidP="00A6230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23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21603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6277" w:rsidRDefault="00A66277" w:rsidP="00F34C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2317">
          <w:rPr>
            <w:noProof/>
          </w:rPr>
          <w:t>1</w:t>
        </w:r>
        <w:r>
          <w:rPr>
            <w:noProof/>
          </w:rPr>
          <w:fldChar w:fldCharType="end"/>
        </w:r>
      </w:p>
      <w:p w:rsidR="00A66277" w:rsidRDefault="007D2317" w:rsidP="00F34CF8">
        <w:pPr>
          <w:pStyle w:val="Footer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D7F" w:rsidRDefault="00F96D7F">
      <w:r>
        <w:separator/>
      </w:r>
    </w:p>
  </w:footnote>
  <w:footnote w:type="continuationSeparator" w:id="0">
    <w:p w:rsidR="00F96D7F" w:rsidRDefault="00F96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257" w:rsidRPr="00B44CAB" w:rsidRDefault="000A3257" w:rsidP="000A3257">
    <w:pPr>
      <w:pStyle w:val="Header"/>
      <w:spacing w:before="0"/>
      <w:jc w:val="right"/>
      <w:rPr>
        <w:i/>
        <w:sz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564" w:rsidRPr="00F34CF8" w:rsidRDefault="00A66277" w:rsidP="00F34CF8">
    <w:pPr>
      <w:pStyle w:val="Header"/>
      <w:jc w:val="center"/>
      <w:rPr>
        <w:b/>
        <w:sz w:val="28"/>
      </w:rPr>
    </w:pPr>
    <w:r w:rsidRPr="00F34CF8">
      <w:rPr>
        <w:b/>
        <w:sz w:val="28"/>
      </w:rPr>
      <w:t>Grid Management Charge</w:t>
    </w:r>
  </w:p>
  <w:p w:rsidR="00A66277" w:rsidRPr="00F34CF8" w:rsidRDefault="00A66277" w:rsidP="00F34CF8">
    <w:pPr>
      <w:pStyle w:val="Header"/>
      <w:spacing w:before="0"/>
      <w:jc w:val="center"/>
      <w:rPr>
        <w:b/>
        <w:sz w:val="28"/>
      </w:rPr>
    </w:pPr>
    <w:r w:rsidRPr="00F34CF8">
      <w:rPr>
        <w:b/>
        <w:sz w:val="28"/>
      </w:rPr>
      <w:t>Senate Bill 350 Studies</w:t>
    </w:r>
  </w:p>
  <w:p w:rsidR="00A66277" w:rsidRPr="00F34CF8" w:rsidRDefault="00A66277" w:rsidP="00F34CF8">
    <w:pPr>
      <w:pStyle w:val="Header"/>
      <w:spacing w:before="0"/>
      <w:jc w:val="center"/>
      <w:rPr>
        <w:b/>
        <w:sz w:val="28"/>
      </w:rPr>
    </w:pPr>
    <w:r w:rsidRPr="00F34CF8">
      <w:rPr>
        <w:b/>
        <w:sz w:val="28"/>
      </w:rPr>
      <w:t>June 10, 2016 Data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A7B22"/>
    <w:multiLevelType w:val="multilevel"/>
    <w:tmpl w:val="326CB06E"/>
    <w:styleLink w:val="HeadingOutline"/>
    <w:lvl w:ilvl="0">
      <w:start w:val="1"/>
      <w:numFmt w:val="upperRoman"/>
      <w:pStyle w:val="Heading1"/>
      <w:lvlText w:val="%1."/>
      <w:lvlJc w:val="left"/>
      <w:pPr>
        <w:ind w:left="547" w:hanging="547"/>
      </w:pPr>
      <w:rPr>
        <w:rFonts w:ascii="Century Gothic" w:hAnsi="Century Gothic" w:hint="default"/>
        <w:b/>
        <w:i w:val="0"/>
        <w:color w:val="00467F"/>
        <w:sz w:val="28"/>
      </w:rPr>
    </w:lvl>
    <w:lvl w:ilvl="1">
      <w:start w:val="1"/>
      <w:numFmt w:val="upperLetter"/>
      <w:pStyle w:val="Heading2"/>
      <w:lvlText w:val="%2."/>
      <w:lvlJc w:val="left"/>
      <w:pPr>
        <w:ind w:left="1094" w:hanging="547"/>
      </w:pPr>
      <w:rPr>
        <w:rFonts w:ascii="Century Gothic" w:hAnsi="Century Gothic" w:hint="default"/>
        <w:b/>
        <w:i w:val="0"/>
        <w:color w:val="00467F"/>
        <w:sz w:val="26"/>
      </w:rPr>
    </w:lvl>
    <w:lvl w:ilvl="2">
      <w:start w:val="1"/>
      <w:numFmt w:val="decimal"/>
      <w:pStyle w:val="Heading3"/>
      <w:lvlText w:val="%3."/>
      <w:lvlJc w:val="left"/>
      <w:pPr>
        <w:ind w:left="1641" w:hanging="547"/>
      </w:pPr>
      <w:rPr>
        <w:rFonts w:ascii="Century Gothic" w:hAnsi="Century Gothic" w:hint="default"/>
        <w:b/>
        <w:i w:val="0"/>
        <w:color w:val="00467F"/>
        <w:sz w:val="24"/>
      </w:rPr>
    </w:lvl>
    <w:lvl w:ilvl="3">
      <w:start w:val="1"/>
      <w:numFmt w:val="lowerLetter"/>
      <w:pStyle w:val="Heading4"/>
      <w:lvlText w:val="%4."/>
      <w:lvlJc w:val="left"/>
      <w:pPr>
        <w:ind w:left="2188" w:hanging="547"/>
      </w:pPr>
      <w:rPr>
        <w:rFonts w:ascii="Century Gothic" w:hAnsi="Century Gothic" w:hint="default"/>
        <w:b/>
        <w:i/>
        <w:color w:val="00467F"/>
        <w:sz w:val="23"/>
      </w:rPr>
    </w:lvl>
    <w:lvl w:ilvl="4">
      <w:start w:val="1"/>
      <w:numFmt w:val="none"/>
      <w:lvlText w:val=""/>
      <w:lvlJc w:val="left"/>
      <w:pPr>
        <w:ind w:left="2735" w:hanging="547"/>
      </w:pPr>
      <w:rPr>
        <w:rFonts w:hint="default"/>
      </w:rPr>
    </w:lvl>
    <w:lvl w:ilvl="5">
      <w:start w:val="1"/>
      <w:numFmt w:val="none"/>
      <w:lvlText w:val=""/>
      <w:lvlJc w:val="left"/>
      <w:pPr>
        <w:ind w:left="3282" w:hanging="547"/>
      </w:pPr>
      <w:rPr>
        <w:rFonts w:hint="default"/>
      </w:rPr>
    </w:lvl>
    <w:lvl w:ilvl="6">
      <w:start w:val="1"/>
      <w:numFmt w:val="none"/>
      <w:lvlText w:val="%7"/>
      <w:lvlJc w:val="left"/>
      <w:pPr>
        <w:ind w:left="3829" w:hanging="547"/>
      </w:pPr>
      <w:rPr>
        <w:rFonts w:hint="default"/>
      </w:rPr>
    </w:lvl>
    <w:lvl w:ilvl="7">
      <w:start w:val="1"/>
      <w:numFmt w:val="none"/>
      <w:lvlText w:val="%8"/>
      <w:lvlJc w:val="left"/>
      <w:pPr>
        <w:ind w:left="4376" w:hanging="547"/>
      </w:pPr>
      <w:rPr>
        <w:rFonts w:hint="default"/>
      </w:rPr>
    </w:lvl>
    <w:lvl w:ilvl="8">
      <w:start w:val="1"/>
      <w:numFmt w:val="none"/>
      <w:lvlText w:val="%9"/>
      <w:lvlJc w:val="left"/>
      <w:pPr>
        <w:ind w:left="4923" w:hanging="547"/>
      </w:pPr>
      <w:rPr>
        <w:rFonts w:hint="default"/>
      </w:rPr>
    </w:lvl>
  </w:abstractNum>
  <w:abstractNum w:abstractNumId="1" w15:restartNumberingAfterBreak="0">
    <w:nsid w:val="133621CE"/>
    <w:multiLevelType w:val="multilevel"/>
    <w:tmpl w:val="541402F4"/>
    <w:styleLink w:val="OutlineOnly-NoHeadings"/>
    <w:lvl w:ilvl="0">
      <w:start w:val="1"/>
      <w:numFmt w:val="upperRoman"/>
      <w:lvlText w:val="%1."/>
      <w:lvlJc w:val="left"/>
      <w:pPr>
        <w:ind w:left="360" w:hanging="360"/>
      </w:pPr>
      <w:rPr>
        <w:rFonts w:ascii="Century Gothic" w:hAnsi="Century Gothic" w:hint="default"/>
        <w:color w:val="auto"/>
        <w:sz w:val="28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ascii="Century Gothic" w:hAnsi="Century Gothic" w:hint="default"/>
        <w:b w:val="0"/>
        <w:i w:val="0"/>
        <w:color w:val="auto"/>
        <w:sz w:val="26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entury Gothic" w:hAnsi="Century Gothic" w:hint="default"/>
        <w:b w:val="0"/>
        <w:i w:val="0"/>
        <w:color w:val="auto"/>
        <w:sz w:val="24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Century Gothic" w:hAnsi="Century Gothic" w:hint="default"/>
        <w:b w:val="0"/>
        <w:i w:val="0"/>
        <w:color w:val="auto"/>
        <w:sz w:val="23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ascii="Century Gothic" w:hAnsi="Century Gothic" w:hint="default"/>
        <w:b w:val="0"/>
        <w:i w:val="0"/>
        <w:color w:val="auto"/>
        <w:sz w:val="23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ascii="Century Gothic" w:hAnsi="Century Gothic" w:hint="default"/>
        <w:b w:val="0"/>
        <w:i w:val="0"/>
        <w:color w:val="auto"/>
        <w:sz w:val="23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ascii="Century Gothic" w:hAnsi="Century Gothic" w:hint="default"/>
        <w:b w:val="0"/>
        <w:i w:val="0"/>
        <w:color w:val="auto"/>
        <w:sz w:val="23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Century Gothic" w:hAnsi="Century Gothic" w:hint="default"/>
        <w:b w:val="0"/>
        <w:i w:val="0"/>
        <w:color w:val="auto"/>
        <w:sz w:val="23"/>
      </w:rPr>
    </w:lvl>
    <w:lvl w:ilvl="8">
      <w:start w:val="1"/>
      <w:numFmt w:val="lowerRoman"/>
      <w:lvlText w:val="%9)"/>
      <w:lvlJc w:val="left"/>
      <w:pPr>
        <w:ind w:left="3240" w:hanging="360"/>
      </w:pPr>
      <w:rPr>
        <w:rFonts w:ascii="Century Gothic" w:hAnsi="Century Gothic" w:hint="default"/>
        <w:b w:val="0"/>
        <w:i w:val="0"/>
        <w:color w:val="auto"/>
        <w:sz w:val="23"/>
      </w:rPr>
    </w:lvl>
  </w:abstractNum>
  <w:abstractNum w:abstractNumId="2" w15:restartNumberingAfterBreak="0">
    <w:nsid w:val="2C2010ED"/>
    <w:multiLevelType w:val="hybridMultilevel"/>
    <w:tmpl w:val="5796A646"/>
    <w:lvl w:ilvl="0" w:tplc="C6321196">
      <w:start w:val="1"/>
      <w:numFmt w:val="decimal"/>
      <w:pStyle w:val="BGNumberedList"/>
      <w:lvlText w:val="%1."/>
      <w:lvlJc w:val="left"/>
      <w:pPr>
        <w:ind w:left="720" w:hanging="360"/>
      </w:pPr>
      <w:rPr>
        <w:rFonts w:ascii="Sylfaen" w:hAnsi="Sylfaen" w:hint="default"/>
        <w:b w:val="0"/>
        <w:i w:val="0"/>
        <w:color w:val="auto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A0B4D"/>
    <w:multiLevelType w:val="multilevel"/>
    <w:tmpl w:val="12F828FA"/>
    <w:styleLink w:val="UKHeadingOutline"/>
    <w:lvl w:ilvl="0">
      <w:start w:val="1"/>
      <w:numFmt w:val="upperRoman"/>
      <w:lvlText w:val="%1."/>
      <w:lvlJc w:val="left"/>
      <w:pPr>
        <w:ind w:left="547" w:hanging="547"/>
      </w:pPr>
      <w:rPr>
        <w:rFonts w:ascii="Century Gothic" w:hAnsi="Century Gothic" w:hint="default"/>
        <w:b/>
        <w:i w:val="0"/>
        <w:color w:val="00467F"/>
        <w:sz w:val="28"/>
      </w:rPr>
    </w:lvl>
    <w:lvl w:ilvl="1">
      <w:start w:val="1"/>
      <w:numFmt w:val="upperLetter"/>
      <w:lvlText w:val="%1.%2."/>
      <w:lvlJc w:val="left"/>
      <w:pPr>
        <w:tabs>
          <w:tab w:val="num" w:pos="1094"/>
        </w:tabs>
        <w:ind w:left="1094" w:hanging="547"/>
      </w:pPr>
      <w:rPr>
        <w:rFonts w:ascii="Century Gothic" w:hAnsi="Century Gothic" w:hint="default"/>
        <w:b/>
        <w:i w:val="0"/>
        <w:color w:val="00467F"/>
        <w:sz w:val="26"/>
      </w:rPr>
    </w:lvl>
    <w:lvl w:ilvl="2">
      <w:start w:val="1"/>
      <w:numFmt w:val="decimal"/>
      <w:lvlText w:val="%1.%2.%3."/>
      <w:lvlJc w:val="left"/>
      <w:pPr>
        <w:tabs>
          <w:tab w:val="num" w:pos="1642"/>
        </w:tabs>
        <w:ind w:left="1641" w:hanging="547"/>
      </w:pPr>
      <w:rPr>
        <w:rFonts w:ascii="Century Gothic" w:hAnsi="Century Gothic" w:hint="default"/>
        <w:b/>
        <w:i w:val="0"/>
        <w:color w:val="00467F"/>
        <w:sz w:val="24"/>
      </w:rPr>
    </w:lvl>
    <w:lvl w:ilvl="3">
      <w:start w:val="1"/>
      <w:numFmt w:val="lowerLetter"/>
      <w:lvlText w:val="%1.%2.%3.%4."/>
      <w:lvlJc w:val="left"/>
      <w:pPr>
        <w:tabs>
          <w:tab w:val="num" w:pos="2189"/>
        </w:tabs>
        <w:ind w:left="2188" w:hanging="547"/>
      </w:pPr>
      <w:rPr>
        <w:rFonts w:ascii="Century Gothic" w:hAnsi="Century Gothic" w:hint="default"/>
        <w:b/>
        <w:i/>
        <w:color w:val="00467F"/>
        <w:sz w:val="23"/>
      </w:rPr>
    </w:lvl>
    <w:lvl w:ilvl="4">
      <w:start w:val="1"/>
      <w:numFmt w:val="none"/>
      <w:lvlText w:val=""/>
      <w:lvlJc w:val="left"/>
      <w:pPr>
        <w:ind w:left="2735" w:hanging="547"/>
      </w:pPr>
      <w:rPr>
        <w:rFonts w:hint="default"/>
      </w:rPr>
    </w:lvl>
    <w:lvl w:ilvl="5">
      <w:start w:val="1"/>
      <w:numFmt w:val="none"/>
      <w:lvlText w:val=""/>
      <w:lvlJc w:val="left"/>
      <w:pPr>
        <w:ind w:left="3282" w:hanging="547"/>
      </w:pPr>
      <w:rPr>
        <w:rFonts w:hint="default"/>
      </w:rPr>
    </w:lvl>
    <w:lvl w:ilvl="6">
      <w:start w:val="1"/>
      <w:numFmt w:val="none"/>
      <w:lvlText w:val="%7"/>
      <w:lvlJc w:val="left"/>
      <w:pPr>
        <w:ind w:left="3829" w:hanging="547"/>
      </w:pPr>
      <w:rPr>
        <w:rFonts w:hint="default"/>
      </w:rPr>
    </w:lvl>
    <w:lvl w:ilvl="7">
      <w:start w:val="1"/>
      <w:numFmt w:val="none"/>
      <w:lvlText w:val=""/>
      <w:lvlJc w:val="left"/>
      <w:pPr>
        <w:ind w:left="4376" w:hanging="547"/>
      </w:pPr>
      <w:rPr>
        <w:rFonts w:hint="default"/>
      </w:rPr>
    </w:lvl>
    <w:lvl w:ilvl="8">
      <w:start w:val="1"/>
      <w:numFmt w:val="none"/>
      <w:lvlText w:val=""/>
      <w:lvlJc w:val="left"/>
      <w:pPr>
        <w:ind w:left="4923" w:hanging="547"/>
      </w:pPr>
      <w:rPr>
        <w:rFonts w:hint="default"/>
      </w:rPr>
    </w:lvl>
  </w:abstractNum>
  <w:abstractNum w:abstractNumId="4" w15:restartNumberingAfterBreak="0">
    <w:nsid w:val="504F3810"/>
    <w:multiLevelType w:val="multilevel"/>
    <w:tmpl w:val="FE34C0A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423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5" w15:restartNumberingAfterBreak="0">
    <w:nsid w:val="59B24776"/>
    <w:multiLevelType w:val="hybridMultilevel"/>
    <w:tmpl w:val="703C1A8E"/>
    <w:lvl w:ilvl="0" w:tplc="03901B6E">
      <w:start w:val="1"/>
      <w:numFmt w:val="decimal"/>
      <w:pStyle w:val="BGPara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81ABE"/>
    <w:multiLevelType w:val="multilevel"/>
    <w:tmpl w:val="B232A776"/>
    <w:styleLink w:val="BlueBullets"/>
    <w:lvl w:ilvl="0">
      <w:start w:val="1"/>
      <w:numFmt w:val="bullet"/>
      <w:pStyle w:val="BGBulletedList"/>
      <w:lvlText w:val=""/>
      <w:lvlJc w:val="left"/>
      <w:pPr>
        <w:ind w:left="720" w:hanging="360"/>
      </w:pPr>
      <w:rPr>
        <w:rFonts w:ascii="Symbol" w:hAnsi="Symbol" w:hint="default"/>
        <w:color w:val="00467F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Sylfaen" w:hAnsi="Sylfaen" w:hint="default"/>
        <w:b w:val="0"/>
        <w:color w:val="00467F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Arial" w:hAnsi="Arial" w:hint="default"/>
        <w:color w:val="00467F"/>
        <w:sz w:val="16"/>
      </w:rPr>
    </w:lvl>
    <w:lvl w:ilvl="3">
      <w:start w:val="1"/>
      <w:numFmt w:val="none"/>
      <w:lvlText w:val=""/>
      <w:lvlJc w:val="left"/>
      <w:pPr>
        <w:ind w:left="1800" w:hanging="360"/>
      </w:pPr>
      <w:rPr>
        <w:rFonts w:hint="default"/>
        <w:color w:val="00467F"/>
      </w:rPr>
    </w:lvl>
    <w:lvl w:ilvl="4">
      <w:start w:val="1"/>
      <w:numFmt w:val="none"/>
      <w:lvlText w:val=""/>
      <w:lvlJc w:val="left"/>
      <w:pPr>
        <w:ind w:left="2160" w:hanging="360"/>
      </w:pPr>
      <w:rPr>
        <w:rFonts w:hint="default"/>
        <w:color w:val="00467F"/>
      </w:rPr>
    </w:lvl>
    <w:lvl w:ilvl="5">
      <w:start w:val="1"/>
      <w:numFmt w:val="none"/>
      <w:lvlText w:val=""/>
      <w:lvlJc w:val="left"/>
      <w:pPr>
        <w:ind w:left="2520" w:hanging="360"/>
      </w:pPr>
      <w:rPr>
        <w:rFonts w:hint="default"/>
        <w:color w:val="00467F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hint="default"/>
        <w:color w:val="00467F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hint="default"/>
        <w:color w:val="00467F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hint="default"/>
        <w:color w:val="00467F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XToolsFileType" w:val="Word97"/>
  </w:docVars>
  <w:rsids>
    <w:rsidRoot w:val="00114A2F"/>
    <w:rsid w:val="00050BCB"/>
    <w:rsid w:val="00096251"/>
    <w:rsid w:val="000A0079"/>
    <w:rsid w:val="000A3257"/>
    <w:rsid w:val="000C0F31"/>
    <w:rsid w:val="000C2569"/>
    <w:rsid w:val="00114A2F"/>
    <w:rsid w:val="00123A3C"/>
    <w:rsid w:val="00133274"/>
    <w:rsid w:val="00191ABE"/>
    <w:rsid w:val="001E6D00"/>
    <w:rsid w:val="0020315C"/>
    <w:rsid w:val="00215AC2"/>
    <w:rsid w:val="0024175D"/>
    <w:rsid w:val="00262DAE"/>
    <w:rsid w:val="00364721"/>
    <w:rsid w:val="003E2D4F"/>
    <w:rsid w:val="004B7CA6"/>
    <w:rsid w:val="0050796A"/>
    <w:rsid w:val="00514B0C"/>
    <w:rsid w:val="005569F2"/>
    <w:rsid w:val="005C033D"/>
    <w:rsid w:val="005D4526"/>
    <w:rsid w:val="00600E84"/>
    <w:rsid w:val="00647803"/>
    <w:rsid w:val="0069665C"/>
    <w:rsid w:val="006C4462"/>
    <w:rsid w:val="006F5D4C"/>
    <w:rsid w:val="00743585"/>
    <w:rsid w:val="007D2317"/>
    <w:rsid w:val="00800647"/>
    <w:rsid w:val="00853B10"/>
    <w:rsid w:val="008668A1"/>
    <w:rsid w:val="008B0003"/>
    <w:rsid w:val="00920EDF"/>
    <w:rsid w:val="00934425"/>
    <w:rsid w:val="0097253E"/>
    <w:rsid w:val="009A2BF8"/>
    <w:rsid w:val="009D3875"/>
    <w:rsid w:val="00A30E50"/>
    <w:rsid w:val="00A62302"/>
    <w:rsid w:val="00A66277"/>
    <w:rsid w:val="00A94FB9"/>
    <w:rsid w:val="00AA764B"/>
    <w:rsid w:val="00AC0308"/>
    <w:rsid w:val="00AC15D2"/>
    <w:rsid w:val="00B00F52"/>
    <w:rsid w:val="00B44CAB"/>
    <w:rsid w:val="00C1429D"/>
    <w:rsid w:val="00CC2346"/>
    <w:rsid w:val="00CE761E"/>
    <w:rsid w:val="00D714A7"/>
    <w:rsid w:val="00E31DB8"/>
    <w:rsid w:val="00EB4551"/>
    <w:rsid w:val="00EC1DA2"/>
    <w:rsid w:val="00EC2A42"/>
    <w:rsid w:val="00F12A2D"/>
    <w:rsid w:val="00F17A79"/>
    <w:rsid w:val="00F34CF8"/>
    <w:rsid w:val="00F9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BECECC8B-9B09-4986-822A-998D6492B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lfaen" w:eastAsia="Times New Roman" w:hAnsi="Sylfaen" w:cs="Times New Roman"/>
        <w:sz w:val="23"/>
        <w:szCs w:val="23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G Normal 100"/>
    <w:qFormat/>
    <w:rsid w:val="005569F2"/>
    <w:pPr>
      <w:spacing w:before="230"/>
    </w:pPr>
  </w:style>
  <w:style w:type="paragraph" w:styleId="Heading1">
    <w:name w:val="heading 1"/>
    <w:aliases w:val="BG Heading 1"/>
    <w:basedOn w:val="Normal"/>
    <w:next w:val="Normal"/>
    <w:link w:val="Heading1Char"/>
    <w:autoRedefine/>
    <w:uiPriority w:val="9"/>
    <w:qFormat/>
    <w:rsid w:val="005569F2"/>
    <w:pPr>
      <w:keepNext/>
      <w:keepLines/>
      <w:numPr>
        <w:numId w:val="5"/>
      </w:numPr>
      <w:tabs>
        <w:tab w:val="left" w:pos="360"/>
      </w:tabs>
      <w:spacing w:before="480"/>
      <w:mirrorIndents/>
      <w:outlineLvl w:val="0"/>
    </w:pPr>
    <w:rPr>
      <w:rFonts w:ascii="Century Gothic" w:eastAsiaTheme="majorEastAsia" w:hAnsi="Century Gothic" w:cstheme="majorBidi"/>
      <w:b/>
      <w:bCs/>
      <w:color w:val="00467F"/>
      <w:sz w:val="28"/>
      <w:szCs w:val="28"/>
    </w:rPr>
  </w:style>
  <w:style w:type="paragraph" w:styleId="Heading2">
    <w:name w:val="heading 2"/>
    <w:aliases w:val="BG Heading 2"/>
    <w:basedOn w:val="Normal"/>
    <w:next w:val="Normal"/>
    <w:link w:val="Heading2Char"/>
    <w:autoRedefine/>
    <w:uiPriority w:val="9"/>
    <w:unhideWhenUsed/>
    <w:qFormat/>
    <w:rsid w:val="005569F2"/>
    <w:pPr>
      <w:keepNext/>
      <w:keepLines/>
      <w:numPr>
        <w:ilvl w:val="1"/>
        <w:numId w:val="5"/>
      </w:numPr>
      <w:outlineLvl w:val="1"/>
    </w:pPr>
    <w:rPr>
      <w:rFonts w:ascii="Century Gothic" w:eastAsiaTheme="majorEastAsia" w:hAnsi="Century Gothic" w:cstheme="majorBidi"/>
      <w:b/>
      <w:bCs/>
      <w:smallCaps/>
      <w:color w:val="00467F"/>
      <w:sz w:val="26"/>
      <w:szCs w:val="26"/>
    </w:rPr>
  </w:style>
  <w:style w:type="paragraph" w:styleId="Heading3">
    <w:name w:val="heading 3"/>
    <w:aliases w:val="BG Heading 3"/>
    <w:basedOn w:val="Normal"/>
    <w:next w:val="Normal"/>
    <w:link w:val="Heading3Char"/>
    <w:autoRedefine/>
    <w:uiPriority w:val="9"/>
    <w:unhideWhenUsed/>
    <w:qFormat/>
    <w:rsid w:val="005569F2"/>
    <w:pPr>
      <w:keepNext/>
      <w:keepLines/>
      <w:numPr>
        <w:ilvl w:val="2"/>
        <w:numId w:val="5"/>
      </w:numPr>
      <w:tabs>
        <w:tab w:val="left" w:pos="1080"/>
      </w:tabs>
      <w:outlineLvl w:val="2"/>
    </w:pPr>
    <w:rPr>
      <w:rFonts w:ascii="Century Gothic" w:eastAsiaTheme="majorEastAsia" w:hAnsi="Century Gothic" w:cstheme="majorBidi"/>
      <w:b/>
      <w:bCs/>
      <w:color w:val="00467F"/>
    </w:rPr>
  </w:style>
  <w:style w:type="paragraph" w:styleId="Heading4">
    <w:name w:val="heading 4"/>
    <w:aliases w:val="BG Heading 4"/>
    <w:basedOn w:val="Normal"/>
    <w:next w:val="Normal"/>
    <w:link w:val="Heading4Char"/>
    <w:autoRedefine/>
    <w:uiPriority w:val="9"/>
    <w:unhideWhenUsed/>
    <w:qFormat/>
    <w:rsid w:val="005569F2"/>
    <w:pPr>
      <w:keepNext/>
      <w:keepLines/>
      <w:numPr>
        <w:ilvl w:val="3"/>
        <w:numId w:val="5"/>
      </w:numPr>
      <w:tabs>
        <w:tab w:val="left" w:pos="1440"/>
      </w:tabs>
      <w:outlineLvl w:val="3"/>
    </w:pPr>
    <w:rPr>
      <w:rFonts w:ascii="Century Gothic" w:eastAsiaTheme="majorEastAsia" w:hAnsi="Century Gothic" w:cstheme="majorBidi"/>
      <w:b/>
      <w:bCs/>
      <w:i/>
      <w:iCs/>
      <w:color w:val="00467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69F2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001529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69F2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152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69F2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69F2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69F2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9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5569F2"/>
    <w:pPr>
      <w:tabs>
        <w:tab w:val="center" w:pos="4680"/>
        <w:tab w:val="right" w:pos="9360"/>
      </w:tabs>
    </w:pPr>
  </w:style>
  <w:style w:type="paragraph" w:styleId="FootnoteText">
    <w:name w:val="footnote text"/>
    <w:aliases w:val="BG Footnote Text"/>
    <w:basedOn w:val="Normal"/>
    <w:link w:val="FootnoteTextChar"/>
    <w:uiPriority w:val="99"/>
    <w:unhideWhenUsed/>
    <w:rsid w:val="005569F2"/>
    <w:pPr>
      <w:tabs>
        <w:tab w:val="left" w:pos="360"/>
      </w:tabs>
      <w:spacing w:before="80"/>
      <w:ind w:left="360" w:hanging="360"/>
    </w:pPr>
    <w:rPr>
      <w:sz w:val="21"/>
    </w:rPr>
  </w:style>
  <w:style w:type="paragraph" w:styleId="EndnoteText">
    <w:name w:val="endnote text"/>
    <w:basedOn w:val="Normal"/>
    <w:semiHidden/>
  </w:style>
  <w:style w:type="paragraph" w:styleId="Caption">
    <w:name w:val="caption"/>
    <w:aliases w:val="BG Caption"/>
    <w:basedOn w:val="Normal"/>
    <w:next w:val="BGInsertGraphic"/>
    <w:uiPriority w:val="35"/>
    <w:qFormat/>
    <w:rsid w:val="00600E84"/>
    <w:pPr>
      <w:keepNext/>
      <w:contextualSpacing/>
      <w:jc w:val="center"/>
    </w:pPr>
    <w:rPr>
      <w:rFonts w:ascii="Calibri" w:hAnsi="Calibri" w:cstheme="minorHAnsi"/>
      <w:b/>
      <w:bCs/>
      <w:color w:val="00467F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character" w:styleId="FollowedHyperlink">
    <w:name w:val="FollowedHyperlink"/>
    <w:basedOn w:val="DefaultParagraphFont"/>
    <w:uiPriority w:val="99"/>
    <w:unhideWhenUsed/>
    <w:rsid w:val="005569F2"/>
    <w:rPr>
      <w:color w:val="00467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569F2"/>
    <w:rPr>
      <w:vertAlign w:val="superscript"/>
    </w:rPr>
  </w:style>
  <w:style w:type="character" w:styleId="Hyperlink">
    <w:name w:val="Hyperlink"/>
    <w:aliases w:val="BG Hyperlink"/>
    <w:basedOn w:val="DefaultParagraphFont"/>
    <w:uiPriority w:val="99"/>
    <w:unhideWhenUsed/>
    <w:rsid w:val="005569F2"/>
    <w:rPr>
      <w:rFonts w:ascii="Sylfaen" w:hAnsi="Sylfaen"/>
      <w:color w:val="7FB9C2"/>
      <w:u w:val="single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next w:val="Normal"/>
    <w:link w:val="TitleChar"/>
    <w:qFormat/>
    <w:rsid w:val="00A30E50"/>
    <w:pPr>
      <w:jc w:val="center"/>
    </w:pPr>
    <w:rPr>
      <w:rFonts w:ascii="Century Gothic" w:hAnsi="Century Gothic"/>
      <w:b/>
      <w:color w:val="00467F"/>
      <w:sz w:val="28"/>
      <w:szCs w:val="2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aliases w:val="BG TOC 1"/>
    <w:basedOn w:val="Normal"/>
    <w:next w:val="Normal"/>
    <w:uiPriority w:val="39"/>
    <w:unhideWhenUsed/>
    <w:rsid w:val="005569F2"/>
    <w:pPr>
      <w:tabs>
        <w:tab w:val="right" w:leader="dot" w:pos="9360"/>
      </w:tabs>
      <w:spacing w:before="100" w:after="100"/>
      <w:ind w:left="547" w:right="360" w:hanging="547"/>
    </w:pPr>
  </w:style>
  <w:style w:type="paragraph" w:styleId="TOC2">
    <w:name w:val="toc 2"/>
    <w:aliases w:val="BG TOC 2"/>
    <w:basedOn w:val="Normal"/>
    <w:next w:val="Normal"/>
    <w:uiPriority w:val="39"/>
    <w:unhideWhenUsed/>
    <w:rsid w:val="005569F2"/>
    <w:pPr>
      <w:tabs>
        <w:tab w:val="left" w:pos="1080"/>
        <w:tab w:val="right" w:leader="dot" w:pos="9360"/>
      </w:tabs>
      <w:spacing w:before="60"/>
      <w:ind w:left="1094" w:right="360" w:hanging="547"/>
    </w:pPr>
    <w:rPr>
      <w:rFonts w:eastAsiaTheme="minorEastAsia" w:cstheme="minorBidi"/>
      <w:noProof/>
    </w:rPr>
  </w:style>
  <w:style w:type="paragraph" w:styleId="TOC3">
    <w:name w:val="toc 3"/>
    <w:aliases w:val="BG TOC 3"/>
    <w:basedOn w:val="Normal"/>
    <w:next w:val="Normal"/>
    <w:uiPriority w:val="39"/>
    <w:unhideWhenUsed/>
    <w:rsid w:val="005569F2"/>
    <w:pPr>
      <w:tabs>
        <w:tab w:val="left" w:pos="1620"/>
        <w:tab w:val="right" w:leader="dot" w:pos="9360"/>
      </w:tabs>
      <w:spacing w:before="60"/>
      <w:ind w:left="1627" w:right="360" w:hanging="547"/>
    </w:pPr>
    <w:rPr>
      <w:rFonts w:eastAsiaTheme="minorEastAsia" w:cstheme="minorBidi"/>
      <w:noProof/>
    </w:rPr>
  </w:style>
  <w:style w:type="paragraph" w:styleId="TOC4">
    <w:name w:val="toc 4"/>
    <w:aliases w:val="BG TOC 4"/>
    <w:basedOn w:val="Normal"/>
    <w:next w:val="Normal"/>
    <w:uiPriority w:val="39"/>
    <w:unhideWhenUsed/>
    <w:rsid w:val="005569F2"/>
    <w:pPr>
      <w:tabs>
        <w:tab w:val="left" w:pos="2160"/>
        <w:tab w:val="right" w:leader="dot" w:pos="9350"/>
      </w:tabs>
      <w:spacing w:before="60"/>
      <w:ind w:left="2174" w:hanging="547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character" w:customStyle="1" w:styleId="TitleChar">
    <w:name w:val="Title Char"/>
    <w:basedOn w:val="DefaultParagraphFont"/>
    <w:link w:val="Title"/>
    <w:rsid w:val="00A30E50"/>
    <w:rPr>
      <w:rFonts w:ascii="Century Gothic" w:eastAsiaTheme="minorHAnsi" w:hAnsi="Century Gothic"/>
      <w:b/>
      <w:color w:val="00467F"/>
      <w:sz w:val="28"/>
      <w:szCs w:val="28"/>
    </w:rPr>
  </w:style>
  <w:style w:type="numbering" w:customStyle="1" w:styleId="BlueBullets">
    <w:name w:val="Blue Bullets"/>
    <w:uiPriority w:val="99"/>
    <w:rsid w:val="005569F2"/>
    <w:pPr>
      <w:numPr>
        <w:numId w:val="3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5569F2"/>
    <w:rPr>
      <w:rFonts w:eastAsiaTheme="minorHAnsi"/>
      <w:color w:val="auto"/>
    </w:rPr>
  </w:style>
  <w:style w:type="character" w:customStyle="1" w:styleId="FootnoteTextChar">
    <w:name w:val="Footnote Text Char"/>
    <w:aliases w:val="BG Footnote Text Char"/>
    <w:basedOn w:val="DefaultParagraphFont"/>
    <w:link w:val="FootnoteText"/>
    <w:uiPriority w:val="99"/>
    <w:rsid w:val="005569F2"/>
    <w:rPr>
      <w:rFonts w:eastAsiaTheme="minorHAnsi"/>
      <w:color w:val="auto"/>
      <w:sz w:val="21"/>
    </w:rPr>
  </w:style>
  <w:style w:type="character" w:customStyle="1" w:styleId="HeaderChar">
    <w:name w:val="Header Char"/>
    <w:basedOn w:val="DefaultParagraphFont"/>
    <w:link w:val="Header"/>
    <w:uiPriority w:val="99"/>
    <w:rsid w:val="005569F2"/>
    <w:rPr>
      <w:rFonts w:eastAsiaTheme="minorHAnsi"/>
      <w:color w:val="auto"/>
    </w:rPr>
  </w:style>
  <w:style w:type="character" w:customStyle="1" w:styleId="Heading1Char">
    <w:name w:val="Heading 1 Char"/>
    <w:aliases w:val="BG Heading 1 Char"/>
    <w:basedOn w:val="DefaultParagraphFont"/>
    <w:link w:val="Heading1"/>
    <w:uiPriority w:val="9"/>
    <w:rsid w:val="005569F2"/>
    <w:rPr>
      <w:rFonts w:ascii="Century Gothic" w:eastAsiaTheme="majorEastAsia" w:hAnsi="Century Gothic" w:cstheme="majorBidi"/>
      <w:b/>
      <w:bCs/>
      <w:color w:val="00467F"/>
      <w:sz w:val="28"/>
      <w:szCs w:val="28"/>
    </w:rPr>
  </w:style>
  <w:style w:type="character" w:customStyle="1" w:styleId="Heading2Char">
    <w:name w:val="Heading 2 Char"/>
    <w:aliases w:val="BG Heading 2 Char"/>
    <w:basedOn w:val="DefaultParagraphFont"/>
    <w:link w:val="Heading2"/>
    <w:uiPriority w:val="9"/>
    <w:rsid w:val="005569F2"/>
    <w:rPr>
      <w:rFonts w:ascii="Century Gothic" w:eastAsiaTheme="majorEastAsia" w:hAnsi="Century Gothic" w:cstheme="majorBidi"/>
      <w:b/>
      <w:bCs/>
      <w:smallCaps/>
      <w:color w:val="00467F"/>
      <w:sz w:val="26"/>
      <w:szCs w:val="26"/>
    </w:rPr>
  </w:style>
  <w:style w:type="character" w:customStyle="1" w:styleId="Heading3Char">
    <w:name w:val="Heading 3 Char"/>
    <w:aliases w:val="BG Heading 3 Char"/>
    <w:basedOn w:val="DefaultParagraphFont"/>
    <w:link w:val="Heading3"/>
    <w:uiPriority w:val="9"/>
    <w:rsid w:val="005569F2"/>
    <w:rPr>
      <w:rFonts w:ascii="Century Gothic" w:eastAsiaTheme="majorEastAsia" w:hAnsi="Century Gothic" w:cstheme="majorBidi"/>
      <w:b/>
      <w:bCs/>
      <w:color w:val="00467F"/>
    </w:rPr>
  </w:style>
  <w:style w:type="character" w:customStyle="1" w:styleId="Heading4Char">
    <w:name w:val="Heading 4 Char"/>
    <w:aliases w:val="BG Heading 4 Char"/>
    <w:basedOn w:val="DefaultParagraphFont"/>
    <w:link w:val="Heading4"/>
    <w:uiPriority w:val="9"/>
    <w:rsid w:val="005569F2"/>
    <w:rPr>
      <w:rFonts w:ascii="Century Gothic" w:eastAsiaTheme="majorEastAsia" w:hAnsi="Century Gothic" w:cstheme="majorBidi"/>
      <w:b/>
      <w:bCs/>
      <w:i/>
      <w:iCs/>
      <w:color w:val="00467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69F2"/>
    <w:rPr>
      <w:rFonts w:asciiTheme="majorHAnsi" w:eastAsiaTheme="majorEastAsia" w:hAnsiTheme="majorHAnsi" w:cstheme="majorBidi"/>
      <w:color w:val="001529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69F2"/>
    <w:rPr>
      <w:rFonts w:asciiTheme="majorHAnsi" w:eastAsiaTheme="majorEastAsia" w:hAnsiTheme="majorHAnsi" w:cstheme="majorBidi"/>
      <w:i/>
      <w:iCs/>
      <w:color w:val="00152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69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69F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69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5569F2"/>
    <w:rPr>
      <w:rFonts w:eastAsiaTheme="minorHAnsi"/>
    </w:rPr>
  </w:style>
  <w:style w:type="character" w:styleId="PlaceholderText">
    <w:name w:val="Placeholder Text"/>
    <w:basedOn w:val="DefaultParagraphFont"/>
    <w:uiPriority w:val="99"/>
    <w:semiHidden/>
    <w:rsid w:val="00050BCB"/>
    <w:rPr>
      <w:color w:val="808080"/>
    </w:rPr>
  </w:style>
  <w:style w:type="paragraph" w:styleId="Quote">
    <w:name w:val="Quote"/>
    <w:aliases w:val="BG Indented Quote"/>
    <w:basedOn w:val="Normal"/>
    <w:next w:val="Normal"/>
    <w:link w:val="QuoteChar"/>
    <w:uiPriority w:val="29"/>
    <w:qFormat/>
    <w:rsid w:val="005569F2"/>
    <w:pPr>
      <w:spacing w:before="120"/>
      <w:ind w:left="720" w:right="720"/>
    </w:pPr>
    <w:rPr>
      <w:iCs/>
    </w:rPr>
  </w:style>
  <w:style w:type="character" w:customStyle="1" w:styleId="QuoteChar">
    <w:name w:val="Quote Char"/>
    <w:aliases w:val="BG Indented Quote Char"/>
    <w:basedOn w:val="DefaultParagraphFont"/>
    <w:link w:val="Quote"/>
    <w:uiPriority w:val="29"/>
    <w:rsid w:val="005569F2"/>
    <w:rPr>
      <w:rFonts w:eastAsiaTheme="minorHAnsi"/>
      <w:iCs/>
      <w:color w:val="auto"/>
    </w:rPr>
  </w:style>
  <w:style w:type="paragraph" w:customStyle="1" w:styleId="BGNormal125">
    <w:name w:val="BG Normal 125"/>
    <w:basedOn w:val="Normal"/>
    <w:qFormat/>
    <w:rsid w:val="005569F2"/>
    <w:pPr>
      <w:spacing w:before="300" w:line="300" w:lineRule="auto"/>
    </w:pPr>
  </w:style>
  <w:style w:type="paragraph" w:customStyle="1" w:styleId="BGAcknowledgement">
    <w:name w:val="BG Acknowledgement"/>
    <w:basedOn w:val="BGNormal125"/>
    <w:next w:val="BGNormal125"/>
    <w:qFormat/>
    <w:rsid w:val="005569F2"/>
    <w:rPr>
      <w:szCs w:val="21"/>
    </w:rPr>
  </w:style>
  <w:style w:type="paragraph" w:customStyle="1" w:styleId="BGBulletedList">
    <w:name w:val="BG Bulleted List"/>
    <w:basedOn w:val="Normal"/>
    <w:qFormat/>
    <w:rsid w:val="005569F2"/>
    <w:pPr>
      <w:numPr>
        <w:numId w:val="3"/>
      </w:numPr>
      <w:contextualSpacing/>
    </w:pPr>
  </w:style>
  <w:style w:type="paragraph" w:customStyle="1" w:styleId="BGCoNameorLogo">
    <w:name w:val="BG Co Name or Logo"/>
    <w:basedOn w:val="Normal"/>
    <w:next w:val="Normal"/>
    <w:qFormat/>
    <w:rsid w:val="005569F2"/>
    <w:pPr>
      <w:spacing w:line="300" w:lineRule="auto"/>
    </w:pPr>
    <w:rPr>
      <w:rFonts w:ascii="Century Gothic" w:hAnsi="Century Gothic"/>
      <w:sz w:val="40"/>
      <w:szCs w:val="40"/>
    </w:rPr>
  </w:style>
  <w:style w:type="paragraph" w:customStyle="1" w:styleId="BGConsultantName">
    <w:name w:val="BG Consultant Name"/>
    <w:basedOn w:val="Normal"/>
    <w:next w:val="Normal"/>
    <w:qFormat/>
    <w:rsid w:val="005569F2"/>
    <w:pPr>
      <w:spacing w:before="120"/>
    </w:pPr>
    <w:rPr>
      <w:rFonts w:ascii="Century Gothic" w:hAnsi="Century Gothic"/>
    </w:rPr>
  </w:style>
  <w:style w:type="paragraph" w:customStyle="1" w:styleId="BGCopyright">
    <w:name w:val="BG Copyright"/>
    <w:basedOn w:val="Normal"/>
    <w:next w:val="BGNormal125"/>
    <w:qFormat/>
    <w:rsid w:val="005569F2"/>
    <w:pPr>
      <w:spacing w:line="420" w:lineRule="auto"/>
    </w:pPr>
    <w:rPr>
      <w:rFonts w:ascii="Century Gothic" w:hAnsi="Century Gothic"/>
      <w:sz w:val="15"/>
      <w:szCs w:val="15"/>
    </w:rPr>
  </w:style>
  <w:style w:type="paragraph" w:customStyle="1" w:styleId="BGInsertGraphic">
    <w:name w:val="BG Insert Graphic"/>
    <w:basedOn w:val="Normal"/>
    <w:next w:val="BGNormal125"/>
    <w:qFormat/>
    <w:rsid w:val="005569F2"/>
    <w:pPr>
      <w:spacing w:before="60"/>
      <w:jc w:val="center"/>
    </w:pPr>
  </w:style>
  <w:style w:type="paragraph" w:customStyle="1" w:styleId="BGNormal150">
    <w:name w:val="BG Normal 150"/>
    <w:basedOn w:val="Normal"/>
    <w:qFormat/>
    <w:rsid w:val="005569F2"/>
    <w:pPr>
      <w:spacing w:before="320" w:line="360" w:lineRule="auto"/>
    </w:pPr>
  </w:style>
  <w:style w:type="paragraph" w:customStyle="1" w:styleId="BGNotesFiguresTables">
    <w:name w:val="BG Notes Figures &amp; Tables"/>
    <w:basedOn w:val="Normal"/>
    <w:next w:val="BGNormal125"/>
    <w:qFormat/>
    <w:rsid w:val="005569F2"/>
    <w:pPr>
      <w:spacing w:before="60"/>
      <w:ind w:left="1440" w:right="1440"/>
    </w:pPr>
    <w:rPr>
      <w:rFonts w:ascii="Calibri" w:hAnsi="Calibri"/>
      <w:sz w:val="18"/>
    </w:rPr>
  </w:style>
  <w:style w:type="paragraph" w:customStyle="1" w:styleId="BGNumberedList">
    <w:name w:val="BG Numbered List"/>
    <w:basedOn w:val="Normal"/>
    <w:qFormat/>
    <w:rsid w:val="005569F2"/>
    <w:pPr>
      <w:numPr>
        <w:numId w:val="1"/>
      </w:numPr>
      <w:spacing w:before="120"/>
    </w:pPr>
  </w:style>
  <w:style w:type="paragraph" w:customStyle="1" w:styleId="BGParaNumbered">
    <w:name w:val="BG Para Numbered"/>
    <w:basedOn w:val="Normal"/>
    <w:qFormat/>
    <w:rsid w:val="00EB4551"/>
    <w:pPr>
      <w:numPr>
        <w:numId w:val="2"/>
      </w:numPr>
      <w:tabs>
        <w:tab w:val="left" w:pos="360"/>
        <w:tab w:val="left" w:pos="720"/>
      </w:tabs>
      <w:spacing w:before="120"/>
      <w:ind w:left="547" w:hanging="547"/>
    </w:pPr>
  </w:style>
  <w:style w:type="paragraph" w:customStyle="1" w:styleId="BGPreparedorDate">
    <w:name w:val="BG Prepared or Date"/>
    <w:basedOn w:val="Normal"/>
    <w:next w:val="Normal"/>
    <w:qFormat/>
    <w:rsid w:val="005569F2"/>
    <w:pPr>
      <w:spacing w:line="480" w:lineRule="auto"/>
    </w:pPr>
    <w:rPr>
      <w:rFonts w:ascii="Century Gothic" w:hAnsi="Century Gothic"/>
      <w:b/>
      <w:color w:val="7FB9C2"/>
      <w:spacing w:val="20"/>
    </w:rPr>
  </w:style>
  <w:style w:type="paragraph" w:customStyle="1" w:styleId="BGReportTitle">
    <w:name w:val="BG Report Title"/>
    <w:basedOn w:val="Normal"/>
    <w:qFormat/>
    <w:rsid w:val="005569F2"/>
    <w:pPr>
      <w:spacing w:line="300" w:lineRule="auto"/>
    </w:pPr>
    <w:rPr>
      <w:rFonts w:ascii="Century Gothic" w:hAnsi="Century Gothic"/>
      <w:b/>
      <w:color w:val="00467F"/>
      <w:sz w:val="48"/>
      <w:szCs w:val="48"/>
    </w:rPr>
  </w:style>
  <w:style w:type="paragraph" w:customStyle="1" w:styleId="BGRptSubtitle">
    <w:name w:val="BG Rpt Subtitle"/>
    <w:basedOn w:val="Normal"/>
    <w:next w:val="Normal"/>
    <w:qFormat/>
    <w:rsid w:val="005569F2"/>
    <w:pPr>
      <w:spacing w:line="300" w:lineRule="auto"/>
    </w:pPr>
    <w:rPr>
      <w:rFonts w:ascii="Century Gothic" w:hAnsi="Century Gothic"/>
      <w:color w:val="00467F"/>
      <w:sz w:val="42"/>
      <w:szCs w:val="42"/>
    </w:rPr>
  </w:style>
  <w:style w:type="numbering" w:customStyle="1" w:styleId="HeadingOutline">
    <w:name w:val="Heading Outline"/>
    <w:uiPriority w:val="99"/>
    <w:rsid w:val="005569F2"/>
    <w:pPr>
      <w:numPr>
        <w:numId w:val="5"/>
      </w:numPr>
    </w:pPr>
  </w:style>
  <w:style w:type="numbering" w:customStyle="1" w:styleId="OutlineOnly-NoHeadings">
    <w:name w:val="Outline Only - No Headings"/>
    <w:uiPriority w:val="99"/>
    <w:rsid w:val="005569F2"/>
    <w:pPr>
      <w:numPr>
        <w:numId w:val="6"/>
      </w:numPr>
    </w:pPr>
  </w:style>
  <w:style w:type="paragraph" w:styleId="BalloonText">
    <w:name w:val="Balloon Text"/>
    <w:basedOn w:val="Normal"/>
    <w:link w:val="BalloonTextChar"/>
    <w:uiPriority w:val="99"/>
    <w:unhideWhenUsed/>
    <w:rsid w:val="00556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569F2"/>
    <w:rPr>
      <w:rFonts w:ascii="Tahoma" w:eastAsiaTheme="minorHAnsi" w:hAnsi="Tahoma" w:cs="Tahoma"/>
      <w:color w:val="auto"/>
      <w:sz w:val="16"/>
      <w:szCs w:val="16"/>
    </w:rPr>
  </w:style>
  <w:style w:type="paragraph" w:customStyle="1" w:styleId="BGBibliographyText">
    <w:name w:val="BG BibliographyText"/>
    <w:basedOn w:val="Normal"/>
    <w:qFormat/>
    <w:rsid w:val="005569F2"/>
    <w:pPr>
      <w:ind w:left="720" w:hanging="720"/>
    </w:pPr>
  </w:style>
  <w:style w:type="paragraph" w:styleId="ListParagraph">
    <w:name w:val="List Paragraph"/>
    <w:basedOn w:val="Normal"/>
    <w:uiPriority w:val="34"/>
    <w:qFormat/>
    <w:rsid w:val="005569F2"/>
    <w:pPr>
      <w:ind w:left="720"/>
      <w:contextualSpacing/>
    </w:pPr>
  </w:style>
  <w:style w:type="numbering" w:customStyle="1" w:styleId="UKHeadingOutline">
    <w:name w:val="UK Heading Outline"/>
    <w:uiPriority w:val="99"/>
    <w:rsid w:val="005569F2"/>
    <w:pPr>
      <w:numPr>
        <w:numId w:val="7"/>
      </w:numPr>
    </w:pPr>
  </w:style>
  <w:style w:type="paragraph" w:customStyle="1" w:styleId="BGAcronymlist">
    <w:name w:val="BG Acronym list"/>
    <w:basedOn w:val="Normal"/>
    <w:qFormat/>
    <w:rsid w:val="005569F2"/>
    <w:pPr>
      <w:tabs>
        <w:tab w:val="left" w:pos="2160"/>
      </w:tabs>
      <w:spacing w:before="80"/>
    </w:pPr>
  </w:style>
  <w:style w:type="paragraph" w:customStyle="1" w:styleId="BGTOCHeading">
    <w:name w:val="BG TOC Heading"/>
    <w:basedOn w:val="Normal"/>
    <w:next w:val="Normal"/>
    <w:qFormat/>
    <w:rsid w:val="005569F2"/>
    <w:pPr>
      <w:spacing w:before="300" w:line="300" w:lineRule="auto"/>
    </w:pPr>
    <w:rPr>
      <w:rFonts w:ascii="Century Gothic" w:hAnsi="Century Gothic"/>
      <w:b/>
      <w:color w:val="00467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BGStandard2010\Cambridge\Memo%20-%20NA.dotm" TargetMode="External"/></Relationships>
</file>

<file path=word/theme/theme1.xml><?xml version="1.0" encoding="utf-8"?>
<a:theme xmlns:a="http://schemas.openxmlformats.org/drawingml/2006/main" name="Brattle 2015">
  <a:themeElements>
    <a:clrScheme name="Brattle 2015">
      <a:dk1>
        <a:srgbClr val="000000"/>
      </a:dk1>
      <a:lt1>
        <a:srgbClr val="FFFFFF"/>
      </a:lt1>
      <a:dk2>
        <a:srgbClr val="FFFFFF"/>
      </a:dk2>
      <a:lt2>
        <a:srgbClr val="00467F"/>
      </a:lt2>
      <a:accent1>
        <a:srgbClr val="002B54"/>
      </a:accent1>
      <a:accent2>
        <a:srgbClr val="7FB9C2"/>
      </a:accent2>
      <a:accent3>
        <a:srgbClr val="6A7277"/>
      </a:accent3>
      <a:accent4>
        <a:srgbClr val="EF4623"/>
      </a:accent4>
      <a:accent5>
        <a:srgbClr val="00467F"/>
      </a:accent5>
      <a:accent6>
        <a:srgbClr val="CCCDC3"/>
      </a:accent6>
      <a:hlink>
        <a:srgbClr val="7FB9C2"/>
      </a:hlink>
      <a:folHlink>
        <a:srgbClr val="00467F"/>
      </a:folHlink>
    </a:clrScheme>
    <a:fontScheme name="Brattle Theme">
      <a:majorFont>
        <a:latin typeface="Century Gothic"/>
        <a:ea typeface=""/>
        <a:cs typeface=""/>
      </a:majorFont>
      <a:minorFont>
        <a:latin typeface="Sylfae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SODocument" ma:contentTypeID="0x0101000BEF1A1EAF553945AAFC1DE188AA7EC100496CDC402DE9B8469629C69FFFFA4218" ma:contentTypeVersion="40" ma:contentTypeDescription="" ma:contentTypeScope="" ma:versionID="c3d34afea54ce30cf9168e25f1a6ad8e">
  <xsd:schema xmlns:xsd="http://www.w3.org/2001/XMLSchema" xmlns:xs="http://www.w3.org/2001/XMLSchema" xmlns:p="http://schemas.microsoft.com/office/2006/metadata/properties" xmlns:ns2="2613f182-e424-487f-ac7f-33bed2fc986a" xmlns:ns3="5bcbeff6-7c02-4b0f-b125-f1b3d566cc14" targetNamespace="http://schemas.microsoft.com/office/2006/metadata/properties" ma:root="true" ma:fieldsID="761fcbc06cfbfec19e2d54763cf44b02" ns2:_="" ns3:_="">
    <xsd:import namespace="2613f182-e424-487f-ac7f-33bed2fc986a"/>
    <xsd:import namespace="5bcbeff6-7c02-4b0f-b125-f1b3d566cc14"/>
    <xsd:element name="properties">
      <xsd:complexType>
        <xsd:sequence>
          <xsd:element name="documentManagement">
            <xsd:complexType>
              <xsd:all>
                <xsd:element ref="ns2:ISODescription" minOccurs="0"/>
                <xsd:element ref="ns3:Document_x0020_Type" minOccurs="0"/>
                <xsd:element ref="ns2:ISOSummary" minOccurs="0"/>
                <xsd:element ref="ns2:PostDate" minOccurs="0"/>
                <xsd:element ref="ns2:ExpireDate" minOccurs="0"/>
                <xsd:element ref="ns2:ISOOwner" minOccurs="0"/>
                <xsd:element ref="ns2:OriginalUri" minOccurs="0"/>
                <xsd:element ref="ns2:Important" minOccurs="0"/>
                <xsd:element ref="ns2:ISOGroupSequence" minOccurs="0"/>
                <xsd:element ref="ns3:Orig_x0020_Post_x0020_Date" minOccurs="0"/>
                <xsd:element ref="ns3:Market_x0020_Notice" minOccurs="0"/>
                <xsd:element ref="ns3:News_x0020_Release" minOccurs="0"/>
                <xsd:element ref="ns2:ISOArchived" minOccurs="0"/>
                <xsd:element ref="ns2:Content_x0020_Administrator" minOccurs="0"/>
                <xsd:element ref="ns2:Content_x0020_Owner" minOccurs="0"/>
                <xsd:element ref="ns2:ISOContributor" minOccurs="0"/>
                <xsd:element ref="ns3:ContentReviewInterval" minOccurs="0"/>
                <xsd:element ref="ns3:CrawlableUniqueID" minOccurs="0"/>
                <xsd:element ref="ns3:ParentISOGroups" minOccurs="0"/>
                <xsd:element ref="ns3:IsDisabled" minOccurs="0"/>
                <xsd:element ref="ns2:IsPublished" minOccurs="0"/>
                <xsd:element ref="ns2:ISOExtract" minOccurs="0"/>
                <xsd:element ref="ns2:TaxCatchAllLabel" minOccurs="0"/>
                <xsd:element ref="ns2:ISOGroupTaxHTField0" minOccurs="0"/>
                <xsd:element ref="ns2:ISOArchiveTaxHTField0" minOccurs="0"/>
                <xsd:element ref="ns2:ISOKeywordsTaxHTField0" minOccurs="0"/>
                <xsd:element ref="ns2:TaxCatchAll" minOccurs="0"/>
                <xsd:element ref="ns2:ISOTopicTaxHTField0" minOccurs="0"/>
                <xsd:element ref="ns2:SharedWithUsers" minOccurs="0"/>
                <xsd:element ref="ns2:m9e70a6096144fc698577b786817f2b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3f182-e424-487f-ac7f-33bed2fc986a" elementFormDefault="qualified">
    <xsd:import namespace="http://schemas.microsoft.com/office/2006/documentManagement/types"/>
    <xsd:import namespace="http://schemas.microsoft.com/office/infopath/2007/PartnerControls"/>
    <xsd:element name="ISODescription" ma:index="2" nillable="true" ma:displayName="ISODescription" ma:internalName="ISODescription" ma:readOnly="false">
      <xsd:simpleType>
        <xsd:restriction base="dms:Unknown"/>
      </xsd:simpleType>
    </xsd:element>
    <xsd:element name="ISOSummary" ma:index="4" nillable="true" ma:displayName="ISOSummary" ma:internalName="ISOSummary" ma:readOnly="false">
      <xsd:simpleType>
        <xsd:restriction base="dms:Unknown"/>
      </xsd:simpleType>
    </xsd:element>
    <xsd:element name="PostDate" ma:index="5" nillable="true" ma:displayName="PostDate" ma:default="[today]" ma:format="DateTime" ma:indexed="true" ma:internalName="PostDate" ma:readOnly="false">
      <xsd:simpleType>
        <xsd:restriction base="dms:DateTime"/>
      </xsd:simpleType>
    </xsd:element>
    <xsd:element name="ExpireDate" ma:index="6" nillable="true" ma:displayName="ExpireDate" ma:format="DateTime" ma:internalName="ExpireDate" ma:readOnly="false">
      <xsd:simpleType>
        <xsd:restriction base="dms:DateTime"/>
      </xsd:simpleType>
    </xsd:element>
    <xsd:element name="ISOOwner" ma:index="7" nillable="true" ma:displayName="ISOOwner" ma:internalName="ISOOwner" ma:readOnly="false">
      <xsd:simpleType>
        <xsd:restriction base="dms:Text">
          <xsd:maxLength value="255"/>
        </xsd:restriction>
      </xsd:simpleType>
    </xsd:element>
    <xsd:element name="OriginalUri" ma:index="8" nillable="true" ma:displayName="OriginalUri" ma:format="Hyperlink" ma:internalName="OriginalUri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portant" ma:index="9" nillable="true" ma:displayName="Important" ma:default="0" ma:internalName="Important" ma:readOnly="false">
      <xsd:simpleType>
        <xsd:restriction base="dms:Boolean"/>
      </xsd:simpleType>
    </xsd:element>
    <xsd:element name="ISOGroupSequence" ma:index="10" nillable="true" ma:displayName="ISOGroupSequence" ma:internalName="ISOGroupSequence" ma:readOnly="false">
      <xsd:simpleType>
        <xsd:restriction base="dms:Text">
          <xsd:maxLength value="255"/>
        </xsd:restriction>
      </xsd:simpleType>
    </xsd:element>
    <xsd:element name="ISOArchived" ma:index="14" nillable="true" ma:displayName="ISOArchived" ma:default="Not Archived" ma:format="Dropdown" ma:internalName="ISOArchived" ma:readOnly="false">
      <xsd:simpleType>
        <xsd:restriction base="dms:Choice">
          <xsd:enumeration value="Not Archived"/>
          <xsd:enumeration value="Archived"/>
        </xsd:restriction>
      </xsd:simpleType>
    </xsd:element>
    <xsd:element name="Content_x0020_Administrator" ma:index="17" nillable="true" ma:displayName="Content Administrator" ma:list="UserInfo" ma:SearchPeopleOnly="false" ma:SharePointGroup="0" ma:internalName="Content_x0020_Administr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_x0020_Owner" ma:index="18" nillable="true" ma:displayName="Content Owner" ma:list="UserInfo" ma:SearchPeopleOnly="false" ma:SharePointGroup="0" ma:internalName="Conten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OContributor" ma:index="19" nillable="true" ma:displayName="ISOContributor" ma:list="UserInfo" ma:SearchPeopleOnly="false" ma:SharePointGroup="0" ma:internalName="ISO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Published" ma:index="24" nillable="true" ma:displayName="IsPublished" ma:default="0" ma:description="Flag to indicate whether the document has been approved through new Publisher tool or not" ma:internalName="IsPublished" ma:readOnly="false">
      <xsd:simpleType>
        <xsd:restriction base="dms:Boolean"/>
      </xsd:simpleType>
    </xsd:element>
    <xsd:element name="ISOExtract" ma:index="25" nillable="true" ma:displayName="ISOExtract" ma:internalName="ISOExtract" ma:readOnly="false">
      <xsd:simpleType>
        <xsd:restriction base="dms:Unknown"/>
      </xsd:simpleType>
    </xsd:element>
    <xsd:element name="TaxCatchAllLabel" ma:index="28" nillable="true" ma:displayName="Taxonomy Catch All Column1" ma:description="" ma:hidden="true" ma:list="{ef3b6637-042e-488b-9cf7-bd5a816f7221}" ma:internalName="TaxCatchAllLabel" ma:readOnly="true" ma:showField="CatchAllDataLabel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GroupTaxHTField0" ma:index="30" nillable="true" ma:taxonomy="true" ma:internalName="ISOGroupTaxHTField0" ma:taxonomyFieldName="ISOGroup" ma:displayName="ISOGroup" ma:readOnly="false" ma:fieldId="{b67c8e13-1d6a-45e8-8db6-8efbcafcd0a3}" ma:taxonomyMulti="true" ma:sspId="fd729072-e730-4317-b4a5-200041a3a517" ma:termSetId="b835cdeb-c095-4ae2-9fca-ec02f71e762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SOArchiveTaxHTField0" ma:index="31" nillable="true" ma:displayName="ISOArchive_0" ma:hidden="true" ma:internalName="ISOArchiveTaxHTField0" ma:readOnly="false">
      <xsd:simpleType>
        <xsd:restriction base="dms:Note"/>
      </xsd:simpleType>
    </xsd:element>
    <xsd:element name="ISOKeywordsTaxHTField0" ma:index="32" nillable="true" ma:taxonomy="true" ma:internalName="ISOKeywordsTaxHTField0" ma:taxonomyFieldName="ISOKeywords" ma:displayName="ISOKeywords" ma:readOnly="false" ma:default="" ma:fieldId="{2a74c698-3827-4529-8bb2-fe7971c780f4}" ma:taxonomyMulti="true" ma:sspId="fd729072-e730-4317-b4a5-200041a3a517" ma:termSetId="99f719f8-1404-42a4-ac5f-6dcebb5223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description="" ma:hidden="true" ma:list="{ef3b6637-042e-488b-9cf7-bd5a816f7221}" ma:internalName="TaxCatchAll" ma:readOnly="false" ma:showField="CatchAllData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TopicTaxHTField0" ma:index="35" nillable="true" ma:taxonomy="true" ma:internalName="ISOTopicTaxHTField0" ma:taxonomyFieldName="ISOTopic" ma:displayName="ISOTopic" ma:readOnly="false" ma:default="" ma:fieldId="{449bdcbd-7f52-4d67-ad6a-365e07f6853e}" ma:sspId="fd729072-e730-4317-b4a5-200041a3a517" ma:termSetId="f0be43a1-0042-4a32-a693-518fcc2cb6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3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9e70a6096144fc698577b786817f2be" ma:index="37" nillable="true" ma:taxonomy="true" ma:internalName="m9e70a6096144fc698577b786817f2be" ma:taxonomyFieldName="ISOArchive" ma:displayName="ISOArchive" ma:default="" ma:fieldId="{69e70a60-9614-4fc6-9857-7b786817f2be}" ma:sspId="fd729072-e730-4317-b4a5-200041a3a517" ma:termSetId="8d20272c-4e49-4ec7-8306-7ffc8b7ce91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beff6-7c02-4b0f-b125-f1b3d566cc14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3" nillable="true" ma:displayName="Content Type" ma:format="Dropdown" ma:indexed="true" ma:internalName="Document_x0020_Type" ma:readOnly="false">
      <xsd:simpleType>
        <xsd:restriction base="dms:Choice">
          <xsd:enumeration value="Agenda"/>
          <xsd:enumeration value="Agreement"/>
          <xsd:enumeration value="Amendment"/>
          <xsd:enumeration value="Answer"/>
          <xsd:enumeration value="Audio"/>
          <xsd:enumeration value="Biography"/>
          <xsd:enumeration value="Business Practice Manual"/>
          <xsd:enumeration value="Calendar"/>
          <xsd:enumeration value="Comment"/>
          <xsd:enumeration value="Contract"/>
          <xsd:enumeration value="Decision"/>
          <xsd:enumeration value="Fast Facts"/>
          <xsd:enumeration value="FAQ"/>
          <xsd:enumeration value="Filing"/>
          <xsd:enumeration value="Form/Template"/>
          <xsd:enumeration value="Guide"/>
          <xsd:enumeration value="Market Notice"/>
          <xsd:enumeration value="Memorandum"/>
          <xsd:enumeration value="Minutes"/>
          <xsd:enumeration value="Motion"/>
          <xsd:enumeration value="News Release"/>
          <xsd:enumeration value="Opinion"/>
          <xsd:enumeration value="Order"/>
          <xsd:enumeration value="Paper"/>
          <xsd:enumeration value="Plan"/>
          <xsd:enumeration value="Policy"/>
          <xsd:enumeration value="Presentation"/>
          <xsd:enumeration value="Procedure"/>
          <xsd:enumeration value="Proposal"/>
          <xsd:enumeration value="Publication"/>
          <xsd:enumeration value="Rates"/>
          <xsd:enumeration value="Release Notes"/>
          <xsd:enumeration value="Requirement"/>
          <xsd:enumeration value="Report"/>
          <xsd:enumeration value="Response"/>
          <xsd:enumeration value="Schedule"/>
          <xsd:enumeration value="Standard"/>
          <xsd:enumeration value="Study"/>
          <xsd:enumeration value="Tariff"/>
          <xsd:enumeration value="Technical Bulletin"/>
          <xsd:enumeration value="Technical Documentation"/>
          <xsd:enumeration value="Testimony"/>
        </xsd:restriction>
      </xsd:simpleType>
    </xsd:element>
    <xsd:element name="Orig_x0020_Post_x0020_Date" ma:index="11" nillable="true" ma:displayName="Orig Post Date" ma:description="Original posting date" ma:format="DateTime" ma:internalName="Orig_x0020_Post_x0020_Date" ma:readOnly="false">
      <xsd:simpleType>
        <xsd:restriction base="dms:DateTime"/>
      </xsd:simpleType>
    </xsd:element>
    <xsd:element name="Market_x0020_Notice" ma:index="12" nillable="true" ma:displayName="Market Notice" ma:default="0" ma:internalName="Market_x0020_Notice" ma:readOnly="false">
      <xsd:simpleType>
        <xsd:restriction base="dms:Boolean"/>
      </xsd:simpleType>
    </xsd:element>
    <xsd:element name="News_x0020_Release" ma:index="13" nillable="true" ma:displayName="News Release" ma:default="0" ma:indexed="true" ma:internalName="News_x0020_Release" ma:readOnly="false">
      <xsd:simpleType>
        <xsd:restriction base="dms:Boolean"/>
      </xsd:simpleType>
    </xsd:element>
    <xsd:element name="ContentReviewInterval" ma:index="20" nillable="true" ma:displayName="ContentReviewInterval" ma:default="24" ma:format="Dropdown" ma:internalName="ContentReviewInterval" ma:readOnly="false">
      <xsd:simpleType>
        <xsd:restriction base="dms:Choice">
          <xsd:enumeration value="0"/>
          <xsd:enumeration value="1"/>
          <xsd:enumeration value="3"/>
          <xsd:enumeration value="6"/>
          <xsd:enumeration value="12"/>
          <xsd:enumeration value="24"/>
        </xsd:restriction>
      </xsd:simpleType>
    </xsd:element>
    <xsd:element name="CrawlableUniqueID" ma:index="21" nillable="true" ma:displayName="CrawlableUniqueID" ma:indexed="true" ma:internalName="CrawlableUniqueID" ma:readOnly="false">
      <xsd:simpleType>
        <xsd:restriction base="dms:Unknown"/>
      </xsd:simpleType>
    </xsd:element>
    <xsd:element name="ParentISOGroups" ma:index="22" nillable="true" ma:displayName="ParentISOGroups" ma:internalName="ParentISOGroups" ma:readOnly="false">
      <xsd:simpleType>
        <xsd:restriction base="dms:Unknown"/>
      </xsd:simpleType>
    </xsd:element>
    <xsd:element name="IsDisabled" ma:index="23" nillable="true" ma:displayName="IsDisabled" ma:default="0" ma:internalName="IsDisable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OKeywordsTaxHTField0 xmlns="2613f182-e424-487f-ac7f-33bed2fc986a">
      <Terms xmlns="http://schemas.microsoft.com/office/infopath/2007/PartnerControls"/>
    </ISOKeywordsTaxHTField0>
    <TaxCatchAll xmlns="2613f182-e424-487f-ac7f-33bed2fc986a">
      <Value>8</Value>
      <Value>1</Value>
    </TaxCatchAll>
    <Important xmlns="2613f182-e424-487f-ac7f-33bed2fc986a">false</Important>
    <ISOGroupTaxHTField0 xmlns="2613f182-e424-487f-ac7f-33bed2fc986a">
      <Terms xmlns="http://schemas.microsoft.com/office/infopath/2007/PartnerControls"/>
    </ISOGroupTaxHTField0>
    <PostDate xmlns="2613f182-e424-487f-ac7f-33bed2fc986a">2016-07-07T22:50:00+00:00</PostDate>
    <ExpireDate xmlns="2613f182-e424-487f-ac7f-33bed2fc986a">2023-08-30T20:32:50+00:00</ExpireDate>
    <Content_x0020_Owner xmlns="2613f182-e424-487f-ac7f-33bed2fc986a">
      <UserInfo>
        <DisplayName>Millar, Neil</DisplayName>
        <AccountId>141</AccountId>
        <AccountType/>
      </UserInfo>
    </Content_x0020_Owner>
    <ISOContributor xmlns="2613f182-e424-487f-ac7f-33bed2fc986a">
      <UserInfo>
        <DisplayName>Le Vine, Debi</DisplayName>
        <AccountId>147</AccountId>
        <AccountType/>
      </UserInfo>
    </ISOContributor>
    <IsPublished xmlns="2613f182-e424-487f-ac7f-33bed2fc986a">true</IsPublished>
    <m9e70a6096144fc698577b786817f2be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Archived</TermName>
          <TermId xmlns="http://schemas.microsoft.com/office/infopath/2007/PartnerControls">d4ac4999-fa66-470b-a400-7ab6671d1fab</TermId>
        </TermInfo>
      </Terms>
    </m9e70a6096144fc698577b786817f2be>
    <ISOExtract xmlns="2613f182-e424-487f-ac7f-33bed2fc986a" xsi:nil="true"/>
    <ISOArchiveTaxHTField0 xmlns="2613f182-e424-487f-ac7f-33bed2fc986a" xsi:nil="true"/>
    <OriginalUri xmlns="2613f182-e424-487f-ac7f-33bed2fc986a">
      <Url xsi:nil="true"/>
      <Description xsi:nil="true"/>
    </OriginalUri>
    <ISODescription xmlns="2613f182-e424-487f-ac7f-33bed2fc986a" xsi:nil="true"/>
    <Content_x0020_Administrator xmlns="2613f182-e424-487f-ac7f-33bed2fc986a">
      <UserInfo>
        <DisplayName>Sarubbi, Diana</DisplayName>
        <AccountId>39</AccountId>
        <AccountType/>
      </UserInfo>
    </Content_x0020_Administrator>
    <ISOTopicTaxHTField0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Stay Informed</TermName>
          <TermId xmlns="http://schemas.microsoft.com/office/infopath/2007/PartnerControls">d8aff6cb-80bb-4c94-b62f-ad25f81f5c96</TermId>
        </TermInfo>
      </Terms>
    </ISOTopicTaxHTField0>
    <ISOArchived xmlns="2613f182-e424-487f-ac7f-33bed2fc986a">Not Archived</ISOArchived>
    <ISOGroupSequence xmlns="2613f182-e424-487f-ac7f-33bed2fc986a" xsi:nil="true"/>
    <ISOOwner xmlns="2613f182-e424-487f-ac7f-33bed2fc986a">Millar, Neil</ISOOwner>
    <ISOSummary xmlns="2613f182-e424-487f-ac7f-33bed2fc986a">SB350 study data</ISOSummary>
    <Market_x0020_Notice xmlns="5bcbeff6-7c02-4b0f-b125-f1b3d566cc14">false</Market_x0020_Notice>
    <Document_x0020_Type xmlns="5bcbeff6-7c02-4b0f-b125-f1b3d566cc14" xsi:nil="true"/>
    <News_x0020_Release xmlns="5bcbeff6-7c02-4b0f-b125-f1b3d566cc14">false</News_x0020_Release>
    <ParentISOGroups xmlns="5bcbeff6-7c02-4b0f-b125-f1b3d566cc14">The Brattle Group|1ed636cf-b394-407e-a646-b4ca0f01f65a</ParentISOGroups>
    <Orig_x0020_Post_x0020_Date xmlns="5bcbeff6-7c02-4b0f-b125-f1b3d566cc14">2021-08-30T20:30:47+00:00</Orig_x0020_Post_x0020_Date>
    <ContentReviewInterval xmlns="5bcbeff6-7c02-4b0f-b125-f1b3d566cc14">24</ContentReviewInterval>
    <IsDisabled xmlns="5bcbeff6-7c02-4b0f-b125-f1b3d566cc14">false</IsDisabled>
    <CrawlableUniqueID xmlns="5bcbeff6-7c02-4b0f-b125-f1b3d566cc14">14a77d3a-a839-41f8-955f-b7bdf3ac0c00</CrawlableUniqueID>
  </documentManagement>
</p:properties>
</file>

<file path=customXml/itemProps1.xml><?xml version="1.0" encoding="utf-8"?>
<ds:datastoreItem xmlns:ds="http://schemas.openxmlformats.org/officeDocument/2006/customXml" ds:itemID="{16A887D4-32F1-4783-A072-580BE10810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751C56-67AF-4E15-94CC-2469E4A2C285}"/>
</file>

<file path=customXml/itemProps3.xml><?xml version="1.0" encoding="utf-8"?>
<ds:datastoreItem xmlns:ds="http://schemas.openxmlformats.org/officeDocument/2006/customXml" ds:itemID="{81F6ED24-EACD-4966-8A55-6C741B177D7B}"/>
</file>

<file path=customXml/itemProps4.xml><?xml version="1.0" encoding="utf-8"?>
<ds:datastoreItem xmlns:ds="http://schemas.openxmlformats.org/officeDocument/2006/customXml" ds:itemID="{81461DBF-BB6D-43DD-8121-45CEB064CDF5}"/>
</file>

<file path=docProps/app.xml><?xml version="1.0" encoding="utf-8"?>
<Properties xmlns="http://schemas.openxmlformats.org/officeDocument/2006/extended-properties" xmlns:vt="http://schemas.openxmlformats.org/officeDocument/2006/docPropsVTypes">
  <Template>Memo - NA</Template>
  <TotalTime>0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Brattle Group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Brattle SB 350 Study 06-10-2016 data release (description of GMC calculations) PUBLIC</dc:title>
  <dc:creator/>
  <cp:lastModifiedBy>Sarubbi, Diana</cp:lastModifiedBy>
  <cp:revision>4</cp:revision>
  <cp:lastPrinted>2013-09-04T13:46:00Z</cp:lastPrinted>
  <dcterms:created xsi:type="dcterms:W3CDTF">2016-06-10T17:58:00Z</dcterms:created>
  <dcterms:modified xsi:type="dcterms:W3CDTF">2021-08-30T20:15:00Z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0x0101000BEF1A1EAF553945AAFC1DE188AA7EC100496CDC402DE9B8469629C69FFFFA4218</vt:lpwstr>
  </property>
  <property fmtid="{D5CDD505-2E9C-101B-9397-08002B2CF9AE}" pid="3" name="ISOArchive">
    <vt:lpwstr>1;#Not Archived|d4ac4999-fa66-470b-a400-7ab6671d1fab</vt:lpwstr>
  </property>
  <property fmtid="{D5CDD505-2E9C-101B-9397-08002B2CF9AE}" pid="4" name="ISOGroup">
    <vt:lpwstr/>
  </property>
  <property fmtid="{D5CDD505-2E9C-101B-9397-08002B2CF9AE}" pid="5" name="ISOTopic">
    <vt:lpwstr>8;#Stay Informed|d8aff6cb-80bb-4c94-b62f-ad25f81f5c96</vt:lpwstr>
  </property>
  <property fmtid="{D5CDD505-2E9C-101B-9397-08002B2CF9AE}" pid="6" name="ISOKeywords">
    <vt:lpwstr/>
  </property>
</Properties>
</file>