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47" w:rsidRPr="00FB5A42" w:rsidRDefault="00725447" w:rsidP="00B55F44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Off-Grid Charge Indicator Request</w:t>
      </w:r>
    </w:p>
    <w:p w:rsidR="00FB5A42" w:rsidRDefault="00FB5A42">
      <w:pPr>
        <w:jc w:val="center"/>
        <w:rPr>
          <w:rFonts w:ascii="Arial" w:hAnsi="Arial" w:cs="Arial"/>
          <w:b/>
          <w:sz w:val="24"/>
          <w:highlight w:val="yellow"/>
        </w:rPr>
      </w:pPr>
    </w:p>
    <w:p w:rsidR="005158DE" w:rsidRPr="00826E28" w:rsidRDefault="005158DE" w:rsidP="005158DE">
      <w:pPr>
        <w:jc w:val="center"/>
        <w:rPr>
          <w:rFonts w:ascii="Arial" w:hAnsi="Arial" w:cs="Arial"/>
          <w:b/>
          <w:sz w:val="21"/>
          <w:szCs w:val="21"/>
          <w:highlight w:val="yellow"/>
        </w:rPr>
      </w:pPr>
      <w:r w:rsidRPr="00826E28">
        <w:rPr>
          <w:rFonts w:ascii="Arial" w:hAnsi="Arial" w:cs="Arial"/>
          <w:sz w:val="21"/>
          <w:szCs w:val="21"/>
        </w:rPr>
        <w:t xml:space="preserve">As part of the Energy Storage Enhancements Track 2 </w:t>
      </w:r>
      <w:r w:rsidR="00013846" w:rsidRPr="00826E28">
        <w:rPr>
          <w:rFonts w:ascii="Arial" w:hAnsi="Arial" w:cs="Arial"/>
          <w:sz w:val="21"/>
          <w:szCs w:val="21"/>
        </w:rPr>
        <w:t>initiative</w:t>
      </w:r>
      <w:r w:rsidRPr="00826E28">
        <w:rPr>
          <w:rFonts w:ascii="Arial" w:hAnsi="Arial" w:cs="Arial"/>
          <w:sz w:val="21"/>
          <w:szCs w:val="21"/>
        </w:rPr>
        <w:t xml:space="preserve">, a new </w:t>
      </w:r>
      <w:r w:rsidR="00013846" w:rsidRPr="00826E28">
        <w:rPr>
          <w:rFonts w:ascii="Arial" w:hAnsi="Arial" w:cs="Arial"/>
          <w:sz w:val="21"/>
          <w:szCs w:val="21"/>
        </w:rPr>
        <w:t>O</w:t>
      </w:r>
      <w:r w:rsidRPr="00826E28">
        <w:rPr>
          <w:rFonts w:ascii="Arial" w:hAnsi="Arial" w:cs="Arial"/>
          <w:sz w:val="21"/>
          <w:szCs w:val="21"/>
        </w:rPr>
        <w:t xml:space="preserve">ff </w:t>
      </w:r>
      <w:r w:rsidR="00013846" w:rsidRPr="00826E28">
        <w:rPr>
          <w:rFonts w:ascii="Arial" w:hAnsi="Arial" w:cs="Arial"/>
          <w:sz w:val="21"/>
          <w:szCs w:val="21"/>
        </w:rPr>
        <w:t>G</w:t>
      </w:r>
      <w:r w:rsidRPr="00826E28">
        <w:rPr>
          <w:rFonts w:ascii="Arial" w:hAnsi="Arial" w:cs="Arial"/>
          <w:sz w:val="21"/>
          <w:szCs w:val="21"/>
        </w:rPr>
        <w:t xml:space="preserve">rid </w:t>
      </w:r>
      <w:r w:rsidR="00013846" w:rsidRPr="00826E28">
        <w:rPr>
          <w:rFonts w:ascii="Arial" w:hAnsi="Arial" w:cs="Arial"/>
          <w:sz w:val="21"/>
          <w:szCs w:val="21"/>
        </w:rPr>
        <w:t>C</w:t>
      </w:r>
      <w:r w:rsidRPr="00826E28">
        <w:rPr>
          <w:rFonts w:ascii="Arial" w:hAnsi="Arial" w:cs="Arial"/>
          <w:sz w:val="21"/>
          <w:szCs w:val="21"/>
        </w:rPr>
        <w:t xml:space="preserve">harge </w:t>
      </w:r>
      <w:r w:rsidR="00013846" w:rsidRPr="00826E28">
        <w:rPr>
          <w:rFonts w:ascii="Arial" w:hAnsi="Arial" w:cs="Arial"/>
          <w:sz w:val="21"/>
          <w:szCs w:val="21"/>
        </w:rPr>
        <w:t>I</w:t>
      </w:r>
      <w:r w:rsidRPr="00826E28">
        <w:rPr>
          <w:rFonts w:ascii="Arial" w:hAnsi="Arial" w:cs="Arial"/>
          <w:sz w:val="21"/>
          <w:szCs w:val="21"/>
        </w:rPr>
        <w:t xml:space="preserve">ndicator </w:t>
      </w:r>
      <w:proofErr w:type="gramStart"/>
      <w:r w:rsidRPr="00826E28">
        <w:rPr>
          <w:rFonts w:ascii="Arial" w:hAnsi="Arial" w:cs="Arial"/>
          <w:sz w:val="21"/>
          <w:szCs w:val="21"/>
        </w:rPr>
        <w:t>was added</w:t>
      </w:r>
      <w:proofErr w:type="gramEnd"/>
      <w:r w:rsidR="00013846" w:rsidRPr="00826E28">
        <w:rPr>
          <w:rFonts w:ascii="Arial" w:hAnsi="Arial" w:cs="Arial"/>
          <w:sz w:val="21"/>
          <w:szCs w:val="21"/>
        </w:rPr>
        <w:t xml:space="preserve"> in SIBR on the hourly tab to enforce a Charging Constraint</w:t>
      </w:r>
      <w:r w:rsidRPr="00826E28">
        <w:rPr>
          <w:rFonts w:ascii="Arial" w:hAnsi="Arial" w:cs="Arial"/>
          <w:sz w:val="21"/>
          <w:szCs w:val="21"/>
        </w:rPr>
        <w:t xml:space="preserve">. This indicator </w:t>
      </w:r>
      <w:r w:rsidR="00013846" w:rsidRPr="00826E28">
        <w:rPr>
          <w:rFonts w:ascii="Arial" w:hAnsi="Arial" w:cs="Arial"/>
          <w:sz w:val="21"/>
          <w:szCs w:val="21"/>
        </w:rPr>
        <w:t>allows users to</w:t>
      </w:r>
      <w:r w:rsidRPr="00826E28">
        <w:rPr>
          <w:rFonts w:ascii="Arial" w:hAnsi="Arial" w:cs="Arial"/>
          <w:sz w:val="21"/>
          <w:szCs w:val="21"/>
        </w:rPr>
        <w:t xml:space="preserve"> elect Y/N </w:t>
      </w:r>
      <w:r w:rsidR="00013846" w:rsidRPr="00826E28">
        <w:rPr>
          <w:rFonts w:ascii="Arial" w:hAnsi="Arial" w:cs="Arial"/>
          <w:sz w:val="21"/>
          <w:szCs w:val="21"/>
        </w:rPr>
        <w:t>to enforce the Charging Constraint</w:t>
      </w:r>
      <w:r w:rsidRPr="00826E28">
        <w:rPr>
          <w:rFonts w:ascii="Arial" w:hAnsi="Arial" w:cs="Arial"/>
          <w:sz w:val="21"/>
          <w:szCs w:val="21"/>
        </w:rPr>
        <w:t>.</w:t>
      </w:r>
      <w:r w:rsidR="00013846" w:rsidRPr="00826E28">
        <w:rPr>
          <w:rFonts w:ascii="Arial" w:hAnsi="Arial" w:cs="Arial"/>
          <w:sz w:val="21"/>
          <w:szCs w:val="21"/>
        </w:rPr>
        <w:t xml:space="preserve"> </w:t>
      </w:r>
    </w:p>
    <w:p w:rsidR="00E35A63" w:rsidRPr="00826E28" w:rsidRDefault="00E35A63">
      <w:pPr>
        <w:jc w:val="center"/>
        <w:rPr>
          <w:rFonts w:ascii="Arial" w:hAnsi="Arial" w:cs="Arial"/>
          <w:b/>
          <w:sz w:val="21"/>
          <w:szCs w:val="21"/>
        </w:rPr>
      </w:pPr>
    </w:p>
    <w:p w:rsidR="00414C03" w:rsidRPr="00826E28" w:rsidRDefault="00E35A63" w:rsidP="00414C03">
      <w:pPr>
        <w:numPr>
          <w:ilvl w:val="0"/>
          <w:numId w:val="1"/>
        </w:numPr>
        <w:ind w:left="90" w:hanging="270"/>
        <w:rPr>
          <w:rFonts w:ascii="Arial" w:hAnsi="Arial" w:cs="Arial"/>
          <w:sz w:val="21"/>
          <w:szCs w:val="21"/>
        </w:rPr>
      </w:pPr>
      <w:r w:rsidRPr="00826E28">
        <w:rPr>
          <w:rFonts w:ascii="Arial" w:hAnsi="Arial" w:cs="Arial"/>
          <w:sz w:val="21"/>
          <w:szCs w:val="21"/>
        </w:rPr>
        <w:t xml:space="preserve">To initiate </w:t>
      </w:r>
      <w:r w:rsidR="00B11DC3" w:rsidRPr="00826E28">
        <w:rPr>
          <w:rFonts w:ascii="Arial" w:hAnsi="Arial" w:cs="Arial"/>
          <w:sz w:val="21"/>
          <w:szCs w:val="21"/>
        </w:rPr>
        <w:t xml:space="preserve">a </w:t>
      </w:r>
      <w:r w:rsidR="00725447" w:rsidRPr="00826E28">
        <w:rPr>
          <w:rFonts w:ascii="Arial" w:hAnsi="Arial" w:cs="Arial"/>
          <w:sz w:val="21"/>
          <w:szCs w:val="21"/>
        </w:rPr>
        <w:t>co-located resource</w:t>
      </w:r>
      <w:r w:rsidR="0083497E" w:rsidRPr="00826E28">
        <w:rPr>
          <w:rFonts w:ascii="Arial" w:hAnsi="Arial" w:cs="Arial"/>
          <w:sz w:val="21"/>
          <w:szCs w:val="21"/>
        </w:rPr>
        <w:t>’</w:t>
      </w:r>
      <w:r w:rsidR="00725447" w:rsidRPr="00826E28">
        <w:rPr>
          <w:rFonts w:ascii="Arial" w:hAnsi="Arial" w:cs="Arial"/>
          <w:sz w:val="21"/>
          <w:szCs w:val="21"/>
        </w:rPr>
        <w:t>s ability to utilize the Off Grid Charge Indicator within SIBR</w:t>
      </w:r>
      <w:r w:rsidRPr="00826E28">
        <w:rPr>
          <w:rFonts w:ascii="Arial" w:hAnsi="Arial" w:cs="Arial"/>
          <w:sz w:val="21"/>
          <w:szCs w:val="21"/>
        </w:rPr>
        <w:t xml:space="preserve">, </w:t>
      </w:r>
      <w:r w:rsidR="005158DE" w:rsidRPr="00826E28">
        <w:rPr>
          <w:rFonts w:ascii="Arial" w:hAnsi="Arial" w:cs="Arial"/>
          <w:sz w:val="21"/>
          <w:szCs w:val="21"/>
        </w:rPr>
        <w:t>the interconnection customer must fill</w:t>
      </w:r>
      <w:r w:rsidRPr="00826E28">
        <w:rPr>
          <w:rFonts w:ascii="Arial" w:hAnsi="Arial" w:cs="Arial"/>
          <w:sz w:val="21"/>
          <w:szCs w:val="21"/>
        </w:rPr>
        <w:t xml:space="preserve"> in </w:t>
      </w:r>
      <w:r w:rsidR="00B10D90" w:rsidRPr="00826E28">
        <w:rPr>
          <w:rFonts w:ascii="Arial" w:hAnsi="Arial" w:cs="Arial"/>
          <w:sz w:val="21"/>
          <w:szCs w:val="21"/>
        </w:rPr>
        <w:t xml:space="preserve">the information requested below, </w:t>
      </w:r>
      <w:r w:rsidRPr="00826E28">
        <w:rPr>
          <w:rFonts w:ascii="Arial" w:hAnsi="Arial" w:cs="Arial"/>
          <w:sz w:val="21"/>
          <w:szCs w:val="21"/>
        </w:rPr>
        <w:t xml:space="preserve">and return this form to </w:t>
      </w:r>
      <w:hyperlink r:id="rId12" w:history="1">
        <w:r w:rsidR="008777EE" w:rsidRPr="00826E28">
          <w:rPr>
            <w:rStyle w:val="Hyperlink"/>
            <w:rFonts w:ascii="Arial" w:hAnsi="Arial" w:cs="Arial"/>
            <w:sz w:val="21"/>
            <w:szCs w:val="21"/>
          </w:rPr>
          <w:t>RegulatoryContracts@caiso.com</w:t>
        </w:r>
      </w:hyperlink>
      <w:r w:rsidR="00FD3677" w:rsidRPr="00826E28">
        <w:rPr>
          <w:rFonts w:ascii="Arial" w:hAnsi="Arial" w:cs="Arial"/>
          <w:sz w:val="21"/>
          <w:szCs w:val="21"/>
        </w:rPr>
        <w:t xml:space="preserve">. </w:t>
      </w:r>
      <w:r w:rsidR="008777EE" w:rsidRPr="00826E28">
        <w:rPr>
          <w:rFonts w:ascii="Arial" w:hAnsi="Arial" w:cs="Arial"/>
          <w:sz w:val="21"/>
          <w:szCs w:val="21"/>
        </w:rPr>
        <w:t xml:space="preserve"> </w:t>
      </w:r>
    </w:p>
    <w:p w:rsidR="00725447" w:rsidRPr="00826E28" w:rsidRDefault="008356D5" w:rsidP="00725447">
      <w:pPr>
        <w:numPr>
          <w:ilvl w:val="0"/>
          <w:numId w:val="1"/>
        </w:numPr>
        <w:ind w:left="90" w:hanging="270"/>
        <w:rPr>
          <w:rFonts w:ascii="Arial" w:hAnsi="Arial" w:cs="Arial"/>
          <w:sz w:val="21"/>
          <w:szCs w:val="21"/>
        </w:rPr>
      </w:pPr>
      <w:r w:rsidRPr="00826E28">
        <w:rPr>
          <w:rFonts w:ascii="Arial" w:hAnsi="Arial" w:cs="Arial"/>
          <w:sz w:val="21"/>
          <w:szCs w:val="21"/>
        </w:rPr>
        <w:t>Interconnection customers may include</w:t>
      </w:r>
      <w:r w:rsidR="005158DE" w:rsidRPr="00826E28">
        <w:rPr>
          <w:rFonts w:ascii="Arial" w:hAnsi="Arial" w:cs="Arial"/>
          <w:sz w:val="21"/>
          <w:szCs w:val="21"/>
        </w:rPr>
        <w:t xml:space="preserve"> the re</w:t>
      </w:r>
      <w:r w:rsidRPr="00826E28">
        <w:rPr>
          <w:rFonts w:ascii="Arial" w:hAnsi="Arial" w:cs="Arial"/>
          <w:sz w:val="21"/>
          <w:szCs w:val="21"/>
        </w:rPr>
        <w:t>source</w:t>
      </w:r>
      <w:r w:rsidR="0083497E" w:rsidRPr="00826E28">
        <w:rPr>
          <w:rFonts w:ascii="Arial" w:hAnsi="Arial" w:cs="Arial"/>
          <w:sz w:val="21"/>
          <w:szCs w:val="21"/>
        </w:rPr>
        <w:t>’</w:t>
      </w:r>
      <w:r w:rsidRPr="00826E28">
        <w:rPr>
          <w:rFonts w:ascii="Arial" w:hAnsi="Arial" w:cs="Arial"/>
          <w:sz w:val="21"/>
          <w:szCs w:val="21"/>
        </w:rPr>
        <w:t>s Scheduling Coordinator contact information</w:t>
      </w:r>
      <w:r w:rsidR="005158DE" w:rsidRPr="00826E28">
        <w:rPr>
          <w:rFonts w:ascii="Arial" w:hAnsi="Arial" w:cs="Arial"/>
          <w:sz w:val="21"/>
          <w:szCs w:val="21"/>
        </w:rPr>
        <w:t xml:space="preserve"> (optional) to receive</w:t>
      </w:r>
      <w:r w:rsidR="008B37DA" w:rsidRPr="00826E28">
        <w:rPr>
          <w:rFonts w:ascii="Arial" w:hAnsi="Arial" w:cs="Arial"/>
          <w:sz w:val="21"/>
          <w:szCs w:val="21"/>
        </w:rPr>
        <w:t xml:space="preserve"> updates on the</w:t>
      </w:r>
      <w:r w:rsidR="005158DE" w:rsidRPr="00826E28">
        <w:rPr>
          <w:rFonts w:ascii="Arial" w:hAnsi="Arial" w:cs="Arial"/>
          <w:sz w:val="21"/>
          <w:szCs w:val="21"/>
        </w:rPr>
        <w:t xml:space="preserve"> processing</w:t>
      </w:r>
      <w:r w:rsidR="008B37DA" w:rsidRPr="00826E28">
        <w:rPr>
          <w:rFonts w:ascii="Arial" w:hAnsi="Arial" w:cs="Arial"/>
          <w:sz w:val="21"/>
          <w:szCs w:val="21"/>
        </w:rPr>
        <w:t xml:space="preserve"> of this request</w:t>
      </w:r>
      <w:r w:rsidR="005158DE" w:rsidRPr="00826E28">
        <w:rPr>
          <w:rFonts w:ascii="Arial" w:hAnsi="Arial" w:cs="Arial"/>
          <w:sz w:val="21"/>
          <w:szCs w:val="21"/>
        </w:rPr>
        <w:t>.</w:t>
      </w:r>
    </w:p>
    <w:p w:rsidR="00E35A63" w:rsidRPr="00826E28" w:rsidRDefault="00E35A63">
      <w:pPr>
        <w:rPr>
          <w:b/>
          <w:sz w:val="21"/>
          <w:szCs w:val="21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  <w:gridCol w:w="6030"/>
      </w:tblGrid>
      <w:tr w:rsidR="00676C1D" w:rsidRPr="00826E28" w:rsidTr="00FB5A42">
        <w:tc>
          <w:tcPr>
            <w:tcW w:w="3690" w:type="dxa"/>
          </w:tcPr>
          <w:p w:rsidR="00676C1D" w:rsidRPr="00826E28" w:rsidRDefault="00676C1D" w:rsidP="00414C03">
            <w:pPr>
              <w:rPr>
                <w:rFonts w:ascii="Arial" w:hAnsi="Arial" w:cs="Arial"/>
                <w:sz w:val="21"/>
                <w:szCs w:val="21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t xml:space="preserve">Full legal name of entity (agreement holder) </w:t>
            </w:r>
          </w:p>
        </w:tc>
        <w:bookmarkStart w:id="1" w:name="FullLegalNameCo"/>
        <w:tc>
          <w:tcPr>
            <w:tcW w:w="6030" w:type="dxa"/>
          </w:tcPr>
          <w:p w:rsidR="00676C1D" w:rsidRPr="00826E28" w:rsidRDefault="00676C1D" w:rsidP="00676C1D">
            <w:pPr>
              <w:rPr>
                <w:rFonts w:ascii="Arial" w:hAnsi="Arial" w:cs="Arial"/>
                <w:sz w:val="21"/>
                <w:szCs w:val="21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FullLegalNameCo"/>
                  <w:enabled/>
                  <w:calcOnExit w:val="0"/>
                  <w:textInput/>
                </w:ffData>
              </w:fldChar>
            </w:r>
            <w:r w:rsidRPr="00826E2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826E28">
              <w:rPr>
                <w:rFonts w:ascii="Arial" w:hAnsi="Arial" w:cs="Arial"/>
                <w:sz w:val="21"/>
                <w:szCs w:val="21"/>
              </w:rPr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26E28">
              <w:rPr>
                <w:rFonts w:ascii="Arial" w:hAnsi="Arial" w:cs="Arial"/>
                <w:sz w:val="21"/>
                <w:szCs w:val="21"/>
              </w:rPr>
              <w:t> </w:t>
            </w:r>
            <w:r w:rsidRPr="00826E28">
              <w:rPr>
                <w:rFonts w:ascii="Arial" w:hAnsi="Arial" w:cs="Arial"/>
                <w:sz w:val="21"/>
                <w:szCs w:val="21"/>
              </w:rPr>
              <w:t> </w:t>
            </w:r>
            <w:r w:rsidRPr="00826E28">
              <w:rPr>
                <w:rFonts w:ascii="Arial" w:hAnsi="Arial" w:cs="Arial"/>
                <w:sz w:val="21"/>
                <w:szCs w:val="21"/>
              </w:rPr>
              <w:t> </w:t>
            </w:r>
            <w:r w:rsidRPr="00826E28">
              <w:rPr>
                <w:rFonts w:ascii="Arial" w:hAnsi="Arial" w:cs="Arial"/>
                <w:sz w:val="21"/>
                <w:szCs w:val="21"/>
              </w:rPr>
              <w:t> </w:t>
            </w:r>
            <w:r w:rsidRPr="00826E28">
              <w:rPr>
                <w:rFonts w:ascii="Arial" w:hAnsi="Arial" w:cs="Arial"/>
                <w:sz w:val="21"/>
                <w:szCs w:val="21"/>
              </w:rPr>
              <w:t> </w:t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</w:tr>
      <w:tr w:rsidR="006704F9" w:rsidRPr="00826E28" w:rsidTr="00FB5A42">
        <w:tc>
          <w:tcPr>
            <w:tcW w:w="3690" w:type="dxa"/>
          </w:tcPr>
          <w:p w:rsidR="006704F9" w:rsidRPr="00826E28" w:rsidRDefault="00725447">
            <w:pPr>
              <w:rPr>
                <w:rFonts w:ascii="Arial" w:hAnsi="Arial" w:cs="Arial"/>
                <w:sz w:val="21"/>
                <w:szCs w:val="21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t>Resource ID</w:t>
            </w:r>
          </w:p>
        </w:tc>
        <w:tc>
          <w:tcPr>
            <w:tcW w:w="6030" w:type="dxa"/>
          </w:tcPr>
          <w:p w:rsidR="006704F9" w:rsidRPr="00826E28" w:rsidRDefault="00C92F10">
            <w:pPr>
              <w:rPr>
                <w:rFonts w:ascii="Arial" w:hAnsi="Arial" w:cs="Arial"/>
                <w:sz w:val="21"/>
                <w:szCs w:val="21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LegalAddress"/>
                  <w:enabled/>
                  <w:calcOnExit w:val="0"/>
                  <w:textInput/>
                </w:ffData>
              </w:fldChar>
            </w:r>
            <w:r w:rsidRPr="00826E2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826E28">
              <w:rPr>
                <w:rFonts w:ascii="Arial" w:hAnsi="Arial" w:cs="Arial"/>
                <w:sz w:val="21"/>
                <w:szCs w:val="21"/>
              </w:rPr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414C03" w:rsidRPr="00826E28" w:rsidTr="00B11DC3">
        <w:trPr>
          <w:trHeight w:val="926"/>
        </w:trPr>
        <w:tc>
          <w:tcPr>
            <w:tcW w:w="3690" w:type="dxa"/>
            <w:shd w:val="clear" w:color="auto" w:fill="auto"/>
          </w:tcPr>
          <w:p w:rsidR="00414C03" w:rsidRPr="00826E28" w:rsidRDefault="005158DE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t>Are there ACC-ID constraints in place for the resources? This is a requirement for this indicator.</w:t>
            </w:r>
          </w:p>
          <w:p w:rsidR="00FB5A42" w:rsidRPr="00826E28" w:rsidRDefault="00FB5A42" w:rsidP="005158DE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6030" w:type="dxa"/>
          </w:tcPr>
          <w:p w:rsidR="00414C03" w:rsidRPr="00826E28" w:rsidRDefault="00B55F44">
            <w:pPr>
              <w:rPr>
                <w:rFonts w:ascii="Arial" w:hAnsi="Arial" w:cs="Arial"/>
                <w:sz w:val="21"/>
                <w:szCs w:val="21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t xml:space="preserve">Y/N: </w:t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NameofPrimaryRep"/>
                  <w:enabled/>
                  <w:calcOnExit w:val="0"/>
                  <w:textInput/>
                </w:ffData>
              </w:fldChar>
            </w:r>
            <w:r w:rsidRPr="00826E2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826E28">
              <w:rPr>
                <w:rFonts w:ascii="Arial" w:hAnsi="Arial" w:cs="Arial"/>
                <w:sz w:val="21"/>
                <w:szCs w:val="21"/>
              </w:rPr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55F44" w:rsidRPr="00826E28" w:rsidTr="00B11DC3">
        <w:trPr>
          <w:trHeight w:val="926"/>
        </w:trPr>
        <w:tc>
          <w:tcPr>
            <w:tcW w:w="3690" w:type="dxa"/>
            <w:shd w:val="clear" w:color="auto" w:fill="auto"/>
          </w:tcPr>
          <w:p w:rsidR="00B55F44" w:rsidRPr="00826E28" w:rsidRDefault="008356D5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t>Does the site have more than one battery? If yes, a</w:t>
            </w:r>
            <w:r w:rsidR="00B55F44" w:rsidRPr="00826E28">
              <w:rPr>
                <w:rFonts w:ascii="Arial" w:hAnsi="Arial" w:cs="Arial"/>
                <w:sz w:val="21"/>
                <w:szCs w:val="21"/>
              </w:rPr>
              <w:t xml:space="preserve"> Master Battery </w:t>
            </w:r>
            <w:proofErr w:type="gramStart"/>
            <w:r w:rsidR="00B55F44" w:rsidRPr="00826E28">
              <w:rPr>
                <w:rFonts w:ascii="Arial" w:hAnsi="Arial" w:cs="Arial"/>
                <w:sz w:val="21"/>
                <w:szCs w:val="21"/>
              </w:rPr>
              <w:t>must be selected</w:t>
            </w:r>
            <w:proofErr w:type="gramEnd"/>
            <w:r w:rsidRPr="00826E28">
              <w:rPr>
                <w:rFonts w:ascii="Arial" w:hAnsi="Arial" w:cs="Arial"/>
                <w:sz w:val="21"/>
                <w:szCs w:val="21"/>
              </w:rPr>
              <w:t xml:space="preserve"> which Regulatory Contracts will assist with via email</w:t>
            </w:r>
            <w:r w:rsidR="00B55F44" w:rsidRPr="00826E2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6030" w:type="dxa"/>
          </w:tcPr>
          <w:p w:rsidR="00B55F44" w:rsidRPr="00826E28" w:rsidRDefault="008356D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t xml:space="preserve">Y/N: </w:t>
            </w:r>
            <w:r w:rsidR="00B55F44" w:rsidRPr="00826E2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NameofPrimaryRep"/>
                  <w:enabled/>
                  <w:calcOnExit w:val="0"/>
                  <w:textInput/>
                </w:ffData>
              </w:fldChar>
            </w:r>
            <w:r w:rsidR="00B55F44" w:rsidRPr="00826E2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B55F44" w:rsidRPr="00826E28">
              <w:rPr>
                <w:rFonts w:ascii="Arial" w:hAnsi="Arial" w:cs="Arial"/>
                <w:sz w:val="21"/>
                <w:szCs w:val="21"/>
              </w:rPr>
            </w:r>
            <w:r w:rsidR="00B55F44" w:rsidRPr="00826E2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B55F44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B55F44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B55F44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B55F44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B55F44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B55F44" w:rsidRPr="00826E2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E35A63" w:rsidRPr="00826E28" w:rsidTr="00FB5A42">
        <w:tc>
          <w:tcPr>
            <w:tcW w:w="3690" w:type="dxa"/>
          </w:tcPr>
          <w:p w:rsidR="00E35A63" w:rsidRPr="00826E28" w:rsidRDefault="00E35A63">
            <w:pPr>
              <w:rPr>
                <w:rFonts w:ascii="Arial" w:hAnsi="Arial" w:cs="Arial"/>
                <w:sz w:val="21"/>
                <w:szCs w:val="21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t xml:space="preserve">Name of primary representative </w:t>
            </w:r>
          </w:p>
        </w:tc>
        <w:bookmarkStart w:id="2" w:name="NameofPrimaryRep"/>
        <w:tc>
          <w:tcPr>
            <w:tcW w:w="6030" w:type="dxa"/>
          </w:tcPr>
          <w:p w:rsidR="00E35A63" w:rsidRPr="00826E28" w:rsidRDefault="00E35A63">
            <w:pPr>
              <w:rPr>
                <w:rFonts w:ascii="Arial" w:hAnsi="Arial" w:cs="Arial"/>
                <w:sz w:val="21"/>
                <w:szCs w:val="21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NameofPrimaryRep"/>
                  <w:enabled/>
                  <w:calcOnExit w:val="0"/>
                  <w:textInput/>
                </w:ffData>
              </w:fldChar>
            </w:r>
            <w:r w:rsidRPr="00826E2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826E28">
              <w:rPr>
                <w:rFonts w:ascii="Arial" w:hAnsi="Arial" w:cs="Arial"/>
                <w:sz w:val="21"/>
                <w:szCs w:val="21"/>
              </w:rPr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</w:tr>
      <w:tr w:rsidR="00E35A63" w:rsidRPr="00826E28" w:rsidTr="00FB5A42">
        <w:tc>
          <w:tcPr>
            <w:tcW w:w="3690" w:type="dxa"/>
          </w:tcPr>
          <w:p w:rsidR="00E35A63" w:rsidRPr="00826E28" w:rsidRDefault="00E35A63">
            <w:pPr>
              <w:rPr>
                <w:rFonts w:ascii="Arial" w:hAnsi="Arial" w:cs="Arial"/>
                <w:sz w:val="21"/>
                <w:szCs w:val="21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t xml:space="preserve">   Title</w:t>
            </w:r>
          </w:p>
        </w:tc>
        <w:bookmarkStart w:id="3" w:name="PrimTitle"/>
        <w:tc>
          <w:tcPr>
            <w:tcW w:w="6030" w:type="dxa"/>
          </w:tcPr>
          <w:p w:rsidR="00E35A63" w:rsidRPr="00826E28" w:rsidRDefault="007140F9">
            <w:pPr>
              <w:rPr>
                <w:rFonts w:ascii="Arial" w:hAnsi="Arial" w:cs="Arial"/>
                <w:sz w:val="21"/>
                <w:szCs w:val="21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rimTitle"/>
                  <w:enabled/>
                  <w:calcOnExit w:val="0"/>
                  <w:textInput/>
                </w:ffData>
              </w:fldChar>
            </w:r>
            <w:r w:rsidRPr="00826E2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826E28">
              <w:rPr>
                <w:rFonts w:ascii="Arial" w:hAnsi="Arial" w:cs="Arial"/>
                <w:sz w:val="21"/>
                <w:szCs w:val="21"/>
              </w:rPr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</w:p>
        </w:tc>
      </w:tr>
      <w:tr w:rsidR="00E35A63" w:rsidRPr="00826E28" w:rsidTr="00FB5A42">
        <w:tc>
          <w:tcPr>
            <w:tcW w:w="3690" w:type="dxa"/>
          </w:tcPr>
          <w:p w:rsidR="00E35A63" w:rsidRPr="00826E28" w:rsidRDefault="00E35A63">
            <w:pPr>
              <w:rPr>
                <w:rFonts w:ascii="Arial" w:hAnsi="Arial" w:cs="Arial"/>
                <w:sz w:val="21"/>
                <w:szCs w:val="21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t xml:space="preserve">   Company</w:t>
            </w:r>
          </w:p>
        </w:tc>
        <w:bookmarkStart w:id="4" w:name="PrimCompany"/>
        <w:tc>
          <w:tcPr>
            <w:tcW w:w="6030" w:type="dxa"/>
          </w:tcPr>
          <w:p w:rsidR="00E35A63" w:rsidRPr="00826E28" w:rsidRDefault="007140F9">
            <w:pPr>
              <w:rPr>
                <w:rFonts w:ascii="Arial" w:hAnsi="Arial" w:cs="Arial"/>
                <w:sz w:val="21"/>
                <w:szCs w:val="21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rimCompany"/>
                  <w:enabled/>
                  <w:calcOnExit w:val="0"/>
                  <w:textInput/>
                </w:ffData>
              </w:fldChar>
            </w:r>
            <w:r w:rsidRPr="00826E2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826E28">
              <w:rPr>
                <w:rFonts w:ascii="Arial" w:hAnsi="Arial" w:cs="Arial"/>
                <w:sz w:val="21"/>
                <w:szCs w:val="21"/>
              </w:rPr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"/>
          </w:p>
        </w:tc>
      </w:tr>
      <w:tr w:rsidR="00E35A63" w:rsidRPr="00826E28" w:rsidTr="00FB5A42">
        <w:tc>
          <w:tcPr>
            <w:tcW w:w="3690" w:type="dxa"/>
          </w:tcPr>
          <w:p w:rsidR="00E35A63" w:rsidRPr="00826E28" w:rsidRDefault="00E35A63">
            <w:pPr>
              <w:rPr>
                <w:rFonts w:ascii="Arial" w:hAnsi="Arial" w:cs="Arial"/>
                <w:sz w:val="21"/>
                <w:szCs w:val="21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t xml:space="preserve">   Email address</w:t>
            </w:r>
          </w:p>
        </w:tc>
        <w:bookmarkStart w:id="5" w:name="PrimEmail"/>
        <w:tc>
          <w:tcPr>
            <w:tcW w:w="6030" w:type="dxa"/>
          </w:tcPr>
          <w:p w:rsidR="00E35A63" w:rsidRPr="00826E28" w:rsidRDefault="007140F9">
            <w:pPr>
              <w:rPr>
                <w:rFonts w:ascii="Arial" w:hAnsi="Arial" w:cs="Arial"/>
                <w:sz w:val="21"/>
                <w:szCs w:val="21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rimEmail"/>
                  <w:enabled/>
                  <w:calcOnExit w:val="0"/>
                  <w:textInput/>
                </w:ffData>
              </w:fldChar>
            </w:r>
            <w:r w:rsidRPr="00826E2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826E28">
              <w:rPr>
                <w:rFonts w:ascii="Arial" w:hAnsi="Arial" w:cs="Arial"/>
                <w:sz w:val="21"/>
                <w:szCs w:val="21"/>
              </w:rPr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"/>
          </w:p>
        </w:tc>
      </w:tr>
      <w:tr w:rsidR="00E35A63" w:rsidRPr="00826E28" w:rsidTr="00FB5A42">
        <w:tc>
          <w:tcPr>
            <w:tcW w:w="3690" w:type="dxa"/>
          </w:tcPr>
          <w:p w:rsidR="00E35A63" w:rsidRPr="00826E28" w:rsidRDefault="00E35A63">
            <w:pPr>
              <w:rPr>
                <w:rFonts w:ascii="Arial" w:hAnsi="Arial" w:cs="Arial"/>
                <w:sz w:val="21"/>
                <w:szCs w:val="21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t xml:space="preserve">   Phone </w:t>
            </w:r>
          </w:p>
        </w:tc>
        <w:bookmarkStart w:id="6" w:name="PrimPhone"/>
        <w:tc>
          <w:tcPr>
            <w:tcW w:w="6030" w:type="dxa"/>
          </w:tcPr>
          <w:p w:rsidR="00E35A63" w:rsidRPr="00826E28" w:rsidRDefault="007140F9">
            <w:pPr>
              <w:rPr>
                <w:rFonts w:ascii="Arial" w:hAnsi="Arial" w:cs="Arial"/>
                <w:sz w:val="21"/>
                <w:szCs w:val="21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PrimPhone"/>
                  <w:enabled/>
                  <w:calcOnExit w:val="0"/>
                  <w:textInput/>
                </w:ffData>
              </w:fldChar>
            </w:r>
            <w:r w:rsidRPr="00826E2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826E28">
              <w:rPr>
                <w:rFonts w:ascii="Arial" w:hAnsi="Arial" w:cs="Arial"/>
                <w:sz w:val="21"/>
                <w:szCs w:val="21"/>
              </w:rPr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"/>
          </w:p>
        </w:tc>
      </w:tr>
      <w:tr w:rsidR="00E35A63" w:rsidRPr="00826E28" w:rsidTr="00FB5A42">
        <w:tc>
          <w:tcPr>
            <w:tcW w:w="3690" w:type="dxa"/>
          </w:tcPr>
          <w:p w:rsidR="00E35A63" w:rsidRPr="00826E28" w:rsidRDefault="00E35A63" w:rsidP="000514BF">
            <w:pPr>
              <w:rPr>
                <w:rFonts w:ascii="Arial" w:hAnsi="Arial" w:cs="Arial"/>
                <w:sz w:val="21"/>
                <w:szCs w:val="21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t xml:space="preserve">Name of </w:t>
            </w:r>
            <w:r w:rsidR="005158DE" w:rsidRPr="00826E28">
              <w:rPr>
                <w:rFonts w:ascii="Arial" w:hAnsi="Arial" w:cs="Arial"/>
                <w:sz w:val="21"/>
                <w:szCs w:val="21"/>
              </w:rPr>
              <w:t xml:space="preserve">Scheduling Coordinator to </w:t>
            </w:r>
            <w:r w:rsidR="000514BF" w:rsidRPr="00826E28">
              <w:rPr>
                <w:rFonts w:ascii="Arial" w:hAnsi="Arial" w:cs="Arial"/>
                <w:sz w:val="21"/>
                <w:szCs w:val="21"/>
              </w:rPr>
              <w:t>be included in</w:t>
            </w:r>
            <w:r w:rsidR="005158DE" w:rsidRPr="00826E28">
              <w:rPr>
                <w:rFonts w:ascii="Arial" w:hAnsi="Arial" w:cs="Arial"/>
                <w:sz w:val="21"/>
                <w:szCs w:val="21"/>
              </w:rPr>
              <w:t xml:space="preserve"> updates</w:t>
            </w:r>
            <w:r w:rsidR="00725447" w:rsidRPr="00826E2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bookmarkStart w:id="7" w:name="NameofAlternateRe"/>
        <w:tc>
          <w:tcPr>
            <w:tcW w:w="6030" w:type="dxa"/>
          </w:tcPr>
          <w:p w:rsidR="00E35A63" w:rsidRPr="00826E28" w:rsidRDefault="007140F9">
            <w:pPr>
              <w:rPr>
                <w:rFonts w:ascii="Arial" w:hAnsi="Arial" w:cs="Arial"/>
                <w:sz w:val="21"/>
                <w:szCs w:val="21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NameofAlternateRe"/>
                  <w:enabled/>
                  <w:calcOnExit w:val="0"/>
                  <w:textInput/>
                </w:ffData>
              </w:fldChar>
            </w:r>
            <w:r w:rsidRPr="00826E2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826E28">
              <w:rPr>
                <w:rFonts w:ascii="Arial" w:hAnsi="Arial" w:cs="Arial"/>
                <w:sz w:val="21"/>
                <w:szCs w:val="21"/>
              </w:rPr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7"/>
          </w:p>
        </w:tc>
      </w:tr>
      <w:tr w:rsidR="00E35A63" w:rsidRPr="00826E28" w:rsidTr="00FB5A42">
        <w:tc>
          <w:tcPr>
            <w:tcW w:w="3690" w:type="dxa"/>
          </w:tcPr>
          <w:p w:rsidR="00E35A63" w:rsidRPr="00826E28" w:rsidRDefault="00B55F44" w:rsidP="00B55F44">
            <w:pPr>
              <w:rPr>
                <w:rFonts w:ascii="Arial" w:hAnsi="Arial" w:cs="Arial"/>
                <w:sz w:val="21"/>
                <w:szCs w:val="21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t xml:space="preserve">   SC </w:t>
            </w:r>
            <w:r w:rsidR="005158DE" w:rsidRPr="00826E28">
              <w:rPr>
                <w:rFonts w:ascii="Arial" w:hAnsi="Arial" w:cs="Arial"/>
                <w:sz w:val="21"/>
                <w:szCs w:val="21"/>
              </w:rPr>
              <w:t>representative</w:t>
            </w:r>
          </w:p>
        </w:tc>
        <w:bookmarkStart w:id="8" w:name="AltTitle"/>
        <w:tc>
          <w:tcPr>
            <w:tcW w:w="6030" w:type="dxa"/>
          </w:tcPr>
          <w:p w:rsidR="00E35A63" w:rsidRPr="00826E28" w:rsidRDefault="007140F9">
            <w:pPr>
              <w:rPr>
                <w:rFonts w:ascii="Arial" w:hAnsi="Arial" w:cs="Arial"/>
                <w:sz w:val="21"/>
                <w:szCs w:val="21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AltTitle"/>
                  <w:enabled/>
                  <w:calcOnExit w:val="0"/>
                  <w:textInput/>
                </w:ffData>
              </w:fldChar>
            </w:r>
            <w:r w:rsidRPr="00826E2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826E28">
              <w:rPr>
                <w:rFonts w:ascii="Arial" w:hAnsi="Arial" w:cs="Arial"/>
                <w:sz w:val="21"/>
                <w:szCs w:val="21"/>
              </w:rPr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8"/>
          </w:p>
        </w:tc>
      </w:tr>
      <w:tr w:rsidR="00E35A63" w:rsidRPr="00826E28" w:rsidTr="00FB5A42">
        <w:tc>
          <w:tcPr>
            <w:tcW w:w="3690" w:type="dxa"/>
          </w:tcPr>
          <w:p w:rsidR="00E35A63" w:rsidRPr="00826E28" w:rsidRDefault="00E35A63">
            <w:pPr>
              <w:rPr>
                <w:rFonts w:ascii="Arial" w:hAnsi="Arial" w:cs="Arial"/>
                <w:sz w:val="21"/>
                <w:szCs w:val="21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t xml:space="preserve">   Email address</w:t>
            </w:r>
          </w:p>
        </w:tc>
        <w:bookmarkStart w:id="9" w:name="AltEmail"/>
        <w:tc>
          <w:tcPr>
            <w:tcW w:w="6030" w:type="dxa"/>
          </w:tcPr>
          <w:p w:rsidR="00E35A63" w:rsidRPr="00826E28" w:rsidRDefault="007140F9">
            <w:pPr>
              <w:rPr>
                <w:rFonts w:ascii="Arial" w:hAnsi="Arial" w:cs="Arial"/>
                <w:sz w:val="21"/>
                <w:szCs w:val="21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AltEmail"/>
                  <w:enabled/>
                  <w:calcOnExit w:val="0"/>
                  <w:textInput/>
                </w:ffData>
              </w:fldChar>
            </w:r>
            <w:r w:rsidRPr="00826E2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826E28">
              <w:rPr>
                <w:rFonts w:ascii="Arial" w:hAnsi="Arial" w:cs="Arial"/>
                <w:sz w:val="21"/>
                <w:szCs w:val="21"/>
              </w:rPr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9"/>
          </w:p>
        </w:tc>
      </w:tr>
      <w:tr w:rsidR="00E35A63" w:rsidRPr="00826E28" w:rsidTr="00FB5A42">
        <w:tc>
          <w:tcPr>
            <w:tcW w:w="3690" w:type="dxa"/>
          </w:tcPr>
          <w:p w:rsidR="00E35A63" w:rsidRPr="00826E28" w:rsidRDefault="00E35A63">
            <w:pPr>
              <w:rPr>
                <w:rFonts w:ascii="Arial" w:hAnsi="Arial" w:cs="Arial"/>
                <w:sz w:val="21"/>
                <w:szCs w:val="21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t xml:space="preserve">   Phone </w:t>
            </w:r>
          </w:p>
        </w:tc>
        <w:bookmarkStart w:id="10" w:name="AltPhone"/>
        <w:tc>
          <w:tcPr>
            <w:tcW w:w="6030" w:type="dxa"/>
          </w:tcPr>
          <w:p w:rsidR="00E35A63" w:rsidRPr="00826E28" w:rsidRDefault="007140F9">
            <w:pPr>
              <w:rPr>
                <w:rFonts w:ascii="Arial" w:hAnsi="Arial" w:cs="Arial"/>
                <w:sz w:val="21"/>
                <w:szCs w:val="21"/>
              </w:rPr>
            </w:pPr>
            <w:r w:rsidRPr="00826E2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AltPhone"/>
                  <w:enabled/>
                  <w:calcOnExit w:val="0"/>
                  <w:textInput/>
                </w:ffData>
              </w:fldChar>
            </w:r>
            <w:r w:rsidRPr="00826E2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826E28">
              <w:rPr>
                <w:rFonts w:ascii="Arial" w:hAnsi="Arial" w:cs="Arial"/>
                <w:sz w:val="21"/>
                <w:szCs w:val="21"/>
              </w:rPr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E9598E" w:rsidRPr="00826E2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826E2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"/>
          </w:p>
        </w:tc>
      </w:tr>
    </w:tbl>
    <w:p w:rsidR="00013846" w:rsidRPr="00826E28" w:rsidRDefault="00013846" w:rsidP="002D1384">
      <w:pPr>
        <w:rPr>
          <w:rFonts w:ascii="Arial" w:hAnsi="Arial" w:cs="Arial"/>
          <w:sz w:val="21"/>
          <w:szCs w:val="21"/>
        </w:rPr>
      </w:pPr>
    </w:p>
    <w:p w:rsidR="002D1384" w:rsidRPr="00826E28" w:rsidRDefault="002D1384" w:rsidP="002D1384">
      <w:pPr>
        <w:rPr>
          <w:rFonts w:ascii="Arial" w:hAnsi="Arial" w:cs="Arial"/>
          <w:sz w:val="21"/>
          <w:szCs w:val="21"/>
        </w:rPr>
      </w:pPr>
      <w:r w:rsidRPr="00826E28">
        <w:rPr>
          <w:rFonts w:ascii="Arial" w:hAnsi="Arial" w:cs="Arial"/>
          <w:sz w:val="21"/>
          <w:szCs w:val="21"/>
        </w:rPr>
        <w:t>The standard processing timeline for updating the indicator is approximately 10 business days. Regulatory Contracts will alert the</w:t>
      </w:r>
      <w:r w:rsidR="000514BF" w:rsidRPr="00826E28">
        <w:rPr>
          <w:rFonts w:ascii="Arial" w:hAnsi="Arial" w:cs="Arial"/>
          <w:sz w:val="21"/>
          <w:szCs w:val="21"/>
        </w:rPr>
        <w:t xml:space="preserve"> designated contacts (Primary Representative and SC</w:t>
      </w:r>
      <w:r w:rsidR="0083497E" w:rsidRPr="00826E28">
        <w:rPr>
          <w:rFonts w:ascii="Arial" w:hAnsi="Arial" w:cs="Arial"/>
          <w:sz w:val="21"/>
          <w:szCs w:val="21"/>
        </w:rPr>
        <w:t>,</w:t>
      </w:r>
      <w:r w:rsidR="000514BF" w:rsidRPr="00826E28">
        <w:rPr>
          <w:rFonts w:ascii="Arial" w:hAnsi="Arial" w:cs="Arial"/>
          <w:sz w:val="21"/>
          <w:szCs w:val="21"/>
        </w:rPr>
        <w:t xml:space="preserve"> if applicable) </w:t>
      </w:r>
      <w:r w:rsidRPr="00826E28">
        <w:rPr>
          <w:rFonts w:ascii="Arial" w:hAnsi="Arial" w:cs="Arial"/>
          <w:sz w:val="21"/>
          <w:szCs w:val="21"/>
        </w:rPr>
        <w:t xml:space="preserve">once the process is complete </w:t>
      </w:r>
      <w:r w:rsidR="0083497E" w:rsidRPr="00826E28">
        <w:rPr>
          <w:rFonts w:ascii="Arial" w:hAnsi="Arial" w:cs="Arial"/>
          <w:sz w:val="21"/>
          <w:szCs w:val="21"/>
        </w:rPr>
        <w:t xml:space="preserve">and provide </w:t>
      </w:r>
      <w:r w:rsidRPr="00826E28">
        <w:rPr>
          <w:rFonts w:ascii="Arial" w:hAnsi="Arial" w:cs="Arial"/>
          <w:sz w:val="21"/>
          <w:szCs w:val="21"/>
        </w:rPr>
        <w:t>a copy of an update</w:t>
      </w:r>
      <w:r w:rsidR="004355A4" w:rsidRPr="00826E28">
        <w:rPr>
          <w:rFonts w:ascii="Arial" w:hAnsi="Arial" w:cs="Arial"/>
          <w:sz w:val="21"/>
          <w:szCs w:val="21"/>
        </w:rPr>
        <w:t>d</w:t>
      </w:r>
      <w:r w:rsidRPr="00826E28">
        <w:rPr>
          <w:rFonts w:ascii="Arial" w:hAnsi="Arial" w:cs="Arial"/>
          <w:sz w:val="21"/>
          <w:szCs w:val="21"/>
        </w:rPr>
        <w:t xml:space="preserve"> PGA agreement.</w:t>
      </w:r>
      <w:r w:rsidRPr="00826E28">
        <w:rPr>
          <w:rFonts w:ascii="Arial" w:hAnsi="Arial" w:cs="Arial"/>
          <w:sz w:val="21"/>
          <w:szCs w:val="21"/>
        </w:rPr>
        <w:br/>
      </w:r>
    </w:p>
    <w:p w:rsidR="002D1384" w:rsidRPr="00826E28" w:rsidRDefault="002D1384" w:rsidP="002D1384">
      <w:pPr>
        <w:rPr>
          <w:rFonts w:ascii="Arial" w:hAnsi="Arial" w:cs="Arial"/>
          <w:sz w:val="21"/>
          <w:szCs w:val="21"/>
        </w:rPr>
      </w:pPr>
      <w:r w:rsidRPr="00826E28">
        <w:rPr>
          <w:rFonts w:ascii="Arial" w:hAnsi="Arial" w:cs="Arial"/>
          <w:sz w:val="21"/>
          <w:szCs w:val="21"/>
        </w:rPr>
        <w:t xml:space="preserve">Once </w:t>
      </w:r>
      <w:r w:rsidR="00B11DC3" w:rsidRPr="00826E28">
        <w:rPr>
          <w:rFonts w:ascii="Arial" w:hAnsi="Arial" w:cs="Arial"/>
          <w:sz w:val="21"/>
          <w:szCs w:val="21"/>
        </w:rPr>
        <w:t xml:space="preserve">the </w:t>
      </w:r>
      <w:r w:rsidR="000514BF" w:rsidRPr="00826E28">
        <w:rPr>
          <w:rFonts w:ascii="Arial" w:hAnsi="Arial" w:cs="Arial"/>
          <w:sz w:val="21"/>
          <w:szCs w:val="21"/>
        </w:rPr>
        <w:t>process is complete</w:t>
      </w:r>
      <w:r w:rsidR="00013846" w:rsidRPr="00826E28">
        <w:rPr>
          <w:rFonts w:ascii="Arial" w:hAnsi="Arial" w:cs="Arial"/>
          <w:sz w:val="21"/>
          <w:szCs w:val="21"/>
        </w:rPr>
        <w:t>,</w:t>
      </w:r>
      <w:r w:rsidRPr="00826E28">
        <w:rPr>
          <w:rFonts w:ascii="Arial" w:hAnsi="Arial" w:cs="Arial"/>
          <w:sz w:val="21"/>
          <w:szCs w:val="21"/>
        </w:rPr>
        <w:t xml:space="preserve"> the Off Grid Charging Indicator on the Hourly tab in SIBR</w:t>
      </w:r>
      <w:r w:rsidR="00013846" w:rsidRPr="00826E28">
        <w:rPr>
          <w:rFonts w:ascii="Arial" w:hAnsi="Arial" w:cs="Arial"/>
          <w:sz w:val="21"/>
          <w:szCs w:val="21"/>
        </w:rPr>
        <w:t xml:space="preserve"> </w:t>
      </w:r>
      <w:proofErr w:type="gramStart"/>
      <w:r w:rsidR="00013846" w:rsidRPr="00826E28">
        <w:rPr>
          <w:rFonts w:ascii="Arial" w:hAnsi="Arial" w:cs="Arial"/>
          <w:sz w:val="21"/>
          <w:szCs w:val="21"/>
        </w:rPr>
        <w:t>will be enabled</w:t>
      </w:r>
      <w:proofErr w:type="gramEnd"/>
      <w:r w:rsidR="00013846" w:rsidRPr="00826E28">
        <w:rPr>
          <w:rFonts w:ascii="Arial" w:hAnsi="Arial" w:cs="Arial"/>
          <w:sz w:val="21"/>
          <w:szCs w:val="21"/>
        </w:rPr>
        <w:t xml:space="preserve"> </w:t>
      </w:r>
    </w:p>
    <w:p w:rsidR="00013846" w:rsidRPr="00826E28" w:rsidRDefault="00013846" w:rsidP="002D1384">
      <w:pPr>
        <w:rPr>
          <w:rFonts w:ascii="Arial" w:hAnsi="Arial" w:cs="Arial"/>
          <w:sz w:val="21"/>
          <w:szCs w:val="21"/>
        </w:rPr>
      </w:pPr>
    </w:p>
    <w:p w:rsidR="002D1384" w:rsidRPr="00826E28" w:rsidRDefault="002D1384" w:rsidP="002D1384">
      <w:pPr>
        <w:rPr>
          <w:rFonts w:ascii="Arial" w:hAnsi="Arial" w:cs="Arial"/>
          <w:sz w:val="21"/>
          <w:szCs w:val="21"/>
        </w:rPr>
      </w:pPr>
      <w:r w:rsidRPr="00826E28">
        <w:rPr>
          <w:rFonts w:ascii="Arial" w:hAnsi="Arial" w:cs="Arial"/>
          <w:sz w:val="21"/>
          <w:szCs w:val="21"/>
        </w:rPr>
        <w:t xml:space="preserve">NOTE: </w:t>
      </w:r>
    </w:p>
    <w:p w:rsidR="00013846" w:rsidRPr="00826E28" w:rsidRDefault="00013846" w:rsidP="00013846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sz w:val="21"/>
          <w:szCs w:val="21"/>
        </w:rPr>
      </w:pPr>
      <w:r w:rsidRPr="00826E28">
        <w:rPr>
          <w:rFonts w:ascii="Arial" w:hAnsi="Arial" w:cs="Arial"/>
          <w:sz w:val="21"/>
          <w:szCs w:val="21"/>
        </w:rPr>
        <w:t xml:space="preserve">Currently, the Off Grid Charging Indicator does not </w:t>
      </w:r>
      <w:proofErr w:type="gramStart"/>
      <w:r w:rsidRPr="00826E28">
        <w:rPr>
          <w:rFonts w:ascii="Arial" w:hAnsi="Arial" w:cs="Arial"/>
          <w:sz w:val="21"/>
          <w:szCs w:val="21"/>
        </w:rPr>
        <w:t>impact</w:t>
      </w:r>
      <w:proofErr w:type="gramEnd"/>
      <w:r w:rsidRPr="00826E28">
        <w:rPr>
          <w:rFonts w:ascii="Arial" w:hAnsi="Arial" w:cs="Arial"/>
          <w:sz w:val="21"/>
          <w:szCs w:val="21"/>
        </w:rPr>
        <w:t xml:space="preserve"> existing Policy or requirements on the feasibility of bids or must-offer obligations for RA capacity. All applicable requirements and obligations within the Reliability Requirements BPM, Section 37, and Section 40 of the ISO Tariff, must continue to </w:t>
      </w:r>
      <w:proofErr w:type="gramStart"/>
      <w:r w:rsidRPr="00826E28">
        <w:rPr>
          <w:rFonts w:ascii="Arial" w:hAnsi="Arial" w:cs="Arial"/>
          <w:sz w:val="21"/>
          <w:szCs w:val="21"/>
        </w:rPr>
        <w:t>be met</w:t>
      </w:r>
      <w:proofErr w:type="gramEnd"/>
      <w:r w:rsidRPr="00826E28">
        <w:rPr>
          <w:rFonts w:ascii="Arial" w:hAnsi="Arial" w:cs="Arial"/>
          <w:sz w:val="21"/>
          <w:szCs w:val="21"/>
        </w:rPr>
        <w:t xml:space="preserve">. </w:t>
      </w:r>
    </w:p>
    <w:p w:rsidR="00013846" w:rsidRPr="00826E28" w:rsidRDefault="00013846" w:rsidP="00013846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sz w:val="21"/>
          <w:szCs w:val="21"/>
        </w:rPr>
      </w:pPr>
      <w:r w:rsidRPr="00826E28">
        <w:rPr>
          <w:rFonts w:ascii="Arial" w:hAnsi="Arial" w:cs="Arial"/>
          <w:sz w:val="21"/>
          <w:szCs w:val="21"/>
        </w:rPr>
        <w:t xml:space="preserve">Currently, the Off Grid Charge Indicator does not </w:t>
      </w:r>
      <w:proofErr w:type="gramStart"/>
      <w:r w:rsidRPr="00826E28">
        <w:rPr>
          <w:rFonts w:ascii="Arial" w:hAnsi="Arial" w:cs="Arial"/>
          <w:sz w:val="21"/>
          <w:szCs w:val="21"/>
        </w:rPr>
        <w:t>impact</w:t>
      </w:r>
      <w:proofErr w:type="gramEnd"/>
      <w:r w:rsidRPr="00826E28">
        <w:rPr>
          <w:rFonts w:ascii="Arial" w:hAnsi="Arial" w:cs="Arial"/>
          <w:sz w:val="21"/>
          <w:szCs w:val="21"/>
        </w:rPr>
        <w:t xml:space="preserve"> existing outage reporting obligations. All applicable requirements and obligations within the Outage Management BPM and tariff sections 9 must continue to </w:t>
      </w:r>
      <w:proofErr w:type="gramStart"/>
      <w:r w:rsidRPr="00826E28">
        <w:rPr>
          <w:rFonts w:ascii="Arial" w:hAnsi="Arial" w:cs="Arial"/>
          <w:sz w:val="21"/>
          <w:szCs w:val="21"/>
        </w:rPr>
        <w:t>be met</w:t>
      </w:r>
      <w:proofErr w:type="gramEnd"/>
      <w:r w:rsidRPr="00826E28">
        <w:rPr>
          <w:rFonts w:ascii="Arial" w:hAnsi="Arial" w:cs="Arial"/>
          <w:sz w:val="21"/>
          <w:szCs w:val="21"/>
        </w:rPr>
        <w:t xml:space="preserve">. </w:t>
      </w:r>
    </w:p>
    <w:p w:rsidR="00013846" w:rsidRPr="00826E28" w:rsidRDefault="00013846" w:rsidP="00013846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sz w:val="21"/>
          <w:szCs w:val="21"/>
        </w:rPr>
      </w:pPr>
      <w:r w:rsidRPr="00826E28">
        <w:rPr>
          <w:rFonts w:ascii="Arial" w:hAnsi="Arial" w:cs="Arial"/>
          <w:sz w:val="21"/>
          <w:szCs w:val="21"/>
        </w:rPr>
        <w:t xml:space="preserve">The Off Grid Charge Indicator functionality does not accommodate resources that are providing regulation. When OGCI </w:t>
      </w:r>
      <w:proofErr w:type="gramStart"/>
      <w:r w:rsidRPr="00826E28">
        <w:rPr>
          <w:rFonts w:ascii="Arial" w:hAnsi="Arial" w:cs="Arial"/>
          <w:sz w:val="21"/>
          <w:szCs w:val="21"/>
        </w:rPr>
        <w:t>is elected</w:t>
      </w:r>
      <w:proofErr w:type="gramEnd"/>
      <w:r w:rsidRPr="00826E28">
        <w:rPr>
          <w:rFonts w:ascii="Arial" w:hAnsi="Arial" w:cs="Arial"/>
          <w:sz w:val="21"/>
          <w:szCs w:val="21"/>
        </w:rPr>
        <w:t xml:space="preserve"> Y for the hour, no Regulation (up or down) will be awarded. Should a Day-Ahead award for Regulation exist, OGCI elected as Y will be ignored and the Day Ahead Regulation will be protected. </w:t>
      </w:r>
    </w:p>
    <w:p w:rsidR="0070514A" w:rsidRPr="00826E28" w:rsidRDefault="00013846" w:rsidP="00013846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sz w:val="21"/>
          <w:szCs w:val="21"/>
        </w:rPr>
      </w:pPr>
      <w:r w:rsidRPr="00826E28">
        <w:rPr>
          <w:rFonts w:ascii="Arial" w:hAnsi="Arial" w:cs="Arial"/>
          <w:sz w:val="21"/>
          <w:szCs w:val="21"/>
        </w:rPr>
        <w:t xml:space="preserve">The State of Charge (SOC) is still a binding parameter in the optimization, even for those with the OGCI enabled. This means, the market will still </w:t>
      </w:r>
      <w:proofErr w:type="gramStart"/>
      <w:r w:rsidRPr="00826E28">
        <w:rPr>
          <w:rFonts w:ascii="Arial" w:hAnsi="Arial" w:cs="Arial"/>
          <w:sz w:val="21"/>
          <w:szCs w:val="21"/>
        </w:rPr>
        <w:t>take the SOC into account</w:t>
      </w:r>
      <w:proofErr w:type="gramEnd"/>
      <w:r w:rsidRPr="00826E28">
        <w:rPr>
          <w:rFonts w:ascii="Arial" w:hAnsi="Arial" w:cs="Arial"/>
          <w:sz w:val="21"/>
          <w:szCs w:val="21"/>
        </w:rPr>
        <w:t xml:space="preserve"> to ensure feasible awards.</w:t>
      </w:r>
    </w:p>
    <w:sectPr w:rsidR="0070514A" w:rsidRPr="00826E28" w:rsidSect="004355A4">
      <w:headerReference w:type="default" r:id="rId13"/>
      <w:footerReference w:type="default" r:id="rId14"/>
      <w:footerReference w:type="first" r:id="rId15"/>
      <w:pgSz w:w="12240" w:h="15840"/>
      <w:pgMar w:top="634" w:right="1800" w:bottom="547" w:left="1800" w:header="720" w:footer="51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DE9" w:rsidRDefault="00075DE9">
      <w:r>
        <w:separator/>
      </w:r>
    </w:p>
  </w:endnote>
  <w:endnote w:type="continuationSeparator" w:id="0">
    <w:p w:rsidR="00075DE9" w:rsidRDefault="0007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4BF" w:rsidRDefault="000514BF" w:rsidP="003D6C4F">
    <w:pPr>
      <w:pStyle w:val="Footer"/>
    </w:pPr>
    <w:r>
      <w:t>Created by Regulatory Contracts -071318</w:t>
    </w:r>
    <w:r>
      <w:tab/>
    </w:r>
    <w:r>
      <w:tab/>
      <w:t>RegulatoryContracts@caiso.com</w:t>
    </w:r>
  </w:p>
  <w:p w:rsidR="000514BF" w:rsidRPr="00157B8D" w:rsidRDefault="000514BF" w:rsidP="00157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B0" w:rsidRDefault="00BB7FB0">
    <w:pPr>
      <w:pStyle w:val="Footer"/>
    </w:pPr>
    <w:r>
      <w:tab/>
    </w:r>
    <w:r>
      <w:tab/>
      <w:t>20240228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DE9" w:rsidRDefault="00075DE9">
      <w:r>
        <w:separator/>
      </w:r>
    </w:p>
  </w:footnote>
  <w:footnote w:type="continuationSeparator" w:id="0">
    <w:p w:rsidR="00075DE9" w:rsidRDefault="0007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4BF" w:rsidRDefault="000514BF" w:rsidP="006E7246">
    <w:pPr>
      <w:pBdr>
        <w:bottom w:val="single" w:sz="12" w:space="1" w:color="auto"/>
      </w:pBdr>
      <w:tabs>
        <w:tab w:val="right" w:pos="9360"/>
      </w:tabs>
      <w:rPr>
        <w:rFonts w:ascii="Univers" w:hAnsi="Univers"/>
        <w:sz w:val="24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F7E99D9" wp14:editId="76E0F265">
          <wp:simplePos x="0" y="0"/>
          <wp:positionH relativeFrom="column">
            <wp:posOffset>19050</wp:posOffset>
          </wp:positionH>
          <wp:positionV relativeFrom="paragraph">
            <wp:posOffset>9525</wp:posOffset>
          </wp:positionV>
          <wp:extent cx="1552575" cy="295275"/>
          <wp:effectExtent l="0" t="0" r="0" b="0"/>
          <wp:wrapNone/>
          <wp:docPr id="2" name="Picture 2" descr="D:\Users\cadler\AppData\Local\Microsoft\Windows\Temporary Internet Files\Content.Outlook\UBVYNWFS\CAISO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cadler\AppData\Local\Microsoft\Windows\Temporary Internet Files\Content.Outlook\UBVYNWFS\CAISO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246">
      <w:rPr>
        <w:rFonts w:ascii="Univers" w:hAnsi="Univers"/>
        <w:sz w:val="24"/>
      </w:rPr>
      <w:t xml:space="preserve">                                    </w:t>
    </w:r>
    <w:r>
      <w:rPr>
        <w:rFonts w:ascii="Univers" w:hAnsi="Univers"/>
        <w:sz w:val="24"/>
      </w:rPr>
      <w:t xml:space="preserve">                           </w:t>
    </w:r>
  </w:p>
  <w:p w:rsidR="000514BF" w:rsidRPr="006E7246" w:rsidRDefault="000514BF" w:rsidP="006E7246">
    <w:pPr>
      <w:pBdr>
        <w:bottom w:val="single" w:sz="12" w:space="1" w:color="auto"/>
      </w:pBdr>
      <w:tabs>
        <w:tab w:val="right" w:pos="9360"/>
      </w:tabs>
      <w:rPr>
        <w:rFonts w:ascii="Univers" w:hAnsi="Univers"/>
        <w:sz w:val="24"/>
      </w:rPr>
    </w:pPr>
    <w:r>
      <w:rPr>
        <w:rFonts w:ascii="Univers" w:hAnsi="Univers"/>
        <w:sz w:val="24"/>
      </w:rPr>
      <w:t xml:space="preserve">                                                                 </w:t>
    </w:r>
    <w:r w:rsidRPr="006E7246">
      <w:rPr>
        <w:rFonts w:ascii="Univers" w:hAnsi="Univers"/>
        <w:sz w:val="24"/>
      </w:rPr>
      <w:t xml:space="preserve"> </w:t>
    </w:r>
    <w:r w:rsidRPr="006E7246">
      <w:rPr>
        <w:rFonts w:ascii="Arial" w:hAnsi="Arial" w:cs="Arial"/>
        <w:smallCaps/>
      </w:rPr>
      <w:t>Reliability Coordinator Services Agreement</w:t>
    </w:r>
  </w:p>
  <w:p w:rsidR="000514BF" w:rsidRDefault="00051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FA2"/>
    <w:multiLevelType w:val="hybridMultilevel"/>
    <w:tmpl w:val="7D6AB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90927"/>
    <w:multiLevelType w:val="multilevel"/>
    <w:tmpl w:val="3C946D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4"/>
      <w:numFmt w:val="decimal"/>
      <w:isLgl/>
      <w:lvlText w:val="%1.%2"/>
      <w:lvlJc w:val="left"/>
      <w:pPr>
        <w:ind w:left="910" w:hanging="37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b/>
        <w:color w:val="000000"/>
      </w:rPr>
    </w:lvl>
  </w:abstractNum>
  <w:abstractNum w:abstractNumId="2" w15:restartNumberingAfterBreak="0">
    <w:nsid w:val="27D6703C"/>
    <w:multiLevelType w:val="hybridMultilevel"/>
    <w:tmpl w:val="2A30DB92"/>
    <w:lvl w:ilvl="0" w:tplc="DF8ED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07809"/>
    <w:multiLevelType w:val="hybridMultilevel"/>
    <w:tmpl w:val="8C40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44778"/>
    <w:multiLevelType w:val="hybridMultilevel"/>
    <w:tmpl w:val="1B480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26E77"/>
    <w:multiLevelType w:val="hybridMultilevel"/>
    <w:tmpl w:val="52DC2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63"/>
    <w:rsid w:val="00002FF9"/>
    <w:rsid w:val="00007C1E"/>
    <w:rsid w:val="00013846"/>
    <w:rsid w:val="0003227B"/>
    <w:rsid w:val="000514BF"/>
    <w:rsid w:val="000556EE"/>
    <w:rsid w:val="00075DE9"/>
    <w:rsid w:val="000E2342"/>
    <w:rsid w:val="00115A47"/>
    <w:rsid w:val="00116EE3"/>
    <w:rsid w:val="00125F61"/>
    <w:rsid w:val="00157B8D"/>
    <w:rsid w:val="00163637"/>
    <w:rsid w:val="001809F0"/>
    <w:rsid w:val="001D2860"/>
    <w:rsid w:val="001E134C"/>
    <w:rsid w:val="001F081D"/>
    <w:rsid w:val="0021347C"/>
    <w:rsid w:val="00233F83"/>
    <w:rsid w:val="002350A5"/>
    <w:rsid w:val="00281F12"/>
    <w:rsid w:val="00297671"/>
    <w:rsid w:val="002B618F"/>
    <w:rsid w:val="002C7713"/>
    <w:rsid w:val="002D1384"/>
    <w:rsid w:val="00315AEF"/>
    <w:rsid w:val="003D6C4F"/>
    <w:rsid w:val="004129A9"/>
    <w:rsid w:val="00413325"/>
    <w:rsid w:val="00414C03"/>
    <w:rsid w:val="004355A4"/>
    <w:rsid w:val="00461F01"/>
    <w:rsid w:val="00492DC0"/>
    <w:rsid w:val="004C504B"/>
    <w:rsid w:val="0051563E"/>
    <w:rsid w:val="005158DE"/>
    <w:rsid w:val="00520B0A"/>
    <w:rsid w:val="00581025"/>
    <w:rsid w:val="005C219A"/>
    <w:rsid w:val="00623A8C"/>
    <w:rsid w:val="00661E27"/>
    <w:rsid w:val="006704F9"/>
    <w:rsid w:val="00673E81"/>
    <w:rsid w:val="00676C1D"/>
    <w:rsid w:val="00684176"/>
    <w:rsid w:val="00684F7F"/>
    <w:rsid w:val="006A4FE8"/>
    <w:rsid w:val="006A6FA2"/>
    <w:rsid w:val="006D11FA"/>
    <w:rsid w:val="006E3DF7"/>
    <w:rsid w:val="006E7246"/>
    <w:rsid w:val="006F0860"/>
    <w:rsid w:val="0070514A"/>
    <w:rsid w:val="007140F9"/>
    <w:rsid w:val="00725447"/>
    <w:rsid w:val="00797A88"/>
    <w:rsid w:val="007A2949"/>
    <w:rsid w:val="007B01B6"/>
    <w:rsid w:val="007B42A0"/>
    <w:rsid w:val="007F086D"/>
    <w:rsid w:val="00800722"/>
    <w:rsid w:val="00814AA8"/>
    <w:rsid w:val="00826E28"/>
    <w:rsid w:val="00830FFE"/>
    <w:rsid w:val="0083497E"/>
    <w:rsid w:val="008356D5"/>
    <w:rsid w:val="008607A1"/>
    <w:rsid w:val="008777EE"/>
    <w:rsid w:val="00897D49"/>
    <w:rsid w:val="008B37DA"/>
    <w:rsid w:val="008F1443"/>
    <w:rsid w:val="008F36FA"/>
    <w:rsid w:val="00973168"/>
    <w:rsid w:val="0098087C"/>
    <w:rsid w:val="00A81D1E"/>
    <w:rsid w:val="00AB6734"/>
    <w:rsid w:val="00B10D90"/>
    <w:rsid w:val="00B11DC3"/>
    <w:rsid w:val="00B22409"/>
    <w:rsid w:val="00B258DF"/>
    <w:rsid w:val="00B55F44"/>
    <w:rsid w:val="00B6138A"/>
    <w:rsid w:val="00B905CC"/>
    <w:rsid w:val="00B9460D"/>
    <w:rsid w:val="00BB3D68"/>
    <w:rsid w:val="00BB7FB0"/>
    <w:rsid w:val="00C3688D"/>
    <w:rsid w:val="00C92F10"/>
    <w:rsid w:val="00CD2032"/>
    <w:rsid w:val="00CE1517"/>
    <w:rsid w:val="00D6003B"/>
    <w:rsid w:val="00D653C6"/>
    <w:rsid w:val="00D72A27"/>
    <w:rsid w:val="00E176D4"/>
    <w:rsid w:val="00E35A63"/>
    <w:rsid w:val="00E464A5"/>
    <w:rsid w:val="00E56BBA"/>
    <w:rsid w:val="00E812D8"/>
    <w:rsid w:val="00E9598E"/>
    <w:rsid w:val="00EA3D1C"/>
    <w:rsid w:val="00EB498E"/>
    <w:rsid w:val="00EC7F72"/>
    <w:rsid w:val="00F158E6"/>
    <w:rsid w:val="00F164C1"/>
    <w:rsid w:val="00F4539A"/>
    <w:rsid w:val="00F72105"/>
    <w:rsid w:val="00F853AE"/>
    <w:rsid w:val="00FB5A42"/>
    <w:rsid w:val="00F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3EBFA1"/>
  <w15:chartTrackingRefBased/>
  <w15:docId w15:val="{4ED37EE3-DC23-4107-817D-1C11CB37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rsid w:val="00623A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8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2860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115A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6E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25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8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4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97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9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gulatoryContracts@cais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13f182-e424-487f-ac7f-33bed2fc986a">
      <Value>1210</Value>
      <Value>12</Value>
      <Value>7108</Value>
      <Value>1</Value>
    </TaxCatchAll>
    <ISOKeywordsTaxHTField0 xmlns="2613f182-e424-487f-ac7f-33bed2fc986a">
      <Terms xmlns="http://schemas.microsoft.com/office/infopath/2007/PartnerControls"/>
    </ISOKeywordsTaxHTField0>
    <Important xmlns="2613f182-e424-487f-ac7f-33bed2fc986a">false</Important>
    <ISOGroup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Agreements and information request sheets</TermName>
          <TermId xmlns="http://schemas.microsoft.com/office/infopath/2007/PartnerControls">2a4fcd01-28ba-457e-940e-601b1a823408</TermId>
        </TermInfo>
        <TermInfo xmlns="http://schemas.microsoft.com/office/infopath/2007/PartnerControls">
          <TermName xmlns="http://schemas.microsoft.com/office/infopath/2007/PartnerControls">Participating generator certification agreements and information request sheets</TermName>
          <TermId xmlns="http://schemas.microsoft.com/office/infopath/2007/PartnerControls">cfc9dca6-0ed5-44b0-99d2-e4955a50776b</TermId>
        </TermInfo>
      </Terms>
    </ISOGroupTaxHTField0>
    <PostDate xmlns="2613f182-e424-487f-ac7f-33bed2fc986a">2024-02-28T21:25:32+00:00</PostDate>
    <ExpireDate xmlns="2613f182-e424-487f-ac7f-33bed2fc986a">2007-03-31T00:00:00+00:00</ExpireDate>
    <Content_x0020_Owner xmlns="2613f182-e424-487f-ac7f-33bed2fc986a">
      <UserInfo>
        <DisplayName>Sibley, Chris</DisplayName>
        <AccountId>183</AccountId>
        <AccountType/>
      </UserInfo>
    </Content_x0020_Owner>
    <ISOContributor xmlns="2613f182-e424-487f-ac7f-33bed2fc986a">
      <UserInfo>
        <DisplayName>Topping, PJ</DisplayName>
        <AccountId>620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>Not Archived|d4ac4999-fa66-470b-a400-7ab6671d1fab</ISOArchiveTaxHTField0>
    <OriginalUri xmlns="2613f182-e424-487f-ac7f-33bed2fc986a">
      <Url>http://fwebp03.oa.caiso.com:21083/docs/2001/03/05/2001030515180729300.doc</Url>
      <Description>/docs/2001/03/05/2001030515180729300.doc</Description>
    </OriginalUri>
    <ISODescription xmlns="2613f182-e424-487f-ac7f-33bed2fc986a" xsi:nil="true"/>
    <Content_x0020_Administrator xmlns="2613f182-e424-487f-ac7f-33bed2fc986a">
      <UserInfo>
        <DisplayName>Payton, Julia</DisplayName>
        <AccountId>48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Rules</TermName>
          <TermId xmlns="http://schemas.microsoft.com/office/infopath/2007/PartnerControls">a943be70-f149-4589-84df-0bab8e11b6eb</TermId>
        </TermInfo>
      </Terms>
    </ISOTopicTaxHTField0>
    <ISOArchived xmlns="2613f182-e424-487f-ac7f-33bed2fc986a">Not Archived</ISOArchived>
    <ISOGroupSequence xmlns="2613f182-e424-487f-ac7f-33bed2fc986a">92560|3000;92578|5000</ISOGroupSequence>
    <ISOOwner xmlns="2613f182-e424-487f-ac7f-33bed2fc986a">Sibley, Chris</ISOOwner>
    <ISOSummary xmlns="2613f182-e424-487f-ac7f-33bed2fc986a">To initiate co-located resources ability to utilize the Off Grid Charge Indicator within SIBR, the interconnection customer must fill in the information requested. 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Pro forma agreements|eb050f2a-6870-4331-88d8-4efb16b7f786</ParentISOGroups>
    <Orig_x0020_Post_x0020_Date xmlns="5bcbeff6-7c02-4b0f-b125-f1b3d566cc14">2001-03-05T15:18:07+00:00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de855913-69e5-4e08-8af0-7d473980145b</CrawlableUniqueID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TaxCatchAll"><![CDATA[17;#Tariff|cc4c938c-feeb-4c7a-a862-f9df7d868b49;#88;#Administrative:ADM01-235 - Transitory and Non-Essential Records|99f4c728-dddd-4875-a869-597421277e8b;#3;#Template|4b625e50-95ad-42bf-9f4f-f12cf20080bf;#35;#NRI (New Resource Implementation)|83fd35dc-a767-48e1-a9eb-e51e48a3a11b]]></LongProp>
  <LongProp xmlns="" name="CSMeta2010Field"><![CDATA[2171e675-a3e6-484f-a824-853a964d3a82;2018-04-17 01:35:08;AUTOCLASSIFIED;Automatically Updated Record Series:2018-04-17 01:35:08|False||AUTOCLASSIFIED|2018-04-17 01:35:08|UNDEFINED|00000000-0000-0000-0000-000000000000;Automatically Updated Document Type:2018-04-17 01:35:08|False||AUTOCLASSIFIED|2018-04-17 01:35:08|UNDEFINED|00000000-0000-0000-0000-000000000000;Automatically Updated Topic:2018-04-17 01:35:08|False||AUTOCLASSIFIED|2018-04-17 01:35:08|UNDEFINED|00000000-0000-0000-0000-000000000000;False]]></LongProp>
</Long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D0987E7-2EF6-4EB2-AF80-6612B27D95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613f182-e424-487f-ac7f-33bed2fc986a"/>
    <ds:schemaRef ds:uri="5bcbeff6-7c02-4b0f-b125-f1b3d566cc1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7F416F-2EEB-4463-ABC0-A214A454A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17CD7E-643A-4C3E-A56B-AE03889C57B8}"/>
</file>

<file path=customXml/itemProps4.xml><?xml version="1.0" encoding="utf-8"?>
<ds:datastoreItem xmlns:ds="http://schemas.openxmlformats.org/officeDocument/2006/customXml" ds:itemID="{604D1A81-A7E1-4539-8FCF-290CCF0BF90B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FB0DB58F-B529-48F6-805F-F38D40D1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CAISO Off Grid Charge Indicator Request Sheet</vt:lpstr>
    </vt:vector>
  </TitlesOfParts>
  <Company>IBM ISSC</Company>
  <LinksUpToDate>false</LinksUpToDate>
  <CharactersWithSpaces>2931</CharactersWithSpaces>
  <SharedDoc>false</SharedDoc>
  <HLinks>
    <vt:vector size="12" baseType="variant">
      <vt:variant>
        <vt:i4>1638448</vt:i4>
      </vt:variant>
      <vt:variant>
        <vt:i4>6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  <vt:variant>
        <vt:i4>1638448</vt:i4>
      </vt:variant>
      <vt:variant>
        <vt:i4>3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CAISO Off Grid Charge Indicator Request Sheet</dc:title>
  <dc:subject/>
  <dc:creator>RHamon</dc:creator>
  <cp:keywords/>
  <cp:lastModifiedBy>Topping, PJ</cp:lastModifiedBy>
  <cp:revision>2</cp:revision>
  <cp:lastPrinted>2015-07-29T16:02:00Z</cp:lastPrinted>
  <dcterms:created xsi:type="dcterms:W3CDTF">2024-02-28T21:02:00Z</dcterms:created>
  <dcterms:modified xsi:type="dcterms:W3CDTF">2024-02-28T21:02:00Z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pireDate">
    <vt:lpwstr>2007-03-31T00:00:00Z</vt:lpwstr>
  </property>
  <property fmtid="{D5CDD505-2E9C-101B-9397-08002B2CF9AE}" pid="3" name="OriginalUri">
    <vt:lpwstr>http://fwebp03.oa.caiso.com:21083/docs/2001/03/05/2001030515180729300.doc, /docs/2001/03/05/2001030515180729300.doc</vt:lpwstr>
  </property>
  <property fmtid="{D5CDD505-2E9C-101B-9397-08002B2CF9AE}" pid="4" name="PostDate">
    <vt:lpwstr>2005-03-31T09:35:07Z</vt:lpwstr>
  </property>
  <property fmtid="{D5CDD505-2E9C-101B-9397-08002B2CF9AE}" pid="5" name="RevDate">
    <vt:lpwstr>2005-03-31T09:35:07Z</vt:lpwstr>
  </property>
  <property fmtid="{D5CDD505-2E9C-101B-9397-08002B2CF9AE}" pid="6" name="ISOOwner">
    <vt:lpwstr>rreese</vt:lpwstr>
  </property>
  <property fmtid="{D5CDD505-2E9C-101B-9397-08002B2CF9AE}" pid="7" name="ISOGroupTaxHTField0">
    <vt:lpwstr>Agreements and information request sheets|2a4fcd01-28ba-457e-940e-601b1a823408;Participating generator certification agreements and information request sheets|cfc9dca6-0ed5-44b0-99d2-e4955a50776b</vt:lpwstr>
  </property>
  <property fmtid="{D5CDD505-2E9C-101B-9397-08002B2CF9AE}" pid="8" name="ISOTopicTaxHTField0">
    <vt:lpwstr>Participate|b6f01787-07a1-4425-b95e-c90118ef6dfe</vt:lpwstr>
  </property>
  <property fmtid="{D5CDD505-2E9C-101B-9397-08002B2CF9AE}" pid="9" name="ISOKeywordsTaxHTField0">
    <vt:lpwstr/>
  </property>
  <property fmtid="{D5CDD505-2E9C-101B-9397-08002B2CF9AE}" pid="10" name="ISOKeywords">
    <vt:lpwstr/>
  </property>
  <property fmtid="{D5CDD505-2E9C-101B-9397-08002B2CF9AE}" pid="11" name="ISOGroupSequence">
    <vt:lpwstr>92560|3000;92578|5000</vt:lpwstr>
  </property>
  <property fmtid="{D5CDD505-2E9C-101B-9397-08002B2CF9AE}" pid="12" name="ISOGroup">
    <vt:lpwstr>7108;#Agreements and information request sheets|2a4fcd01-28ba-457e-940e-601b1a823408;#1210;#Participating generator certification agreements and information request sheets|cfc9dca6-0ed5-44b0-99d2-e4955a50776b</vt:lpwstr>
  </property>
  <property fmtid="{D5CDD505-2E9C-101B-9397-08002B2CF9AE}" pid="13" name="ISOTopic">
    <vt:lpwstr>12;#Rules|a943be70-f149-4589-84df-0bab8e11b6eb</vt:lpwstr>
  </property>
  <property fmtid="{D5CDD505-2E9C-101B-9397-08002B2CF9AE}" pid="14" name="Important">
    <vt:lpwstr>0</vt:lpwstr>
  </property>
  <property fmtid="{D5CDD505-2E9C-101B-9397-08002B2CF9AE}" pid="15" name="Order">
    <vt:r8>25163400</vt:r8>
  </property>
  <property fmtid="{D5CDD505-2E9C-101B-9397-08002B2CF9AE}" pid="16" name="Orig Post Date">
    <vt:lpwstr>2001-03-05T15:18:07Z</vt:lpwstr>
  </property>
  <property fmtid="{D5CDD505-2E9C-101B-9397-08002B2CF9AE}" pid="17" name="ISOArchiveTaxHTField0">
    <vt:lpwstr>Not Archived|d4ac4999-fa66-470b-a400-7ab6671d1fab</vt:lpwstr>
  </property>
  <property fmtid="{D5CDD505-2E9C-101B-9397-08002B2CF9AE}" pid="18" name="ISOArchive">
    <vt:lpwstr>1;#Not Archived|d4ac4999-fa66-470b-a400-7ab6671d1fab</vt:lpwstr>
  </property>
  <property fmtid="{D5CDD505-2E9C-101B-9397-08002B2CF9AE}" pid="19" name="OriginalUriCopy">
    <vt:lpwstr>http://fwebp03.oa.caiso.com:21083/docs/2001/03/05/2001030515180729300.doc, http://www.caiso.com/docs/2001/03/05/2001030515180729300.doc</vt:lpwstr>
  </property>
  <property fmtid="{D5CDD505-2E9C-101B-9397-08002B2CF9AE}" pid="20" name="PageLink">
    <vt:lpwstr/>
  </property>
  <property fmtid="{D5CDD505-2E9C-101B-9397-08002B2CF9AE}" pid="21" name="Market Notice">
    <vt:lpwstr>0</vt:lpwstr>
  </property>
  <property fmtid="{D5CDD505-2E9C-101B-9397-08002B2CF9AE}" pid="22" name="ISOSummary">
    <vt:lpwstr/>
  </property>
  <property fmtid="{D5CDD505-2E9C-101B-9397-08002B2CF9AE}" pid="23" name="Archived">
    <vt:lpwstr>0</vt:lpwstr>
  </property>
  <property fmtid="{D5CDD505-2E9C-101B-9397-08002B2CF9AE}" pid="24" name="News Release">
    <vt:lpwstr>0</vt:lpwstr>
  </property>
  <property fmtid="{D5CDD505-2E9C-101B-9397-08002B2CF9AE}" pid="25" name="ISODescription">
    <vt:lpwstr/>
  </property>
  <property fmtid="{D5CDD505-2E9C-101B-9397-08002B2CF9AE}" pid="26" name="OriginalURIBackup">
    <vt:lpwstr>http://fwebp03.oa.caiso.com:21083/docs/2001/03/05/2001030515180729300.doc, /docs/2001/03/05/2001030515180729300.doc</vt:lpwstr>
  </property>
  <property fmtid="{D5CDD505-2E9C-101B-9397-08002B2CF9AE}" pid="27" name="ISOExtract">
    <vt:lpwstr/>
  </property>
  <property fmtid="{D5CDD505-2E9C-101B-9397-08002B2CF9AE}" pid="28" name="AutoClassRecordSeries">
    <vt:lpwstr>88;#Administrative:ADM01-235 - Transitory and Non-Essential Records|99f4c728-dddd-4875-a869-597421277e8b</vt:lpwstr>
  </property>
  <property fmtid="{D5CDD505-2E9C-101B-9397-08002B2CF9AE}" pid="29" name="AutoClassDocumentType">
    <vt:lpwstr>3;#Template|4b625e50-95ad-42bf-9f4f-f12cf20080bf</vt:lpwstr>
  </property>
  <property fmtid="{D5CDD505-2E9C-101B-9397-08002B2CF9AE}" pid="30" name="AutoClassTopic">
    <vt:lpwstr>35;#NRI (New Resource Implementation)|83fd35dc-a767-48e1-a9eb-e51e48a3a11b;#17;#Tariff|cc4c938c-feeb-4c7a-a862-f9df7d868b49</vt:lpwstr>
  </property>
  <property fmtid="{D5CDD505-2E9C-101B-9397-08002B2CF9AE}" pid="31" name="ContentTypeId">
    <vt:lpwstr>0x0101000BEF1A1EAF553945AAFC1DE188AA7EC100496CDC402DE9B8469629C69FFFFA4218</vt:lpwstr>
  </property>
  <property fmtid="{D5CDD505-2E9C-101B-9397-08002B2CF9AE}" pid="32" name="xd_ProgID">
    <vt:lpwstr/>
  </property>
  <property fmtid="{D5CDD505-2E9C-101B-9397-08002B2CF9AE}" pid="33" name="_SourceUrl">
    <vt:lpwstr/>
  </property>
  <property fmtid="{D5CDD505-2E9C-101B-9397-08002B2CF9AE}" pid="34" name="_SharedFileIndex">
    <vt:lpwstr/>
  </property>
  <property fmtid="{D5CDD505-2E9C-101B-9397-08002B2CF9AE}" pid="35" name="TemplateUrl">
    <vt:lpwstr/>
  </property>
</Properties>
</file>