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12B0" w14:textId="77777777" w:rsidR="00701B48" w:rsidRPr="009F0098" w:rsidRDefault="00701B48">
      <w:pPr>
        <w:pStyle w:val="Title"/>
        <w:jc w:val="right"/>
        <w:rPr>
          <w:rFonts w:cs="Arial"/>
          <w:szCs w:val="36"/>
        </w:rPr>
      </w:pPr>
    </w:p>
    <w:p w14:paraId="4FE112B1" w14:textId="77777777" w:rsidR="00701B48" w:rsidRPr="009F0098" w:rsidRDefault="00701B48">
      <w:pPr>
        <w:pStyle w:val="Title"/>
        <w:jc w:val="right"/>
        <w:rPr>
          <w:rFonts w:cs="Arial"/>
          <w:szCs w:val="36"/>
        </w:rPr>
      </w:pPr>
    </w:p>
    <w:p w14:paraId="4FE112B2" w14:textId="77777777" w:rsidR="00701B48" w:rsidRPr="009F0098" w:rsidRDefault="00701B48">
      <w:pPr>
        <w:pStyle w:val="Title"/>
        <w:jc w:val="right"/>
        <w:rPr>
          <w:rFonts w:cs="Arial"/>
          <w:szCs w:val="36"/>
        </w:rPr>
      </w:pPr>
    </w:p>
    <w:p w14:paraId="4FE112B3" w14:textId="77777777" w:rsidR="00701B48" w:rsidRPr="009F0098" w:rsidRDefault="00701B48">
      <w:pPr>
        <w:pStyle w:val="Title"/>
        <w:jc w:val="right"/>
        <w:rPr>
          <w:rFonts w:cs="Arial"/>
          <w:szCs w:val="36"/>
        </w:rPr>
      </w:pPr>
    </w:p>
    <w:p w14:paraId="4FE112B4" w14:textId="77777777" w:rsidR="00701B48" w:rsidRPr="009F0098" w:rsidRDefault="00701B48">
      <w:pPr>
        <w:pStyle w:val="Title"/>
        <w:rPr>
          <w:rFonts w:cs="Arial"/>
          <w:szCs w:val="36"/>
        </w:rPr>
      </w:pPr>
    </w:p>
    <w:p w14:paraId="4FE112B5" w14:textId="77777777" w:rsidR="00701B48" w:rsidRPr="00B81D0A" w:rsidRDefault="000A05B1">
      <w:pPr>
        <w:pStyle w:val="Title"/>
        <w:jc w:val="right"/>
        <w:rPr>
          <w:rFonts w:cs="Arial"/>
          <w:szCs w:val="36"/>
        </w:rPr>
      </w:pPr>
      <w:bookmarkStart w:id="0" w:name="_GoBack"/>
      <w:bookmarkEnd w:id="0"/>
      <w:r w:rsidRPr="00B81D0A">
        <w:rPr>
          <w:rFonts w:cs="Arial"/>
          <w:szCs w:val="36"/>
        </w:rPr>
        <w:t>Settlements &amp; Billing</w:t>
      </w:r>
    </w:p>
    <w:p w14:paraId="4FE112B6" w14:textId="77777777" w:rsidR="00701B48" w:rsidRPr="00B81D0A" w:rsidRDefault="00701B48">
      <w:pPr>
        <w:pStyle w:val="Title"/>
        <w:jc w:val="right"/>
        <w:rPr>
          <w:rFonts w:cs="Arial"/>
          <w:szCs w:val="36"/>
        </w:rPr>
      </w:pPr>
    </w:p>
    <w:p w14:paraId="4FE112B7" w14:textId="77777777" w:rsidR="00701B48" w:rsidRPr="00B81D0A" w:rsidRDefault="00701B48">
      <w:pPr>
        <w:rPr>
          <w:rFonts w:cs="Arial"/>
          <w:b/>
          <w:sz w:val="36"/>
          <w:szCs w:val="36"/>
        </w:rPr>
      </w:pPr>
    </w:p>
    <w:p w14:paraId="4FE112B8" w14:textId="2CE45E56" w:rsidR="00701B48" w:rsidRPr="00B81D0A" w:rsidRDefault="00A83E0F">
      <w:pPr>
        <w:pStyle w:val="Title"/>
        <w:jc w:val="right"/>
        <w:rPr>
          <w:rFonts w:cs="Arial"/>
          <w:szCs w:val="36"/>
        </w:rPr>
      </w:pPr>
      <w:r w:rsidRPr="00B81D0A">
        <w:rPr>
          <w:rFonts w:cs="Arial"/>
          <w:szCs w:val="36"/>
        </w:rPr>
        <w:fldChar w:fldCharType="begin"/>
      </w:r>
      <w:r w:rsidRPr="00B81D0A">
        <w:rPr>
          <w:rFonts w:cs="Arial"/>
          <w:szCs w:val="36"/>
        </w:rPr>
        <w:instrText xml:space="preserve"> DOCPROPERTY  Category  \* MERGEFORMAT </w:instrText>
      </w:r>
      <w:r w:rsidRPr="00B81D0A">
        <w:rPr>
          <w:rFonts w:cs="Arial"/>
          <w:szCs w:val="36"/>
        </w:rPr>
        <w:fldChar w:fldCharType="separate"/>
      </w:r>
      <w:r w:rsidRPr="00B81D0A">
        <w:rPr>
          <w:rFonts w:cs="Arial"/>
          <w:szCs w:val="36"/>
        </w:rPr>
        <w:t>Configuration Guide:</w:t>
      </w:r>
      <w:r w:rsidRPr="00B81D0A">
        <w:rPr>
          <w:rFonts w:cs="Arial"/>
          <w:szCs w:val="36"/>
        </w:rPr>
        <w:fldChar w:fldCharType="end"/>
      </w:r>
      <w:r w:rsidR="00701B48" w:rsidRPr="00B81D0A">
        <w:rPr>
          <w:rFonts w:cs="Arial"/>
          <w:szCs w:val="36"/>
        </w:rPr>
        <w:t xml:space="preserve"> </w:t>
      </w:r>
      <w:r w:rsidR="00B81D0A" w:rsidRPr="00B81D0A">
        <w:rPr>
          <w:rFonts w:cs="Arial"/>
          <w:szCs w:val="36"/>
        </w:rPr>
        <w:t xml:space="preserve">Day Ahead </w:t>
      </w:r>
      <w:r w:rsidR="00C92A1B" w:rsidRPr="00B81D0A">
        <w:rPr>
          <w:rFonts w:cs="Arial"/>
          <w:szCs w:val="36"/>
        </w:rPr>
        <w:t>Green</w:t>
      </w:r>
      <w:r w:rsidR="00D7397E" w:rsidRPr="00B81D0A">
        <w:rPr>
          <w:rFonts w:cs="Arial"/>
          <w:szCs w:val="36"/>
        </w:rPr>
        <w:t>h</w:t>
      </w:r>
      <w:r w:rsidR="00C92A1B" w:rsidRPr="00B81D0A">
        <w:rPr>
          <w:rFonts w:cs="Arial"/>
          <w:szCs w:val="36"/>
        </w:rPr>
        <w:t xml:space="preserve">ouse Gas </w:t>
      </w:r>
      <w:r w:rsidR="0018518B">
        <w:rPr>
          <w:rFonts w:cs="Arial"/>
          <w:szCs w:val="36"/>
        </w:rPr>
        <w:t>Offset</w:t>
      </w:r>
    </w:p>
    <w:p w14:paraId="4FE112B9" w14:textId="77777777" w:rsidR="009F0098" w:rsidRPr="00B81D0A" w:rsidRDefault="009F0098" w:rsidP="009F0098">
      <w:pPr>
        <w:rPr>
          <w:rFonts w:cs="Arial"/>
          <w:b/>
          <w:sz w:val="36"/>
          <w:szCs w:val="36"/>
        </w:rPr>
      </w:pPr>
    </w:p>
    <w:p w14:paraId="4FE112BA" w14:textId="77777777" w:rsidR="00A83E0F" w:rsidRPr="00B81D0A" w:rsidRDefault="00C92A1B" w:rsidP="00A83E0F">
      <w:pPr>
        <w:jc w:val="right"/>
        <w:rPr>
          <w:rFonts w:cs="Arial"/>
          <w:b/>
          <w:sz w:val="36"/>
          <w:szCs w:val="36"/>
        </w:rPr>
      </w:pPr>
      <w:r w:rsidRPr="00B81D0A">
        <w:rPr>
          <w:rFonts w:cs="Arial"/>
          <w:b/>
          <w:sz w:val="36"/>
          <w:szCs w:val="36"/>
        </w:rPr>
        <w:t xml:space="preserve">CC </w:t>
      </w:r>
      <w:r w:rsidR="00615B6A">
        <w:rPr>
          <w:rFonts w:cs="Arial"/>
          <w:b/>
          <w:sz w:val="36"/>
          <w:szCs w:val="36"/>
        </w:rPr>
        <w:t>83</w:t>
      </w:r>
      <w:r w:rsidR="0018518B">
        <w:rPr>
          <w:rFonts w:cs="Arial"/>
          <w:b/>
          <w:sz w:val="36"/>
          <w:szCs w:val="36"/>
        </w:rPr>
        <w:t>1</w:t>
      </w:r>
      <w:r w:rsidR="00615B6A">
        <w:rPr>
          <w:rFonts w:cs="Arial"/>
          <w:b/>
          <w:sz w:val="36"/>
          <w:szCs w:val="36"/>
        </w:rPr>
        <w:t>5</w:t>
      </w:r>
    </w:p>
    <w:p w14:paraId="4FE112BB" w14:textId="77777777" w:rsidR="009F0098" w:rsidRPr="00B81D0A" w:rsidRDefault="009F0098" w:rsidP="009F0098">
      <w:pPr>
        <w:rPr>
          <w:rFonts w:cs="Arial"/>
          <w:b/>
          <w:sz w:val="36"/>
          <w:szCs w:val="36"/>
        </w:rPr>
      </w:pPr>
    </w:p>
    <w:p w14:paraId="4FE112BC" w14:textId="77777777" w:rsidR="00701B48" w:rsidRPr="00B81D0A" w:rsidRDefault="00A83E0F">
      <w:pPr>
        <w:pStyle w:val="Title"/>
        <w:jc w:val="right"/>
        <w:rPr>
          <w:rFonts w:cs="Arial"/>
          <w:szCs w:val="36"/>
        </w:rPr>
      </w:pPr>
      <w:r w:rsidRPr="00B81D0A">
        <w:rPr>
          <w:rFonts w:cs="Arial"/>
          <w:szCs w:val="36"/>
        </w:rPr>
        <w:t xml:space="preserve"> Version </w:t>
      </w:r>
      <w:r w:rsidR="00045213" w:rsidRPr="00B81D0A">
        <w:rPr>
          <w:rFonts w:cs="Arial"/>
          <w:szCs w:val="36"/>
        </w:rPr>
        <w:t>5.</w:t>
      </w:r>
      <w:r w:rsidR="009222F9" w:rsidRPr="00B81D0A">
        <w:rPr>
          <w:rFonts w:cs="Arial"/>
          <w:szCs w:val="36"/>
        </w:rPr>
        <w:t>0</w:t>
      </w:r>
    </w:p>
    <w:p w14:paraId="4FE112BD" w14:textId="77777777" w:rsidR="00701B48" w:rsidRPr="00B81D0A" w:rsidRDefault="00701B48">
      <w:pPr>
        <w:pStyle w:val="Title"/>
        <w:jc w:val="right"/>
        <w:rPr>
          <w:rFonts w:cs="Arial"/>
          <w:szCs w:val="36"/>
        </w:rPr>
      </w:pPr>
    </w:p>
    <w:p w14:paraId="4FE112BE" w14:textId="77777777" w:rsidR="00701B48" w:rsidRPr="00B81D0A" w:rsidRDefault="00701B48">
      <w:pPr>
        <w:pStyle w:val="Title"/>
        <w:jc w:val="right"/>
        <w:rPr>
          <w:rFonts w:cs="Arial"/>
          <w:color w:val="FF0000"/>
          <w:szCs w:val="36"/>
        </w:rPr>
      </w:pPr>
    </w:p>
    <w:p w14:paraId="4FE112BF" w14:textId="77777777" w:rsidR="00701B48" w:rsidRPr="00B81D0A" w:rsidRDefault="00701B48">
      <w:pPr>
        <w:rPr>
          <w:rFonts w:cs="Arial"/>
          <w:b/>
          <w:sz w:val="36"/>
          <w:szCs w:val="36"/>
        </w:rPr>
      </w:pPr>
    </w:p>
    <w:p w14:paraId="4FE112C0" w14:textId="77777777" w:rsidR="00701B48" w:rsidRPr="00B81D0A" w:rsidRDefault="00701B48">
      <w:pPr>
        <w:rPr>
          <w:rFonts w:cs="Arial"/>
          <w:b/>
          <w:sz w:val="36"/>
          <w:szCs w:val="36"/>
        </w:rPr>
      </w:pPr>
    </w:p>
    <w:p w14:paraId="4FE112C1" w14:textId="77777777" w:rsidR="00701B48" w:rsidRPr="00B81D0A" w:rsidRDefault="00701B48">
      <w:pPr>
        <w:rPr>
          <w:rFonts w:cs="Arial"/>
          <w:b/>
          <w:sz w:val="36"/>
          <w:szCs w:val="36"/>
        </w:rPr>
      </w:pPr>
    </w:p>
    <w:p w14:paraId="4FE112C2" w14:textId="77777777" w:rsidR="00701B48" w:rsidRPr="00B81D0A" w:rsidRDefault="00701B48"/>
    <w:p w14:paraId="4FE112C3" w14:textId="77777777" w:rsidR="00701B48" w:rsidRPr="00B81D0A" w:rsidRDefault="00701B48"/>
    <w:p w14:paraId="4FE112C4" w14:textId="77777777" w:rsidR="00701B48" w:rsidRPr="00B81D0A" w:rsidRDefault="00701B48"/>
    <w:p w14:paraId="4FE112C5" w14:textId="77777777" w:rsidR="00701B48" w:rsidRPr="00B81D0A" w:rsidRDefault="00701B48">
      <w:pPr>
        <w:pStyle w:val="Title"/>
        <w:rPr>
          <w:sz w:val="22"/>
        </w:rPr>
      </w:pPr>
    </w:p>
    <w:p w14:paraId="4FE112C6" w14:textId="77777777" w:rsidR="00701B48" w:rsidRPr="00B81D0A" w:rsidRDefault="00701B48">
      <w:pPr>
        <w:pStyle w:val="Title"/>
        <w:rPr>
          <w:sz w:val="22"/>
        </w:rPr>
        <w:sectPr w:rsidR="00701B48" w:rsidRPr="00B81D0A" w:rsidSect="0017776A">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4FE112C7" w14:textId="77777777" w:rsidR="00701B48" w:rsidRPr="00B81D0A" w:rsidRDefault="00701B48">
      <w:pPr>
        <w:pStyle w:val="Title"/>
        <w:rPr>
          <w:szCs w:val="36"/>
        </w:rPr>
      </w:pPr>
      <w:r w:rsidRPr="00B81D0A">
        <w:rPr>
          <w:szCs w:val="36"/>
        </w:rPr>
        <w:lastRenderedPageBreak/>
        <w:t>Table of Contents</w:t>
      </w:r>
    </w:p>
    <w:p w14:paraId="627B3CF3" w14:textId="27F42501" w:rsidR="00A317C0" w:rsidRDefault="00D74992">
      <w:pPr>
        <w:pStyle w:val="TOC1"/>
        <w:tabs>
          <w:tab w:val="left" w:pos="432"/>
        </w:tabs>
        <w:rPr>
          <w:rFonts w:asciiTheme="minorHAnsi" w:eastAsiaTheme="minorEastAsia" w:hAnsiTheme="minorHAnsi" w:cstheme="minorBidi"/>
          <w:noProof/>
          <w:szCs w:val="22"/>
        </w:rPr>
      </w:pPr>
      <w:r w:rsidRPr="00B81D0A">
        <w:rPr>
          <w:rFonts w:cs="Arial"/>
          <w:szCs w:val="22"/>
        </w:rPr>
        <w:fldChar w:fldCharType="begin"/>
      </w:r>
      <w:r w:rsidRPr="00B81D0A">
        <w:rPr>
          <w:rFonts w:cs="Arial"/>
          <w:szCs w:val="22"/>
        </w:rPr>
        <w:instrText xml:space="preserve"> TOC \o "1-2" </w:instrText>
      </w:r>
      <w:r w:rsidRPr="00B81D0A">
        <w:rPr>
          <w:rFonts w:cs="Arial"/>
          <w:szCs w:val="22"/>
        </w:rPr>
        <w:fldChar w:fldCharType="separate"/>
      </w:r>
      <w:r w:rsidR="00A317C0">
        <w:rPr>
          <w:noProof/>
        </w:rPr>
        <w:t>1.</w:t>
      </w:r>
      <w:r w:rsidR="00A317C0">
        <w:rPr>
          <w:rFonts w:asciiTheme="minorHAnsi" w:eastAsiaTheme="minorEastAsia" w:hAnsiTheme="minorHAnsi" w:cstheme="minorBidi"/>
          <w:noProof/>
          <w:szCs w:val="22"/>
        </w:rPr>
        <w:tab/>
      </w:r>
      <w:r w:rsidR="00A317C0">
        <w:rPr>
          <w:noProof/>
        </w:rPr>
        <w:t>Purpose of Document</w:t>
      </w:r>
      <w:r w:rsidR="00A317C0">
        <w:rPr>
          <w:noProof/>
        </w:rPr>
        <w:tab/>
      </w:r>
      <w:r w:rsidR="00A317C0">
        <w:rPr>
          <w:noProof/>
        </w:rPr>
        <w:fldChar w:fldCharType="begin"/>
      </w:r>
      <w:r w:rsidR="00A317C0">
        <w:rPr>
          <w:noProof/>
        </w:rPr>
        <w:instrText xml:space="preserve"> PAGEREF _Toc196405539 \h </w:instrText>
      </w:r>
      <w:r w:rsidR="00A317C0">
        <w:rPr>
          <w:noProof/>
        </w:rPr>
      </w:r>
      <w:r w:rsidR="00A317C0">
        <w:rPr>
          <w:noProof/>
        </w:rPr>
        <w:fldChar w:fldCharType="separate"/>
      </w:r>
      <w:r w:rsidR="00A317C0">
        <w:rPr>
          <w:noProof/>
        </w:rPr>
        <w:t>3</w:t>
      </w:r>
      <w:r w:rsidR="00A317C0">
        <w:rPr>
          <w:noProof/>
        </w:rPr>
        <w:fldChar w:fldCharType="end"/>
      </w:r>
    </w:p>
    <w:p w14:paraId="2CDE294B" w14:textId="23F283A2" w:rsidR="00A317C0" w:rsidRDefault="00A317C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_Toc196405540 \h </w:instrText>
      </w:r>
      <w:r>
        <w:rPr>
          <w:noProof/>
        </w:rPr>
      </w:r>
      <w:r>
        <w:rPr>
          <w:noProof/>
        </w:rPr>
        <w:fldChar w:fldCharType="separate"/>
      </w:r>
      <w:r>
        <w:rPr>
          <w:noProof/>
        </w:rPr>
        <w:t>3</w:t>
      </w:r>
      <w:r>
        <w:rPr>
          <w:noProof/>
        </w:rPr>
        <w:fldChar w:fldCharType="end"/>
      </w:r>
    </w:p>
    <w:p w14:paraId="61E2F51D" w14:textId="4EB75B7A" w:rsidR="00A317C0" w:rsidRDefault="00A317C0">
      <w:pPr>
        <w:pStyle w:val="TOC2"/>
        <w:tabs>
          <w:tab w:val="left" w:pos="1000"/>
        </w:tabs>
        <w:rPr>
          <w:rFonts w:asciiTheme="minorHAnsi" w:eastAsiaTheme="minorEastAsia" w:hAnsiTheme="minorHAnsi" w:cstheme="minorBidi"/>
          <w:noProof/>
          <w:szCs w:val="22"/>
        </w:rPr>
      </w:pPr>
      <w:r w:rsidRPr="00B27EDB">
        <w:rPr>
          <w:rFonts w:cs="Arial"/>
          <w:noProof/>
        </w:rPr>
        <w:t>2.1</w:t>
      </w:r>
      <w:r>
        <w:rPr>
          <w:rFonts w:asciiTheme="minorHAnsi" w:eastAsiaTheme="minorEastAsia" w:hAnsiTheme="minorHAnsi" w:cstheme="minorBidi"/>
          <w:noProof/>
          <w:szCs w:val="22"/>
        </w:rPr>
        <w:tab/>
      </w:r>
      <w:r w:rsidRPr="00B27EDB">
        <w:rPr>
          <w:rFonts w:cs="Arial"/>
          <w:noProof/>
        </w:rPr>
        <w:t>Background</w:t>
      </w:r>
      <w:r>
        <w:rPr>
          <w:noProof/>
        </w:rPr>
        <w:tab/>
      </w:r>
      <w:r>
        <w:rPr>
          <w:noProof/>
        </w:rPr>
        <w:fldChar w:fldCharType="begin"/>
      </w:r>
      <w:r>
        <w:rPr>
          <w:noProof/>
        </w:rPr>
        <w:instrText xml:space="preserve"> PAGEREF _Toc196405541 \h </w:instrText>
      </w:r>
      <w:r>
        <w:rPr>
          <w:noProof/>
        </w:rPr>
      </w:r>
      <w:r>
        <w:rPr>
          <w:noProof/>
        </w:rPr>
        <w:fldChar w:fldCharType="separate"/>
      </w:r>
      <w:r>
        <w:rPr>
          <w:noProof/>
        </w:rPr>
        <w:t>3</w:t>
      </w:r>
      <w:r>
        <w:rPr>
          <w:noProof/>
        </w:rPr>
        <w:fldChar w:fldCharType="end"/>
      </w:r>
    </w:p>
    <w:p w14:paraId="5AE255B1" w14:textId="40760027" w:rsidR="00A317C0" w:rsidRDefault="00A317C0">
      <w:pPr>
        <w:pStyle w:val="TOC2"/>
        <w:tabs>
          <w:tab w:val="left" w:pos="1000"/>
        </w:tabs>
        <w:rPr>
          <w:rFonts w:asciiTheme="minorHAnsi" w:eastAsiaTheme="minorEastAsia" w:hAnsiTheme="minorHAnsi" w:cstheme="minorBidi"/>
          <w:noProof/>
          <w:szCs w:val="22"/>
        </w:rPr>
      </w:pPr>
      <w:r w:rsidRPr="00B27EDB">
        <w:rPr>
          <w:rFonts w:cs="Arial"/>
          <w:bCs/>
          <w:noProof/>
        </w:rPr>
        <w:t>2.2</w:t>
      </w:r>
      <w:r>
        <w:rPr>
          <w:rFonts w:asciiTheme="minorHAnsi" w:eastAsiaTheme="minorEastAsia" w:hAnsiTheme="minorHAnsi" w:cstheme="minorBidi"/>
          <w:noProof/>
          <w:szCs w:val="22"/>
        </w:rPr>
        <w:tab/>
      </w:r>
      <w:r w:rsidRPr="00B27EDB">
        <w:rPr>
          <w:rFonts w:cs="Arial"/>
          <w:bCs/>
          <w:noProof/>
        </w:rPr>
        <w:t>Description</w:t>
      </w:r>
      <w:r>
        <w:rPr>
          <w:noProof/>
        </w:rPr>
        <w:tab/>
      </w:r>
      <w:r>
        <w:rPr>
          <w:noProof/>
        </w:rPr>
        <w:fldChar w:fldCharType="begin"/>
      </w:r>
      <w:r>
        <w:rPr>
          <w:noProof/>
        </w:rPr>
        <w:instrText xml:space="preserve"> PAGEREF _Toc196405542 \h </w:instrText>
      </w:r>
      <w:r>
        <w:rPr>
          <w:noProof/>
        </w:rPr>
      </w:r>
      <w:r>
        <w:rPr>
          <w:noProof/>
        </w:rPr>
        <w:fldChar w:fldCharType="separate"/>
      </w:r>
      <w:r>
        <w:rPr>
          <w:noProof/>
        </w:rPr>
        <w:t>3</w:t>
      </w:r>
      <w:r>
        <w:rPr>
          <w:noProof/>
        </w:rPr>
        <w:fldChar w:fldCharType="end"/>
      </w:r>
    </w:p>
    <w:p w14:paraId="37FE4051" w14:textId="59C285BF" w:rsidR="00A317C0" w:rsidRDefault="00A317C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_Toc196405543 \h </w:instrText>
      </w:r>
      <w:r>
        <w:rPr>
          <w:noProof/>
        </w:rPr>
      </w:r>
      <w:r>
        <w:rPr>
          <w:noProof/>
        </w:rPr>
        <w:fldChar w:fldCharType="separate"/>
      </w:r>
      <w:r>
        <w:rPr>
          <w:noProof/>
        </w:rPr>
        <w:t>3</w:t>
      </w:r>
      <w:r>
        <w:rPr>
          <w:noProof/>
        </w:rPr>
        <w:fldChar w:fldCharType="end"/>
      </w:r>
    </w:p>
    <w:p w14:paraId="2FF6352D" w14:textId="2F94E9DC" w:rsidR="00A317C0" w:rsidRDefault="00A317C0">
      <w:pPr>
        <w:pStyle w:val="TOC2"/>
        <w:tabs>
          <w:tab w:val="left" w:pos="1000"/>
        </w:tabs>
        <w:rPr>
          <w:rFonts w:asciiTheme="minorHAnsi" w:eastAsiaTheme="minorEastAsia" w:hAnsiTheme="minorHAnsi" w:cstheme="minorBidi"/>
          <w:noProof/>
          <w:szCs w:val="22"/>
        </w:rPr>
      </w:pPr>
      <w:r w:rsidRPr="00B27EDB">
        <w:rPr>
          <w:bCs/>
          <w:noProof/>
        </w:rPr>
        <w:t>3.1</w:t>
      </w:r>
      <w:r>
        <w:rPr>
          <w:rFonts w:asciiTheme="minorHAnsi" w:eastAsiaTheme="minorEastAsia" w:hAnsiTheme="minorHAnsi" w:cstheme="minorBidi"/>
          <w:noProof/>
          <w:szCs w:val="22"/>
        </w:rPr>
        <w:tab/>
      </w:r>
      <w:r w:rsidRPr="00B27EDB">
        <w:rPr>
          <w:bCs/>
          <w:noProof/>
        </w:rPr>
        <w:t>Business Rules</w:t>
      </w:r>
      <w:r>
        <w:rPr>
          <w:noProof/>
        </w:rPr>
        <w:tab/>
      </w:r>
      <w:r>
        <w:rPr>
          <w:noProof/>
        </w:rPr>
        <w:fldChar w:fldCharType="begin"/>
      </w:r>
      <w:r>
        <w:rPr>
          <w:noProof/>
        </w:rPr>
        <w:instrText xml:space="preserve"> PAGEREF _Toc196405544 \h </w:instrText>
      </w:r>
      <w:r>
        <w:rPr>
          <w:noProof/>
        </w:rPr>
      </w:r>
      <w:r>
        <w:rPr>
          <w:noProof/>
        </w:rPr>
        <w:fldChar w:fldCharType="separate"/>
      </w:r>
      <w:r>
        <w:rPr>
          <w:noProof/>
        </w:rPr>
        <w:t>3</w:t>
      </w:r>
      <w:r>
        <w:rPr>
          <w:noProof/>
        </w:rPr>
        <w:fldChar w:fldCharType="end"/>
      </w:r>
    </w:p>
    <w:p w14:paraId="1362B958" w14:textId="19A25101" w:rsidR="00A317C0" w:rsidRDefault="00A317C0">
      <w:pPr>
        <w:pStyle w:val="TOC2"/>
        <w:tabs>
          <w:tab w:val="left" w:pos="1000"/>
        </w:tabs>
        <w:rPr>
          <w:rFonts w:asciiTheme="minorHAnsi" w:eastAsiaTheme="minorEastAsia" w:hAnsiTheme="minorHAnsi" w:cstheme="minorBidi"/>
          <w:noProof/>
          <w:szCs w:val="22"/>
        </w:rPr>
      </w:pPr>
      <w:r w:rsidRPr="00B27EDB">
        <w:rPr>
          <w:bCs/>
          <w:noProof/>
        </w:rPr>
        <w:t>3.2</w:t>
      </w:r>
      <w:r>
        <w:rPr>
          <w:rFonts w:asciiTheme="minorHAnsi" w:eastAsiaTheme="minorEastAsia" w:hAnsiTheme="minorHAnsi" w:cstheme="minorBidi"/>
          <w:noProof/>
          <w:szCs w:val="22"/>
        </w:rPr>
        <w:tab/>
      </w:r>
      <w:r w:rsidRPr="00B27EDB">
        <w:rPr>
          <w:bCs/>
          <w:noProof/>
        </w:rPr>
        <w:t>Predecessor Charge Codes</w:t>
      </w:r>
      <w:r>
        <w:rPr>
          <w:noProof/>
        </w:rPr>
        <w:tab/>
      </w:r>
      <w:r>
        <w:rPr>
          <w:noProof/>
        </w:rPr>
        <w:fldChar w:fldCharType="begin"/>
      </w:r>
      <w:r>
        <w:rPr>
          <w:noProof/>
        </w:rPr>
        <w:instrText xml:space="preserve"> PAGEREF _Toc196405545 \h </w:instrText>
      </w:r>
      <w:r>
        <w:rPr>
          <w:noProof/>
        </w:rPr>
      </w:r>
      <w:r>
        <w:rPr>
          <w:noProof/>
        </w:rPr>
        <w:fldChar w:fldCharType="separate"/>
      </w:r>
      <w:r>
        <w:rPr>
          <w:noProof/>
        </w:rPr>
        <w:t>4</w:t>
      </w:r>
      <w:r>
        <w:rPr>
          <w:noProof/>
        </w:rPr>
        <w:fldChar w:fldCharType="end"/>
      </w:r>
    </w:p>
    <w:p w14:paraId="4D6D2F13" w14:textId="2324E7CE" w:rsidR="00A317C0" w:rsidRDefault="00A317C0">
      <w:pPr>
        <w:pStyle w:val="TOC2"/>
        <w:tabs>
          <w:tab w:val="left" w:pos="1000"/>
        </w:tabs>
        <w:rPr>
          <w:rFonts w:asciiTheme="minorHAnsi" w:eastAsiaTheme="minorEastAsia" w:hAnsiTheme="minorHAnsi" w:cstheme="minorBidi"/>
          <w:noProof/>
          <w:szCs w:val="22"/>
        </w:rPr>
      </w:pPr>
      <w:r w:rsidRPr="00B27EDB">
        <w:rPr>
          <w:bCs/>
          <w:noProof/>
        </w:rPr>
        <w:t>3.3</w:t>
      </w:r>
      <w:r>
        <w:rPr>
          <w:rFonts w:asciiTheme="minorHAnsi" w:eastAsiaTheme="minorEastAsia" w:hAnsiTheme="minorHAnsi" w:cstheme="minorBidi"/>
          <w:noProof/>
          <w:szCs w:val="22"/>
        </w:rPr>
        <w:tab/>
      </w:r>
      <w:r w:rsidRPr="00B27EDB">
        <w:rPr>
          <w:bCs/>
          <w:noProof/>
        </w:rPr>
        <w:t>Successor Charge Codes</w:t>
      </w:r>
      <w:r>
        <w:rPr>
          <w:noProof/>
        </w:rPr>
        <w:tab/>
      </w:r>
      <w:r>
        <w:rPr>
          <w:noProof/>
        </w:rPr>
        <w:fldChar w:fldCharType="begin"/>
      </w:r>
      <w:r>
        <w:rPr>
          <w:noProof/>
        </w:rPr>
        <w:instrText xml:space="preserve"> PAGEREF _Toc196405546 \h </w:instrText>
      </w:r>
      <w:r>
        <w:rPr>
          <w:noProof/>
        </w:rPr>
      </w:r>
      <w:r>
        <w:rPr>
          <w:noProof/>
        </w:rPr>
        <w:fldChar w:fldCharType="separate"/>
      </w:r>
      <w:r>
        <w:rPr>
          <w:noProof/>
        </w:rPr>
        <w:t>4</w:t>
      </w:r>
      <w:r>
        <w:rPr>
          <w:noProof/>
        </w:rPr>
        <w:fldChar w:fldCharType="end"/>
      </w:r>
    </w:p>
    <w:p w14:paraId="70B3B807" w14:textId="39C4559D" w:rsidR="00A317C0" w:rsidRDefault="00A317C0">
      <w:pPr>
        <w:pStyle w:val="TOC2"/>
        <w:tabs>
          <w:tab w:val="left" w:pos="1000"/>
        </w:tabs>
        <w:rPr>
          <w:rFonts w:asciiTheme="minorHAnsi" w:eastAsiaTheme="minorEastAsia" w:hAnsiTheme="minorHAnsi" w:cstheme="minorBidi"/>
          <w:noProof/>
          <w:szCs w:val="22"/>
        </w:rPr>
      </w:pPr>
      <w:r w:rsidRPr="00B27EDB">
        <w:rPr>
          <w:bCs/>
          <w:noProof/>
        </w:rPr>
        <w:t>3.4</w:t>
      </w:r>
      <w:r>
        <w:rPr>
          <w:rFonts w:asciiTheme="minorHAnsi" w:eastAsiaTheme="minorEastAsia" w:hAnsiTheme="minorHAnsi" w:cstheme="minorBidi"/>
          <w:noProof/>
          <w:szCs w:val="22"/>
        </w:rPr>
        <w:tab/>
      </w:r>
      <w:r w:rsidRPr="00B27EDB">
        <w:rPr>
          <w:bCs/>
          <w:noProof/>
        </w:rPr>
        <w:t>Inputs - External Systems</w:t>
      </w:r>
      <w:r>
        <w:rPr>
          <w:noProof/>
        </w:rPr>
        <w:tab/>
      </w:r>
      <w:r>
        <w:rPr>
          <w:noProof/>
        </w:rPr>
        <w:fldChar w:fldCharType="begin"/>
      </w:r>
      <w:r>
        <w:rPr>
          <w:noProof/>
        </w:rPr>
        <w:instrText xml:space="preserve"> PAGEREF _Toc196405547 \h </w:instrText>
      </w:r>
      <w:r>
        <w:rPr>
          <w:noProof/>
        </w:rPr>
      </w:r>
      <w:r>
        <w:rPr>
          <w:noProof/>
        </w:rPr>
        <w:fldChar w:fldCharType="separate"/>
      </w:r>
      <w:r>
        <w:rPr>
          <w:noProof/>
        </w:rPr>
        <w:t>4</w:t>
      </w:r>
      <w:r>
        <w:rPr>
          <w:noProof/>
        </w:rPr>
        <w:fldChar w:fldCharType="end"/>
      </w:r>
    </w:p>
    <w:p w14:paraId="39A7D35D" w14:textId="2CF7694E" w:rsidR="00A317C0" w:rsidRDefault="00A317C0">
      <w:pPr>
        <w:pStyle w:val="TOC2"/>
        <w:tabs>
          <w:tab w:val="left" w:pos="1000"/>
        </w:tabs>
        <w:rPr>
          <w:rFonts w:asciiTheme="minorHAnsi" w:eastAsiaTheme="minorEastAsia" w:hAnsiTheme="minorHAnsi" w:cstheme="minorBidi"/>
          <w:noProof/>
          <w:szCs w:val="22"/>
        </w:rPr>
      </w:pPr>
      <w:r w:rsidRPr="00B27EDB">
        <w:rPr>
          <w:bCs/>
          <w:noProof/>
        </w:rPr>
        <w:t>3.5</w:t>
      </w:r>
      <w:r>
        <w:rPr>
          <w:rFonts w:asciiTheme="minorHAnsi" w:eastAsiaTheme="minorEastAsia" w:hAnsiTheme="minorHAnsi" w:cstheme="minorBidi"/>
          <w:noProof/>
          <w:szCs w:val="22"/>
        </w:rPr>
        <w:tab/>
      </w:r>
      <w:r w:rsidRPr="00B27EDB">
        <w:rPr>
          <w:bCs/>
          <w:noProof/>
        </w:rPr>
        <w:t>Inputs - Predecessor Charge Codes or Pre-calculations</w:t>
      </w:r>
      <w:r>
        <w:rPr>
          <w:noProof/>
        </w:rPr>
        <w:tab/>
      </w:r>
      <w:r>
        <w:rPr>
          <w:noProof/>
        </w:rPr>
        <w:fldChar w:fldCharType="begin"/>
      </w:r>
      <w:r>
        <w:rPr>
          <w:noProof/>
        </w:rPr>
        <w:instrText xml:space="preserve"> PAGEREF _Toc196405548 \h </w:instrText>
      </w:r>
      <w:r>
        <w:rPr>
          <w:noProof/>
        </w:rPr>
      </w:r>
      <w:r>
        <w:rPr>
          <w:noProof/>
        </w:rPr>
        <w:fldChar w:fldCharType="separate"/>
      </w:r>
      <w:r>
        <w:rPr>
          <w:noProof/>
        </w:rPr>
        <w:t>5</w:t>
      </w:r>
      <w:r>
        <w:rPr>
          <w:noProof/>
        </w:rPr>
        <w:fldChar w:fldCharType="end"/>
      </w:r>
    </w:p>
    <w:p w14:paraId="76646322" w14:textId="7B0094F4" w:rsidR="00A317C0" w:rsidRDefault="00A317C0">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_Toc196405549 \h </w:instrText>
      </w:r>
      <w:r>
        <w:rPr>
          <w:noProof/>
        </w:rPr>
      </w:r>
      <w:r>
        <w:rPr>
          <w:noProof/>
        </w:rPr>
        <w:fldChar w:fldCharType="separate"/>
      </w:r>
      <w:r>
        <w:rPr>
          <w:noProof/>
        </w:rPr>
        <w:t>6</w:t>
      </w:r>
      <w:r>
        <w:rPr>
          <w:noProof/>
        </w:rPr>
        <w:fldChar w:fldCharType="end"/>
      </w:r>
    </w:p>
    <w:p w14:paraId="043C1314" w14:textId="326EDD1E" w:rsidR="00A317C0" w:rsidRDefault="00A317C0">
      <w:pPr>
        <w:pStyle w:val="TOC2"/>
        <w:tabs>
          <w:tab w:val="left" w:pos="1000"/>
        </w:tabs>
        <w:rPr>
          <w:rFonts w:asciiTheme="minorHAnsi" w:eastAsiaTheme="minorEastAsia" w:hAnsiTheme="minorHAnsi" w:cstheme="minorBidi"/>
          <w:noProof/>
          <w:szCs w:val="22"/>
        </w:rPr>
      </w:pPr>
      <w:r w:rsidRPr="00B27EDB">
        <w:rPr>
          <w:bCs/>
          <w:noProof/>
        </w:rPr>
        <w:t>3.7</w:t>
      </w:r>
      <w:r>
        <w:rPr>
          <w:rFonts w:asciiTheme="minorHAnsi" w:eastAsiaTheme="minorEastAsia" w:hAnsiTheme="minorHAnsi" w:cstheme="minorBidi"/>
          <w:noProof/>
          <w:szCs w:val="22"/>
        </w:rPr>
        <w:tab/>
      </w:r>
      <w:r w:rsidRPr="00B27EDB">
        <w:rPr>
          <w:bCs/>
          <w:noProof/>
        </w:rPr>
        <w:t>Outputs</w:t>
      </w:r>
      <w:r>
        <w:rPr>
          <w:noProof/>
        </w:rPr>
        <w:tab/>
      </w:r>
      <w:r>
        <w:rPr>
          <w:noProof/>
        </w:rPr>
        <w:fldChar w:fldCharType="begin"/>
      </w:r>
      <w:r>
        <w:rPr>
          <w:noProof/>
        </w:rPr>
        <w:instrText xml:space="preserve"> PAGEREF _Toc196405550 \h </w:instrText>
      </w:r>
      <w:r>
        <w:rPr>
          <w:noProof/>
        </w:rPr>
      </w:r>
      <w:r>
        <w:rPr>
          <w:noProof/>
        </w:rPr>
        <w:fldChar w:fldCharType="separate"/>
      </w:r>
      <w:r>
        <w:rPr>
          <w:noProof/>
        </w:rPr>
        <w:t>7</w:t>
      </w:r>
      <w:r>
        <w:rPr>
          <w:noProof/>
        </w:rPr>
        <w:fldChar w:fldCharType="end"/>
      </w:r>
    </w:p>
    <w:p w14:paraId="0FB4A655" w14:textId="1898C425" w:rsidR="00A317C0" w:rsidRDefault="00A317C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_Toc196405551 \h </w:instrText>
      </w:r>
      <w:r>
        <w:rPr>
          <w:noProof/>
        </w:rPr>
      </w:r>
      <w:r>
        <w:rPr>
          <w:noProof/>
        </w:rPr>
        <w:fldChar w:fldCharType="separate"/>
      </w:r>
      <w:r>
        <w:rPr>
          <w:noProof/>
        </w:rPr>
        <w:t>9</w:t>
      </w:r>
      <w:r>
        <w:rPr>
          <w:noProof/>
        </w:rPr>
        <w:fldChar w:fldCharType="end"/>
      </w:r>
    </w:p>
    <w:p w14:paraId="4FE112DA" w14:textId="77B7D535" w:rsidR="00701B48" w:rsidRPr="00B81D0A" w:rsidRDefault="00D74992" w:rsidP="00045213">
      <w:pPr>
        <w:pStyle w:val="Title"/>
        <w:rPr>
          <w:color w:val="0000FF"/>
          <w:sz w:val="16"/>
          <w:szCs w:val="16"/>
        </w:rPr>
      </w:pPr>
      <w:r w:rsidRPr="00B81D0A">
        <w:rPr>
          <w:szCs w:val="22"/>
        </w:rPr>
        <w:fldChar w:fldCharType="end"/>
      </w:r>
      <w:r w:rsidR="00701B48" w:rsidRPr="00B81D0A">
        <w:br w:type="page"/>
      </w:r>
    </w:p>
    <w:p w14:paraId="4FE112DB" w14:textId="77777777" w:rsidR="00701B48" w:rsidRPr="00B81D0A" w:rsidRDefault="009F0098" w:rsidP="009F0098">
      <w:pPr>
        <w:pStyle w:val="Heading1"/>
      </w:pPr>
      <w:bookmarkStart w:id="1" w:name="_Toc423410238"/>
      <w:bookmarkStart w:id="2" w:name="_Toc425054504"/>
      <w:bookmarkStart w:id="3" w:name="_Toc196405539"/>
      <w:r w:rsidRPr="00B81D0A">
        <w:lastRenderedPageBreak/>
        <w:t>Purpose of Documen</w:t>
      </w:r>
      <w:r w:rsidR="00701B48" w:rsidRPr="00B81D0A">
        <w:t>t</w:t>
      </w:r>
      <w:bookmarkEnd w:id="3"/>
    </w:p>
    <w:p w14:paraId="4FE112DC" w14:textId="77777777" w:rsidR="009F0098" w:rsidRPr="00B81D0A" w:rsidRDefault="009F0098" w:rsidP="009F0098"/>
    <w:p w14:paraId="4FE112DD" w14:textId="77777777" w:rsidR="00701B48" w:rsidRPr="00B81D0A" w:rsidRDefault="00701B48">
      <w:pPr>
        <w:pStyle w:val="BodyText"/>
        <w:rPr>
          <w:rFonts w:cs="Arial"/>
        </w:rPr>
      </w:pPr>
      <w:r w:rsidRPr="00B81D0A">
        <w:rPr>
          <w:rFonts w:cs="Arial"/>
        </w:rPr>
        <w:t>The purpose of this document is to capture the requirements and design specification for a Charge Code in one document.</w:t>
      </w:r>
    </w:p>
    <w:p w14:paraId="4FE112F7" w14:textId="77777777" w:rsidR="00701B48" w:rsidRPr="00B81D0A" w:rsidRDefault="00701B48" w:rsidP="00977132">
      <w:pPr>
        <w:pStyle w:val="Heading1"/>
      </w:pPr>
      <w:bookmarkStart w:id="4" w:name="_Toc128909812"/>
      <w:bookmarkStart w:id="5" w:name="_Toc128909867"/>
      <w:bookmarkStart w:id="6" w:name="_Toc128909941"/>
      <w:bookmarkStart w:id="7" w:name="_Toc128909985"/>
      <w:bookmarkStart w:id="8" w:name="_Toc196405540"/>
      <w:bookmarkEnd w:id="4"/>
      <w:bookmarkEnd w:id="5"/>
      <w:bookmarkEnd w:id="6"/>
      <w:bookmarkEnd w:id="7"/>
      <w:r w:rsidRPr="00B81D0A">
        <w:t>Introduction</w:t>
      </w:r>
      <w:bookmarkEnd w:id="8"/>
    </w:p>
    <w:p w14:paraId="4FE112F8" w14:textId="77777777" w:rsidR="009F0098" w:rsidRPr="00B81D0A" w:rsidRDefault="009F0098" w:rsidP="009F0098"/>
    <w:p w14:paraId="4FE112F9" w14:textId="77777777" w:rsidR="00701B48" w:rsidRPr="00FC2A71" w:rsidRDefault="00701B48">
      <w:pPr>
        <w:pStyle w:val="Heading2"/>
        <w:rPr>
          <w:rFonts w:cs="Arial"/>
          <w:szCs w:val="22"/>
        </w:rPr>
      </w:pPr>
      <w:bookmarkStart w:id="9" w:name="_Toc196405541"/>
      <w:r w:rsidRPr="00FC2A71">
        <w:rPr>
          <w:rFonts w:cs="Arial"/>
          <w:szCs w:val="22"/>
        </w:rPr>
        <w:t>Background</w:t>
      </w:r>
      <w:bookmarkEnd w:id="9"/>
    </w:p>
    <w:p w14:paraId="4FE112FA" w14:textId="77777777" w:rsidR="00764AE3" w:rsidRPr="00FC2A71" w:rsidRDefault="00764AE3" w:rsidP="00764AE3">
      <w:pPr>
        <w:rPr>
          <w:rFonts w:cs="Arial"/>
          <w:szCs w:val="22"/>
        </w:rPr>
      </w:pPr>
    </w:p>
    <w:p w14:paraId="4FE112FB" w14:textId="77777777" w:rsidR="00764AE3" w:rsidRDefault="00C10B11" w:rsidP="00764AE3">
      <w:pPr>
        <w:pStyle w:val="BodyText"/>
        <w:rPr>
          <w:rFonts w:cs="Arial"/>
          <w:szCs w:val="22"/>
        </w:rPr>
      </w:pPr>
      <w:r>
        <w:rPr>
          <w:rFonts w:cs="Arial"/>
          <w:szCs w:val="22"/>
        </w:rPr>
        <w:t>The CAISO calculates and accounts for GHG settlements in respective GHG Regulation Area and resources dispatched from non-GHG regulation areas to serve load in GHG Regulation Areas</w:t>
      </w:r>
      <w:r w:rsidR="00764AE3" w:rsidRPr="00FC2A71">
        <w:rPr>
          <w:rFonts w:cs="Arial"/>
          <w:szCs w:val="22"/>
        </w:rPr>
        <w:t>.</w:t>
      </w:r>
    </w:p>
    <w:p w14:paraId="4FE112FC" w14:textId="77777777" w:rsidR="00C10B11" w:rsidRDefault="00C10B11" w:rsidP="00764AE3">
      <w:pPr>
        <w:pStyle w:val="BodyText"/>
        <w:rPr>
          <w:rFonts w:cs="Arial"/>
          <w:szCs w:val="22"/>
        </w:rPr>
      </w:pPr>
      <w:r>
        <w:rPr>
          <w:rFonts w:cs="Arial"/>
          <w:szCs w:val="22"/>
        </w:rPr>
        <w:t>Day Ahead GHG Settlement includes:</w:t>
      </w:r>
    </w:p>
    <w:p w14:paraId="4FE112FD" w14:textId="77777777" w:rsidR="00C10B11" w:rsidRDefault="00C10B11" w:rsidP="00764AE3">
      <w:pPr>
        <w:pStyle w:val="BodyText"/>
        <w:rPr>
          <w:rFonts w:cs="Arial"/>
          <w:szCs w:val="22"/>
        </w:rPr>
      </w:pPr>
      <w:r>
        <w:rPr>
          <w:rFonts w:cs="Arial"/>
          <w:szCs w:val="22"/>
        </w:rPr>
        <w:tab/>
        <w:t>Day Ahead Greenhouse Gas Emission Cost Revenue (CC 8310)</w:t>
      </w:r>
    </w:p>
    <w:p w14:paraId="4FE112FE" w14:textId="77777777" w:rsidR="00C10B11" w:rsidRPr="00FC2A71" w:rsidRDefault="00C10B11" w:rsidP="00764AE3">
      <w:pPr>
        <w:pStyle w:val="BodyText"/>
        <w:rPr>
          <w:rFonts w:cs="Arial"/>
          <w:szCs w:val="22"/>
        </w:rPr>
      </w:pPr>
      <w:r>
        <w:rPr>
          <w:rFonts w:cs="Arial"/>
          <w:szCs w:val="22"/>
        </w:rPr>
        <w:t>To the extent that the sum of the Settlement Amounts for DA GHG does not equal zero within the EDAM footprint, there will be charges assessed or payments made in Day Ahead Greenhouse Gas Offset ( CC 8315) for the resulting differen</w:t>
      </w:r>
      <w:r w:rsidR="00B54B12">
        <w:rPr>
          <w:rFonts w:cs="Arial"/>
          <w:szCs w:val="22"/>
        </w:rPr>
        <w:t>ces to the GHG Regulation Area or non-GHG Regulation Area’s</w:t>
      </w:r>
      <w:r>
        <w:rPr>
          <w:rFonts w:cs="Arial"/>
          <w:szCs w:val="22"/>
        </w:rPr>
        <w:t xml:space="preserve"> metered demand.</w:t>
      </w:r>
    </w:p>
    <w:p w14:paraId="4FE112FF" w14:textId="77777777" w:rsidR="00977132" w:rsidRPr="00FC2A71" w:rsidRDefault="009F0098">
      <w:pPr>
        <w:pStyle w:val="BodyText"/>
        <w:rPr>
          <w:rFonts w:cs="Arial"/>
          <w:szCs w:val="22"/>
        </w:rPr>
      </w:pPr>
      <w:r w:rsidRPr="00FC2A71">
        <w:rPr>
          <w:rFonts w:cs="Arial"/>
          <w:szCs w:val="22"/>
        </w:rPr>
        <w:t xml:space="preserve">  </w:t>
      </w:r>
      <w:r w:rsidR="00701B48" w:rsidRPr="00FC2A71">
        <w:rPr>
          <w:rFonts w:cs="Arial"/>
          <w:szCs w:val="22"/>
        </w:rPr>
        <w:t xml:space="preserve">   </w:t>
      </w:r>
    </w:p>
    <w:p w14:paraId="4FE11300" w14:textId="77777777" w:rsidR="00701B48" w:rsidRPr="00FC2A71" w:rsidRDefault="00701B48" w:rsidP="00B85294">
      <w:pPr>
        <w:pStyle w:val="Heading2"/>
        <w:keepNext w:val="0"/>
        <w:rPr>
          <w:rFonts w:cs="Arial"/>
          <w:bCs/>
          <w:szCs w:val="22"/>
        </w:rPr>
      </w:pPr>
      <w:bookmarkStart w:id="10" w:name="_Toc196405542"/>
      <w:r w:rsidRPr="00FC2A71">
        <w:rPr>
          <w:rFonts w:cs="Arial"/>
          <w:bCs/>
          <w:szCs w:val="22"/>
        </w:rPr>
        <w:t>Description</w:t>
      </w:r>
      <w:bookmarkEnd w:id="10"/>
    </w:p>
    <w:p w14:paraId="4FE11301" w14:textId="77777777" w:rsidR="00BF4F05" w:rsidRPr="00FC2A71" w:rsidRDefault="00BF4F05" w:rsidP="00BF4F05">
      <w:pPr>
        <w:pStyle w:val="BodyText"/>
        <w:keepNext/>
        <w:keepLines w:val="0"/>
        <w:widowControl/>
        <w:rPr>
          <w:rFonts w:cs="Arial"/>
          <w:color w:val="0000FF"/>
          <w:szCs w:val="22"/>
        </w:rPr>
      </w:pPr>
    </w:p>
    <w:p w14:paraId="4FE11302" w14:textId="77777777" w:rsidR="00701B48" w:rsidRPr="00FC2A71" w:rsidRDefault="00B54B12" w:rsidP="00B54B12">
      <w:pPr>
        <w:pStyle w:val="BodyText"/>
        <w:rPr>
          <w:rFonts w:cs="Arial"/>
          <w:szCs w:val="22"/>
        </w:rPr>
      </w:pPr>
      <w:r>
        <w:rPr>
          <w:rFonts w:cs="Arial"/>
          <w:szCs w:val="22"/>
        </w:rPr>
        <w:t>The calculation of Day Ahead Greenhouse Gas Offset includes the settlement of Day Ahead Greenhouse Gas Compensation. To the extent that the sum of the Settlement Amounts for EDAM Greenhouse Gas Compensation does not equal zero, the CAISO will assess Charges or make Payments in Day Ahead Greenhouse Gas Offset (CC 8315) for the resulting differences to the EDAM Entity Scheduling Coordinator for the GHG Regulation Area or non-GHG Regulation Area.</w:t>
      </w:r>
      <w:r w:rsidR="009F0098" w:rsidRPr="00FC2A71">
        <w:rPr>
          <w:rFonts w:cs="Arial"/>
          <w:szCs w:val="22"/>
        </w:rPr>
        <w:t xml:space="preserve"> </w:t>
      </w:r>
      <w:r w:rsidR="00701B48" w:rsidRPr="00FC2A71">
        <w:rPr>
          <w:rFonts w:cs="Arial"/>
          <w:szCs w:val="22"/>
        </w:rPr>
        <w:t xml:space="preserve"> </w:t>
      </w:r>
      <w:bookmarkStart w:id="11" w:name="_Toc71713291"/>
      <w:bookmarkStart w:id="12" w:name="_Toc72834803"/>
      <w:bookmarkStart w:id="13" w:name="_Toc72908700"/>
    </w:p>
    <w:p w14:paraId="4FE11303" w14:textId="77777777" w:rsidR="00701B48" w:rsidRPr="00B81D0A" w:rsidRDefault="00701B48" w:rsidP="00977132">
      <w:pPr>
        <w:pStyle w:val="Heading1"/>
      </w:pPr>
      <w:bookmarkStart w:id="14" w:name="_Toc196405543"/>
      <w:r w:rsidRPr="00B81D0A">
        <w:t>Charge Code Requirements</w:t>
      </w:r>
      <w:bookmarkEnd w:id="14"/>
    </w:p>
    <w:p w14:paraId="4FE11304" w14:textId="77777777" w:rsidR="00977132" w:rsidRPr="00B81D0A" w:rsidRDefault="00977132"/>
    <w:p w14:paraId="4FE11305" w14:textId="77777777" w:rsidR="00977132" w:rsidRPr="00B81D0A" w:rsidRDefault="00977132" w:rsidP="00977132">
      <w:pPr>
        <w:pStyle w:val="Heading2"/>
        <w:rPr>
          <w:bCs/>
        </w:rPr>
      </w:pPr>
      <w:bookmarkStart w:id="15" w:name="_Toc196405544"/>
      <w:r w:rsidRPr="00B81D0A">
        <w:rPr>
          <w:bCs/>
        </w:rPr>
        <w:t>Business Rules</w:t>
      </w:r>
      <w:bookmarkEnd w:id="15"/>
    </w:p>
    <w:p w14:paraId="4FE11306" w14:textId="77777777" w:rsidR="00977132" w:rsidRPr="00B81D0A" w:rsidRDefault="00977132" w:rsidP="00977132"/>
    <w:tbl>
      <w:tblPr>
        <w:tblW w:w="88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693"/>
      </w:tblGrid>
      <w:tr w:rsidR="00977132" w:rsidRPr="00B81D0A" w14:paraId="4FE11309" w14:textId="77777777" w:rsidTr="002A25EA">
        <w:trPr>
          <w:tblHeader/>
        </w:trPr>
        <w:tc>
          <w:tcPr>
            <w:tcW w:w="1170" w:type="dxa"/>
            <w:shd w:val="clear" w:color="auto" w:fill="D9D9D9"/>
            <w:vAlign w:val="center"/>
          </w:tcPr>
          <w:p w14:paraId="4FE11307" w14:textId="77777777" w:rsidR="00977132" w:rsidRPr="00B81D0A" w:rsidRDefault="00977132" w:rsidP="00C708A8">
            <w:pPr>
              <w:pStyle w:val="TableBoldCharCharCharCharChar1Char"/>
              <w:keepNext/>
              <w:ind w:left="119"/>
              <w:jc w:val="center"/>
              <w:rPr>
                <w:sz w:val="22"/>
              </w:rPr>
            </w:pPr>
            <w:r w:rsidRPr="00B81D0A">
              <w:rPr>
                <w:sz w:val="22"/>
              </w:rPr>
              <w:t>Bus Req ID</w:t>
            </w:r>
          </w:p>
        </w:tc>
        <w:tc>
          <w:tcPr>
            <w:tcW w:w="7693" w:type="dxa"/>
            <w:shd w:val="clear" w:color="auto" w:fill="D9D9D9"/>
            <w:vAlign w:val="center"/>
          </w:tcPr>
          <w:p w14:paraId="4FE11308" w14:textId="77777777" w:rsidR="00977132" w:rsidRPr="00B81D0A" w:rsidRDefault="00977132" w:rsidP="008874C2">
            <w:pPr>
              <w:pStyle w:val="TableBoldCharCharCharCharChar1Char"/>
              <w:keepNext/>
              <w:ind w:left="119"/>
              <w:jc w:val="center"/>
              <w:rPr>
                <w:sz w:val="22"/>
              </w:rPr>
            </w:pPr>
            <w:r w:rsidRPr="00B81D0A">
              <w:rPr>
                <w:sz w:val="22"/>
              </w:rPr>
              <w:t>Business Rule</w:t>
            </w:r>
          </w:p>
        </w:tc>
      </w:tr>
      <w:tr w:rsidR="00B54B12" w:rsidRPr="00B81D0A" w14:paraId="4FE1130C" w14:textId="77777777" w:rsidTr="002A25EA">
        <w:tc>
          <w:tcPr>
            <w:tcW w:w="1170" w:type="dxa"/>
          </w:tcPr>
          <w:p w14:paraId="4FE1130A" w14:textId="77777777" w:rsidR="00B54B12" w:rsidRPr="00B54B12" w:rsidRDefault="00B54B12" w:rsidP="002A25EA">
            <w:pPr>
              <w:pStyle w:val="TableText0"/>
              <w:numPr>
                <w:ilvl w:val="0"/>
                <w:numId w:val="13"/>
              </w:numPr>
              <w:jc w:val="center"/>
            </w:pPr>
          </w:p>
        </w:tc>
        <w:tc>
          <w:tcPr>
            <w:tcW w:w="7693" w:type="dxa"/>
          </w:tcPr>
          <w:p w14:paraId="4FE1130B" w14:textId="77777777" w:rsidR="00B54B12" w:rsidRPr="00B54B12" w:rsidRDefault="00B54B12" w:rsidP="00B27A5C">
            <w:pPr>
              <w:rPr>
                <w:rFonts w:cs="Arial"/>
                <w:sz w:val="20"/>
              </w:rPr>
            </w:pPr>
            <w:r w:rsidRPr="00B54B12">
              <w:rPr>
                <w:rFonts w:cs="Arial"/>
                <w:sz w:val="20"/>
              </w:rPr>
              <w:t>This Charge Code shall be calculated and output on an hourly Settlement Interval basis.</w:t>
            </w:r>
          </w:p>
        </w:tc>
      </w:tr>
      <w:tr w:rsidR="00977132" w:rsidRPr="00B81D0A" w14:paraId="4FE11310" w14:textId="77777777" w:rsidTr="002A25EA">
        <w:tc>
          <w:tcPr>
            <w:tcW w:w="1170" w:type="dxa"/>
          </w:tcPr>
          <w:p w14:paraId="4FE1130D" w14:textId="77777777" w:rsidR="00977132" w:rsidRPr="00B81D0A" w:rsidRDefault="00977132" w:rsidP="002A25EA">
            <w:pPr>
              <w:pStyle w:val="TableText0"/>
              <w:numPr>
                <w:ilvl w:val="0"/>
                <w:numId w:val="13"/>
              </w:numPr>
              <w:jc w:val="center"/>
            </w:pPr>
          </w:p>
        </w:tc>
        <w:tc>
          <w:tcPr>
            <w:tcW w:w="7693" w:type="dxa"/>
          </w:tcPr>
          <w:p w14:paraId="4FE1130E" w14:textId="77777777" w:rsidR="00087040" w:rsidRDefault="00B27A5C" w:rsidP="00087040">
            <w:pPr>
              <w:rPr>
                <w:rFonts w:cs="Arial"/>
                <w:b/>
                <w:sz w:val="20"/>
              </w:rPr>
            </w:pPr>
            <w:r w:rsidRPr="00CE795E">
              <w:rPr>
                <w:rFonts w:cs="Arial"/>
                <w:b/>
                <w:sz w:val="20"/>
              </w:rPr>
              <w:t xml:space="preserve">DAM GHG </w:t>
            </w:r>
            <w:r w:rsidR="00087040">
              <w:rPr>
                <w:rFonts w:cs="Arial"/>
                <w:b/>
                <w:sz w:val="20"/>
              </w:rPr>
              <w:t>Offset</w:t>
            </w:r>
          </w:p>
          <w:p w14:paraId="4FE1130F" w14:textId="77777777" w:rsidR="00087040" w:rsidRPr="00087040" w:rsidRDefault="00B27A5C" w:rsidP="00087040">
            <w:pPr>
              <w:rPr>
                <w:rFonts w:cs="Arial"/>
                <w:sz w:val="20"/>
              </w:rPr>
            </w:pPr>
            <w:r w:rsidRPr="00CE795E">
              <w:rPr>
                <w:rFonts w:cs="Arial"/>
                <w:sz w:val="20"/>
              </w:rPr>
              <w:t>Marginal GHG Offset</w:t>
            </w:r>
            <w:r>
              <w:rPr>
                <w:rFonts w:cs="Arial"/>
                <w:sz w:val="20"/>
              </w:rPr>
              <w:t xml:space="preserve"> for each GHG regulation area is the </w:t>
            </w:r>
            <w:r w:rsidRPr="00CE795E">
              <w:rPr>
                <w:rFonts w:cs="Arial"/>
                <w:sz w:val="20"/>
              </w:rPr>
              <w:t>sum</w:t>
            </w:r>
            <w:r w:rsidRPr="00CE795E" w:rsidDel="006B2A6C">
              <w:rPr>
                <w:rFonts w:cs="Arial"/>
                <w:sz w:val="20"/>
              </w:rPr>
              <w:t xml:space="preserve"> </w:t>
            </w:r>
            <w:r>
              <w:rPr>
                <w:rFonts w:cs="Arial"/>
                <w:sz w:val="20"/>
              </w:rPr>
              <w:t>of the product</w:t>
            </w:r>
            <w:r w:rsidRPr="00CE795E">
              <w:rPr>
                <w:rFonts w:cs="Arial"/>
                <w:sz w:val="20"/>
              </w:rPr>
              <w:t xml:space="preserve"> of</w:t>
            </w:r>
            <w:r w:rsidR="00087040">
              <w:rPr>
                <w:rFonts w:cs="Arial"/>
                <w:sz w:val="20"/>
              </w:rPr>
              <w:t>;</w:t>
            </w:r>
            <w:r w:rsidRPr="00CE795E">
              <w:rPr>
                <w:rFonts w:cs="Arial"/>
                <w:sz w:val="20"/>
              </w:rPr>
              <w:t xml:space="preserve"> </w:t>
            </w:r>
            <w:r w:rsidR="00087040">
              <w:rPr>
                <w:rFonts w:cs="Arial"/>
                <w:sz w:val="20"/>
              </w:rPr>
              <w:t>Day Ahead Energy schedule, Convergence Bid award,</w:t>
            </w:r>
            <w:r>
              <w:rPr>
                <w:rFonts w:cs="Arial"/>
                <w:sz w:val="20"/>
              </w:rPr>
              <w:t xml:space="preserve"> M</w:t>
            </w:r>
            <w:r w:rsidR="00087040">
              <w:rPr>
                <w:rFonts w:cs="Arial"/>
                <w:sz w:val="20"/>
              </w:rPr>
              <w:t xml:space="preserve">arginal </w:t>
            </w:r>
            <w:r>
              <w:rPr>
                <w:rFonts w:cs="Arial"/>
                <w:sz w:val="20"/>
              </w:rPr>
              <w:t>G</w:t>
            </w:r>
            <w:r w:rsidR="00087040">
              <w:rPr>
                <w:rFonts w:cs="Arial"/>
                <w:sz w:val="20"/>
              </w:rPr>
              <w:t>reenhouse Gas Attribution</w:t>
            </w:r>
            <w:r>
              <w:rPr>
                <w:rFonts w:cs="Arial"/>
                <w:sz w:val="20"/>
              </w:rPr>
              <w:t xml:space="preserve"> </w:t>
            </w:r>
            <w:r w:rsidR="00087040">
              <w:rPr>
                <w:rFonts w:cs="Arial"/>
                <w:sz w:val="20"/>
              </w:rPr>
              <w:t xml:space="preserve">and </w:t>
            </w:r>
            <w:r>
              <w:rPr>
                <w:rFonts w:cs="Arial"/>
                <w:sz w:val="20"/>
              </w:rPr>
              <w:t>G</w:t>
            </w:r>
            <w:r w:rsidRPr="00CE795E">
              <w:rPr>
                <w:rFonts w:cs="Arial"/>
                <w:sz w:val="20"/>
              </w:rPr>
              <w:t>HG payment</w:t>
            </w:r>
            <w:r>
              <w:rPr>
                <w:rFonts w:cs="Arial"/>
                <w:sz w:val="20"/>
              </w:rPr>
              <w:t xml:space="preserve"> for that </w:t>
            </w:r>
            <w:r w:rsidR="00087040">
              <w:rPr>
                <w:rFonts w:cs="Arial"/>
                <w:sz w:val="20"/>
              </w:rPr>
              <w:t xml:space="preserve">GHG </w:t>
            </w:r>
            <w:r>
              <w:rPr>
                <w:rFonts w:cs="Arial"/>
                <w:sz w:val="20"/>
              </w:rPr>
              <w:t>regulation area</w:t>
            </w:r>
            <w:r w:rsidR="00087040">
              <w:rPr>
                <w:rFonts w:cs="Arial"/>
                <w:sz w:val="20"/>
              </w:rPr>
              <w:t xml:space="preserve"> and the applicable Marginal GHG Cost.</w:t>
            </w:r>
          </w:p>
        </w:tc>
      </w:tr>
      <w:tr w:rsidR="00087040" w:rsidRPr="00B81D0A" w14:paraId="4FE11313" w14:textId="77777777" w:rsidTr="002A25EA">
        <w:tc>
          <w:tcPr>
            <w:tcW w:w="1170" w:type="dxa"/>
          </w:tcPr>
          <w:p w14:paraId="4FE11311" w14:textId="77777777" w:rsidR="00087040" w:rsidRPr="00B81D0A" w:rsidRDefault="00087040" w:rsidP="002A25EA">
            <w:pPr>
              <w:pStyle w:val="TableText0"/>
              <w:numPr>
                <w:ilvl w:val="0"/>
                <w:numId w:val="13"/>
              </w:numPr>
              <w:jc w:val="center"/>
            </w:pPr>
          </w:p>
        </w:tc>
        <w:tc>
          <w:tcPr>
            <w:tcW w:w="7693" w:type="dxa"/>
          </w:tcPr>
          <w:p w14:paraId="4FE11312" w14:textId="77777777" w:rsidR="00087040" w:rsidRPr="00087040" w:rsidRDefault="00087040" w:rsidP="00B27A5C">
            <w:pPr>
              <w:rPr>
                <w:rFonts w:cs="Arial"/>
                <w:sz w:val="20"/>
              </w:rPr>
            </w:pPr>
            <w:r>
              <w:rPr>
                <w:rFonts w:cs="Arial"/>
                <w:sz w:val="20"/>
              </w:rPr>
              <w:t>Calculation of DAM GHG Offset e</w:t>
            </w:r>
            <w:r w:rsidRPr="00087040">
              <w:rPr>
                <w:rFonts w:cs="Arial"/>
                <w:sz w:val="20"/>
              </w:rPr>
              <w:t>xclude</w:t>
            </w:r>
            <w:r>
              <w:rPr>
                <w:rFonts w:cs="Arial"/>
                <w:sz w:val="20"/>
              </w:rPr>
              <w:t>s</w:t>
            </w:r>
            <w:r w:rsidRPr="00087040">
              <w:rPr>
                <w:rFonts w:cs="Arial"/>
                <w:sz w:val="20"/>
              </w:rPr>
              <w:t xml:space="preserve"> NPM resources</w:t>
            </w:r>
            <w:r>
              <w:rPr>
                <w:rFonts w:cs="Arial"/>
                <w:sz w:val="20"/>
              </w:rPr>
              <w:t>.</w:t>
            </w:r>
          </w:p>
        </w:tc>
      </w:tr>
      <w:tr w:rsidR="00917DF4" w:rsidRPr="00B81D0A" w14:paraId="4FE11316" w14:textId="77777777" w:rsidTr="006E7D7D">
        <w:tc>
          <w:tcPr>
            <w:tcW w:w="1170" w:type="dxa"/>
          </w:tcPr>
          <w:p w14:paraId="4FE11314" w14:textId="77777777" w:rsidR="00917DF4" w:rsidRPr="00B81D0A" w:rsidDel="00D96658" w:rsidRDefault="00917DF4" w:rsidP="006E7D7D">
            <w:pPr>
              <w:pStyle w:val="TableText0"/>
              <w:numPr>
                <w:ilvl w:val="0"/>
                <w:numId w:val="13"/>
              </w:numPr>
              <w:jc w:val="center"/>
            </w:pPr>
          </w:p>
        </w:tc>
        <w:tc>
          <w:tcPr>
            <w:tcW w:w="7693" w:type="dxa"/>
          </w:tcPr>
          <w:p w14:paraId="4FE11315" w14:textId="77777777" w:rsidR="00917DF4" w:rsidRPr="00B81D0A" w:rsidRDefault="00917DF4" w:rsidP="00087040">
            <w:pPr>
              <w:pStyle w:val="TableText0"/>
              <w:ind w:left="0"/>
            </w:pPr>
            <w:r w:rsidRPr="00B81D0A">
              <w:t>The term net export i</w:t>
            </w:r>
            <w:r>
              <w:t>s from the perspective of the EDA</w:t>
            </w:r>
            <w:r w:rsidRPr="00B81D0A">
              <w:t xml:space="preserve">M Entity Area to the </w:t>
            </w:r>
            <w:r>
              <w:t>GHG Regulation Area (fact)</w:t>
            </w:r>
          </w:p>
        </w:tc>
      </w:tr>
      <w:tr w:rsidR="0085212F" w:rsidRPr="00B81D0A" w14:paraId="4FE11319" w14:textId="77777777" w:rsidTr="006E7D7D">
        <w:tc>
          <w:tcPr>
            <w:tcW w:w="1170" w:type="dxa"/>
          </w:tcPr>
          <w:p w14:paraId="4FE11317" w14:textId="77777777" w:rsidR="0085212F" w:rsidRPr="00B81D0A" w:rsidDel="00D96658" w:rsidRDefault="0085212F" w:rsidP="006E7D7D">
            <w:pPr>
              <w:pStyle w:val="TableText0"/>
              <w:numPr>
                <w:ilvl w:val="0"/>
                <w:numId w:val="13"/>
              </w:numPr>
              <w:jc w:val="center"/>
            </w:pPr>
          </w:p>
        </w:tc>
        <w:tc>
          <w:tcPr>
            <w:tcW w:w="7693" w:type="dxa"/>
          </w:tcPr>
          <w:p w14:paraId="4FE11318" w14:textId="77777777" w:rsidR="0085212F" w:rsidRPr="00B81D0A" w:rsidRDefault="0085212F" w:rsidP="00087040">
            <w:pPr>
              <w:pStyle w:val="TableText0"/>
              <w:ind w:left="0"/>
            </w:pPr>
            <w:r>
              <w:t xml:space="preserve">The allocation of the Day </w:t>
            </w:r>
            <w:r w:rsidR="009E0892">
              <w:t>Ahead Greenhouse Gas Offset shall be to the Greenhouse Gas regulation area</w:t>
            </w:r>
            <w:r w:rsidR="00087040">
              <w:t>’s metered demand.</w:t>
            </w:r>
          </w:p>
        </w:tc>
      </w:tr>
      <w:tr w:rsidR="00977132" w:rsidRPr="00B81D0A" w14:paraId="4FE1131C" w14:textId="77777777" w:rsidTr="002A25EA">
        <w:tc>
          <w:tcPr>
            <w:tcW w:w="1170" w:type="dxa"/>
          </w:tcPr>
          <w:p w14:paraId="4FE1131A" w14:textId="77777777" w:rsidR="00977132" w:rsidRPr="00B81D0A" w:rsidRDefault="00977132" w:rsidP="002A25EA">
            <w:pPr>
              <w:pStyle w:val="TableText0"/>
              <w:numPr>
                <w:ilvl w:val="0"/>
                <w:numId w:val="13"/>
              </w:numPr>
              <w:jc w:val="center"/>
            </w:pPr>
          </w:p>
        </w:tc>
        <w:tc>
          <w:tcPr>
            <w:tcW w:w="7693" w:type="dxa"/>
          </w:tcPr>
          <w:p w14:paraId="4FE1131B" w14:textId="77777777" w:rsidR="00977132" w:rsidRPr="00B81D0A" w:rsidRDefault="00231750" w:rsidP="008874C2">
            <w:pPr>
              <w:pStyle w:val="TableText0"/>
              <w:rPr>
                <w:rFonts w:cs="Arial"/>
              </w:rPr>
            </w:pPr>
            <w:r w:rsidRPr="00B81D0A">
              <w:rPr>
                <w:rFonts w:cs="Arial"/>
                <w:szCs w:val="22"/>
              </w:rPr>
              <w:t>For adjustments to the Charge Code that cannot be accomplished by correction of upstream data inputs</w:t>
            </w:r>
            <w:r w:rsidR="00E70991" w:rsidRPr="00B81D0A">
              <w:rPr>
                <w:rFonts w:cs="Arial"/>
                <w:szCs w:val="22"/>
              </w:rPr>
              <w:t xml:space="preserve">, </w:t>
            </w:r>
            <w:r w:rsidRPr="00B81D0A">
              <w:rPr>
                <w:rFonts w:cs="Arial"/>
                <w:szCs w:val="22"/>
              </w:rPr>
              <w:t>recalculation or operator override, Pass Through Bill Charge logic will be applied.</w:t>
            </w:r>
          </w:p>
        </w:tc>
      </w:tr>
    </w:tbl>
    <w:p w14:paraId="4FE1131D" w14:textId="77777777" w:rsidR="00977132" w:rsidRPr="00B81D0A" w:rsidRDefault="00977132" w:rsidP="004658D7">
      <w:pPr>
        <w:pStyle w:val="StyleBodyTextBodyTextChar1BodyTextCharCharbBodyTextCha"/>
      </w:pPr>
    </w:p>
    <w:p w14:paraId="4FE1135D" w14:textId="77777777" w:rsidR="00701B48" w:rsidRPr="00B81D0A" w:rsidRDefault="00701B48" w:rsidP="009F0098">
      <w:pPr>
        <w:pStyle w:val="Heading2"/>
        <w:rPr>
          <w:bCs/>
        </w:rPr>
      </w:pPr>
      <w:bookmarkStart w:id="16" w:name="_Toc128909951"/>
      <w:bookmarkStart w:id="17" w:name="_Toc128909995"/>
      <w:bookmarkStart w:id="18" w:name="_Toc196405545"/>
      <w:bookmarkEnd w:id="16"/>
      <w:bookmarkEnd w:id="17"/>
      <w:r w:rsidRPr="00B81D0A">
        <w:rPr>
          <w:bCs/>
        </w:rPr>
        <w:t>Predecessor Charge Codes</w:t>
      </w:r>
      <w:bookmarkEnd w:id="18"/>
    </w:p>
    <w:p w14:paraId="4FE1135E" w14:textId="77777777" w:rsidR="00701B48" w:rsidRPr="00B81D0A" w:rsidRDefault="00701B48">
      <w:pPr>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B81D0A" w14:paraId="4FE11360" w14:textId="77777777">
        <w:trPr>
          <w:tblHeader/>
        </w:trPr>
        <w:tc>
          <w:tcPr>
            <w:tcW w:w="8547" w:type="dxa"/>
            <w:shd w:val="clear" w:color="auto" w:fill="D9D9D9"/>
          </w:tcPr>
          <w:p w14:paraId="4FE1135F" w14:textId="77777777" w:rsidR="00701B48" w:rsidRPr="00B81D0A" w:rsidRDefault="00701B48">
            <w:pPr>
              <w:pStyle w:val="TableBoldCharCharCharCharChar1Char"/>
              <w:keepNext/>
              <w:ind w:left="119"/>
              <w:jc w:val="center"/>
              <w:rPr>
                <w:sz w:val="22"/>
              </w:rPr>
            </w:pPr>
            <w:r w:rsidRPr="00B81D0A">
              <w:rPr>
                <w:sz w:val="22"/>
              </w:rPr>
              <w:t>Charge Code/ Pre-</w:t>
            </w:r>
            <w:r w:rsidR="003B5215" w:rsidRPr="00B81D0A">
              <w:rPr>
                <w:sz w:val="22"/>
              </w:rPr>
              <w:t>c</w:t>
            </w:r>
            <w:r w:rsidRPr="00B81D0A">
              <w:rPr>
                <w:sz w:val="22"/>
              </w:rPr>
              <w:t>alc Name</w:t>
            </w:r>
          </w:p>
        </w:tc>
      </w:tr>
      <w:tr w:rsidR="00701B48" w:rsidRPr="00B81D0A" w14:paraId="4FE11362" w14:textId="77777777">
        <w:trPr>
          <w:cantSplit/>
        </w:trPr>
        <w:tc>
          <w:tcPr>
            <w:tcW w:w="8547" w:type="dxa"/>
          </w:tcPr>
          <w:p w14:paraId="4FE11361" w14:textId="77777777" w:rsidR="00701B48" w:rsidRPr="00B81D0A" w:rsidRDefault="00615B6A" w:rsidP="00C555C5">
            <w:pPr>
              <w:pStyle w:val="TableText0"/>
              <w:ind w:left="0"/>
            </w:pPr>
            <w:r>
              <w:t>CC 8310 Day Ahead Green House Gas Emission Cost Revenue</w:t>
            </w:r>
          </w:p>
        </w:tc>
      </w:tr>
    </w:tbl>
    <w:p w14:paraId="4FE11363" w14:textId="77777777" w:rsidR="00701B48" w:rsidRPr="00B81D0A" w:rsidRDefault="00701B48" w:rsidP="004658D7">
      <w:pPr>
        <w:pStyle w:val="StyleBodyTextBodyTextChar1BodyTextCharCharbBodyTextCha"/>
      </w:pPr>
    </w:p>
    <w:p w14:paraId="4FE11364" w14:textId="77777777" w:rsidR="00701B48" w:rsidRPr="00B81D0A" w:rsidRDefault="00701B48" w:rsidP="009F0098">
      <w:pPr>
        <w:pStyle w:val="Heading2"/>
        <w:rPr>
          <w:bCs/>
        </w:rPr>
      </w:pPr>
      <w:bookmarkStart w:id="19" w:name="_Toc196405546"/>
      <w:r w:rsidRPr="00B81D0A">
        <w:rPr>
          <w:bCs/>
        </w:rPr>
        <w:t>Successor Charge Codes</w:t>
      </w:r>
      <w:bookmarkEnd w:id="19"/>
    </w:p>
    <w:p w14:paraId="4FE11365" w14:textId="77777777" w:rsidR="00701B48" w:rsidRPr="00B81D0A" w:rsidRDefault="00701B48"/>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B81D0A" w14:paraId="4FE11367" w14:textId="77777777">
        <w:trPr>
          <w:tblHeader/>
        </w:trPr>
        <w:tc>
          <w:tcPr>
            <w:tcW w:w="8547" w:type="dxa"/>
            <w:shd w:val="clear" w:color="auto" w:fill="D9D9D9"/>
          </w:tcPr>
          <w:p w14:paraId="4FE11366" w14:textId="77777777" w:rsidR="00701B48" w:rsidRPr="00B81D0A" w:rsidRDefault="00701B48">
            <w:pPr>
              <w:pStyle w:val="TableBoldCharCharCharCharChar1Char"/>
              <w:keepNext/>
              <w:jc w:val="center"/>
              <w:rPr>
                <w:sz w:val="22"/>
              </w:rPr>
            </w:pPr>
            <w:r w:rsidRPr="00B81D0A">
              <w:rPr>
                <w:sz w:val="22"/>
              </w:rPr>
              <w:t>Charge Code/ Pre-calc Name</w:t>
            </w:r>
          </w:p>
        </w:tc>
      </w:tr>
      <w:tr w:rsidR="00701B48" w:rsidRPr="00B81D0A" w14:paraId="4FE11369" w14:textId="77777777">
        <w:trPr>
          <w:cantSplit/>
        </w:trPr>
        <w:tc>
          <w:tcPr>
            <w:tcW w:w="8547" w:type="dxa"/>
          </w:tcPr>
          <w:p w14:paraId="4FE11368" w14:textId="77777777" w:rsidR="00701B48" w:rsidRPr="00B81D0A" w:rsidRDefault="00265F52" w:rsidP="00917DF4">
            <w:pPr>
              <w:pStyle w:val="TableText0"/>
              <w:ind w:left="0"/>
            </w:pPr>
            <w:r w:rsidRPr="00A317C0">
              <w:rPr>
                <w:highlight w:val="yellow"/>
              </w:rPr>
              <w:t>CC 8404 Day Ahead Energy and Marginal Loss Offset</w:t>
            </w:r>
          </w:p>
        </w:tc>
      </w:tr>
      <w:tr w:rsidR="00705FF7" w:rsidRPr="00B81D0A" w14:paraId="4FE1136B" w14:textId="77777777">
        <w:trPr>
          <w:cantSplit/>
        </w:trPr>
        <w:tc>
          <w:tcPr>
            <w:tcW w:w="8547" w:type="dxa"/>
          </w:tcPr>
          <w:p w14:paraId="4FE1136A" w14:textId="77777777" w:rsidR="00705FF7" w:rsidRPr="00B81D0A" w:rsidRDefault="00705FF7" w:rsidP="00917DF4">
            <w:pPr>
              <w:pStyle w:val="TableText0"/>
              <w:ind w:left="0"/>
              <w:rPr>
                <w:color w:val="FF0000"/>
              </w:rPr>
            </w:pPr>
          </w:p>
        </w:tc>
      </w:tr>
    </w:tbl>
    <w:p w14:paraId="4FE1136C" w14:textId="77777777" w:rsidR="00701B48" w:rsidRPr="00B81D0A" w:rsidRDefault="00701B48">
      <w:pPr>
        <w:pStyle w:val="BodyText"/>
      </w:pPr>
    </w:p>
    <w:p w14:paraId="4FE1136D" w14:textId="77777777" w:rsidR="00701B48" w:rsidRPr="00B81D0A" w:rsidRDefault="00701B48" w:rsidP="009F0098">
      <w:pPr>
        <w:pStyle w:val="Heading2"/>
        <w:rPr>
          <w:bCs/>
        </w:rPr>
      </w:pPr>
      <w:bookmarkStart w:id="20" w:name="_Toc124836036"/>
      <w:bookmarkStart w:id="21" w:name="_Toc126036280"/>
      <w:bookmarkStart w:id="22" w:name="_Toc127354327"/>
      <w:bookmarkStart w:id="23" w:name="_Toc128908946"/>
      <w:bookmarkStart w:id="24" w:name="_Toc128909020"/>
      <w:bookmarkStart w:id="25" w:name="_Toc128909061"/>
      <w:bookmarkStart w:id="26" w:name="_Toc128909101"/>
      <w:bookmarkStart w:id="27" w:name="_Toc128909216"/>
      <w:bookmarkStart w:id="28" w:name="_Toc128909267"/>
      <w:bookmarkStart w:id="29" w:name="_Toc128909306"/>
      <w:bookmarkStart w:id="30" w:name="_Toc128909379"/>
      <w:bookmarkStart w:id="31" w:name="_Toc128909417"/>
      <w:bookmarkStart w:id="32" w:name="_Toc128909520"/>
      <w:bookmarkStart w:id="33" w:name="_Toc128909558"/>
      <w:bookmarkStart w:id="34" w:name="_Toc128909596"/>
      <w:bookmarkStart w:id="35" w:name="_Toc128909634"/>
      <w:bookmarkStart w:id="36" w:name="_Toc128909672"/>
      <w:bookmarkStart w:id="37" w:name="_Toc128909710"/>
      <w:bookmarkStart w:id="38" w:name="_Toc128909748"/>
      <w:bookmarkStart w:id="39" w:name="_Toc128909786"/>
      <w:bookmarkStart w:id="40" w:name="_Toc128909826"/>
      <w:bookmarkStart w:id="41" w:name="_Toc128909885"/>
      <w:bookmarkStart w:id="42" w:name="_Toc128909960"/>
      <w:bookmarkStart w:id="43" w:name="_Toc128910004"/>
      <w:bookmarkStart w:id="44" w:name="_Toc124829536"/>
      <w:bookmarkStart w:id="45" w:name="_Toc124829613"/>
      <w:bookmarkStart w:id="46" w:name="_Toc1964055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81D0A">
        <w:rPr>
          <w:bCs/>
        </w:rPr>
        <w:t>Input</w:t>
      </w:r>
      <w:bookmarkStart w:id="47" w:name="_Ref118516076"/>
      <w:bookmarkStart w:id="48" w:name="_Toc118518302"/>
      <w:r w:rsidR="009F0098" w:rsidRPr="00B81D0A">
        <w:rPr>
          <w:bCs/>
        </w:rPr>
        <w:t>s - External Systems</w:t>
      </w:r>
      <w:bookmarkEnd w:id="46"/>
      <w:r w:rsidRPr="00B81D0A">
        <w:rPr>
          <w:bCs/>
        </w:rPr>
        <w:t xml:space="preserve"> </w:t>
      </w:r>
    </w:p>
    <w:p w14:paraId="4FE1136E" w14:textId="77777777" w:rsidR="00977132" w:rsidRPr="00B81D0A" w:rsidRDefault="00977132" w:rsidP="00977132"/>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539"/>
        <w:gridCol w:w="1933"/>
      </w:tblGrid>
      <w:tr w:rsidR="00C32098" w:rsidRPr="00B81D0A" w14:paraId="4FE11372" w14:textId="77777777" w:rsidTr="00457D3F">
        <w:tc>
          <w:tcPr>
            <w:tcW w:w="907" w:type="dxa"/>
            <w:shd w:val="clear" w:color="auto" w:fill="D9D9D9"/>
            <w:vAlign w:val="center"/>
          </w:tcPr>
          <w:p w14:paraId="4FE1136F" w14:textId="77777777" w:rsidR="00701B48" w:rsidRPr="00B81D0A" w:rsidRDefault="00701B48" w:rsidP="003B5215">
            <w:pPr>
              <w:pStyle w:val="TableBoldCharCharCharCharChar1Char"/>
              <w:keepNext/>
              <w:ind w:left="119"/>
              <w:jc w:val="center"/>
              <w:rPr>
                <w:sz w:val="22"/>
              </w:rPr>
            </w:pPr>
            <w:r w:rsidRPr="00B81D0A">
              <w:rPr>
                <w:sz w:val="22"/>
              </w:rPr>
              <w:lastRenderedPageBreak/>
              <w:t>Row #</w:t>
            </w:r>
          </w:p>
        </w:tc>
        <w:tc>
          <w:tcPr>
            <w:tcW w:w="5701" w:type="dxa"/>
            <w:shd w:val="clear" w:color="auto" w:fill="D9D9D9"/>
            <w:vAlign w:val="center"/>
          </w:tcPr>
          <w:p w14:paraId="4FE11370" w14:textId="77777777" w:rsidR="00701B48" w:rsidRPr="00B81D0A" w:rsidRDefault="00701B48" w:rsidP="003B5215">
            <w:pPr>
              <w:pStyle w:val="TableBoldCharCharCharCharChar1Char"/>
              <w:keepNext/>
              <w:ind w:left="119"/>
              <w:jc w:val="center"/>
              <w:rPr>
                <w:sz w:val="22"/>
              </w:rPr>
            </w:pPr>
            <w:r w:rsidRPr="00B81D0A">
              <w:rPr>
                <w:sz w:val="22"/>
              </w:rPr>
              <w:t>Variable Name</w:t>
            </w:r>
          </w:p>
        </w:tc>
        <w:tc>
          <w:tcPr>
            <w:tcW w:w="1985" w:type="dxa"/>
            <w:shd w:val="clear" w:color="auto" w:fill="D9D9D9"/>
            <w:vAlign w:val="center"/>
          </w:tcPr>
          <w:p w14:paraId="4FE11371" w14:textId="77777777" w:rsidR="00701B48" w:rsidRPr="00B81D0A" w:rsidRDefault="00701B48" w:rsidP="003B5215">
            <w:pPr>
              <w:pStyle w:val="TableBoldCharCharCharCharChar1Char"/>
              <w:keepNext/>
              <w:ind w:left="119"/>
              <w:jc w:val="center"/>
              <w:rPr>
                <w:sz w:val="22"/>
              </w:rPr>
            </w:pPr>
            <w:r w:rsidRPr="00B81D0A">
              <w:rPr>
                <w:sz w:val="22"/>
              </w:rPr>
              <w:t>Description</w:t>
            </w:r>
          </w:p>
        </w:tc>
      </w:tr>
      <w:tr w:rsidR="00C32098" w:rsidRPr="00B81D0A" w14:paraId="4FE11376" w14:textId="77777777" w:rsidTr="00457D3F">
        <w:tc>
          <w:tcPr>
            <w:tcW w:w="907" w:type="dxa"/>
          </w:tcPr>
          <w:p w14:paraId="4FE11373" w14:textId="77777777" w:rsidR="00701B48" w:rsidRPr="00B81D0A" w:rsidRDefault="00C32098">
            <w:pPr>
              <w:pStyle w:val="TableText0"/>
              <w:jc w:val="center"/>
              <w:rPr>
                <w:rFonts w:cs="Arial"/>
              </w:rPr>
            </w:pPr>
            <w:r w:rsidRPr="00B81D0A">
              <w:rPr>
                <w:rFonts w:cs="Arial"/>
              </w:rPr>
              <w:t>1</w:t>
            </w:r>
          </w:p>
        </w:tc>
        <w:tc>
          <w:tcPr>
            <w:tcW w:w="5701" w:type="dxa"/>
          </w:tcPr>
          <w:p w14:paraId="4FE11374" w14:textId="1F945A2F" w:rsidR="00701B48" w:rsidRPr="00B81D0A" w:rsidRDefault="00C32098" w:rsidP="000525F3">
            <w:pPr>
              <w:pStyle w:val="TableText0"/>
              <w:rPr>
                <w:rFonts w:cs="Arial"/>
              </w:rPr>
            </w:pPr>
            <w:r w:rsidRPr="00B81D0A">
              <w:t>PTB</w:t>
            </w:r>
            <w:r w:rsidR="005406C7" w:rsidRPr="00B81D0A">
              <w:t>Day</w:t>
            </w:r>
            <w:r w:rsidR="0000071D">
              <w:t>Ahead</w:t>
            </w:r>
            <w:r w:rsidR="00C97AF2" w:rsidRPr="00B81D0A">
              <w:t>GHG</w:t>
            </w:r>
            <w:r w:rsidR="000525F3" w:rsidRPr="00A317C0">
              <w:rPr>
                <w:highlight w:val="yellow"/>
              </w:rPr>
              <w:t>Offset</w:t>
            </w:r>
            <w:r w:rsidRPr="00B81D0A">
              <w:t xml:space="preserve">AdjustmentAmt </w:t>
            </w:r>
            <w:r w:rsidRPr="00B81D0A">
              <w:rPr>
                <w:iCs/>
                <w:sz w:val="28"/>
                <w:szCs w:val="28"/>
                <w:vertAlign w:val="subscript"/>
              </w:rPr>
              <w:t>B</w:t>
            </w:r>
            <w:r w:rsidR="0000071D">
              <w:rPr>
                <w:iCs/>
                <w:sz w:val="28"/>
                <w:szCs w:val="28"/>
                <w:vertAlign w:val="subscript"/>
              </w:rPr>
              <w:t>Q’G’’</w:t>
            </w:r>
            <w:r w:rsidRPr="00B81D0A">
              <w:rPr>
                <w:iCs/>
                <w:sz w:val="28"/>
                <w:szCs w:val="28"/>
                <w:vertAlign w:val="subscript"/>
              </w:rPr>
              <w:t>Jmd</w:t>
            </w:r>
          </w:p>
        </w:tc>
        <w:tc>
          <w:tcPr>
            <w:tcW w:w="1985" w:type="dxa"/>
          </w:tcPr>
          <w:p w14:paraId="4FE11375" w14:textId="77777777" w:rsidR="00701B48" w:rsidRPr="00B81D0A" w:rsidRDefault="00C32098">
            <w:pPr>
              <w:pStyle w:val="TableText0"/>
              <w:rPr>
                <w:rFonts w:cs="Arial"/>
              </w:rPr>
            </w:pPr>
            <w:r w:rsidRPr="00B81D0A">
              <w:rPr>
                <w:rFonts w:cs="Arial"/>
              </w:rPr>
              <w:t>PTB Charge Adjustment for this charge code.</w:t>
            </w:r>
          </w:p>
        </w:tc>
      </w:tr>
      <w:tr w:rsidR="00C97AF2" w:rsidRPr="00B81D0A" w14:paraId="4FE1137B" w14:textId="77777777" w:rsidTr="00457D3F">
        <w:tc>
          <w:tcPr>
            <w:tcW w:w="907" w:type="dxa"/>
          </w:tcPr>
          <w:p w14:paraId="4FE11377" w14:textId="77777777" w:rsidR="00C97AF2" w:rsidRPr="00B81D0A" w:rsidRDefault="00FC6682">
            <w:pPr>
              <w:pStyle w:val="TableText0"/>
              <w:jc w:val="center"/>
              <w:rPr>
                <w:rFonts w:cs="Arial"/>
              </w:rPr>
            </w:pPr>
            <w:r w:rsidRPr="00B81D0A">
              <w:rPr>
                <w:rFonts w:cs="Arial"/>
              </w:rPr>
              <w:t>2</w:t>
            </w:r>
          </w:p>
        </w:tc>
        <w:tc>
          <w:tcPr>
            <w:tcW w:w="5701" w:type="dxa"/>
          </w:tcPr>
          <w:p w14:paraId="4FE11378" w14:textId="77777777" w:rsidR="00C97AF2" w:rsidRPr="00B81D0A" w:rsidRDefault="0000071D" w:rsidP="009674FD">
            <w:pPr>
              <w:pStyle w:val="TableText0"/>
              <w:rPr>
                <w:iCs/>
                <w:sz w:val="28"/>
                <w:szCs w:val="28"/>
                <w:vertAlign w:val="subscript"/>
              </w:rPr>
            </w:pPr>
            <w:r>
              <w:t>EDA</w:t>
            </w:r>
            <w:r w:rsidR="00815D74" w:rsidRPr="00B81D0A">
              <w:t>M</w:t>
            </w:r>
            <w:r>
              <w:t>DAM</w:t>
            </w:r>
            <w:r w:rsidR="00C97AF2" w:rsidRPr="00B81D0A">
              <w:t>GHG</w:t>
            </w:r>
            <w:r>
              <w:t>Marginal</w:t>
            </w:r>
            <w:r w:rsidR="00705FF7" w:rsidRPr="00B81D0A">
              <w:t>P</w:t>
            </w:r>
            <w:r w:rsidR="00696394">
              <w:t>rc</w:t>
            </w:r>
            <w:r w:rsidR="00705FF7" w:rsidRPr="00B81D0A">
              <w:rPr>
                <w:color w:val="FF0000"/>
              </w:rPr>
              <w:t xml:space="preserve"> </w:t>
            </w:r>
            <w:r w:rsidR="00C66436" w:rsidRPr="00B81D0A">
              <w:rPr>
                <w:iCs/>
                <w:sz w:val="28"/>
                <w:szCs w:val="28"/>
                <w:vertAlign w:val="subscript"/>
              </w:rPr>
              <w:t>B</w:t>
            </w:r>
            <w:r w:rsidR="00705FF7" w:rsidRPr="00B81D0A">
              <w:rPr>
                <w:iCs/>
                <w:sz w:val="28"/>
                <w:szCs w:val="28"/>
                <w:vertAlign w:val="subscript"/>
              </w:rPr>
              <w:t>rtQ’</w:t>
            </w:r>
            <w:r w:rsidR="00E67533">
              <w:rPr>
                <w:iCs/>
                <w:sz w:val="28"/>
                <w:szCs w:val="28"/>
                <w:vertAlign w:val="subscript"/>
              </w:rPr>
              <w:t>G’’</w:t>
            </w:r>
            <w:r w:rsidR="008D0F89" w:rsidRPr="00B81D0A">
              <w:rPr>
                <w:iCs/>
                <w:sz w:val="28"/>
                <w:szCs w:val="28"/>
                <w:vertAlign w:val="subscript"/>
              </w:rPr>
              <w:t>md</w:t>
            </w:r>
            <w:r w:rsidR="00E67533">
              <w:rPr>
                <w:iCs/>
                <w:sz w:val="28"/>
                <w:szCs w:val="28"/>
                <w:vertAlign w:val="subscript"/>
              </w:rPr>
              <w:t>h</w:t>
            </w:r>
          </w:p>
          <w:p w14:paraId="4FE11379" w14:textId="77777777" w:rsidR="009674FD" w:rsidRPr="00B81D0A" w:rsidRDefault="009674FD" w:rsidP="009674FD">
            <w:pPr>
              <w:pStyle w:val="TableText0"/>
              <w:rPr>
                <w:color w:val="FF0000"/>
              </w:rPr>
            </w:pPr>
          </w:p>
        </w:tc>
        <w:tc>
          <w:tcPr>
            <w:tcW w:w="1985" w:type="dxa"/>
          </w:tcPr>
          <w:p w14:paraId="4FE1137A" w14:textId="77777777" w:rsidR="000303C1" w:rsidRPr="00B81D0A" w:rsidRDefault="00693E5D" w:rsidP="00E67533">
            <w:pPr>
              <w:pStyle w:val="TableText0"/>
              <w:rPr>
                <w:rFonts w:cs="Arial"/>
                <w:color w:val="FF0000"/>
              </w:rPr>
            </w:pPr>
            <w:r w:rsidRPr="00B81D0A">
              <w:rPr>
                <w:rFonts w:cs="Arial"/>
                <w:szCs w:val="20"/>
              </w:rPr>
              <w:t>The</w:t>
            </w:r>
            <w:r w:rsidR="00E67533">
              <w:rPr>
                <w:rFonts w:cs="Arial"/>
                <w:szCs w:val="20"/>
              </w:rPr>
              <w:t xml:space="preserve"> DAM</w:t>
            </w:r>
            <w:r w:rsidRPr="00B81D0A">
              <w:rPr>
                <w:rFonts w:cs="Arial"/>
                <w:szCs w:val="20"/>
              </w:rPr>
              <w:t xml:space="preserve"> </w:t>
            </w:r>
            <w:r w:rsidR="0000071D">
              <w:rPr>
                <w:rFonts w:cs="Arial"/>
                <w:szCs w:val="20"/>
              </w:rPr>
              <w:t xml:space="preserve">GHG shadow price component in the (LMPs) of </w:t>
            </w:r>
            <w:r w:rsidR="00E67533">
              <w:rPr>
                <w:rFonts w:cs="Arial"/>
                <w:szCs w:val="20"/>
              </w:rPr>
              <w:t>GHG Regulation Area by resource by hour.</w:t>
            </w:r>
          </w:p>
        </w:tc>
      </w:tr>
      <w:tr w:rsidR="003C2641" w:rsidRPr="00B81D0A" w14:paraId="4FE11381" w14:textId="77777777" w:rsidTr="00457D3F">
        <w:tc>
          <w:tcPr>
            <w:tcW w:w="907" w:type="dxa"/>
          </w:tcPr>
          <w:p w14:paraId="4FE1137C" w14:textId="77777777" w:rsidR="003C2641" w:rsidRPr="00B81D0A" w:rsidRDefault="003C2641" w:rsidP="003C2641">
            <w:pPr>
              <w:pStyle w:val="TableText0"/>
              <w:jc w:val="center"/>
              <w:rPr>
                <w:rFonts w:cs="Arial"/>
              </w:rPr>
            </w:pPr>
            <w:r>
              <w:rPr>
                <w:rFonts w:cs="Arial"/>
              </w:rPr>
              <w:t>3</w:t>
            </w:r>
          </w:p>
        </w:tc>
        <w:tc>
          <w:tcPr>
            <w:tcW w:w="5701" w:type="dxa"/>
          </w:tcPr>
          <w:p w14:paraId="4FE1137D" w14:textId="77777777" w:rsidR="003C2641" w:rsidRPr="00B81D0A" w:rsidRDefault="003C2641" w:rsidP="003C2641">
            <w:pPr>
              <w:pStyle w:val="TableText0"/>
              <w:rPr>
                <w:iCs/>
                <w:sz w:val="28"/>
                <w:szCs w:val="28"/>
                <w:vertAlign w:val="subscript"/>
              </w:rPr>
            </w:pPr>
            <w:r w:rsidRPr="00B81D0A">
              <w:t>BAResource</w:t>
            </w:r>
            <w:r>
              <w:t>EDA</w:t>
            </w:r>
            <w:r w:rsidR="00696394">
              <w:t>MGHGQ</w:t>
            </w:r>
            <w:r w:rsidRPr="00B81D0A">
              <w:t>ty</w:t>
            </w:r>
            <w:r w:rsidRPr="00B81D0A">
              <w:rPr>
                <w:rFonts w:cs="Arial"/>
                <w:color w:val="FF0000"/>
                <w:szCs w:val="22"/>
              </w:rPr>
              <w:t xml:space="preserve"> </w:t>
            </w:r>
            <w:r w:rsidRPr="00B81D0A">
              <w:rPr>
                <w:iCs/>
                <w:sz w:val="28"/>
                <w:szCs w:val="28"/>
                <w:vertAlign w:val="subscript"/>
              </w:rPr>
              <w:t>BrtQ’F’S’</w:t>
            </w:r>
            <w:r>
              <w:rPr>
                <w:iCs/>
                <w:sz w:val="28"/>
                <w:szCs w:val="28"/>
                <w:vertAlign w:val="subscript"/>
              </w:rPr>
              <w:t>G’’mdh</w:t>
            </w:r>
          </w:p>
          <w:p w14:paraId="4FE1137E" w14:textId="77777777" w:rsidR="003C2641" w:rsidRPr="00B81D0A" w:rsidRDefault="003C2641" w:rsidP="003C2641">
            <w:pPr>
              <w:pStyle w:val="TableText0"/>
              <w:rPr>
                <w:rFonts w:cs="Arial"/>
                <w:color w:val="FF0000"/>
                <w:szCs w:val="22"/>
              </w:rPr>
            </w:pPr>
          </w:p>
          <w:p w14:paraId="4FE1137F" w14:textId="77777777" w:rsidR="003C2641" w:rsidRPr="00B81D0A" w:rsidRDefault="003C2641" w:rsidP="003C2641">
            <w:pPr>
              <w:pStyle w:val="TableText0"/>
              <w:rPr>
                <w:color w:val="FF0000"/>
              </w:rPr>
            </w:pPr>
          </w:p>
        </w:tc>
        <w:tc>
          <w:tcPr>
            <w:tcW w:w="1985" w:type="dxa"/>
          </w:tcPr>
          <w:p w14:paraId="4FE11380" w14:textId="77777777" w:rsidR="003C2641" w:rsidRPr="00B81D0A" w:rsidRDefault="003C2641" w:rsidP="003C2641">
            <w:pPr>
              <w:pStyle w:val="TableText0"/>
              <w:rPr>
                <w:rFonts w:cs="Arial"/>
              </w:rPr>
            </w:pPr>
            <w:r w:rsidRPr="00B81D0A">
              <w:rPr>
                <w:rFonts w:cs="Arial"/>
              </w:rPr>
              <w:t xml:space="preserve">Net export (MW) to the </w:t>
            </w:r>
            <w:r>
              <w:rPr>
                <w:rFonts w:cs="Arial"/>
              </w:rPr>
              <w:t>GHG Regulation Area for each EDAM resource for GHG payment.</w:t>
            </w:r>
          </w:p>
        </w:tc>
      </w:tr>
      <w:tr w:rsidR="003C2641" w:rsidRPr="00B81D0A" w14:paraId="4FE11385" w14:textId="77777777" w:rsidTr="00457D3F">
        <w:tc>
          <w:tcPr>
            <w:tcW w:w="907" w:type="dxa"/>
          </w:tcPr>
          <w:p w14:paraId="4FE11382" w14:textId="77777777" w:rsidR="003C2641" w:rsidRPr="00B81D0A" w:rsidRDefault="003C2641" w:rsidP="003C2641">
            <w:pPr>
              <w:pStyle w:val="TableText0"/>
              <w:jc w:val="center"/>
              <w:rPr>
                <w:rFonts w:cs="Arial"/>
              </w:rPr>
            </w:pPr>
            <w:r>
              <w:rPr>
                <w:rFonts w:cs="Arial"/>
              </w:rPr>
              <w:t>4</w:t>
            </w:r>
          </w:p>
        </w:tc>
        <w:tc>
          <w:tcPr>
            <w:tcW w:w="5701" w:type="dxa"/>
          </w:tcPr>
          <w:p w14:paraId="4FE11383" w14:textId="77777777" w:rsidR="003C2641" w:rsidRPr="000B68CC" w:rsidRDefault="003C2641" w:rsidP="003C2641">
            <w:pPr>
              <w:pStyle w:val="TableText0"/>
              <w:rPr>
                <w:vertAlign w:val="subscript"/>
              </w:rPr>
            </w:pPr>
            <w:r>
              <w:t xml:space="preserve">BADAMBAAGHGRegAreaFlag </w:t>
            </w:r>
            <w:r>
              <w:rPr>
                <w:vertAlign w:val="subscript"/>
              </w:rPr>
              <w:t>BQ’G’’md</w:t>
            </w:r>
          </w:p>
        </w:tc>
        <w:tc>
          <w:tcPr>
            <w:tcW w:w="1985" w:type="dxa"/>
          </w:tcPr>
          <w:p w14:paraId="4FE11384" w14:textId="69914F9E" w:rsidR="003C2641" w:rsidRPr="00B81D0A" w:rsidRDefault="003C2641" w:rsidP="003C2641">
            <w:pPr>
              <w:pStyle w:val="TableText0"/>
              <w:rPr>
                <w:rFonts w:cs="Arial"/>
                <w:szCs w:val="20"/>
              </w:rPr>
            </w:pPr>
            <w:r>
              <w:rPr>
                <w:rFonts w:cs="Arial"/>
                <w:szCs w:val="20"/>
              </w:rPr>
              <w:t>Flag that identifies relationship between BAA and GHG Regulation Area</w:t>
            </w:r>
            <w:r w:rsidR="00392F66">
              <w:rPr>
                <w:rFonts w:cs="Arial"/>
                <w:szCs w:val="20"/>
              </w:rPr>
              <w:t xml:space="preserve"> </w:t>
            </w:r>
            <w:r w:rsidR="00392F66" w:rsidRPr="00A317C0">
              <w:rPr>
                <w:rFonts w:cs="Arial"/>
                <w:szCs w:val="20"/>
                <w:highlight w:val="yellow"/>
              </w:rPr>
              <w:t>in Day Ahead.</w:t>
            </w:r>
          </w:p>
        </w:tc>
      </w:tr>
      <w:tr w:rsidR="003C2641" w:rsidRPr="00B81D0A" w14:paraId="4FE11389" w14:textId="77777777" w:rsidTr="00E816DE">
        <w:tc>
          <w:tcPr>
            <w:tcW w:w="907" w:type="dxa"/>
          </w:tcPr>
          <w:p w14:paraId="4FE11386" w14:textId="77777777" w:rsidR="003C2641" w:rsidRDefault="005D7834" w:rsidP="003C2641">
            <w:pPr>
              <w:pStyle w:val="TableText0"/>
              <w:jc w:val="center"/>
              <w:rPr>
                <w:rFonts w:cs="Arial"/>
              </w:rPr>
            </w:pPr>
            <w:r>
              <w:rPr>
                <w:rFonts w:cs="Arial"/>
              </w:rPr>
              <w:t>5</w:t>
            </w:r>
          </w:p>
        </w:tc>
        <w:tc>
          <w:tcPr>
            <w:tcW w:w="5701" w:type="dxa"/>
            <w:vAlign w:val="center"/>
          </w:tcPr>
          <w:p w14:paraId="4FE11387" w14:textId="77777777" w:rsidR="003C2641" w:rsidRPr="00C23E88" w:rsidRDefault="003C2641" w:rsidP="003C2641">
            <w:pPr>
              <w:pStyle w:val="TableText0"/>
              <w:rPr>
                <w:rFonts w:cs="Arial"/>
                <w:szCs w:val="22"/>
              </w:rPr>
            </w:pPr>
            <w:r w:rsidRPr="00E816DE">
              <w:rPr>
                <w:rFonts w:cs="Arial"/>
                <w:szCs w:val="22"/>
              </w:rPr>
              <w:t>B</w:t>
            </w:r>
            <w:r w:rsidR="00696394">
              <w:rPr>
                <w:rFonts w:cs="Arial"/>
                <w:szCs w:val="22"/>
              </w:rPr>
              <w:t>AHourlyDAVirtualAwardNodalQ</w:t>
            </w:r>
            <w:r w:rsidR="00193F49">
              <w:rPr>
                <w:rFonts w:cs="Arial"/>
                <w:szCs w:val="22"/>
              </w:rPr>
              <w:t>uantity</w:t>
            </w:r>
            <w:r w:rsidRPr="00E816DE">
              <w:rPr>
                <w:rFonts w:cs="Arial"/>
                <w:szCs w:val="22"/>
              </w:rPr>
              <w:t xml:space="preserve"> </w:t>
            </w:r>
            <w:r w:rsidRPr="00E816DE">
              <w:rPr>
                <w:rStyle w:val="Subscript"/>
              </w:rPr>
              <w:t>B</w:t>
            </w:r>
            <w:r w:rsidR="003E3922">
              <w:rPr>
                <w:rStyle w:val="Subscript"/>
              </w:rPr>
              <w:t>Q’</w:t>
            </w:r>
            <w:r w:rsidRPr="00E816DE">
              <w:rPr>
                <w:rStyle w:val="Subscript"/>
                <w:bCs w:val="0"/>
              </w:rPr>
              <w:t>AA’Qpa</w:t>
            </w:r>
            <w:r w:rsidRPr="00E816DE">
              <w:rPr>
                <w:rStyle w:val="Subscript"/>
              </w:rPr>
              <w:t>y’mdh</w:t>
            </w:r>
          </w:p>
        </w:tc>
        <w:tc>
          <w:tcPr>
            <w:tcW w:w="1985" w:type="dxa"/>
            <w:vAlign w:val="center"/>
          </w:tcPr>
          <w:p w14:paraId="4FE11388" w14:textId="77777777" w:rsidR="003C2641" w:rsidRDefault="003C2641" w:rsidP="003C2641">
            <w:pPr>
              <w:pStyle w:val="TableText0"/>
              <w:rPr>
                <w:color w:val="000000"/>
                <w:sz w:val="23"/>
                <w:szCs w:val="23"/>
              </w:rPr>
            </w:pPr>
            <w:r w:rsidRPr="00C23E88">
              <w:rPr>
                <w:rFonts w:cs="Arial"/>
                <w:szCs w:val="22"/>
              </w:rPr>
              <w:t>The input provides the DA Virtual Award cleared Energy quantity in association with Business Associate. (MW)</w:t>
            </w:r>
          </w:p>
        </w:tc>
      </w:tr>
    </w:tbl>
    <w:p w14:paraId="4FE1138A" w14:textId="77777777" w:rsidR="00977132" w:rsidRPr="00B81D0A" w:rsidRDefault="00977132">
      <w:pPr>
        <w:pStyle w:val="CommentText"/>
      </w:pPr>
    </w:p>
    <w:p w14:paraId="4FE1138B" w14:textId="77777777" w:rsidR="00977132" w:rsidRPr="00B81D0A" w:rsidRDefault="00977132">
      <w:pPr>
        <w:pStyle w:val="CommentText"/>
      </w:pPr>
    </w:p>
    <w:p w14:paraId="4FE1138C" w14:textId="77777777" w:rsidR="00701B48" w:rsidRPr="00B81D0A" w:rsidRDefault="00701B48" w:rsidP="00977132">
      <w:pPr>
        <w:pStyle w:val="Heading2"/>
        <w:rPr>
          <w:bCs/>
        </w:rPr>
      </w:pPr>
      <w:bookmarkStart w:id="49" w:name="_Toc124326015"/>
      <w:bookmarkStart w:id="50" w:name="_Toc196405548"/>
      <w:r w:rsidRPr="00B81D0A">
        <w:rPr>
          <w:bCs/>
        </w:rPr>
        <w:t>Inputs</w:t>
      </w:r>
      <w:r w:rsidR="004815AE" w:rsidRPr="00B81D0A">
        <w:rPr>
          <w:bCs/>
        </w:rPr>
        <w:t xml:space="preserve"> </w:t>
      </w:r>
      <w:r w:rsidR="009F0098" w:rsidRPr="00B81D0A">
        <w:rPr>
          <w:bCs/>
        </w:rPr>
        <w:t xml:space="preserve">- </w:t>
      </w:r>
      <w:r w:rsidRPr="00B81D0A">
        <w:rPr>
          <w:bCs/>
        </w:rPr>
        <w:t>Predecessor Charge Code</w:t>
      </w:r>
      <w:bookmarkEnd w:id="49"/>
      <w:r w:rsidR="004A6EDB" w:rsidRPr="00B81D0A">
        <w:rPr>
          <w:bCs/>
        </w:rPr>
        <w:t>s</w:t>
      </w:r>
      <w:r w:rsidR="009F0098" w:rsidRPr="00B81D0A">
        <w:rPr>
          <w:bCs/>
        </w:rPr>
        <w:t xml:space="preserve"> or Pre-calculations</w:t>
      </w:r>
      <w:bookmarkEnd w:id="50"/>
      <w:r w:rsidR="009F0098" w:rsidRPr="00B81D0A">
        <w:rPr>
          <w:bCs/>
        </w:rPr>
        <w:t xml:space="preserve"> </w:t>
      </w:r>
    </w:p>
    <w:p w14:paraId="4FE1138D" w14:textId="77777777" w:rsidR="00701B48" w:rsidRPr="00B81D0A" w:rsidRDefault="00701B4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B81D0A" w14:paraId="4FE11392" w14:textId="77777777" w:rsidTr="00AE30AC">
        <w:trPr>
          <w:cantSplit/>
          <w:tblHeader/>
        </w:trPr>
        <w:tc>
          <w:tcPr>
            <w:tcW w:w="990" w:type="dxa"/>
            <w:shd w:val="clear" w:color="auto" w:fill="D9D9D9"/>
            <w:vAlign w:val="center"/>
          </w:tcPr>
          <w:p w14:paraId="4FE1138E" w14:textId="77777777" w:rsidR="00701B48" w:rsidRPr="00B81D0A" w:rsidRDefault="00701B48" w:rsidP="00977132">
            <w:pPr>
              <w:pStyle w:val="TableBoldCharCharCharCharChar1Char"/>
              <w:keepNext/>
              <w:ind w:left="119"/>
              <w:jc w:val="center"/>
              <w:rPr>
                <w:sz w:val="22"/>
              </w:rPr>
            </w:pPr>
            <w:r w:rsidRPr="00B81D0A">
              <w:rPr>
                <w:sz w:val="22"/>
              </w:rPr>
              <w:t>Row #</w:t>
            </w:r>
          </w:p>
        </w:tc>
        <w:tc>
          <w:tcPr>
            <w:tcW w:w="3420" w:type="dxa"/>
            <w:shd w:val="clear" w:color="auto" w:fill="D9D9D9"/>
            <w:vAlign w:val="center"/>
          </w:tcPr>
          <w:p w14:paraId="4FE1138F" w14:textId="77777777" w:rsidR="00701B48" w:rsidRPr="00B81D0A" w:rsidRDefault="00701B48" w:rsidP="00977132">
            <w:pPr>
              <w:pStyle w:val="TableBoldCharCharCharCharChar1Char"/>
              <w:keepNext/>
              <w:ind w:left="119"/>
              <w:jc w:val="center"/>
              <w:rPr>
                <w:sz w:val="22"/>
              </w:rPr>
            </w:pPr>
            <w:r w:rsidRPr="00B81D0A">
              <w:rPr>
                <w:sz w:val="22"/>
              </w:rPr>
              <w:t>Variable Name</w:t>
            </w:r>
          </w:p>
        </w:tc>
        <w:tc>
          <w:tcPr>
            <w:tcW w:w="4183" w:type="dxa"/>
            <w:shd w:val="clear" w:color="auto" w:fill="D9D9D9"/>
            <w:vAlign w:val="center"/>
          </w:tcPr>
          <w:p w14:paraId="4FE11390" w14:textId="77777777" w:rsidR="005135DE" w:rsidRPr="00B81D0A" w:rsidRDefault="00701B48" w:rsidP="00977132">
            <w:pPr>
              <w:pStyle w:val="TableBoldCharCharCharCharChar1Char"/>
              <w:keepNext/>
              <w:ind w:left="119"/>
              <w:jc w:val="center"/>
              <w:rPr>
                <w:sz w:val="22"/>
              </w:rPr>
            </w:pPr>
            <w:r w:rsidRPr="00B81D0A">
              <w:rPr>
                <w:sz w:val="22"/>
              </w:rPr>
              <w:t xml:space="preserve">Predecessor Charge Code/ </w:t>
            </w:r>
          </w:p>
          <w:p w14:paraId="4FE11391" w14:textId="77777777" w:rsidR="00701B48" w:rsidRPr="00B81D0A" w:rsidRDefault="00701B48" w:rsidP="00977132">
            <w:pPr>
              <w:pStyle w:val="TableBoldCharCharCharCharChar1Char"/>
              <w:keepNext/>
              <w:ind w:left="119"/>
              <w:jc w:val="center"/>
              <w:rPr>
                <w:sz w:val="22"/>
              </w:rPr>
            </w:pPr>
            <w:r w:rsidRPr="00B81D0A">
              <w:rPr>
                <w:sz w:val="22"/>
              </w:rPr>
              <w:t>Pre-calc Configuration</w:t>
            </w:r>
          </w:p>
        </w:tc>
      </w:tr>
      <w:tr w:rsidR="00CE24D8" w:rsidRPr="00B81D0A" w14:paraId="4FE11396" w14:textId="77777777" w:rsidTr="00AE30AC">
        <w:trPr>
          <w:cantSplit/>
        </w:trPr>
        <w:tc>
          <w:tcPr>
            <w:tcW w:w="990" w:type="dxa"/>
            <w:vAlign w:val="center"/>
          </w:tcPr>
          <w:p w14:paraId="4FE11393" w14:textId="77777777" w:rsidR="00CE24D8" w:rsidRDefault="0037743E" w:rsidP="004579A0">
            <w:pPr>
              <w:pStyle w:val="TableText0"/>
              <w:jc w:val="center"/>
              <w:rPr>
                <w:rFonts w:cs="Arial"/>
                <w:iCs/>
              </w:rPr>
            </w:pPr>
            <w:r>
              <w:rPr>
                <w:rFonts w:cs="Arial"/>
                <w:iCs/>
              </w:rPr>
              <w:t>1</w:t>
            </w:r>
          </w:p>
        </w:tc>
        <w:tc>
          <w:tcPr>
            <w:tcW w:w="3420" w:type="dxa"/>
            <w:vAlign w:val="center"/>
          </w:tcPr>
          <w:p w14:paraId="4FE11394" w14:textId="77777777" w:rsidR="00CE24D8" w:rsidRPr="00B81D0A" w:rsidRDefault="00CE24D8" w:rsidP="004579A0">
            <w:pPr>
              <w:pStyle w:val="TableText0"/>
            </w:pPr>
            <w:r w:rsidRPr="005A4858">
              <w:rPr>
                <w:rFonts w:cs="Arial"/>
                <w:color w:val="000000"/>
                <w:szCs w:val="22"/>
              </w:rPr>
              <w:t>SettlementIntervalResouceDayAheadEnergy</w:t>
            </w:r>
            <w:r w:rsidRPr="005A4858">
              <w:rPr>
                <w:rFonts w:cs="Arial"/>
                <w:color w:val="000000"/>
              </w:rPr>
              <w:t xml:space="preserve"> </w:t>
            </w:r>
            <w:r w:rsidRPr="005A4858">
              <w:rPr>
                <w:rStyle w:val="ConfigurationSubscript"/>
                <w:rFonts w:cs="Arial"/>
                <w:bCs/>
                <w:i/>
                <w:color w:val="000000"/>
                <w:sz w:val="24"/>
              </w:rPr>
              <w:t>BrtuT’I’</w:t>
            </w:r>
            <w:r w:rsidRPr="005A4858">
              <w:rPr>
                <w:rStyle w:val="ConfigurationSubscript"/>
                <w:rFonts w:cs="Arial"/>
                <w:i/>
                <w:color w:val="000000"/>
                <w:sz w:val="24"/>
              </w:rPr>
              <w:t>Q’</w:t>
            </w:r>
            <w:r w:rsidRPr="005A4858">
              <w:rPr>
                <w:rStyle w:val="ConfigurationSubscript"/>
                <w:rFonts w:cs="Arial"/>
                <w:bCs/>
                <w:i/>
                <w:color w:val="000000"/>
                <w:sz w:val="24"/>
              </w:rPr>
              <w:t>M’F’S’mdhcif</w:t>
            </w:r>
          </w:p>
        </w:tc>
        <w:tc>
          <w:tcPr>
            <w:tcW w:w="4183" w:type="dxa"/>
            <w:vAlign w:val="center"/>
          </w:tcPr>
          <w:p w14:paraId="4FE11395" w14:textId="77777777" w:rsidR="00CE24D8" w:rsidRDefault="00CE24D8" w:rsidP="004579A0">
            <w:pPr>
              <w:pStyle w:val="TableText0"/>
              <w:rPr>
                <w:color w:val="000000"/>
                <w:sz w:val="23"/>
                <w:szCs w:val="23"/>
              </w:rPr>
            </w:pPr>
            <w:r>
              <w:rPr>
                <w:color w:val="000000"/>
                <w:sz w:val="23"/>
                <w:szCs w:val="23"/>
              </w:rPr>
              <w:t>PC Real Time Energy Quantity</w:t>
            </w:r>
          </w:p>
        </w:tc>
      </w:tr>
      <w:tr w:rsidR="00411178" w:rsidRPr="00B81D0A" w14:paraId="4FE1139B" w14:textId="77777777" w:rsidTr="00AE30AC">
        <w:trPr>
          <w:cantSplit/>
        </w:trPr>
        <w:tc>
          <w:tcPr>
            <w:tcW w:w="990" w:type="dxa"/>
            <w:vAlign w:val="center"/>
          </w:tcPr>
          <w:p w14:paraId="4FE11397" w14:textId="77777777" w:rsidR="00411178" w:rsidRDefault="00411178" w:rsidP="004579A0">
            <w:pPr>
              <w:pStyle w:val="TableText0"/>
              <w:jc w:val="center"/>
              <w:rPr>
                <w:rFonts w:cs="Arial"/>
                <w:iCs/>
              </w:rPr>
            </w:pPr>
            <w:r>
              <w:rPr>
                <w:rFonts w:cs="Arial"/>
                <w:iCs/>
              </w:rPr>
              <w:lastRenderedPageBreak/>
              <w:t>2</w:t>
            </w:r>
          </w:p>
        </w:tc>
        <w:tc>
          <w:tcPr>
            <w:tcW w:w="3420" w:type="dxa"/>
            <w:vAlign w:val="center"/>
          </w:tcPr>
          <w:p w14:paraId="4FE11398" w14:textId="77777777" w:rsidR="00411178" w:rsidRPr="004C16EB" w:rsidRDefault="004C16EB" w:rsidP="00411178">
            <w:pPr>
              <w:pStyle w:val="Heading3"/>
              <w:numPr>
                <w:ilvl w:val="0"/>
                <w:numId w:val="0"/>
              </w:numPr>
              <w:rPr>
                <w:rStyle w:val="StyleConfigurationFormulaNotBoldNotItalicChar"/>
                <w:rFonts w:cs="Times New Roman"/>
                <w:b w:val="0"/>
                <w:bCs w:val="0"/>
                <w:i w:val="0"/>
                <w:iCs w:val="0"/>
                <w:szCs w:val="20"/>
                <w:vertAlign w:val="subscript"/>
              </w:rPr>
            </w:pPr>
            <w:r>
              <w:t xml:space="preserve">BABAAMeteredDemandQuantity </w:t>
            </w:r>
            <w:r>
              <w:rPr>
                <w:vertAlign w:val="subscript"/>
              </w:rPr>
              <w:t>BQ’mdh</w:t>
            </w:r>
          </w:p>
          <w:p w14:paraId="4FE11399" w14:textId="77777777" w:rsidR="00411178" w:rsidRPr="005A4858" w:rsidRDefault="00411178" w:rsidP="004579A0">
            <w:pPr>
              <w:pStyle w:val="TableText0"/>
              <w:rPr>
                <w:rFonts w:cs="Arial"/>
                <w:color w:val="000000"/>
                <w:szCs w:val="22"/>
              </w:rPr>
            </w:pPr>
          </w:p>
        </w:tc>
        <w:tc>
          <w:tcPr>
            <w:tcW w:w="4183" w:type="dxa"/>
            <w:vAlign w:val="center"/>
          </w:tcPr>
          <w:p w14:paraId="4FE1139A" w14:textId="77777777" w:rsidR="00411178" w:rsidRDefault="00411178" w:rsidP="004579A0">
            <w:pPr>
              <w:pStyle w:val="TableText0"/>
              <w:rPr>
                <w:color w:val="000000"/>
                <w:sz w:val="23"/>
                <w:szCs w:val="23"/>
              </w:rPr>
            </w:pPr>
            <w:r>
              <w:rPr>
                <w:color w:val="000000"/>
                <w:sz w:val="23"/>
                <w:szCs w:val="23"/>
              </w:rPr>
              <w:t>PC MSS Netting</w:t>
            </w:r>
          </w:p>
        </w:tc>
      </w:tr>
    </w:tbl>
    <w:p w14:paraId="4FE1139C" w14:textId="77777777" w:rsidR="00701B48" w:rsidRPr="00B81D0A" w:rsidRDefault="00701B48" w:rsidP="002A25EA">
      <w:pPr>
        <w:pStyle w:val="Body"/>
      </w:pPr>
    </w:p>
    <w:bookmarkEnd w:id="47"/>
    <w:bookmarkEnd w:id="48"/>
    <w:p w14:paraId="4FE1139D" w14:textId="77777777" w:rsidR="00701B48" w:rsidRPr="00B81D0A" w:rsidRDefault="00701B48">
      <w:pPr>
        <w:pStyle w:val="Heading2"/>
        <w:numPr>
          <w:ilvl w:val="0"/>
          <w:numId w:val="0"/>
        </w:numPr>
        <w:sectPr w:rsidR="00701B48" w:rsidRPr="00B81D0A" w:rsidSect="00777E2A">
          <w:endnotePr>
            <w:numFmt w:val="decimal"/>
          </w:endnotePr>
          <w:pgSz w:w="12240" w:h="15840" w:code="1"/>
          <w:pgMar w:top="1440" w:right="1325" w:bottom="1440" w:left="1440" w:header="360" w:footer="720" w:gutter="0"/>
          <w:cols w:space="720"/>
        </w:sectPr>
      </w:pPr>
    </w:p>
    <w:p w14:paraId="4FE1139E" w14:textId="77777777" w:rsidR="00701B48" w:rsidRPr="008A36DD" w:rsidRDefault="009F0098">
      <w:pPr>
        <w:pStyle w:val="Heading2"/>
      </w:pPr>
      <w:bookmarkStart w:id="51" w:name="_Toc196405549"/>
      <w:r w:rsidRPr="00B81D0A">
        <w:lastRenderedPageBreak/>
        <w:t xml:space="preserve">CAISO </w:t>
      </w:r>
      <w:r w:rsidRPr="008A36DD">
        <w:t>Formula</w:t>
      </w:r>
      <w:bookmarkEnd w:id="51"/>
    </w:p>
    <w:p w14:paraId="4FE1139F" w14:textId="77777777" w:rsidR="00701B48" w:rsidRPr="008A36DD" w:rsidRDefault="00701B48" w:rsidP="002A25EA">
      <w:pPr>
        <w:pStyle w:val="Body"/>
      </w:pPr>
    </w:p>
    <w:p w14:paraId="4FE113A0" w14:textId="77777777" w:rsidR="00701B48" w:rsidRPr="008A36DD" w:rsidRDefault="00701B48" w:rsidP="0030275E">
      <w:pPr>
        <w:pStyle w:val="BodyText"/>
        <w:ind w:hanging="720"/>
        <w:rPr>
          <w:rFonts w:cs="Arial"/>
        </w:rPr>
      </w:pPr>
      <w:r w:rsidRPr="008A36DD">
        <w:rPr>
          <w:rFonts w:cs="Arial"/>
        </w:rPr>
        <w:t xml:space="preserve">The daily uplift settlement of </w:t>
      </w:r>
      <w:r w:rsidR="00E67533" w:rsidRPr="008A36DD">
        <w:rPr>
          <w:rFonts w:cs="Arial"/>
        </w:rPr>
        <w:t xml:space="preserve">Day Ahead </w:t>
      </w:r>
      <w:r w:rsidR="00C92A1B" w:rsidRPr="008A36DD">
        <w:rPr>
          <w:rFonts w:cs="Arial"/>
          <w:szCs w:val="36"/>
        </w:rPr>
        <w:t>Green</w:t>
      </w:r>
      <w:r w:rsidR="008D0F89" w:rsidRPr="008A36DD">
        <w:rPr>
          <w:rFonts w:cs="Arial"/>
          <w:szCs w:val="36"/>
        </w:rPr>
        <w:t>h</w:t>
      </w:r>
      <w:r w:rsidR="00C92A1B" w:rsidRPr="008A36DD">
        <w:rPr>
          <w:rFonts w:cs="Arial"/>
          <w:szCs w:val="36"/>
        </w:rPr>
        <w:t>ouse Gas Emission Cost Revenue</w:t>
      </w:r>
      <w:r w:rsidR="00C92A1B" w:rsidRPr="008A36DD">
        <w:rPr>
          <w:rFonts w:cs="Arial"/>
        </w:rPr>
        <w:t xml:space="preserve"> </w:t>
      </w:r>
      <w:r w:rsidRPr="008A36DD">
        <w:rPr>
          <w:rFonts w:cs="Arial"/>
        </w:rPr>
        <w:t>for each resource is as follows:</w:t>
      </w:r>
    </w:p>
    <w:p w14:paraId="4FE113A1" w14:textId="77777777" w:rsidR="0037743E" w:rsidRPr="008A36DD" w:rsidRDefault="0037743E" w:rsidP="00C57908">
      <w:pPr>
        <w:pStyle w:val="Heading3"/>
        <w:rPr>
          <w:rStyle w:val="StyleConfigurationFormulaNotBoldNotItalicChar"/>
          <w:rFonts w:cs="Times New Roman"/>
          <w:b w:val="0"/>
          <w:bCs w:val="0"/>
          <w:i w:val="0"/>
          <w:iCs w:val="0"/>
          <w:szCs w:val="20"/>
        </w:rPr>
      </w:pPr>
      <w:bookmarkStart w:id="52" w:name="_Toc118518305"/>
      <w:r w:rsidRPr="008A36DD">
        <w:rPr>
          <w:rStyle w:val="StyleConfigurationFormulaNotBoldNotItalicChar"/>
          <w:rFonts w:cs="Times New Roman"/>
          <w:b w:val="0"/>
          <w:bCs w:val="0"/>
          <w:i w:val="0"/>
          <w:iCs w:val="0"/>
          <w:szCs w:val="20"/>
        </w:rPr>
        <w:t>GHGAreaOffset</w:t>
      </w:r>
      <w:r w:rsidR="006B6491" w:rsidRPr="008A36DD">
        <w:rPr>
          <w:rStyle w:val="StyleConfigurationFormulaNotBoldNotItalicChar"/>
          <w:rFonts w:cs="Times New Roman"/>
          <w:b w:val="0"/>
          <w:bCs w:val="0"/>
          <w:i w:val="0"/>
          <w:iCs w:val="0"/>
          <w:szCs w:val="20"/>
        </w:rPr>
        <w:t>Settlement</w:t>
      </w:r>
      <w:r w:rsidRPr="008A36DD">
        <w:rPr>
          <w:rStyle w:val="StyleConfigurationFormulaNotBoldNotItalicChar"/>
          <w:rFonts w:cs="Times New Roman"/>
          <w:b w:val="0"/>
          <w:bCs w:val="0"/>
          <w:i w:val="0"/>
          <w:iCs w:val="0"/>
          <w:szCs w:val="20"/>
        </w:rPr>
        <w:t>Amount</w:t>
      </w:r>
      <w:r w:rsidR="0058584A" w:rsidRPr="008A36DD">
        <w:rPr>
          <w:rStyle w:val="StyleConfigurationFormulaNotBoldNotItalicChar"/>
          <w:rFonts w:cs="Times New Roman"/>
          <w:b w:val="0"/>
          <w:bCs w:val="0"/>
          <w:i w:val="0"/>
          <w:iCs w:val="0"/>
          <w:szCs w:val="20"/>
        </w:rPr>
        <w:t xml:space="preserve"> </w:t>
      </w:r>
      <w:r w:rsidR="00E571CC" w:rsidRPr="008A36DD">
        <w:rPr>
          <w:rStyle w:val="StyleConfigurationFormulaNotBoldNotItalicChar"/>
          <w:rFonts w:cs="Times New Roman"/>
          <w:b w:val="0"/>
          <w:bCs w:val="0"/>
          <w:i w:val="0"/>
          <w:iCs w:val="0"/>
          <w:szCs w:val="20"/>
          <w:vertAlign w:val="subscript"/>
        </w:rPr>
        <w:t>BQ’G’’mdh</w:t>
      </w:r>
      <w:r w:rsidR="00E571CC" w:rsidRPr="008A36DD">
        <w:rPr>
          <w:rStyle w:val="StyleConfigurationFormulaNotBoldNotItalicChar"/>
          <w:rFonts w:cs="Times New Roman"/>
          <w:b w:val="0"/>
          <w:bCs w:val="0"/>
          <w:i w:val="0"/>
          <w:iCs w:val="0"/>
          <w:szCs w:val="20"/>
        </w:rPr>
        <w:t xml:space="preserve"> </w:t>
      </w:r>
      <w:r w:rsidR="0058584A" w:rsidRPr="008A36DD">
        <w:rPr>
          <w:rStyle w:val="StyleConfigurationFormulaNotBoldNotItalicChar"/>
          <w:rFonts w:cs="Times New Roman"/>
          <w:b w:val="0"/>
          <w:bCs w:val="0"/>
          <w:i w:val="0"/>
          <w:iCs w:val="0"/>
          <w:szCs w:val="20"/>
        </w:rPr>
        <w:t>=</w:t>
      </w:r>
    </w:p>
    <w:p w14:paraId="4FE113A2" w14:textId="77777777" w:rsidR="0058584A" w:rsidRPr="008A36DD" w:rsidRDefault="0058584A" w:rsidP="0058584A">
      <w:pPr>
        <w:pStyle w:val="Heading3"/>
        <w:numPr>
          <w:ilvl w:val="0"/>
          <w:numId w:val="0"/>
        </w:numPr>
        <w:rPr>
          <w:rStyle w:val="StyleConfigurationFormulaNotBoldNotItalicChar"/>
          <w:rFonts w:cs="Times New Roman"/>
          <w:b w:val="0"/>
          <w:bCs w:val="0"/>
          <w:i w:val="0"/>
          <w:iCs w:val="0"/>
          <w:szCs w:val="20"/>
        </w:rPr>
      </w:pPr>
      <w:r w:rsidRPr="008A36DD">
        <w:rPr>
          <w:rStyle w:val="StyleConfigurationFormulaNotBoldNotItalicChar"/>
          <w:rFonts w:cs="Times New Roman"/>
          <w:b w:val="0"/>
          <w:bCs w:val="0"/>
          <w:i w:val="0"/>
          <w:iCs w:val="0"/>
          <w:szCs w:val="20"/>
        </w:rPr>
        <w:t>(</w:t>
      </w:r>
      <w:r w:rsidR="00411178" w:rsidRPr="008A36DD">
        <w:rPr>
          <w:rStyle w:val="StyleConfigurationFormulaNotBoldNotItalicChar"/>
          <w:rFonts w:cs="Times New Roman"/>
          <w:b w:val="0"/>
          <w:bCs w:val="0"/>
          <w:i w:val="0"/>
          <w:iCs w:val="0"/>
          <w:szCs w:val="20"/>
        </w:rPr>
        <w:t xml:space="preserve">BADAMGHGBAAMeteredDemandRatio </w:t>
      </w:r>
      <w:r w:rsidR="00411178" w:rsidRPr="008A36DD">
        <w:rPr>
          <w:rStyle w:val="StyleConfigurationFormulaNotBoldNotItalicChar"/>
          <w:rFonts w:cs="Times New Roman"/>
          <w:b w:val="0"/>
          <w:bCs w:val="0"/>
          <w:i w:val="0"/>
          <w:iCs w:val="0"/>
          <w:szCs w:val="20"/>
          <w:vertAlign w:val="subscript"/>
        </w:rPr>
        <w:t>BQ’G’’mdh</w:t>
      </w:r>
      <w:r w:rsidRPr="008A36DD">
        <w:rPr>
          <w:rStyle w:val="StyleConfigurationFormulaNotBoldNotItalicChar"/>
          <w:rFonts w:cs="Times New Roman"/>
          <w:b w:val="0"/>
          <w:bCs w:val="0"/>
          <w:i w:val="0"/>
          <w:iCs w:val="0"/>
          <w:szCs w:val="20"/>
        </w:rPr>
        <w:t xml:space="preserve">) * DAGHGAreaMarginalCostOffsetAmount </w:t>
      </w:r>
      <w:r w:rsidRPr="008A36DD">
        <w:rPr>
          <w:rStyle w:val="StyleConfigurationFormulaNotBoldNotItalicChar"/>
          <w:rFonts w:cs="Times New Roman"/>
          <w:b w:val="0"/>
          <w:bCs w:val="0"/>
          <w:i w:val="0"/>
          <w:iCs w:val="0"/>
          <w:szCs w:val="20"/>
          <w:vertAlign w:val="subscript"/>
        </w:rPr>
        <w:t>G’’mdh</w:t>
      </w:r>
    </w:p>
    <w:p w14:paraId="4FE113A3" w14:textId="77777777" w:rsidR="0058584A" w:rsidRPr="008A36DD" w:rsidRDefault="0058584A" w:rsidP="0058584A"/>
    <w:p w14:paraId="4FE113A4" w14:textId="77777777" w:rsidR="00E571CC" w:rsidRPr="008A36DD" w:rsidRDefault="00E571CC" w:rsidP="0058584A">
      <w:pPr>
        <w:pStyle w:val="Heading3"/>
        <w:rPr>
          <w:rStyle w:val="StyleConfigurationFormulaNotBoldNotItalicChar"/>
          <w:rFonts w:cs="Times New Roman"/>
          <w:b w:val="0"/>
          <w:bCs w:val="0"/>
          <w:i w:val="0"/>
          <w:iCs w:val="0"/>
          <w:szCs w:val="20"/>
        </w:rPr>
      </w:pPr>
      <w:r w:rsidRPr="008A36DD">
        <w:rPr>
          <w:rStyle w:val="StyleConfigurationFormulaNotBoldNotItalicChar"/>
          <w:rFonts w:cs="Times New Roman"/>
          <w:b w:val="0"/>
          <w:bCs w:val="0"/>
          <w:i w:val="0"/>
          <w:iCs w:val="0"/>
          <w:szCs w:val="20"/>
        </w:rPr>
        <w:t xml:space="preserve">BADAMGHGBAAMeteredDemandRatio </w:t>
      </w:r>
      <w:r w:rsidRPr="008A36DD">
        <w:rPr>
          <w:rStyle w:val="StyleConfigurationFormulaNotBoldNotItalicChar"/>
          <w:rFonts w:cs="Times New Roman"/>
          <w:b w:val="0"/>
          <w:bCs w:val="0"/>
          <w:i w:val="0"/>
          <w:iCs w:val="0"/>
          <w:szCs w:val="20"/>
          <w:vertAlign w:val="subscript"/>
        </w:rPr>
        <w:t>BQ’G’’mdh</w:t>
      </w:r>
      <w:r w:rsidRPr="008A36DD">
        <w:rPr>
          <w:rStyle w:val="StyleConfigurationFormulaNotBoldNotItalicChar"/>
          <w:rFonts w:cs="Times New Roman"/>
          <w:b w:val="0"/>
          <w:bCs w:val="0"/>
          <w:i w:val="0"/>
          <w:iCs w:val="0"/>
          <w:szCs w:val="20"/>
        </w:rPr>
        <w:t xml:space="preserve"> =</w:t>
      </w:r>
    </w:p>
    <w:p w14:paraId="4FE113A5" w14:textId="77777777" w:rsidR="00E571CC" w:rsidRPr="008A36DD" w:rsidRDefault="00411178" w:rsidP="00E571CC">
      <w:r w:rsidRPr="008A36DD">
        <w:rPr>
          <w:rStyle w:val="StyleConfigurationFormulaNotBoldNotItalicChar"/>
          <w:rFonts w:cs="Times New Roman"/>
          <w:b w:val="0"/>
          <w:bCs w:val="0"/>
          <w:i w:val="0"/>
          <w:iCs w:val="0"/>
          <w:szCs w:val="20"/>
        </w:rPr>
        <w:t xml:space="preserve">BADAMGHGRegAreaMeteredDemandQuantity </w:t>
      </w:r>
      <w:r w:rsidRPr="008A36DD">
        <w:rPr>
          <w:rStyle w:val="StyleConfigurationFormulaNotBoldNotItalicChar"/>
          <w:rFonts w:cs="Times New Roman"/>
          <w:b w:val="0"/>
          <w:bCs w:val="0"/>
          <w:i w:val="0"/>
          <w:iCs w:val="0"/>
          <w:szCs w:val="20"/>
          <w:vertAlign w:val="subscript"/>
        </w:rPr>
        <w:t>BQ’G’’mdh</w:t>
      </w:r>
      <w:r w:rsidRPr="008A36DD">
        <w:rPr>
          <w:rStyle w:val="StyleConfigurationFormulaNotBoldNotItalicChar"/>
          <w:rFonts w:cs="Times New Roman"/>
          <w:b w:val="0"/>
          <w:bCs w:val="0"/>
          <w:i w:val="0"/>
          <w:iCs w:val="0"/>
          <w:szCs w:val="20"/>
        </w:rPr>
        <w:t xml:space="preserve">/ DAMGHGRegAreaMeteredDemandQuantity </w:t>
      </w:r>
      <w:r w:rsidRPr="008A36DD">
        <w:rPr>
          <w:rStyle w:val="StyleConfigurationFormulaNotBoldNotItalicChar"/>
          <w:rFonts w:cs="Times New Roman"/>
          <w:b w:val="0"/>
          <w:bCs w:val="0"/>
          <w:i w:val="0"/>
          <w:iCs w:val="0"/>
          <w:szCs w:val="20"/>
          <w:vertAlign w:val="subscript"/>
        </w:rPr>
        <w:t>G’’mdh</w:t>
      </w:r>
    </w:p>
    <w:p w14:paraId="4FE113A6" w14:textId="77777777" w:rsidR="00E571CC" w:rsidRPr="008A36DD" w:rsidRDefault="00E571CC" w:rsidP="0058584A">
      <w:pPr>
        <w:pStyle w:val="Heading3"/>
        <w:rPr>
          <w:rStyle w:val="StyleConfigurationFormulaNotBoldNotItalicChar"/>
          <w:rFonts w:cs="Times New Roman"/>
          <w:b w:val="0"/>
          <w:bCs w:val="0"/>
          <w:i w:val="0"/>
          <w:iCs w:val="0"/>
          <w:szCs w:val="20"/>
        </w:rPr>
      </w:pPr>
      <w:r w:rsidRPr="008A36DD">
        <w:rPr>
          <w:rStyle w:val="StyleConfigurationFormulaNotBoldNotItalicChar"/>
          <w:rFonts w:cs="Times New Roman"/>
          <w:b w:val="0"/>
          <w:bCs w:val="0"/>
          <w:i w:val="0"/>
          <w:iCs w:val="0"/>
          <w:szCs w:val="20"/>
        </w:rPr>
        <w:t xml:space="preserve">DAMGHGRegAreaMeteredDemandQuantity </w:t>
      </w:r>
      <w:r w:rsidRPr="008A36DD">
        <w:rPr>
          <w:rStyle w:val="StyleConfigurationFormulaNotBoldNotItalicChar"/>
          <w:rFonts w:cs="Times New Roman"/>
          <w:b w:val="0"/>
          <w:bCs w:val="0"/>
          <w:i w:val="0"/>
          <w:iCs w:val="0"/>
          <w:szCs w:val="20"/>
          <w:vertAlign w:val="subscript"/>
        </w:rPr>
        <w:t>G’’mdh</w:t>
      </w:r>
      <w:r w:rsidR="00FA3254" w:rsidRPr="008A36DD">
        <w:rPr>
          <w:rStyle w:val="StyleConfigurationFormulaNotBoldNotItalicChar"/>
          <w:rFonts w:cs="Times New Roman"/>
          <w:b w:val="0"/>
          <w:bCs w:val="0"/>
          <w:i w:val="0"/>
          <w:iCs w:val="0"/>
          <w:szCs w:val="20"/>
        </w:rPr>
        <w:t xml:space="preserve"> = Sum</w:t>
      </w:r>
      <w:r w:rsidRPr="008A36DD">
        <w:rPr>
          <w:rStyle w:val="StyleConfigurationFormulaNotBoldNotItalicChar"/>
          <w:rFonts w:cs="Times New Roman"/>
          <w:b w:val="0"/>
          <w:bCs w:val="0"/>
          <w:i w:val="0"/>
          <w:iCs w:val="0"/>
          <w:szCs w:val="20"/>
        </w:rPr>
        <w:t xml:space="preserve"> (B,Q’) BADAMGHGRegAreaMeteredDemandQuantity </w:t>
      </w:r>
      <w:r w:rsidRPr="008A36DD">
        <w:rPr>
          <w:rStyle w:val="StyleConfigurationFormulaNotBoldNotItalicChar"/>
          <w:rFonts w:cs="Times New Roman"/>
          <w:b w:val="0"/>
          <w:bCs w:val="0"/>
          <w:i w:val="0"/>
          <w:iCs w:val="0"/>
          <w:szCs w:val="20"/>
          <w:vertAlign w:val="subscript"/>
        </w:rPr>
        <w:t>BQ’G’’mdh</w:t>
      </w:r>
    </w:p>
    <w:p w14:paraId="4FE113A7" w14:textId="77777777" w:rsidR="0058584A" w:rsidRPr="008A36DD" w:rsidRDefault="00E571CC" w:rsidP="0058584A">
      <w:pPr>
        <w:pStyle w:val="Heading3"/>
        <w:rPr>
          <w:rStyle w:val="StyleConfigurationFormulaNotBoldNotItalicChar"/>
          <w:rFonts w:cs="Times New Roman"/>
          <w:b w:val="0"/>
          <w:bCs w:val="0"/>
          <w:i w:val="0"/>
          <w:iCs w:val="0"/>
          <w:szCs w:val="20"/>
        </w:rPr>
      </w:pPr>
      <w:r w:rsidRPr="008A36DD">
        <w:rPr>
          <w:rStyle w:val="StyleConfigurationFormulaNotBoldNotItalicChar"/>
          <w:rFonts w:cs="Times New Roman"/>
          <w:b w:val="0"/>
          <w:bCs w:val="0"/>
          <w:i w:val="0"/>
          <w:iCs w:val="0"/>
          <w:szCs w:val="20"/>
        </w:rPr>
        <w:t>BADAMGHGReg</w:t>
      </w:r>
      <w:r w:rsidR="0037743E" w:rsidRPr="008A36DD">
        <w:rPr>
          <w:rStyle w:val="StyleConfigurationFormulaNotBoldNotItalicChar"/>
          <w:rFonts w:cs="Times New Roman"/>
          <w:b w:val="0"/>
          <w:bCs w:val="0"/>
          <w:i w:val="0"/>
          <w:iCs w:val="0"/>
          <w:szCs w:val="20"/>
        </w:rPr>
        <w:t>Area</w:t>
      </w:r>
      <w:r w:rsidRPr="008A36DD">
        <w:rPr>
          <w:rStyle w:val="StyleConfigurationFormulaNotBoldNotItalicChar"/>
          <w:rFonts w:cs="Times New Roman"/>
          <w:b w:val="0"/>
          <w:bCs w:val="0"/>
          <w:i w:val="0"/>
          <w:iCs w:val="0"/>
          <w:szCs w:val="20"/>
        </w:rPr>
        <w:t>Metered</w:t>
      </w:r>
      <w:r w:rsidR="0058584A" w:rsidRPr="008A36DD">
        <w:rPr>
          <w:rStyle w:val="StyleConfigurationFormulaNotBoldNotItalicChar"/>
          <w:rFonts w:cs="Times New Roman"/>
          <w:b w:val="0"/>
          <w:bCs w:val="0"/>
          <w:i w:val="0"/>
          <w:iCs w:val="0"/>
          <w:szCs w:val="20"/>
        </w:rPr>
        <w:t>Demand</w:t>
      </w:r>
      <w:r w:rsidRPr="008A36DD">
        <w:rPr>
          <w:rStyle w:val="StyleConfigurationFormulaNotBoldNotItalicChar"/>
          <w:rFonts w:cs="Times New Roman"/>
          <w:b w:val="0"/>
          <w:bCs w:val="0"/>
          <w:i w:val="0"/>
          <w:iCs w:val="0"/>
          <w:szCs w:val="20"/>
        </w:rPr>
        <w:t xml:space="preserve">Quantity </w:t>
      </w:r>
      <w:r w:rsidRPr="008A36DD">
        <w:rPr>
          <w:rStyle w:val="StyleConfigurationFormulaNotBoldNotItalicChar"/>
          <w:rFonts w:cs="Times New Roman"/>
          <w:b w:val="0"/>
          <w:bCs w:val="0"/>
          <w:i w:val="0"/>
          <w:iCs w:val="0"/>
          <w:szCs w:val="20"/>
          <w:vertAlign w:val="subscript"/>
        </w:rPr>
        <w:t>BQ’G’’mdh</w:t>
      </w:r>
      <w:r w:rsidRPr="008A36DD">
        <w:rPr>
          <w:rStyle w:val="StyleConfigurationFormulaNotBoldNotItalicChar"/>
          <w:rFonts w:cs="Times New Roman"/>
          <w:b w:val="0"/>
          <w:bCs w:val="0"/>
          <w:i w:val="0"/>
          <w:iCs w:val="0"/>
          <w:szCs w:val="20"/>
        </w:rPr>
        <w:t xml:space="preserve"> = </w:t>
      </w:r>
    </w:p>
    <w:p w14:paraId="4FE113A8" w14:textId="77777777" w:rsidR="00E571CC" w:rsidRPr="008A36DD" w:rsidRDefault="0041003F" w:rsidP="00E571CC">
      <w:r w:rsidRPr="008A36DD">
        <w:t>INTDUPLICATE(</w:t>
      </w:r>
      <w:r w:rsidR="00E571CC" w:rsidRPr="008A36DD">
        <w:t xml:space="preserve">BADAMBAAGHGRegAreaFlag </w:t>
      </w:r>
      <w:r w:rsidR="00E571CC" w:rsidRPr="008A36DD">
        <w:rPr>
          <w:vertAlign w:val="subscript"/>
        </w:rPr>
        <w:t>BQ’G’’md</w:t>
      </w:r>
      <w:r w:rsidRPr="008A36DD">
        <w:t>)</w:t>
      </w:r>
      <w:r w:rsidR="00E571CC" w:rsidRPr="008A36DD">
        <w:t>* (</w:t>
      </w:r>
      <w:r w:rsidR="00411178" w:rsidRPr="008A36DD">
        <w:t xml:space="preserve">BABAAMeteredDemandQuantity </w:t>
      </w:r>
      <w:r w:rsidR="00411178" w:rsidRPr="008A36DD">
        <w:rPr>
          <w:vertAlign w:val="subscript"/>
        </w:rPr>
        <w:t>BQ’mdh</w:t>
      </w:r>
      <w:r w:rsidR="00E571CC" w:rsidRPr="008A36DD">
        <w:t>)</w:t>
      </w:r>
    </w:p>
    <w:p w14:paraId="4FE113A9" w14:textId="77777777" w:rsidR="00E571CC" w:rsidRPr="008A36DD" w:rsidRDefault="00E571CC" w:rsidP="00E571CC"/>
    <w:p w14:paraId="4FE113AA" w14:textId="77777777" w:rsidR="00C57908" w:rsidRPr="008A36DD" w:rsidRDefault="00161392" w:rsidP="00C57908">
      <w:pPr>
        <w:pStyle w:val="Heading3"/>
        <w:rPr>
          <w:rStyle w:val="StyleConfigurationFormulaNotBoldNotItalicChar"/>
          <w:rFonts w:cs="Times New Roman"/>
          <w:b w:val="0"/>
          <w:bCs w:val="0"/>
          <w:i w:val="0"/>
          <w:iCs w:val="0"/>
          <w:szCs w:val="20"/>
        </w:rPr>
      </w:pPr>
      <w:r w:rsidRPr="008A36DD">
        <w:rPr>
          <w:rStyle w:val="StyleConfigurationFormulaNotBoldNotItalicChar"/>
          <w:rFonts w:cs="Times New Roman"/>
          <w:b w:val="0"/>
          <w:bCs w:val="0"/>
          <w:i w:val="0"/>
          <w:iCs w:val="0"/>
          <w:szCs w:val="20"/>
        </w:rPr>
        <w:t>DAGHGArea</w:t>
      </w:r>
      <w:r w:rsidR="0058584A" w:rsidRPr="008A36DD">
        <w:rPr>
          <w:rStyle w:val="StyleConfigurationFormulaNotBoldNotItalicChar"/>
          <w:rFonts w:cs="Times New Roman"/>
          <w:b w:val="0"/>
          <w:bCs w:val="0"/>
          <w:i w:val="0"/>
          <w:iCs w:val="0"/>
          <w:szCs w:val="20"/>
        </w:rPr>
        <w:t>MarginalCost</w:t>
      </w:r>
      <w:r w:rsidR="000B68CC" w:rsidRPr="008A36DD">
        <w:rPr>
          <w:rStyle w:val="StyleConfigurationFormulaNotBoldNotItalicChar"/>
          <w:rFonts w:cs="Times New Roman"/>
          <w:b w:val="0"/>
          <w:bCs w:val="0"/>
          <w:i w:val="0"/>
          <w:iCs w:val="0"/>
          <w:szCs w:val="20"/>
        </w:rPr>
        <w:t>OffsetAmount</w:t>
      </w:r>
      <w:r w:rsidR="00C57908" w:rsidRPr="008A36DD">
        <w:rPr>
          <w:rStyle w:val="StyleConfigurationFormulaNotBoldNotItalicChar"/>
          <w:rFonts w:cs="Times New Roman"/>
          <w:b w:val="0"/>
          <w:bCs w:val="0"/>
          <w:i w:val="0"/>
          <w:iCs w:val="0"/>
          <w:szCs w:val="20"/>
        </w:rPr>
        <w:t xml:space="preserve"> </w:t>
      </w:r>
      <w:r w:rsidRPr="008A36DD">
        <w:rPr>
          <w:rStyle w:val="StyleConfigurationFormulaNotBoldNotItalicChar"/>
          <w:rFonts w:cs="Times New Roman"/>
          <w:b w:val="0"/>
          <w:bCs w:val="0"/>
          <w:i w:val="0"/>
          <w:iCs w:val="0"/>
          <w:szCs w:val="20"/>
          <w:vertAlign w:val="subscript"/>
        </w:rPr>
        <w:t xml:space="preserve">G’’mdh </w:t>
      </w:r>
      <w:r w:rsidR="00C57908" w:rsidRPr="008A36DD">
        <w:rPr>
          <w:rStyle w:val="StyleConfigurationFormulaNotBoldNotItalicChar"/>
          <w:rFonts w:cs="Times New Roman"/>
          <w:b w:val="0"/>
          <w:bCs w:val="0"/>
          <w:i w:val="0"/>
          <w:iCs w:val="0"/>
          <w:szCs w:val="20"/>
        </w:rPr>
        <w:t xml:space="preserve">= </w:t>
      </w:r>
    </w:p>
    <w:p w14:paraId="4FE113AB" w14:textId="77777777" w:rsidR="00161392" w:rsidRPr="008A36DD" w:rsidRDefault="00E571CC" w:rsidP="00161392">
      <w:pPr>
        <w:rPr>
          <w:iCs/>
          <w:szCs w:val="28"/>
        </w:rPr>
      </w:pPr>
      <w:r w:rsidRPr="008A36DD">
        <w:t xml:space="preserve">Sum (B,Q’) </w:t>
      </w:r>
      <w:r w:rsidR="00161392" w:rsidRPr="008A36DD">
        <w:t>BADAMGHGAreaMarginalPrice</w:t>
      </w:r>
      <w:r w:rsidR="00161392" w:rsidRPr="008A36DD">
        <w:rPr>
          <w:color w:val="FF0000"/>
        </w:rPr>
        <w:t xml:space="preserve"> </w:t>
      </w:r>
      <w:r w:rsidR="00161392" w:rsidRPr="008A36DD">
        <w:rPr>
          <w:iCs/>
          <w:sz w:val="28"/>
          <w:szCs w:val="28"/>
          <w:vertAlign w:val="subscript"/>
        </w:rPr>
        <w:t xml:space="preserve">BQ’G’’mdh </w:t>
      </w:r>
      <w:r w:rsidR="00161392" w:rsidRPr="008A36DD">
        <w:rPr>
          <w:rFonts w:cs="Arial"/>
          <w:color w:val="000000"/>
          <w:szCs w:val="22"/>
        </w:rPr>
        <w:t xml:space="preserve">* (BAHourlyBAADayAheadGHGEnergyQuantity </w:t>
      </w:r>
      <w:r w:rsidR="00161392" w:rsidRPr="008A36DD">
        <w:rPr>
          <w:rFonts w:cs="Arial"/>
          <w:color w:val="000000"/>
          <w:szCs w:val="22"/>
          <w:vertAlign w:val="subscript"/>
        </w:rPr>
        <w:t>BQ’G’’mdh</w:t>
      </w:r>
      <w:r w:rsidR="00161392" w:rsidRPr="008A36DD">
        <w:rPr>
          <w:rStyle w:val="StyleConfigurationFormulaNotBoldNotItalicChar"/>
          <w:rFonts w:cs="Times New Roman"/>
          <w:b w:val="0"/>
          <w:bCs w:val="0"/>
          <w:i w:val="0"/>
          <w:iCs w:val="0"/>
          <w:szCs w:val="20"/>
        </w:rPr>
        <w:t xml:space="preserve"> + </w:t>
      </w:r>
      <w:r w:rsidR="00161392" w:rsidRPr="008A36DD">
        <w:t xml:space="preserve">BADAVirtualAwardGHGRegAreaQuantity </w:t>
      </w:r>
      <w:r w:rsidR="00161392" w:rsidRPr="008A36DD">
        <w:rPr>
          <w:vertAlign w:val="subscript"/>
        </w:rPr>
        <w:t>BQ’G’’mdh</w:t>
      </w:r>
      <w:r w:rsidR="00161392" w:rsidRPr="008A36DD">
        <w:t xml:space="preserve"> + BADAGHGAreaAttributionQuantity</w:t>
      </w:r>
      <w:r w:rsidR="00161392" w:rsidRPr="008A36DD">
        <w:rPr>
          <w:rFonts w:cs="Arial"/>
          <w:color w:val="FF0000"/>
          <w:szCs w:val="22"/>
        </w:rPr>
        <w:t xml:space="preserve"> </w:t>
      </w:r>
      <w:r w:rsidR="00161392" w:rsidRPr="008A36DD">
        <w:rPr>
          <w:iCs/>
          <w:szCs w:val="28"/>
          <w:vertAlign w:val="subscript"/>
        </w:rPr>
        <w:t>BQ’G’’mdh</w:t>
      </w:r>
      <w:r w:rsidR="00161392" w:rsidRPr="008A36DD">
        <w:rPr>
          <w:iCs/>
          <w:szCs w:val="28"/>
        </w:rPr>
        <w:t>)</w:t>
      </w:r>
    </w:p>
    <w:p w14:paraId="4FE113AC" w14:textId="77777777" w:rsidR="00161392" w:rsidRPr="008A36DD" w:rsidRDefault="00161392" w:rsidP="003C2641">
      <w:pPr>
        <w:pStyle w:val="Heading3"/>
        <w:rPr>
          <w:iCs/>
          <w:sz w:val="28"/>
          <w:szCs w:val="28"/>
        </w:rPr>
      </w:pPr>
      <w:r w:rsidRPr="008A36DD">
        <w:t>BADAMGHGAreaMarginalPrice</w:t>
      </w:r>
      <w:r w:rsidRPr="008A36DD">
        <w:rPr>
          <w:color w:val="FF0000"/>
        </w:rPr>
        <w:t xml:space="preserve"> </w:t>
      </w:r>
      <w:r w:rsidRPr="008A36DD">
        <w:rPr>
          <w:iCs/>
          <w:sz w:val="28"/>
          <w:szCs w:val="28"/>
          <w:vertAlign w:val="subscript"/>
        </w:rPr>
        <w:t>BQ’G’’mdh =</w:t>
      </w:r>
    </w:p>
    <w:p w14:paraId="4FE113AD" w14:textId="77777777" w:rsidR="00161392" w:rsidRDefault="00FC3F4B" w:rsidP="00161392">
      <w:pPr>
        <w:rPr>
          <w:iCs/>
          <w:sz w:val="28"/>
          <w:szCs w:val="28"/>
          <w:vertAlign w:val="subscript"/>
        </w:rPr>
      </w:pPr>
      <w:r w:rsidRPr="00A317C0">
        <w:rPr>
          <w:highlight w:val="yellow"/>
        </w:rPr>
        <w:t>Average</w:t>
      </w:r>
      <w:r w:rsidR="00FA3254" w:rsidRPr="008A36DD">
        <w:t xml:space="preserve"> (</w:t>
      </w:r>
      <w:r w:rsidR="00161392" w:rsidRPr="008A36DD">
        <w:t>r,t) EDAMDAMGHGMarginal</w:t>
      </w:r>
      <w:r w:rsidR="00696394" w:rsidRPr="008A36DD">
        <w:t>Prc</w:t>
      </w:r>
      <w:r w:rsidR="00161392" w:rsidRPr="008A36DD">
        <w:rPr>
          <w:color w:val="FF0000"/>
        </w:rPr>
        <w:t xml:space="preserve"> </w:t>
      </w:r>
      <w:r w:rsidR="00161392" w:rsidRPr="008A36DD">
        <w:rPr>
          <w:iCs/>
          <w:sz w:val="28"/>
          <w:szCs w:val="28"/>
          <w:vertAlign w:val="subscript"/>
        </w:rPr>
        <w:t>BrtQ’G’’mdh</w:t>
      </w:r>
    </w:p>
    <w:p w14:paraId="4FE113AE" w14:textId="77777777" w:rsidR="008371F0" w:rsidRPr="008371F0" w:rsidRDefault="008371F0" w:rsidP="00161392">
      <w:pPr>
        <w:rPr>
          <w:szCs w:val="22"/>
        </w:rPr>
      </w:pPr>
      <w:r w:rsidRPr="00A317C0">
        <w:rPr>
          <w:iCs/>
          <w:szCs w:val="22"/>
          <w:highlight w:val="yellow"/>
        </w:rPr>
        <w:t>Note: Default aggregation method is an average when summing attributes</w:t>
      </w:r>
      <w:r w:rsidR="001F1D0D" w:rsidRPr="00A317C0">
        <w:rPr>
          <w:iCs/>
          <w:szCs w:val="22"/>
          <w:highlight w:val="yellow"/>
        </w:rPr>
        <w:t xml:space="preserve"> for a rate</w:t>
      </w:r>
      <w:r w:rsidRPr="00A317C0">
        <w:rPr>
          <w:iCs/>
          <w:szCs w:val="22"/>
          <w:highlight w:val="yellow"/>
        </w:rPr>
        <w:t>.</w:t>
      </w:r>
    </w:p>
    <w:p w14:paraId="4FE113AF" w14:textId="77777777" w:rsidR="003C2641" w:rsidRPr="008A36DD" w:rsidRDefault="003C2641" w:rsidP="003C2641">
      <w:pPr>
        <w:pStyle w:val="Heading3"/>
        <w:rPr>
          <w:iCs/>
          <w:sz w:val="28"/>
          <w:szCs w:val="28"/>
          <w:vertAlign w:val="subscript"/>
        </w:rPr>
      </w:pPr>
      <w:r w:rsidRPr="008A36DD">
        <w:t>BADAGHGAreaAttributionQuantity</w:t>
      </w:r>
      <w:r w:rsidRPr="008A36DD">
        <w:rPr>
          <w:rFonts w:cs="Arial"/>
          <w:color w:val="FF0000"/>
          <w:szCs w:val="22"/>
        </w:rPr>
        <w:t xml:space="preserve"> </w:t>
      </w:r>
      <w:r w:rsidRPr="008A36DD">
        <w:rPr>
          <w:iCs/>
          <w:sz w:val="28"/>
          <w:szCs w:val="28"/>
          <w:vertAlign w:val="subscript"/>
        </w:rPr>
        <w:t>BQ’G’’mdh =</w:t>
      </w:r>
    </w:p>
    <w:p w14:paraId="4FE113B0" w14:textId="77777777" w:rsidR="003C2641" w:rsidRPr="008A36DD" w:rsidRDefault="00FA3254" w:rsidP="003C2641">
      <w:r w:rsidRPr="008A36DD">
        <w:t>Sum</w:t>
      </w:r>
      <w:r w:rsidR="003C2641" w:rsidRPr="008A36DD">
        <w:t xml:space="preserve"> (r,t,F’,S’) BAResourceEDA</w:t>
      </w:r>
      <w:r w:rsidR="00696394" w:rsidRPr="008A36DD">
        <w:t>MGHGQ</w:t>
      </w:r>
      <w:r w:rsidR="003C2641" w:rsidRPr="008A36DD">
        <w:t>ty</w:t>
      </w:r>
      <w:r w:rsidR="003C2641" w:rsidRPr="008A36DD">
        <w:rPr>
          <w:rFonts w:cs="Arial"/>
          <w:color w:val="FF0000"/>
          <w:szCs w:val="22"/>
        </w:rPr>
        <w:t xml:space="preserve"> </w:t>
      </w:r>
      <w:r w:rsidR="003C2641" w:rsidRPr="008A36DD">
        <w:rPr>
          <w:iCs/>
          <w:sz w:val="28"/>
          <w:szCs w:val="28"/>
          <w:vertAlign w:val="subscript"/>
        </w:rPr>
        <w:t>BrtQ’F’S’G’’mdh</w:t>
      </w:r>
    </w:p>
    <w:p w14:paraId="4FE113B1" w14:textId="77777777" w:rsidR="003C2641" w:rsidRPr="008A36DD" w:rsidRDefault="003C2641" w:rsidP="003C2641"/>
    <w:p w14:paraId="4FE113B2" w14:textId="77777777" w:rsidR="003C2641" w:rsidRPr="008A36DD" w:rsidRDefault="003C2641" w:rsidP="003C2641">
      <w:pPr>
        <w:rPr>
          <w:b/>
        </w:rPr>
      </w:pPr>
      <w:r w:rsidRPr="008A36DD">
        <w:rPr>
          <w:b/>
        </w:rPr>
        <w:t>Convergence Bid Awards by GHG Regulation Area</w:t>
      </w:r>
    </w:p>
    <w:p w14:paraId="4FE113B3" w14:textId="77777777" w:rsidR="003C2641" w:rsidRPr="008A36DD" w:rsidRDefault="003C2641" w:rsidP="003C2641">
      <w:pPr>
        <w:pStyle w:val="Heading3"/>
      </w:pPr>
      <w:r w:rsidRPr="008A36DD">
        <w:t xml:space="preserve">BADAVirtualAwardGHGRegAreaQuantity </w:t>
      </w:r>
      <w:r w:rsidRPr="008A36DD">
        <w:rPr>
          <w:vertAlign w:val="subscript"/>
        </w:rPr>
        <w:t>BQ’G’’mdh</w:t>
      </w:r>
      <w:r w:rsidRPr="008A36DD">
        <w:t xml:space="preserve"> = </w:t>
      </w:r>
    </w:p>
    <w:p w14:paraId="4FE113B4" w14:textId="77777777" w:rsidR="0037743E" w:rsidRPr="008A36DD" w:rsidRDefault="0041003F" w:rsidP="0037743E">
      <w:pPr>
        <w:pStyle w:val="Heading3"/>
        <w:numPr>
          <w:ilvl w:val="0"/>
          <w:numId w:val="0"/>
        </w:numPr>
        <w:rPr>
          <w:vertAlign w:val="subscript"/>
        </w:rPr>
      </w:pPr>
      <w:r w:rsidRPr="008A36DD">
        <w:t>INTDUPLICATE(</w:t>
      </w:r>
      <w:r w:rsidR="003C2641" w:rsidRPr="008A36DD">
        <w:t xml:space="preserve">BADAMBAAGHGRegAreaFlag </w:t>
      </w:r>
      <w:r w:rsidR="003C2641" w:rsidRPr="008A36DD">
        <w:rPr>
          <w:vertAlign w:val="subscript"/>
        </w:rPr>
        <w:t>BQ’G’’md</w:t>
      </w:r>
      <w:r w:rsidRPr="008A36DD">
        <w:rPr>
          <w:rFonts w:cs="Arial"/>
          <w:szCs w:val="22"/>
        </w:rPr>
        <w:t>)</w:t>
      </w:r>
      <w:r w:rsidR="003C2641" w:rsidRPr="008A36DD">
        <w:rPr>
          <w:rFonts w:cs="Arial"/>
          <w:szCs w:val="22"/>
        </w:rPr>
        <w:t xml:space="preserve">* </w:t>
      </w:r>
      <w:r w:rsidR="003C2641" w:rsidRPr="008A36DD">
        <w:t xml:space="preserve">BADAVirtualAwardQuantity </w:t>
      </w:r>
      <w:r w:rsidR="00A71835" w:rsidRPr="008A36DD">
        <w:rPr>
          <w:vertAlign w:val="subscript"/>
        </w:rPr>
        <w:t>B</w:t>
      </w:r>
      <w:r w:rsidR="003C2641" w:rsidRPr="008A36DD">
        <w:rPr>
          <w:vertAlign w:val="subscript"/>
        </w:rPr>
        <w:t>mdh</w:t>
      </w:r>
    </w:p>
    <w:p w14:paraId="4FE113B5" w14:textId="77777777" w:rsidR="0037743E" w:rsidRPr="008A36DD" w:rsidRDefault="0037743E" w:rsidP="0037743E">
      <w:r w:rsidRPr="008A36DD">
        <w:t>Note: Should only calculate for GHG Regulation Areas</w:t>
      </w:r>
    </w:p>
    <w:p w14:paraId="4FE113B6" w14:textId="77777777" w:rsidR="0037743E" w:rsidRPr="008A36DD" w:rsidRDefault="0037743E" w:rsidP="0037743E"/>
    <w:p w14:paraId="4FE113B7" w14:textId="77777777" w:rsidR="003C2641" w:rsidRPr="008A36DD" w:rsidRDefault="003C2641" w:rsidP="003C2641">
      <w:pPr>
        <w:pStyle w:val="Heading3"/>
      </w:pPr>
      <w:r w:rsidRPr="008A36DD">
        <w:t xml:space="preserve">BADAVirtualAwardQuantity </w:t>
      </w:r>
      <w:r w:rsidR="00A71835" w:rsidRPr="008A36DD">
        <w:rPr>
          <w:vertAlign w:val="subscript"/>
        </w:rPr>
        <w:t>B</w:t>
      </w:r>
      <w:r w:rsidRPr="008A36DD">
        <w:rPr>
          <w:vertAlign w:val="subscript"/>
        </w:rPr>
        <w:t>mdh</w:t>
      </w:r>
      <w:r w:rsidRPr="008A36DD">
        <w:t xml:space="preserve"> = </w:t>
      </w:r>
    </w:p>
    <w:p w14:paraId="4FE113B8" w14:textId="77777777" w:rsidR="003C2641" w:rsidRPr="008A36DD" w:rsidRDefault="00FA3254" w:rsidP="003C2641">
      <w:pPr>
        <w:pStyle w:val="Heading3"/>
        <w:numPr>
          <w:ilvl w:val="0"/>
          <w:numId w:val="0"/>
        </w:numPr>
        <w:rPr>
          <w:rStyle w:val="Subscript"/>
        </w:rPr>
      </w:pPr>
      <w:r w:rsidRPr="008A36DD">
        <w:t>Sum</w:t>
      </w:r>
      <w:r w:rsidR="003C2641" w:rsidRPr="008A36DD">
        <w:t xml:space="preserve"> (</w:t>
      </w:r>
      <w:r w:rsidR="003E3922" w:rsidRPr="008A36DD">
        <w:t>Q’</w:t>
      </w:r>
      <w:r w:rsidR="003C2641" w:rsidRPr="008A36DD">
        <w:t>A,A’,</w:t>
      </w:r>
      <w:r w:rsidR="00A71835" w:rsidRPr="008A36DD">
        <w:t>Q,</w:t>
      </w:r>
      <w:r w:rsidR="003C2641" w:rsidRPr="008A36DD">
        <w:t xml:space="preserve">p,a,y’) </w:t>
      </w:r>
      <w:r w:rsidR="003C2641" w:rsidRPr="008A36DD">
        <w:rPr>
          <w:rFonts w:cs="Arial"/>
          <w:szCs w:val="22"/>
        </w:rPr>
        <w:t>B</w:t>
      </w:r>
      <w:r w:rsidR="00696394" w:rsidRPr="008A36DD">
        <w:rPr>
          <w:rFonts w:cs="Arial"/>
          <w:szCs w:val="22"/>
        </w:rPr>
        <w:t>AHourlyDAVirtualAwardNodalQ</w:t>
      </w:r>
      <w:r w:rsidRPr="008A36DD">
        <w:rPr>
          <w:rFonts w:cs="Arial"/>
          <w:szCs w:val="22"/>
        </w:rPr>
        <w:t>uan</w:t>
      </w:r>
      <w:r w:rsidR="003C2641" w:rsidRPr="008A36DD">
        <w:rPr>
          <w:rFonts w:cs="Arial"/>
          <w:szCs w:val="22"/>
        </w:rPr>
        <w:t>t</w:t>
      </w:r>
      <w:r w:rsidRPr="008A36DD">
        <w:rPr>
          <w:rFonts w:cs="Arial"/>
          <w:szCs w:val="22"/>
        </w:rPr>
        <w:t>it</w:t>
      </w:r>
      <w:r w:rsidR="003C2641" w:rsidRPr="008A36DD">
        <w:rPr>
          <w:rFonts w:cs="Arial"/>
          <w:szCs w:val="22"/>
        </w:rPr>
        <w:t xml:space="preserve">y </w:t>
      </w:r>
      <w:r w:rsidR="003C2641" w:rsidRPr="008A36DD">
        <w:rPr>
          <w:rStyle w:val="Subscript"/>
        </w:rPr>
        <w:t>B</w:t>
      </w:r>
      <w:r w:rsidR="003E3922" w:rsidRPr="008A36DD">
        <w:rPr>
          <w:rStyle w:val="Subscript"/>
        </w:rPr>
        <w:t>Q’</w:t>
      </w:r>
      <w:r w:rsidR="003C2641" w:rsidRPr="008A36DD">
        <w:rPr>
          <w:rStyle w:val="Subscript"/>
          <w:bCs w:val="0"/>
        </w:rPr>
        <w:t>AA’Qpa</w:t>
      </w:r>
      <w:r w:rsidR="003C2641" w:rsidRPr="008A36DD">
        <w:rPr>
          <w:rStyle w:val="Subscript"/>
        </w:rPr>
        <w:t>y’mdh</w:t>
      </w:r>
    </w:p>
    <w:p w14:paraId="4FE113B9" w14:textId="77777777" w:rsidR="0037743E" w:rsidRPr="008A36DD" w:rsidRDefault="0037743E" w:rsidP="0037743E"/>
    <w:p w14:paraId="4FE113BA" w14:textId="77777777" w:rsidR="003C2641" w:rsidRPr="008A36DD" w:rsidRDefault="003C2641" w:rsidP="003C2641">
      <w:pPr>
        <w:rPr>
          <w:b/>
        </w:rPr>
      </w:pPr>
      <w:r w:rsidRPr="008A36DD">
        <w:rPr>
          <w:b/>
        </w:rPr>
        <w:t>Day Ahead Energy Schedule by GHG Regulation Area</w:t>
      </w:r>
    </w:p>
    <w:p w14:paraId="4FE113BB" w14:textId="77777777" w:rsidR="00E816DE" w:rsidRPr="008A36DD" w:rsidRDefault="00E816DE" w:rsidP="00E816DE">
      <w:pPr>
        <w:pStyle w:val="Heading3"/>
        <w:rPr>
          <w:rStyle w:val="StyleConfigurationFormulaNotBoldNotItalicChar"/>
          <w:rFonts w:cs="Times New Roman"/>
          <w:b w:val="0"/>
          <w:bCs w:val="0"/>
          <w:i w:val="0"/>
          <w:iCs w:val="0"/>
          <w:szCs w:val="20"/>
        </w:rPr>
      </w:pPr>
      <w:r w:rsidRPr="008A36DD">
        <w:rPr>
          <w:rFonts w:cs="Arial"/>
          <w:color w:val="000000"/>
          <w:szCs w:val="22"/>
        </w:rPr>
        <w:lastRenderedPageBreak/>
        <w:t xml:space="preserve">BAHourlyBAADayAheadGHGEnergyQuantity </w:t>
      </w:r>
      <w:r w:rsidRPr="008A36DD">
        <w:rPr>
          <w:rFonts w:cs="Arial"/>
          <w:color w:val="000000"/>
          <w:szCs w:val="22"/>
          <w:vertAlign w:val="subscript"/>
        </w:rPr>
        <w:t>BQ’G’’mdh</w:t>
      </w:r>
      <w:r w:rsidR="00C57908" w:rsidRPr="008A36DD">
        <w:rPr>
          <w:rStyle w:val="StyleConfigurationFormulaNotBoldNotItalicChar"/>
          <w:rFonts w:cs="Times New Roman"/>
          <w:b w:val="0"/>
          <w:bCs w:val="0"/>
          <w:i w:val="0"/>
          <w:iCs w:val="0"/>
          <w:szCs w:val="20"/>
        </w:rPr>
        <w:t xml:space="preserve"> = </w:t>
      </w:r>
    </w:p>
    <w:p w14:paraId="4FE113BC" w14:textId="77777777" w:rsidR="005610A8" w:rsidRDefault="0041003F" w:rsidP="00E816DE">
      <w:pPr>
        <w:pStyle w:val="Heading3"/>
        <w:numPr>
          <w:ilvl w:val="0"/>
          <w:numId w:val="0"/>
        </w:numPr>
        <w:rPr>
          <w:rFonts w:cs="Arial"/>
          <w:color w:val="000000"/>
          <w:szCs w:val="22"/>
          <w:vertAlign w:val="subscript"/>
        </w:rPr>
      </w:pPr>
      <w:r w:rsidRPr="008A36DD">
        <w:t>INTDUPLICATE(</w:t>
      </w:r>
      <w:r w:rsidR="00E816DE" w:rsidRPr="008A36DD">
        <w:t xml:space="preserve">BADAMBAAGHGRegAreaFlag </w:t>
      </w:r>
      <w:r w:rsidR="00E816DE" w:rsidRPr="008A36DD">
        <w:rPr>
          <w:vertAlign w:val="subscript"/>
        </w:rPr>
        <w:t>BQ’G’’md</w:t>
      </w:r>
      <w:r w:rsidRPr="008A36DD">
        <w:rPr>
          <w:rStyle w:val="StyleConfigurationFormulaNotBoldNotItalicChar"/>
          <w:rFonts w:cs="Times New Roman"/>
          <w:b w:val="0"/>
          <w:bCs w:val="0"/>
          <w:i w:val="0"/>
          <w:iCs w:val="0"/>
          <w:szCs w:val="20"/>
        </w:rPr>
        <w:t>)</w:t>
      </w:r>
      <w:r w:rsidR="00E816DE" w:rsidRPr="008A36DD">
        <w:rPr>
          <w:rStyle w:val="StyleConfigurationFormulaNotBoldNotItalicChar"/>
          <w:rFonts w:cs="Times New Roman"/>
          <w:b w:val="0"/>
          <w:bCs w:val="0"/>
          <w:i w:val="0"/>
          <w:iCs w:val="0"/>
          <w:szCs w:val="20"/>
        </w:rPr>
        <w:t>*</w:t>
      </w:r>
      <w:r w:rsidR="00E816DE">
        <w:rPr>
          <w:rStyle w:val="StyleConfigurationFormulaNotBoldNotItalicChar"/>
          <w:rFonts w:cs="Times New Roman"/>
          <w:b w:val="0"/>
          <w:bCs w:val="0"/>
          <w:i w:val="0"/>
          <w:iCs w:val="0"/>
          <w:szCs w:val="20"/>
        </w:rPr>
        <w:t xml:space="preserve"> </w:t>
      </w:r>
      <w:r w:rsidR="00E816DE">
        <w:rPr>
          <w:rFonts w:cs="Arial"/>
          <w:color w:val="000000"/>
          <w:szCs w:val="22"/>
        </w:rPr>
        <w:t xml:space="preserve">BAHourlyBAADayAheadEnergyQuantity </w:t>
      </w:r>
      <w:r w:rsidR="00E816DE" w:rsidRPr="005610A8">
        <w:rPr>
          <w:rFonts w:cs="Arial"/>
          <w:color w:val="000000"/>
          <w:szCs w:val="22"/>
          <w:vertAlign w:val="subscript"/>
        </w:rPr>
        <w:t>BQ’mdh</w:t>
      </w:r>
    </w:p>
    <w:p w14:paraId="4FE113BD" w14:textId="77777777" w:rsidR="0037743E" w:rsidRDefault="0037743E" w:rsidP="0037743E">
      <w:r>
        <w:t>Note: Should only calculate for GHG Regulation Areas</w:t>
      </w:r>
    </w:p>
    <w:p w14:paraId="4FE113BE" w14:textId="77777777" w:rsidR="0037743E" w:rsidRPr="0037743E" w:rsidRDefault="0037743E" w:rsidP="0037743E"/>
    <w:p w14:paraId="4FE113BF" w14:textId="77777777" w:rsidR="00730675" w:rsidRPr="003C2641" w:rsidRDefault="00730675" w:rsidP="00730675">
      <w:pPr>
        <w:pStyle w:val="Heading3"/>
      </w:pPr>
      <w:r>
        <w:rPr>
          <w:rFonts w:cs="Arial"/>
          <w:color w:val="000000"/>
          <w:szCs w:val="22"/>
        </w:rPr>
        <w:t xml:space="preserve">BAHourlyBAADayAheadEnergyQuantity </w:t>
      </w:r>
      <w:r w:rsidRPr="005610A8">
        <w:rPr>
          <w:rFonts w:cs="Arial"/>
          <w:color w:val="000000"/>
          <w:szCs w:val="22"/>
          <w:vertAlign w:val="subscript"/>
        </w:rPr>
        <w:t>BQ’mdh</w:t>
      </w:r>
      <w:r>
        <w:rPr>
          <w:rFonts w:cs="Arial"/>
          <w:color w:val="000000"/>
          <w:szCs w:val="22"/>
          <w:vertAlign w:val="subscript"/>
        </w:rPr>
        <w:t xml:space="preserve"> </w:t>
      </w:r>
      <w:r>
        <w:rPr>
          <w:rFonts w:cs="Arial"/>
          <w:color w:val="000000"/>
          <w:szCs w:val="22"/>
        </w:rPr>
        <w:t xml:space="preserve">= </w:t>
      </w:r>
    </w:p>
    <w:p w14:paraId="4FE113C0" w14:textId="77777777" w:rsidR="00730675" w:rsidRDefault="00730675" w:rsidP="00730675">
      <w:pPr>
        <w:pStyle w:val="Heading3"/>
        <w:numPr>
          <w:ilvl w:val="0"/>
          <w:numId w:val="0"/>
        </w:numPr>
      </w:pPr>
      <w:r>
        <w:rPr>
          <w:rFonts w:cs="Arial"/>
          <w:color w:val="000000"/>
          <w:szCs w:val="22"/>
        </w:rPr>
        <w:t xml:space="preserve">Sum (r,t,u,T’,I’,M’,F’,S’,cif) </w:t>
      </w:r>
      <w:r w:rsidRPr="005A4858">
        <w:rPr>
          <w:rFonts w:cs="Arial"/>
          <w:color w:val="000000"/>
          <w:szCs w:val="22"/>
        </w:rPr>
        <w:t>SettlementIntervalResouceDayAheadEnergy</w:t>
      </w:r>
      <w:r w:rsidRPr="005A4858">
        <w:rPr>
          <w:rFonts w:cs="Arial"/>
          <w:color w:val="000000"/>
        </w:rPr>
        <w:t xml:space="preserve"> </w:t>
      </w:r>
      <w:r w:rsidRPr="005A4858">
        <w:rPr>
          <w:rStyle w:val="ConfigurationSubscript"/>
          <w:rFonts w:cs="Arial"/>
          <w:bCs/>
          <w:i/>
          <w:color w:val="000000"/>
          <w:sz w:val="24"/>
        </w:rPr>
        <w:t>BrtuT’I’</w:t>
      </w:r>
      <w:r w:rsidRPr="005A4858">
        <w:rPr>
          <w:rStyle w:val="ConfigurationSubscript"/>
          <w:rFonts w:cs="Arial"/>
          <w:i/>
          <w:color w:val="000000"/>
          <w:sz w:val="24"/>
        </w:rPr>
        <w:t>Q’</w:t>
      </w:r>
      <w:r w:rsidRPr="005A4858">
        <w:rPr>
          <w:rStyle w:val="ConfigurationSubscript"/>
          <w:rFonts w:cs="Arial"/>
          <w:bCs/>
          <w:i/>
          <w:color w:val="000000"/>
          <w:sz w:val="24"/>
        </w:rPr>
        <w:t>M’F’S’mdhci</w:t>
      </w:r>
      <w:r>
        <w:rPr>
          <w:rStyle w:val="ConfigurationSubscript"/>
          <w:rFonts w:cs="Arial"/>
          <w:bCs/>
          <w:i/>
          <w:color w:val="000000"/>
          <w:sz w:val="24"/>
        </w:rPr>
        <w:t>f</w:t>
      </w:r>
    </w:p>
    <w:p w14:paraId="4FE113C1" w14:textId="77777777" w:rsidR="00730675" w:rsidRDefault="00730675" w:rsidP="00730675"/>
    <w:p w14:paraId="4FE113C2" w14:textId="77777777" w:rsidR="00730675" w:rsidRPr="00730675" w:rsidRDefault="00730675" w:rsidP="00730675">
      <w:pPr>
        <w:rPr>
          <w:rFonts w:cs="Arial"/>
          <w:bCs/>
          <w:color w:val="000000"/>
          <w:szCs w:val="22"/>
        </w:rPr>
      </w:pPr>
      <w:r>
        <w:t>Note: Does not include NPM Resources</w:t>
      </w:r>
    </w:p>
    <w:p w14:paraId="4FE113C3" w14:textId="77777777" w:rsidR="0058584A" w:rsidRPr="00A317C0" w:rsidRDefault="00730675" w:rsidP="00730675">
      <w:pPr>
        <w:pStyle w:val="Heading3"/>
        <w:rPr>
          <w:rFonts w:cs="Arial"/>
          <w:color w:val="000000"/>
          <w:szCs w:val="22"/>
          <w:highlight w:val="yellow"/>
        </w:rPr>
      </w:pPr>
      <w:r w:rsidRPr="00A317C0">
        <w:rPr>
          <w:rStyle w:val="StyleConfigurationFormulaNotBoldNotItalicChar"/>
          <w:rFonts w:cs="Times New Roman"/>
          <w:b w:val="0"/>
          <w:bCs w:val="0"/>
          <w:i w:val="0"/>
          <w:iCs w:val="0"/>
          <w:szCs w:val="20"/>
          <w:highlight w:val="yellow"/>
        </w:rPr>
        <w:t xml:space="preserve">BAAGHGOffsetSettlementAmount </w:t>
      </w:r>
      <w:r w:rsidRPr="00A317C0">
        <w:rPr>
          <w:rStyle w:val="StyleConfigurationFormulaNotBoldNotItalicChar"/>
          <w:rFonts w:cs="Times New Roman"/>
          <w:b w:val="0"/>
          <w:bCs w:val="0"/>
          <w:i w:val="0"/>
          <w:iCs w:val="0"/>
          <w:szCs w:val="20"/>
          <w:highlight w:val="yellow"/>
          <w:vertAlign w:val="subscript"/>
        </w:rPr>
        <w:t>Q’mdh</w:t>
      </w:r>
      <w:r w:rsidRPr="00A317C0">
        <w:rPr>
          <w:rFonts w:cs="Arial"/>
          <w:color w:val="000000"/>
          <w:szCs w:val="22"/>
          <w:highlight w:val="yellow"/>
        </w:rPr>
        <w:t xml:space="preserve"> =</w:t>
      </w:r>
    </w:p>
    <w:p w14:paraId="4FE113C4" w14:textId="77777777" w:rsidR="00730675" w:rsidRPr="00730675" w:rsidRDefault="00730675" w:rsidP="00730675">
      <w:r w:rsidRPr="00A317C0">
        <w:rPr>
          <w:rStyle w:val="StyleConfigurationFormulaNotBoldNotItalicChar"/>
          <w:rFonts w:cs="Times New Roman"/>
          <w:b w:val="0"/>
          <w:bCs w:val="0"/>
          <w:i w:val="0"/>
          <w:iCs w:val="0"/>
          <w:szCs w:val="20"/>
          <w:highlight w:val="yellow"/>
        </w:rPr>
        <w:t xml:space="preserve">Sum (B,G’’) GHGAreaOffsetSettlementAmount </w:t>
      </w:r>
      <w:r w:rsidRPr="00A317C0">
        <w:rPr>
          <w:rStyle w:val="StyleConfigurationFormulaNotBoldNotItalicChar"/>
          <w:rFonts w:cs="Times New Roman"/>
          <w:b w:val="0"/>
          <w:bCs w:val="0"/>
          <w:i w:val="0"/>
          <w:iCs w:val="0"/>
          <w:szCs w:val="20"/>
          <w:highlight w:val="yellow"/>
          <w:vertAlign w:val="subscript"/>
        </w:rPr>
        <w:t>BQ’G’’mdh</w:t>
      </w:r>
    </w:p>
    <w:p w14:paraId="4FE11400" w14:textId="77777777" w:rsidR="00977132" w:rsidRPr="00B81D0A" w:rsidRDefault="00977132" w:rsidP="00977132">
      <w:pPr>
        <w:pStyle w:val="Heading2"/>
        <w:rPr>
          <w:bCs/>
        </w:rPr>
      </w:pPr>
      <w:bookmarkStart w:id="53" w:name="_Toc118518308"/>
      <w:bookmarkStart w:id="54" w:name="_Toc196405550"/>
      <w:bookmarkEnd w:id="52"/>
      <w:r w:rsidRPr="00B81D0A">
        <w:rPr>
          <w:bCs/>
        </w:rPr>
        <w:t>Outputs</w:t>
      </w:r>
      <w:bookmarkEnd w:id="54"/>
    </w:p>
    <w:p w14:paraId="4FE11401" w14:textId="77777777" w:rsidR="00977132" w:rsidRPr="00B81D0A" w:rsidRDefault="00977132" w:rsidP="00977132"/>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B81D0A" w14:paraId="4FE11405" w14:textId="77777777" w:rsidTr="00D65799">
        <w:trPr>
          <w:cantSplit/>
          <w:trHeight w:val="602"/>
          <w:tblHeader/>
        </w:trPr>
        <w:tc>
          <w:tcPr>
            <w:tcW w:w="1080" w:type="dxa"/>
            <w:shd w:val="clear" w:color="auto" w:fill="D9D9D9"/>
            <w:vAlign w:val="center"/>
          </w:tcPr>
          <w:p w14:paraId="4FE11402" w14:textId="77777777" w:rsidR="00977132" w:rsidRPr="00B81D0A" w:rsidRDefault="005135DE" w:rsidP="008874C2">
            <w:pPr>
              <w:pStyle w:val="TableBoldCharCharCharCharChar1Char"/>
              <w:keepNext/>
              <w:ind w:left="119"/>
              <w:jc w:val="center"/>
              <w:rPr>
                <w:sz w:val="22"/>
              </w:rPr>
            </w:pPr>
            <w:r w:rsidRPr="00B81D0A">
              <w:rPr>
                <w:sz w:val="22"/>
              </w:rPr>
              <w:t>Row #</w:t>
            </w:r>
          </w:p>
        </w:tc>
        <w:tc>
          <w:tcPr>
            <w:tcW w:w="3600" w:type="dxa"/>
            <w:shd w:val="clear" w:color="auto" w:fill="D9D9D9"/>
            <w:vAlign w:val="center"/>
          </w:tcPr>
          <w:p w14:paraId="4FE11403" w14:textId="77777777" w:rsidR="00977132" w:rsidRPr="00B81D0A" w:rsidRDefault="00977132" w:rsidP="008874C2">
            <w:pPr>
              <w:pStyle w:val="TableBoldCharCharCharCharChar1Char"/>
              <w:keepNext/>
              <w:ind w:left="119"/>
              <w:jc w:val="center"/>
              <w:rPr>
                <w:sz w:val="22"/>
              </w:rPr>
            </w:pPr>
            <w:r w:rsidRPr="00B81D0A">
              <w:rPr>
                <w:sz w:val="22"/>
              </w:rPr>
              <w:t>Name</w:t>
            </w:r>
          </w:p>
        </w:tc>
        <w:tc>
          <w:tcPr>
            <w:tcW w:w="3715" w:type="dxa"/>
            <w:shd w:val="clear" w:color="auto" w:fill="D9D9D9"/>
            <w:vAlign w:val="center"/>
          </w:tcPr>
          <w:p w14:paraId="4FE11404" w14:textId="77777777" w:rsidR="00977132" w:rsidRPr="00B81D0A" w:rsidRDefault="00977132" w:rsidP="008874C2">
            <w:pPr>
              <w:pStyle w:val="TableBoldCharCharCharCharChar1Char"/>
              <w:keepNext/>
              <w:ind w:left="119"/>
              <w:jc w:val="center"/>
              <w:rPr>
                <w:sz w:val="22"/>
              </w:rPr>
            </w:pPr>
            <w:r w:rsidRPr="00B81D0A">
              <w:rPr>
                <w:sz w:val="22"/>
              </w:rPr>
              <w:t>Description</w:t>
            </w:r>
          </w:p>
        </w:tc>
      </w:tr>
      <w:tr w:rsidR="00977132" w:rsidRPr="00B81D0A" w14:paraId="4FE11409" w14:textId="77777777" w:rsidTr="00D65799">
        <w:trPr>
          <w:cantSplit/>
        </w:trPr>
        <w:tc>
          <w:tcPr>
            <w:tcW w:w="1080" w:type="dxa"/>
          </w:tcPr>
          <w:p w14:paraId="4FE11406" w14:textId="77777777" w:rsidR="00977132" w:rsidRPr="00B81D0A" w:rsidRDefault="00977132" w:rsidP="008874C2">
            <w:pPr>
              <w:pStyle w:val="TableText0"/>
              <w:jc w:val="center"/>
              <w:rPr>
                <w:rFonts w:cs="Arial"/>
                <w:iCs/>
              </w:rPr>
            </w:pPr>
          </w:p>
        </w:tc>
        <w:tc>
          <w:tcPr>
            <w:tcW w:w="3600" w:type="dxa"/>
            <w:vAlign w:val="center"/>
          </w:tcPr>
          <w:p w14:paraId="4FE11407" w14:textId="77777777" w:rsidR="00977132" w:rsidRPr="00B81D0A" w:rsidRDefault="00977132" w:rsidP="00977132">
            <w:pPr>
              <w:pStyle w:val="TableText0"/>
              <w:rPr>
                <w:rFonts w:cs="Arial"/>
              </w:rPr>
            </w:pPr>
            <w:r w:rsidRPr="00B81D0A">
              <w:rPr>
                <w:rFonts w:cs="Arial"/>
              </w:rPr>
              <w:t>In addition to any outputs listed below, all inputs shall be included as outputs.</w:t>
            </w:r>
          </w:p>
        </w:tc>
        <w:tc>
          <w:tcPr>
            <w:tcW w:w="3715" w:type="dxa"/>
            <w:vAlign w:val="center"/>
          </w:tcPr>
          <w:p w14:paraId="4FE11408" w14:textId="77777777" w:rsidR="00977132" w:rsidRPr="00B81D0A" w:rsidRDefault="00977132" w:rsidP="00977132">
            <w:pPr>
              <w:pStyle w:val="TableText0"/>
              <w:rPr>
                <w:rFonts w:cs="Arial"/>
                <w:iCs/>
              </w:rPr>
            </w:pPr>
          </w:p>
        </w:tc>
      </w:tr>
      <w:tr w:rsidR="008E6AE9" w:rsidRPr="00B81D0A" w14:paraId="4FE1140D"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0A" w14:textId="77777777" w:rsidR="008E6AE9" w:rsidRPr="00B81D0A" w:rsidRDefault="00E67533" w:rsidP="0084300F">
            <w:pPr>
              <w:pStyle w:val="TableText0"/>
              <w:jc w:val="center"/>
              <w:rPr>
                <w:rFonts w:cs="Arial"/>
                <w:iCs/>
              </w:rPr>
            </w:pPr>
            <w:r>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4FE1140B" w14:textId="77777777" w:rsidR="008E6AE9" w:rsidRPr="00B81D0A" w:rsidRDefault="006B6491" w:rsidP="006B6491">
            <w:pPr>
              <w:pStyle w:val="TableText0"/>
            </w:pPr>
            <w:r>
              <w:rPr>
                <w:rStyle w:val="StyleConfigurationFormulaNotBoldNotItalicChar"/>
                <w:rFonts w:cs="Times New Roman"/>
                <w:b w:val="0"/>
                <w:bCs w:val="0"/>
                <w:i w:val="0"/>
                <w:iCs w:val="0"/>
                <w:szCs w:val="20"/>
              </w:rPr>
              <w:t xml:space="preserve">GHGAreaOffsetSettlementAmount </w:t>
            </w:r>
            <w:r w:rsidRPr="00E571CC">
              <w:rPr>
                <w:rStyle w:val="StyleConfigurationFormulaNotBoldNotItalicChar"/>
                <w:rFonts w:cs="Times New Roman"/>
                <w:b w:val="0"/>
                <w:bCs w:val="0"/>
                <w:i w:val="0"/>
                <w:iCs w:val="0"/>
                <w:szCs w:val="20"/>
                <w:vertAlign w:val="subscript"/>
              </w:rPr>
              <w:t>BQ’G’’mdh</w:t>
            </w:r>
          </w:p>
        </w:tc>
        <w:tc>
          <w:tcPr>
            <w:tcW w:w="3715" w:type="dxa"/>
            <w:tcBorders>
              <w:top w:val="single" w:sz="4" w:space="0" w:color="auto"/>
              <w:left w:val="single" w:sz="4" w:space="0" w:color="auto"/>
              <w:bottom w:val="single" w:sz="4" w:space="0" w:color="auto"/>
              <w:right w:val="single" w:sz="4" w:space="0" w:color="auto"/>
            </w:tcBorders>
            <w:vAlign w:val="center"/>
          </w:tcPr>
          <w:p w14:paraId="4FE1140C" w14:textId="77777777" w:rsidR="008E6AE9" w:rsidRPr="00B81D0A" w:rsidRDefault="00A71835" w:rsidP="00A71835">
            <w:pPr>
              <w:pStyle w:val="TableText0"/>
              <w:rPr>
                <w:color w:val="000000"/>
                <w:sz w:val="23"/>
                <w:szCs w:val="23"/>
              </w:rPr>
            </w:pPr>
            <w:r>
              <w:rPr>
                <w:color w:val="000000"/>
                <w:sz w:val="23"/>
                <w:szCs w:val="23"/>
              </w:rPr>
              <w:t xml:space="preserve">The GHG offset settlement amount by BA, BAA and GHG Regulation Area. </w:t>
            </w:r>
          </w:p>
        </w:tc>
      </w:tr>
      <w:tr w:rsidR="006B6491" w:rsidRPr="00B81D0A" w14:paraId="4FE11411"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0E" w14:textId="77777777" w:rsidR="006B6491" w:rsidRDefault="006B6491" w:rsidP="0084300F">
            <w:pPr>
              <w:pStyle w:val="TableText0"/>
              <w:jc w:val="center"/>
              <w:rPr>
                <w:rFonts w:cs="Arial"/>
                <w:iCs/>
              </w:rPr>
            </w:pPr>
            <w:r>
              <w:rPr>
                <w:rFonts w:cs="Arial"/>
                <w:iCs/>
              </w:rPr>
              <w:t>2</w:t>
            </w:r>
          </w:p>
        </w:tc>
        <w:tc>
          <w:tcPr>
            <w:tcW w:w="3600" w:type="dxa"/>
            <w:tcBorders>
              <w:top w:val="single" w:sz="4" w:space="0" w:color="auto"/>
              <w:left w:val="single" w:sz="4" w:space="0" w:color="auto"/>
              <w:bottom w:val="single" w:sz="4" w:space="0" w:color="auto"/>
              <w:right w:val="single" w:sz="4" w:space="0" w:color="auto"/>
            </w:tcBorders>
            <w:vAlign w:val="center"/>
          </w:tcPr>
          <w:p w14:paraId="4FE1140F" w14:textId="77777777" w:rsidR="006B6491" w:rsidRDefault="006B6491" w:rsidP="00656F67">
            <w:pPr>
              <w:pStyle w:val="TableText0"/>
              <w:rPr>
                <w:rStyle w:val="StyleConfigurationFormulaNotBoldNotItalicChar"/>
                <w:rFonts w:cs="Times New Roman"/>
                <w:b w:val="0"/>
                <w:bCs w:val="0"/>
                <w:i w:val="0"/>
                <w:iCs w:val="0"/>
                <w:szCs w:val="20"/>
              </w:rPr>
            </w:pPr>
            <w:r>
              <w:rPr>
                <w:rStyle w:val="StyleConfigurationFormulaNotBoldNotItalicChar"/>
                <w:rFonts w:cs="Times New Roman"/>
                <w:b w:val="0"/>
                <w:bCs w:val="0"/>
                <w:i w:val="0"/>
                <w:iCs w:val="0"/>
                <w:szCs w:val="20"/>
              </w:rPr>
              <w:t xml:space="preserve">BADAMGHGBAAMeteredDemandRatio </w:t>
            </w:r>
            <w:r>
              <w:rPr>
                <w:rStyle w:val="StyleConfigurationFormulaNotBoldNotItalicChar"/>
                <w:rFonts w:cs="Times New Roman"/>
                <w:b w:val="0"/>
                <w:bCs w:val="0"/>
                <w:i w:val="0"/>
                <w:iCs w:val="0"/>
                <w:szCs w:val="20"/>
                <w:vertAlign w:val="subscript"/>
              </w:rPr>
              <w:t>BQ’G’’mdh</w:t>
            </w:r>
          </w:p>
        </w:tc>
        <w:tc>
          <w:tcPr>
            <w:tcW w:w="3715" w:type="dxa"/>
            <w:tcBorders>
              <w:top w:val="single" w:sz="4" w:space="0" w:color="auto"/>
              <w:left w:val="single" w:sz="4" w:space="0" w:color="auto"/>
              <w:bottom w:val="single" w:sz="4" w:space="0" w:color="auto"/>
              <w:right w:val="single" w:sz="4" w:space="0" w:color="auto"/>
            </w:tcBorders>
            <w:vAlign w:val="center"/>
          </w:tcPr>
          <w:p w14:paraId="4FE11410" w14:textId="77777777" w:rsidR="006B6491" w:rsidRPr="00B81D0A" w:rsidRDefault="006A6A79" w:rsidP="00E67533">
            <w:pPr>
              <w:pStyle w:val="TableText0"/>
              <w:rPr>
                <w:color w:val="000000"/>
                <w:sz w:val="23"/>
                <w:szCs w:val="23"/>
              </w:rPr>
            </w:pPr>
            <w:r>
              <w:rPr>
                <w:color w:val="000000"/>
                <w:sz w:val="23"/>
                <w:szCs w:val="23"/>
              </w:rPr>
              <w:t>Ratio of Metered Demand by BA, BAA, and GHG Regulation Area.</w:t>
            </w:r>
          </w:p>
        </w:tc>
      </w:tr>
      <w:tr w:rsidR="006B6491" w:rsidRPr="00B81D0A" w14:paraId="4FE11415"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12" w14:textId="77777777" w:rsidR="006B6491" w:rsidRDefault="006B6491" w:rsidP="0084300F">
            <w:pPr>
              <w:pStyle w:val="TableText0"/>
              <w:jc w:val="center"/>
              <w:rPr>
                <w:rFonts w:cs="Arial"/>
                <w:iCs/>
              </w:rPr>
            </w:pPr>
            <w:r>
              <w:rPr>
                <w:rFonts w:cs="Arial"/>
                <w:iCs/>
              </w:rPr>
              <w:t>3</w:t>
            </w:r>
          </w:p>
        </w:tc>
        <w:tc>
          <w:tcPr>
            <w:tcW w:w="3600" w:type="dxa"/>
            <w:tcBorders>
              <w:top w:val="single" w:sz="4" w:space="0" w:color="auto"/>
              <w:left w:val="single" w:sz="4" w:space="0" w:color="auto"/>
              <w:bottom w:val="single" w:sz="4" w:space="0" w:color="auto"/>
              <w:right w:val="single" w:sz="4" w:space="0" w:color="auto"/>
            </w:tcBorders>
            <w:vAlign w:val="center"/>
          </w:tcPr>
          <w:p w14:paraId="4FE11413" w14:textId="77777777" w:rsidR="006B6491" w:rsidRDefault="006B6491" w:rsidP="00656F67">
            <w:pPr>
              <w:pStyle w:val="TableText0"/>
              <w:rPr>
                <w:rStyle w:val="StyleConfigurationFormulaNotBoldNotItalicChar"/>
                <w:rFonts w:cs="Times New Roman"/>
                <w:b w:val="0"/>
                <w:bCs w:val="0"/>
                <w:i w:val="0"/>
                <w:iCs w:val="0"/>
                <w:szCs w:val="20"/>
              </w:rPr>
            </w:pPr>
            <w:r>
              <w:rPr>
                <w:rStyle w:val="StyleConfigurationFormulaNotBoldNotItalicChar"/>
                <w:rFonts w:cs="Times New Roman"/>
                <w:b w:val="0"/>
                <w:bCs w:val="0"/>
                <w:i w:val="0"/>
                <w:iCs w:val="0"/>
                <w:szCs w:val="20"/>
              </w:rPr>
              <w:t xml:space="preserve">DAMGHGRegAreaMeteredDemandQuantity </w:t>
            </w:r>
            <w:r>
              <w:rPr>
                <w:rStyle w:val="StyleConfigurationFormulaNotBoldNotItalicChar"/>
                <w:rFonts w:cs="Times New Roman"/>
                <w:b w:val="0"/>
                <w:bCs w:val="0"/>
                <w:i w:val="0"/>
                <w:iCs w:val="0"/>
                <w:szCs w:val="20"/>
                <w:vertAlign w:val="subscript"/>
              </w:rPr>
              <w:t>G’’mdh</w:t>
            </w:r>
          </w:p>
        </w:tc>
        <w:tc>
          <w:tcPr>
            <w:tcW w:w="3715" w:type="dxa"/>
            <w:tcBorders>
              <w:top w:val="single" w:sz="4" w:space="0" w:color="auto"/>
              <w:left w:val="single" w:sz="4" w:space="0" w:color="auto"/>
              <w:bottom w:val="single" w:sz="4" w:space="0" w:color="auto"/>
              <w:right w:val="single" w:sz="4" w:space="0" w:color="auto"/>
            </w:tcBorders>
            <w:vAlign w:val="center"/>
          </w:tcPr>
          <w:p w14:paraId="4FE11414" w14:textId="77777777" w:rsidR="006B6491" w:rsidRPr="00B81D0A" w:rsidRDefault="006A6A79" w:rsidP="00E67533">
            <w:pPr>
              <w:pStyle w:val="TableText0"/>
              <w:rPr>
                <w:color w:val="000000"/>
                <w:sz w:val="23"/>
                <w:szCs w:val="23"/>
              </w:rPr>
            </w:pPr>
            <w:r>
              <w:rPr>
                <w:color w:val="000000"/>
                <w:sz w:val="23"/>
                <w:szCs w:val="23"/>
              </w:rPr>
              <w:t>Metered Demand by GHG Regulation Area.</w:t>
            </w:r>
          </w:p>
        </w:tc>
      </w:tr>
      <w:tr w:rsidR="006B6491" w:rsidRPr="00B81D0A" w14:paraId="4FE11419"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16" w14:textId="77777777" w:rsidR="006B6491" w:rsidRDefault="006B6491" w:rsidP="0084300F">
            <w:pPr>
              <w:pStyle w:val="TableText0"/>
              <w:jc w:val="center"/>
              <w:rPr>
                <w:rFonts w:cs="Arial"/>
                <w:iCs/>
              </w:rPr>
            </w:pPr>
            <w:r>
              <w:rPr>
                <w:rFonts w:cs="Arial"/>
                <w:iCs/>
              </w:rPr>
              <w:t>4</w:t>
            </w:r>
          </w:p>
        </w:tc>
        <w:tc>
          <w:tcPr>
            <w:tcW w:w="3600" w:type="dxa"/>
            <w:tcBorders>
              <w:top w:val="single" w:sz="4" w:space="0" w:color="auto"/>
              <w:left w:val="single" w:sz="4" w:space="0" w:color="auto"/>
              <w:bottom w:val="single" w:sz="4" w:space="0" w:color="auto"/>
              <w:right w:val="single" w:sz="4" w:space="0" w:color="auto"/>
            </w:tcBorders>
            <w:vAlign w:val="center"/>
          </w:tcPr>
          <w:p w14:paraId="4FE11417" w14:textId="77777777" w:rsidR="006B6491" w:rsidRDefault="006B6491" w:rsidP="00656F67">
            <w:pPr>
              <w:pStyle w:val="TableText0"/>
              <w:rPr>
                <w:rStyle w:val="StyleConfigurationFormulaNotBoldNotItalicChar"/>
                <w:rFonts w:cs="Times New Roman"/>
                <w:b w:val="0"/>
                <w:bCs w:val="0"/>
                <w:i w:val="0"/>
                <w:iCs w:val="0"/>
                <w:szCs w:val="20"/>
              </w:rPr>
            </w:pPr>
            <w:r>
              <w:rPr>
                <w:rStyle w:val="StyleConfigurationFormulaNotBoldNotItalicChar"/>
                <w:rFonts w:cs="Times New Roman"/>
                <w:b w:val="0"/>
                <w:bCs w:val="0"/>
                <w:i w:val="0"/>
                <w:iCs w:val="0"/>
                <w:szCs w:val="20"/>
              </w:rPr>
              <w:t xml:space="preserve">BADAMGHGRegAreaMeteredDemandQuantity </w:t>
            </w:r>
            <w:r w:rsidRPr="00E571CC">
              <w:rPr>
                <w:rStyle w:val="StyleConfigurationFormulaNotBoldNotItalicChar"/>
                <w:rFonts w:cs="Times New Roman"/>
                <w:b w:val="0"/>
                <w:bCs w:val="0"/>
                <w:i w:val="0"/>
                <w:iCs w:val="0"/>
                <w:szCs w:val="20"/>
                <w:vertAlign w:val="subscript"/>
              </w:rPr>
              <w:t>BQ’</w:t>
            </w:r>
            <w:r>
              <w:rPr>
                <w:rStyle w:val="StyleConfigurationFormulaNotBoldNotItalicChar"/>
                <w:rFonts w:cs="Times New Roman"/>
                <w:b w:val="0"/>
                <w:bCs w:val="0"/>
                <w:i w:val="0"/>
                <w:iCs w:val="0"/>
                <w:szCs w:val="20"/>
                <w:vertAlign w:val="subscript"/>
              </w:rPr>
              <w:t>G’’mdh</w:t>
            </w:r>
          </w:p>
        </w:tc>
        <w:tc>
          <w:tcPr>
            <w:tcW w:w="3715" w:type="dxa"/>
            <w:tcBorders>
              <w:top w:val="single" w:sz="4" w:space="0" w:color="auto"/>
              <w:left w:val="single" w:sz="4" w:space="0" w:color="auto"/>
              <w:bottom w:val="single" w:sz="4" w:space="0" w:color="auto"/>
              <w:right w:val="single" w:sz="4" w:space="0" w:color="auto"/>
            </w:tcBorders>
            <w:vAlign w:val="center"/>
          </w:tcPr>
          <w:p w14:paraId="4FE11418" w14:textId="77777777" w:rsidR="006B6491" w:rsidRPr="00B81D0A" w:rsidRDefault="006A6A79" w:rsidP="00E67533">
            <w:pPr>
              <w:pStyle w:val="TableText0"/>
              <w:rPr>
                <w:color w:val="000000"/>
                <w:sz w:val="23"/>
                <w:szCs w:val="23"/>
              </w:rPr>
            </w:pPr>
            <w:r>
              <w:rPr>
                <w:color w:val="000000"/>
                <w:sz w:val="23"/>
                <w:szCs w:val="23"/>
              </w:rPr>
              <w:t>Metered Demand by BA, BAA, and GHG Regulation Area.</w:t>
            </w:r>
          </w:p>
        </w:tc>
      </w:tr>
      <w:tr w:rsidR="006B6491" w:rsidRPr="00B81D0A" w14:paraId="4FE1141D"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1A" w14:textId="77777777" w:rsidR="006B6491" w:rsidRDefault="004C16EB" w:rsidP="0084300F">
            <w:pPr>
              <w:pStyle w:val="TableText0"/>
              <w:jc w:val="center"/>
              <w:rPr>
                <w:rFonts w:cs="Arial"/>
                <w:iCs/>
              </w:rPr>
            </w:pPr>
            <w:r>
              <w:rPr>
                <w:rFonts w:cs="Arial"/>
                <w:iCs/>
              </w:rPr>
              <w:t>5</w:t>
            </w:r>
          </w:p>
        </w:tc>
        <w:tc>
          <w:tcPr>
            <w:tcW w:w="3600" w:type="dxa"/>
            <w:tcBorders>
              <w:top w:val="single" w:sz="4" w:space="0" w:color="auto"/>
              <w:left w:val="single" w:sz="4" w:space="0" w:color="auto"/>
              <w:bottom w:val="single" w:sz="4" w:space="0" w:color="auto"/>
              <w:right w:val="single" w:sz="4" w:space="0" w:color="auto"/>
            </w:tcBorders>
            <w:vAlign w:val="center"/>
          </w:tcPr>
          <w:p w14:paraId="4FE1141B" w14:textId="77777777" w:rsidR="006B6491" w:rsidRDefault="006B6491" w:rsidP="00656F67">
            <w:pPr>
              <w:pStyle w:val="TableText0"/>
              <w:rPr>
                <w:rStyle w:val="StyleConfigurationFormulaNotBoldNotItalicChar"/>
                <w:rFonts w:cs="Times New Roman"/>
                <w:b w:val="0"/>
                <w:bCs w:val="0"/>
                <w:i w:val="0"/>
                <w:iCs w:val="0"/>
                <w:szCs w:val="20"/>
              </w:rPr>
            </w:pPr>
            <w:r>
              <w:rPr>
                <w:rStyle w:val="StyleConfigurationFormulaNotBoldNotItalicChar"/>
                <w:rFonts w:cs="Times New Roman"/>
                <w:b w:val="0"/>
                <w:bCs w:val="0"/>
                <w:i w:val="0"/>
                <w:iCs w:val="0"/>
                <w:szCs w:val="20"/>
              </w:rPr>
              <w:t xml:space="preserve">DAGHGAreaMarginalCostOffsetAmount </w:t>
            </w:r>
            <w:r>
              <w:rPr>
                <w:rStyle w:val="StyleConfigurationFormulaNotBoldNotItalicChar"/>
                <w:rFonts w:cs="Times New Roman"/>
                <w:b w:val="0"/>
                <w:bCs w:val="0"/>
                <w:i w:val="0"/>
                <w:iCs w:val="0"/>
                <w:szCs w:val="20"/>
                <w:vertAlign w:val="subscript"/>
              </w:rPr>
              <w:t>G’’mdh</w:t>
            </w:r>
          </w:p>
        </w:tc>
        <w:tc>
          <w:tcPr>
            <w:tcW w:w="3715" w:type="dxa"/>
            <w:tcBorders>
              <w:top w:val="single" w:sz="4" w:space="0" w:color="auto"/>
              <w:left w:val="single" w:sz="4" w:space="0" w:color="auto"/>
              <w:bottom w:val="single" w:sz="4" w:space="0" w:color="auto"/>
              <w:right w:val="single" w:sz="4" w:space="0" w:color="auto"/>
            </w:tcBorders>
            <w:vAlign w:val="center"/>
          </w:tcPr>
          <w:p w14:paraId="4FE1141C" w14:textId="77777777" w:rsidR="006B6491" w:rsidRPr="00B81D0A" w:rsidRDefault="006A6A79" w:rsidP="00E67533">
            <w:pPr>
              <w:pStyle w:val="TableText0"/>
              <w:rPr>
                <w:color w:val="000000"/>
                <w:sz w:val="23"/>
                <w:szCs w:val="23"/>
              </w:rPr>
            </w:pPr>
            <w:r>
              <w:rPr>
                <w:color w:val="000000"/>
                <w:sz w:val="23"/>
                <w:szCs w:val="23"/>
              </w:rPr>
              <w:t>GHG Offset amount by GHG Regulation Area.</w:t>
            </w:r>
          </w:p>
        </w:tc>
      </w:tr>
      <w:tr w:rsidR="006B6491" w:rsidRPr="00B81D0A" w14:paraId="4FE11421"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1E" w14:textId="77777777" w:rsidR="006B6491" w:rsidRDefault="004C16EB" w:rsidP="0084300F">
            <w:pPr>
              <w:pStyle w:val="TableText0"/>
              <w:jc w:val="center"/>
              <w:rPr>
                <w:rFonts w:cs="Arial"/>
                <w:iCs/>
              </w:rPr>
            </w:pPr>
            <w:r>
              <w:rPr>
                <w:rFonts w:cs="Arial"/>
                <w:iCs/>
              </w:rPr>
              <w:t>6</w:t>
            </w:r>
          </w:p>
        </w:tc>
        <w:tc>
          <w:tcPr>
            <w:tcW w:w="3600" w:type="dxa"/>
            <w:tcBorders>
              <w:top w:val="single" w:sz="4" w:space="0" w:color="auto"/>
              <w:left w:val="single" w:sz="4" w:space="0" w:color="auto"/>
              <w:bottom w:val="single" w:sz="4" w:space="0" w:color="auto"/>
              <w:right w:val="single" w:sz="4" w:space="0" w:color="auto"/>
            </w:tcBorders>
            <w:vAlign w:val="center"/>
          </w:tcPr>
          <w:p w14:paraId="4FE1141F" w14:textId="77777777" w:rsidR="006B6491" w:rsidRDefault="006B6491" w:rsidP="00656F67">
            <w:pPr>
              <w:pStyle w:val="TableText0"/>
              <w:rPr>
                <w:rStyle w:val="StyleConfigurationFormulaNotBoldNotItalicChar"/>
                <w:rFonts w:cs="Times New Roman"/>
                <w:b w:val="0"/>
                <w:bCs w:val="0"/>
                <w:i w:val="0"/>
                <w:iCs w:val="0"/>
                <w:szCs w:val="20"/>
              </w:rPr>
            </w:pPr>
            <w:r>
              <w:t>BADAM</w:t>
            </w:r>
            <w:r w:rsidRPr="00B81D0A">
              <w:t>GHG</w:t>
            </w:r>
            <w:r>
              <w:t>AreaMarginal</w:t>
            </w:r>
            <w:r w:rsidRPr="00B81D0A">
              <w:t>Price</w:t>
            </w:r>
            <w:r w:rsidRPr="00B81D0A">
              <w:rPr>
                <w:color w:val="FF0000"/>
              </w:rPr>
              <w:t xml:space="preserve"> </w:t>
            </w:r>
            <w:r w:rsidRPr="00B81D0A">
              <w:rPr>
                <w:iCs/>
                <w:sz w:val="28"/>
                <w:szCs w:val="28"/>
                <w:vertAlign w:val="subscript"/>
              </w:rPr>
              <w:t>BQ’</w:t>
            </w:r>
            <w:r>
              <w:rPr>
                <w:iCs/>
                <w:sz w:val="28"/>
                <w:szCs w:val="28"/>
                <w:vertAlign w:val="subscript"/>
              </w:rPr>
              <w:t>G’’</w:t>
            </w:r>
            <w:r w:rsidRPr="00B81D0A">
              <w:rPr>
                <w:iCs/>
                <w:sz w:val="28"/>
                <w:szCs w:val="28"/>
                <w:vertAlign w:val="subscript"/>
              </w:rPr>
              <w:t>md</w:t>
            </w:r>
            <w:r>
              <w:rPr>
                <w:iCs/>
                <w:sz w:val="28"/>
                <w:szCs w:val="28"/>
                <w:vertAlign w:val="subscript"/>
              </w:rPr>
              <w:t>h</w:t>
            </w:r>
          </w:p>
        </w:tc>
        <w:tc>
          <w:tcPr>
            <w:tcW w:w="3715" w:type="dxa"/>
            <w:tcBorders>
              <w:top w:val="single" w:sz="4" w:space="0" w:color="auto"/>
              <w:left w:val="single" w:sz="4" w:space="0" w:color="auto"/>
              <w:bottom w:val="single" w:sz="4" w:space="0" w:color="auto"/>
              <w:right w:val="single" w:sz="4" w:space="0" w:color="auto"/>
            </w:tcBorders>
            <w:vAlign w:val="center"/>
          </w:tcPr>
          <w:p w14:paraId="4FE11420" w14:textId="77777777" w:rsidR="006B6491" w:rsidRPr="00B81D0A" w:rsidRDefault="006A6A79" w:rsidP="00E67533">
            <w:pPr>
              <w:pStyle w:val="TableText0"/>
              <w:rPr>
                <w:color w:val="000000"/>
                <w:sz w:val="23"/>
                <w:szCs w:val="23"/>
              </w:rPr>
            </w:pPr>
            <w:r>
              <w:rPr>
                <w:color w:val="000000"/>
                <w:sz w:val="23"/>
                <w:szCs w:val="23"/>
              </w:rPr>
              <w:t>GHG Price by BA, BAA, an</w:t>
            </w:r>
            <w:r w:rsidR="008371F0">
              <w:rPr>
                <w:color w:val="000000"/>
                <w:sz w:val="23"/>
                <w:szCs w:val="23"/>
              </w:rPr>
              <w:t>d GHG Regulation Area.</w:t>
            </w:r>
          </w:p>
        </w:tc>
      </w:tr>
      <w:tr w:rsidR="006B6491" w:rsidRPr="00B81D0A" w14:paraId="4FE11425"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22" w14:textId="77777777" w:rsidR="006B6491" w:rsidRDefault="004C16EB" w:rsidP="0084300F">
            <w:pPr>
              <w:pStyle w:val="TableText0"/>
              <w:jc w:val="center"/>
              <w:rPr>
                <w:rFonts w:cs="Arial"/>
                <w:iCs/>
              </w:rPr>
            </w:pPr>
            <w:r>
              <w:rPr>
                <w:rFonts w:cs="Arial"/>
                <w:iCs/>
              </w:rPr>
              <w:t>7</w:t>
            </w:r>
          </w:p>
        </w:tc>
        <w:tc>
          <w:tcPr>
            <w:tcW w:w="3600" w:type="dxa"/>
            <w:tcBorders>
              <w:top w:val="single" w:sz="4" w:space="0" w:color="auto"/>
              <w:left w:val="single" w:sz="4" w:space="0" w:color="auto"/>
              <w:bottom w:val="single" w:sz="4" w:space="0" w:color="auto"/>
              <w:right w:val="single" w:sz="4" w:space="0" w:color="auto"/>
            </w:tcBorders>
            <w:vAlign w:val="center"/>
          </w:tcPr>
          <w:p w14:paraId="4FE11423" w14:textId="77777777" w:rsidR="006B6491" w:rsidRDefault="006B6491" w:rsidP="00656F67">
            <w:pPr>
              <w:pStyle w:val="TableText0"/>
            </w:pPr>
            <w:r>
              <w:t>BADAGHGAreaAttributionQuantity</w:t>
            </w:r>
            <w:r w:rsidRPr="003C2641">
              <w:rPr>
                <w:rFonts w:cs="Arial"/>
                <w:color w:val="FF0000"/>
                <w:szCs w:val="22"/>
              </w:rPr>
              <w:t xml:space="preserve"> </w:t>
            </w:r>
            <w:r>
              <w:rPr>
                <w:iCs/>
                <w:sz w:val="28"/>
                <w:szCs w:val="28"/>
                <w:vertAlign w:val="subscript"/>
              </w:rPr>
              <w:t>BQ’</w:t>
            </w:r>
            <w:r w:rsidRPr="003C2641">
              <w:rPr>
                <w:iCs/>
                <w:sz w:val="28"/>
                <w:szCs w:val="28"/>
                <w:vertAlign w:val="subscript"/>
              </w:rPr>
              <w:t>G’’mdh</w:t>
            </w:r>
          </w:p>
        </w:tc>
        <w:tc>
          <w:tcPr>
            <w:tcW w:w="3715" w:type="dxa"/>
            <w:tcBorders>
              <w:top w:val="single" w:sz="4" w:space="0" w:color="auto"/>
              <w:left w:val="single" w:sz="4" w:space="0" w:color="auto"/>
              <w:bottom w:val="single" w:sz="4" w:space="0" w:color="auto"/>
              <w:right w:val="single" w:sz="4" w:space="0" w:color="auto"/>
            </w:tcBorders>
            <w:vAlign w:val="center"/>
          </w:tcPr>
          <w:p w14:paraId="4FE11424" w14:textId="77777777" w:rsidR="006B6491" w:rsidRPr="00B81D0A" w:rsidRDefault="00A71835" w:rsidP="00A71835">
            <w:pPr>
              <w:pStyle w:val="TableText0"/>
              <w:ind w:left="0"/>
              <w:rPr>
                <w:color w:val="000000"/>
                <w:sz w:val="23"/>
                <w:szCs w:val="23"/>
              </w:rPr>
            </w:pPr>
            <w:r>
              <w:rPr>
                <w:color w:val="000000"/>
                <w:sz w:val="23"/>
                <w:szCs w:val="23"/>
              </w:rPr>
              <w:t xml:space="preserve"> GHG Attribution by BA, BAA</w:t>
            </w:r>
            <w:r w:rsidR="006A6A79">
              <w:rPr>
                <w:color w:val="000000"/>
                <w:sz w:val="23"/>
                <w:szCs w:val="23"/>
              </w:rPr>
              <w:t>,</w:t>
            </w:r>
            <w:r>
              <w:rPr>
                <w:color w:val="000000"/>
                <w:sz w:val="23"/>
                <w:szCs w:val="23"/>
              </w:rPr>
              <w:t xml:space="preserve"> and GHG Regulation Area.</w:t>
            </w:r>
          </w:p>
        </w:tc>
      </w:tr>
      <w:tr w:rsidR="006B6491" w:rsidRPr="00B81D0A" w14:paraId="4FE11429"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26" w14:textId="77777777" w:rsidR="006B6491" w:rsidRDefault="004C16EB" w:rsidP="0084300F">
            <w:pPr>
              <w:pStyle w:val="TableText0"/>
              <w:jc w:val="center"/>
              <w:rPr>
                <w:rFonts w:cs="Arial"/>
                <w:iCs/>
              </w:rPr>
            </w:pPr>
            <w:r>
              <w:rPr>
                <w:rFonts w:cs="Arial"/>
                <w:iCs/>
              </w:rPr>
              <w:t>8</w:t>
            </w:r>
          </w:p>
        </w:tc>
        <w:tc>
          <w:tcPr>
            <w:tcW w:w="3600" w:type="dxa"/>
            <w:tcBorders>
              <w:top w:val="single" w:sz="4" w:space="0" w:color="auto"/>
              <w:left w:val="single" w:sz="4" w:space="0" w:color="auto"/>
              <w:bottom w:val="single" w:sz="4" w:space="0" w:color="auto"/>
              <w:right w:val="single" w:sz="4" w:space="0" w:color="auto"/>
            </w:tcBorders>
            <w:vAlign w:val="center"/>
          </w:tcPr>
          <w:p w14:paraId="4FE11427" w14:textId="77777777" w:rsidR="006B6491" w:rsidRDefault="006B6491" w:rsidP="00656F67">
            <w:pPr>
              <w:pStyle w:val="TableText0"/>
            </w:pPr>
            <w:r>
              <w:t xml:space="preserve">BADAVirtualAwardGHGRegAreaQuantity </w:t>
            </w:r>
            <w:r>
              <w:rPr>
                <w:vertAlign w:val="subscript"/>
              </w:rPr>
              <w:t>BQ’G’’mdh</w:t>
            </w:r>
          </w:p>
        </w:tc>
        <w:tc>
          <w:tcPr>
            <w:tcW w:w="3715" w:type="dxa"/>
            <w:tcBorders>
              <w:top w:val="single" w:sz="4" w:space="0" w:color="auto"/>
              <w:left w:val="single" w:sz="4" w:space="0" w:color="auto"/>
              <w:bottom w:val="single" w:sz="4" w:space="0" w:color="auto"/>
              <w:right w:val="single" w:sz="4" w:space="0" w:color="auto"/>
            </w:tcBorders>
            <w:vAlign w:val="center"/>
          </w:tcPr>
          <w:p w14:paraId="4FE11428" w14:textId="77777777" w:rsidR="006B6491" w:rsidRPr="00B81D0A" w:rsidRDefault="00A71835" w:rsidP="00E67533">
            <w:pPr>
              <w:pStyle w:val="TableText0"/>
              <w:rPr>
                <w:color w:val="000000"/>
                <w:sz w:val="23"/>
                <w:szCs w:val="23"/>
              </w:rPr>
            </w:pPr>
            <w:r>
              <w:rPr>
                <w:color w:val="000000"/>
                <w:sz w:val="23"/>
                <w:szCs w:val="23"/>
              </w:rPr>
              <w:t>Convergence Bid Virtual Awards by BA, BAA, and GHG Regulation Area.</w:t>
            </w:r>
          </w:p>
        </w:tc>
      </w:tr>
      <w:tr w:rsidR="006B6491" w:rsidRPr="00B81D0A" w14:paraId="4FE1142D"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2A" w14:textId="77777777" w:rsidR="006B6491" w:rsidRDefault="004C16EB" w:rsidP="0084300F">
            <w:pPr>
              <w:pStyle w:val="TableText0"/>
              <w:jc w:val="center"/>
              <w:rPr>
                <w:rFonts w:cs="Arial"/>
                <w:iCs/>
              </w:rPr>
            </w:pPr>
            <w:r>
              <w:rPr>
                <w:rFonts w:cs="Arial"/>
                <w:iCs/>
              </w:rPr>
              <w:t>9</w:t>
            </w:r>
          </w:p>
        </w:tc>
        <w:tc>
          <w:tcPr>
            <w:tcW w:w="3600" w:type="dxa"/>
            <w:tcBorders>
              <w:top w:val="single" w:sz="4" w:space="0" w:color="auto"/>
              <w:left w:val="single" w:sz="4" w:space="0" w:color="auto"/>
              <w:bottom w:val="single" w:sz="4" w:space="0" w:color="auto"/>
              <w:right w:val="single" w:sz="4" w:space="0" w:color="auto"/>
            </w:tcBorders>
            <w:vAlign w:val="center"/>
          </w:tcPr>
          <w:p w14:paraId="4FE1142B" w14:textId="77777777" w:rsidR="006B6491" w:rsidRDefault="006B6491" w:rsidP="00656F67">
            <w:pPr>
              <w:pStyle w:val="TableText0"/>
            </w:pPr>
            <w:r>
              <w:t xml:space="preserve">BADAVirtualAwardQuantity </w:t>
            </w:r>
            <w:r w:rsidR="00A71835">
              <w:rPr>
                <w:vertAlign w:val="subscript"/>
              </w:rPr>
              <w:t>B</w:t>
            </w:r>
            <w:r>
              <w:rPr>
                <w:vertAlign w:val="subscript"/>
              </w:rPr>
              <w:t>mdh</w:t>
            </w:r>
          </w:p>
        </w:tc>
        <w:tc>
          <w:tcPr>
            <w:tcW w:w="3715" w:type="dxa"/>
            <w:tcBorders>
              <w:top w:val="single" w:sz="4" w:space="0" w:color="auto"/>
              <w:left w:val="single" w:sz="4" w:space="0" w:color="auto"/>
              <w:bottom w:val="single" w:sz="4" w:space="0" w:color="auto"/>
              <w:right w:val="single" w:sz="4" w:space="0" w:color="auto"/>
            </w:tcBorders>
            <w:vAlign w:val="center"/>
          </w:tcPr>
          <w:p w14:paraId="4FE1142C" w14:textId="77777777" w:rsidR="006B6491" w:rsidRPr="00B81D0A" w:rsidRDefault="00A71835" w:rsidP="00E67533">
            <w:pPr>
              <w:pStyle w:val="TableText0"/>
              <w:rPr>
                <w:color w:val="000000"/>
                <w:sz w:val="23"/>
                <w:szCs w:val="23"/>
              </w:rPr>
            </w:pPr>
            <w:r>
              <w:rPr>
                <w:color w:val="000000"/>
                <w:sz w:val="23"/>
                <w:szCs w:val="23"/>
              </w:rPr>
              <w:t>Convergence Bid Virtual Awards by BA.</w:t>
            </w:r>
          </w:p>
        </w:tc>
      </w:tr>
      <w:tr w:rsidR="006B6491" w:rsidRPr="00B81D0A" w14:paraId="4FE11431"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2E" w14:textId="77777777" w:rsidR="006B6491" w:rsidRDefault="004C16EB" w:rsidP="0084300F">
            <w:pPr>
              <w:pStyle w:val="TableText0"/>
              <w:jc w:val="center"/>
              <w:rPr>
                <w:rFonts w:cs="Arial"/>
                <w:iCs/>
              </w:rPr>
            </w:pPr>
            <w:r>
              <w:rPr>
                <w:rFonts w:cs="Arial"/>
                <w:iCs/>
              </w:rPr>
              <w:t>10</w:t>
            </w:r>
          </w:p>
        </w:tc>
        <w:tc>
          <w:tcPr>
            <w:tcW w:w="3600" w:type="dxa"/>
            <w:tcBorders>
              <w:top w:val="single" w:sz="4" w:space="0" w:color="auto"/>
              <w:left w:val="single" w:sz="4" w:space="0" w:color="auto"/>
              <w:bottom w:val="single" w:sz="4" w:space="0" w:color="auto"/>
              <w:right w:val="single" w:sz="4" w:space="0" w:color="auto"/>
            </w:tcBorders>
            <w:vAlign w:val="center"/>
          </w:tcPr>
          <w:p w14:paraId="4FE1142F" w14:textId="77777777" w:rsidR="006B6491" w:rsidRDefault="006B6491" w:rsidP="00656F67">
            <w:pPr>
              <w:pStyle w:val="TableText0"/>
            </w:pPr>
            <w:r>
              <w:rPr>
                <w:rFonts w:cs="Arial"/>
                <w:color w:val="000000"/>
                <w:szCs w:val="22"/>
              </w:rPr>
              <w:t xml:space="preserve">BAHourlyBAADayAheadGHGEnergyQuantity </w:t>
            </w:r>
            <w:r w:rsidRPr="005610A8">
              <w:rPr>
                <w:rFonts w:cs="Arial"/>
                <w:color w:val="000000"/>
                <w:szCs w:val="22"/>
                <w:vertAlign w:val="subscript"/>
              </w:rPr>
              <w:t>BQ’</w:t>
            </w:r>
            <w:r>
              <w:rPr>
                <w:rFonts w:cs="Arial"/>
                <w:color w:val="000000"/>
                <w:szCs w:val="22"/>
                <w:vertAlign w:val="subscript"/>
              </w:rPr>
              <w:t>G’’</w:t>
            </w:r>
            <w:r w:rsidRPr="005610A8">
              <w:rPr>
                <w:rFonts w:cs="Arial"/>
                <w:color w:val="000000"/>
                <w:szCs w:val="22"/>
                <w:vertAlign w:val="subscript"/>
              </w:rPr>
              <w:t>mdh</w:t>
            </w:r>
          </w:p>
        </w:tc>
        <w:tc>
          <w:tcPr>
            <w:tcW w:w="3715" w:type="dxa"/>
            <w:tcBorders>
              <w:top w:val="single" w:sz="4" w:space="0" w:color="auto"/>
              <w:left w:val="single" w:sz="4" w:space="0" w:color="auto"/>
              <w:bottom w:val="single" w:sz="4" w:space="0" w:color="auto"/>
              <w:right w:val="single" w:sz="4" w:space="0" w:color="auto"/>
            </w:tcBorders>
            <w:vAlign w:val="center"/>
          </w:tcPr>
          <w:p w14:paraId="4FE11430" w14:textId="77777777" w:rsidR="006B6491" w:rsidRPr="00B81D0A" w:rsidRDefault="00A71835" w:rsidP="00E67533">
            <w:pPr>
              <w:pStyle w:val="TableText0"/>
              <w:rPr>
                <w:color w:val="000000"/>
                <w:sz w:val="23"/>
                <w:szCs w:val="23"/>
              </w:rPr>
            </w:pPr>
            <w:r>
              <w:rPr>
                <w:color w:val="000000"/>
                <w:sz w:val="23"/>
                <w:szCs w:val="23"/>
              </w:rPr>
              <w:t>Day Ahead Energy Schedule by BA, BAA, and GHG Regulation Area.</w:t>
            </w:r>
          </w:p>
        </w:tc>
      </w:tr>
      <w:tr w:rsidR="006B6491" w:rsidRPr="00B81D0A" w14:paraId="4FE11435"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32" w14:textId="77777777" w:rsidR="006B6491" w:rsidRDefault="004C16EB" w:rsidP="0084300F">
            <w:pPr>
              <w:pStyle w:val="TableText0"/>
              <w:jc w:val="center"/>
              <w:rPr>
                <w:rFonts w:cs="Arial"/>
                <w:iCs/>
              </w:rPr>
            </w:pPr>
            <w:r>
              <w:rPr>
                <w:rFonts w:cs="Arial"/>
                <w:iCs/>
              </w:rPr>
              <w:t>11</w:t>
            </w:r>
          </w:p>
        </w:tc>
        <w:tc>
          <w:tcPr>
            <w:tcW w:w="3600" w:type="dxa"/>
            <w:tcBorders>
              <w:top w:val="single" w:sz="4" w:space="0" w:color="auto"/>
              <w:left w:val="single" w:sz="4" w:space="0" w:color="auto"/>
              <w:bottom w:val="single" w:sz="4" w:space="0" w:color="auto"/>
              <w:right w:val="single" w:sz="4" w:space="0" w:color="auto"/>
            </w:tcBorders>
            <w:vAlign w:val="center"/>
          </w:tcPr>
          <w:p w14:paraId="4FE11433" w14:textId="77777777" w:rsidR="006B6491" w:rsidRDefault="006B6491" w:rsidP="00656F67">
            <w:pPr>
              <w:pStyle w:val="TableText0"/>
              <w:rPr>
                <w:rFonts w:cs="Arial"/>
                <w:color w:val="000000"/>
                <w:szCs w:val="22"/>
              </w:rPr>
            </w:pPr>
            <w:r>
              <w:rPr>
                <w:rFonts w:cs="Arial"/>
                <w:color w:val="000000"/>
                <w:szCs w:val="22"/>
              </w:rPr>
              <w:t xml:space="preserve">BAHourlyBAADayAheadEnergyQuantity </w:t>
            </w:r>
            <w:r w:rsidRPr="005610A8">
              <w:rPr>
                <w:rFonts w:cs="Arial"/>
                <w:color w:val="000000"/>
                <w:szCs w:val="22"/>
                <w:vertAlign w:val="subscript"/>
              </w:rPr>
              <w:t>BQ’mdh</w:t>
            </w:r>
          </w:p>
        </w:tc>
        <w:tc>
          <w:tcPr>
            <w:tcW w:w="3715" w:type="dxa"/>
            <w:tcBorders>
              <w:top w:val="single" w:sz="4" w:space="0" w:color="auto"/>
              <w:left w:val="single" w:sz="4" w:space="0" w:color="auto"/>
              <w:bottom w:val="single" w:sz="4" w:space="0" w:color="auto"/>
              <w:right w:val="single" w:sz="4" w:space="0" w:color="auto"/>
            </w:tcBorders>
            <w:vAlign w:val="center"/>
          </w:tcPr>
          <w:p w14:paraId="4FE11434" w14:textId="77777777" w:rsidR="006B6491" w:rsidRPr="00B81D0A" w:rsidRDefault="00A71835" w:rsidP="00E67533">
            <w:pPr>
              <w:pStyle w:val="TableText0"/>
              <w:rPr>
                <w:color w:val="000000"/>
                <w:sz w:val="23"/>
                <w:szCs w:val="23"/>
              </w:rPr>
            </w:pPr>
            <w:r>
              <w:rPr>
                <w:color w:val="000000"/>
                <w:sz w:val="23"/>
                <w:szCs w:val="23"/>
              </w:rPr>
              <w:t>Day Ahead Energy Schedule by BA and BAA.</w:t>
            </w:r>
          </w:p>
        </w:tc>
      </w:tr>
      <w:tr w:rsidR="00730675" w:rsidRPr="00B81D0A" w14:paraId="4FE11439"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4FE11436" w14:textId="77777777" w:rsidR="00730675" w:rsidRPr="008A36DD" w:rsidRDefault="00730675" w:rsidP="0084300F">
            <w:pPr>
              <w:pStyle w:val="TableText0"/>
              <w:jc w:val="center"/>
              <w:rPr>
                <w:rFonts w:cs="Arial"/>
                <w:iCs/>
                <w:highlight w:val="yellow"/>
              </w:rPr>
            </w:pPr>
            <w:r w:rsidRPr="00A317C0">
              <w:rPr>
                <w:rFonts w:cs="Arial"/>
                <w:iCs/>
                <w:highlight w:val="yellow"/>
              </w:rPr>
              <w:t>12</w:t>
            </w:r>
          </w:p>
        </w:tc>
        <w:tc>
          <w:tcPr>
            <w:tcW w:w="3600" w:type="dxa"/>
            <w:tcBorders>
              <w:top w:val="single" w:sz="4" w:space="0" w:color="auto"/>
              <w:left w:val="single" w:sz="4" w:space="0" w:color="auto"/>
              <w:bottom w:val="single" w:sz="4" w:space="0" w:color="auto"/>
              <w:right w:val="single" w:sz="4" w:space="0" w:color="auto"/>
            </w:tcBorders>
            <w:vAlign w:val="center"/>
          </w:tcPr>
          <w:p w14:paraId="4FE11437" w14:textId="77777777" w:rsidR="00730675" w:rsidRPr="008A36DD" w:rsidRDefault="00730675" w:rsidP="00656F67">
            <w:pPr>
              <w:pStyle w:val="TableText0"/>
              <w:rPr>
                <w:rFonts w:cs="Arial"/>
                <w:color w:val="000000"/>
                <w:szCs w:val="22"/>
                <w:highlight w:val="yellow"/>
              </w:rPr>
            </w:pPr>
            <w:r w:rsidRPr="00A317C0">
              <w:rPr>
                <w:rStyle w:val="StyleConfigurationFormulaNotBoldNotItalicChar"/>
                <w:rFonts w:cs="Times New Roman"/>
                <w:b w:val="0"/>
                <w:bCs w:val="0"/>
                <w:i w:val="0"/>
                <w:iCs w:val="0"/>
                <w:szCs w:val="20"/>
                <w:highlight w:val="yellow"/>
              </w:rPr>
              <w:t xml:space="preserve">BAAGHGOffsetSettlementAmount </w:t>
            </w:r>
            <w:r w:rsidRPr="00A317C0">
              <w:rPr>
                <w:rStyle w:val="StyleConfigurationFormulaNotBoldNotItalicChar"/>
                <w:rFonts w:cs="Times New Roman"/>
                <w:b w:val="0"/>
                <w:bCs w:val="0"/>
                <w:i w:val="0"/>
                <w:iCs w:val="0"/>
                <w:szCs w:val="20"/>
                <w:highlight w:val="yellow"/>
                <w:vertAlign w:val="subscript"/>
              </w:rPr>
              <w:t>Q’mdh</w:t>
            </w:r>
          </w:p>
        </w:tc>
        <w:tc>
          <w:tcPr>
            <w:tcW w:w="3715" w:type="dxa"/>
            <w:tcBorders>
              <w:top w:val="single" w:sz="4" w:space="0" w:color="auto"/>
              <w:left w:val="single" w:sz="4" w:space="0" w:color="auto"/>
              <w:bottom w:val="single" w:sz="4" w:space="0" w:color="auto"/>
              <w:right w:val="single" w:sz="4" w:space="0" w:color="auto"/>
            </w:tcBorders>
            <w:vAlign w:val="center"/>
          </w:tcPr>
          <w:p w14:paraId="4FE11438" w14:textId="77777777" w:rsidR="00730675" w:rsidRPr="00A317C0" w:rsidRDefault="00730675" w:rsidP="00E67533">
            <w:pPr>
              <w:pStyle w:val="TableText0"/>
              <w:rPr>
                <w:color w:val="000000"/>
                <w:sz w:val="23"/>
                <w:szCs w:val="23"/>
                <w:highlight w:val="yellow"/>
              </w:rPr>
            </w:pPr>
            <w:r w:rsidRPr="00A317C0">
              <w:rPr>
                <w:color w:val="000000"/>
                <w:sz w:val="23"/>
                <w:szCs w:val="23"/>
                <w:highlight w:val="yellow"/>
              </w:rPr>
              <w:t>GHG Offset by BAA</w:t>
            </w:r>
          </w:p>
        </w:tc>
      </w:tr>
      <w:bookmarkEnd w:id="53"/>
    </w:tbl>
    <w:p w14:paraId="4FE1143A" w14:textId="77777777" w:rsidR="00C1402D" w:rsidRPr="00B81D0A" w:rsidRDefault="00C1402D" w:rsidP="002A25EA">
      <w:pPr>
        <w:pStyle w:val="NormalIndent"/>
        <w:rPr>
          <w:rStyle w:val="BodyText1"/>
        </w:rPr>
        <w:sectPr w:rsidR="00C1402D" w:rsidRPr="00B81D0A" w:rsidSect="0017776A">
          <w:endnotePr>
            <w:numFmt w:val="decimal"/>
          </w:endnotePr>
          <w:pgSz w:w="12240" w:h="15840"/>
          <w:pgMar w:top="1440" w:right="1440" w:bottom="1440" w:left="1440" w:header="720" w:footer="720" w:gutter="0"/>
          <w:cols w:space="720"/>
        </w:sectPr>
      </w:pPr>
    </w:p>
    <w:p w14:paraId="4FE11453" w14:textId="77777777" w:rsidR="009F0098" w:rsidRPr="00B81D0A" w:rsidRDefault="009F0098" w:rsidP="009F0098">
      <w:pPr>
        <w:pStyle w:val="Heading1"/>
      </w:pPr>
      <w:bookmarkStart w:id="55" w:name="_Toc196405551"/>
      <w:r w:rsidRPr="00B81D0A">
        <w:lastRenderedPageBreak/>
        <w:t xml:space="preserve">Charge Code </w:t>
      </w:r>
      <w:r w:rsidR="00FC4864" w:rsidRPr="00B81D0A">
        <w:t>Effective Date</w:t>
      </w:r>
      <w:r w:rsidR="00F25825" w:rsidRPr="00B81D0A">
        <w:t>s</w:t>
      </w:r>
      <w:bookmarkEnd w:id="55"/>
    </w:p>
    <w:p w14:paraId="4FE11454" w14:textId="77777777" w:rsidR="009F0098" w:rsidRPr="00B81D0A" w:rsidRDefault="009F0098" w:rsidP="009F0098"/>
    <w:p w14:paraId="4FE11455" w14:textId="77777777" w:rsidR="009F0098" w:rsidRPr="00B81D0A" w:rsidRDefault="009F0098" w:rsidP="004658D7">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B81D0A" w14:paraId="4FE1145C" w14:textId="77777777" w:rsidTr="006B6E2E">
        <w:trPr>
          <w:trHeight w:val="586"/>
          <w:tblHeader/>
        </w:trPr>
        <w:tc>
          <w:tcPr>
            <w:tcW w:w="1980" w:type="dxa"/>
            <w:shd w:val="clear" w:color="auto" w:fill="D9D9D9"/>
            <w:vAlign w:val="center"/>
          </w:tcPr>
          <w:p w14:paraId="4FE11456" w14:textId="77777777" w:rsidR="006B6E2E" w:rsidRPr="00B81D0A" w:rsidRDefault="006B6E2E" w:rsidP="00977132">
            <w:pPr>
              <w:pStyle w:val="TableBoldCharCharCharCharChar1Char"/>
              <w:keepNext/>
              <w:jc w:val="center"/>
              <w:rPr>
                <w:sz w:val="22"/>
              </w:rPr>
            </w:pPr>
            <w:r w:rsidRPr="00B81D0A">
              <w:rPr>
                <w:sz w:val="22"/>
              </w:rPr>
              <w:t>Charge Code/</w:t>
            </w:r>
          </w:p>
          <w:p w14:paraId="4FE11457" w14:textId="77777777" w:rsidR="006B6E2E" w:rsidRPr="00B81D0A" w:rsidRDefault="006B6E2E" w:rsidP="00977132">
            <w:pPr>
              <w:pStyle w:val="TableBoldCharCharCharCharChar1Char"/>
              <w:keepNext/>
              <w:jc w:val="center"/>
              <w:rPr>
                <w:sz w:val="22"/>
              </w:rPr>
            </w:pPr>
            <w:r w:rsidRPr="00B81D0A">
              <w:rPr>
                <w:sz w:val="22"/>
              </w:rPr>
              <w:t>Pre-calc Name</w:t>
            </w:r>
          </w:p>
        </w:tc>
        <w:tc>
          <w:tcPr>
            <w:tcW w:w="1440" w:type="dxa"/>
            <w:shd w:val="clear" w:color="auto" w:fill="D9D9D9"/>
            <w:vAlign w:val="center"/>
          </w:tcPr>
          <w:p w14:paraId="4FE11458" w14:textId="77777777" w:rsidR="006B6E2E" w:rsidRPr="00B81D0A" w:rsidRDefault="006B6E2E" w:rsidP="00977132">
            <w:pPr>
              <w:pStyle w:val="TableBoldCharCharCharCharChar1Char"/>
              <w:keepNext/>
              <w:jc w:val="center"/>
              <w:rPr>
                <w:sz w:val="22"/>
              </w:rPr>
            </w:pPr>
            <w:r w:rsidRPr="00B81D0A">
              <w:rPr>
                <w:sz w:val="22"/>
              </w:rPr>
              <w:t>Document Version</w:t>
            </w:r>
          </w:p>
        </w:tc>
        <w:tc>
          <w:tcPr>
            <w:tcW w:w="1440" w:type="dxa"/>
            <w:shd w:val="clear" w:color="auto" w:fill="D9D9D9"/>
            <w:vAlign w:val="center"/>
          </w:tcPr>
          <w:p w14:paraId="4FE11459" w14:textId="77777777" w:rsidR="006B6E2E" w:rsidRPr="00B81D0A" w:rsidRDefault="006B6E2E" w:rsidP="00977132">
            <w:pPr>
              <w:pStyle w:val="TableBoldCharCharCharCharChar1Char"/>
              <w:keepNext/>
              <w:jc w:val="center"/>
              <w:rPr>
                <w:sz w:val="22"/>
              </w:rPr>
            </w:pPr>
            <w:r w:rsidRPr="00B81D0A">
              <w:rPr>
                <w:sz w:val="22"/>
              </w:rPr>
              <w:t>Effective Start Date</w:t>
            </w:r>
          </w:p>
        </w:tc>
        <w:tc>
          <w:tcPr>
            <w:tcW w:w="1440" w:type="dxa"/>
            <w:shd w:val="clear" w:color="auto" w:fill="D9D9D9"/>
            <w:vAlign w:val="center"/>
          </w:tcPr>
          <w:p w14:paraId="4FE1145A" w14:textId="77777777" w:rsidR="006B6E2E" w:rsidRPr="00B81D0A" w:rsidRDefault="006B6E2E" w:rsidP="00977132">
            <w:pPr>
              <w:pStyle w:val="TableBoldCharCharCharCharChar1Char"/>
              <w:keepNext/>
              <w:jc w:val="center"/>
              <w:rPr>
                <w:sz w:val="22"/>
              </w:rPr>
            </w:pPr>
            <w:r w:rsidRPr="00B81D0A">
              <w:rPr>
                <w:sz w:val="22"/>
              </w:rPr>
              <w:t>Effective End Date</w:t>
            </w:r>
          </w:p>
        </w:tc>
        <w:tc>
          <w:tcPr>
            <w:tcW w:w="2340" w:type="dxa"/>
            <w:shd w:val="clear" w:color="auto" w:fill="D9D9D9"/>
          </w:tcPr>
          <w:p w14:paraId="4FE1145B" w14:textId="77777777" w:rsidR="006B6E2E" w:rsidRPr="00B81D0A" w:rsidRDefault="006B6E2E" w:rsidP="00977132">
            <w:pPr>
              <w:pStyle w:val="TableBoldCharCharCharCharChar1Char"/>
              <w:keepNext/>
              <w:jc w:val="center"/>
              <w:rPr>
                <w:sz w:val="22"/>
              </w:rPr>
            </w:pPr>
            <w:r w:rsidRPr="00B81D0A">
              <w:rPr>
                <w:sz w:val="22"/>
              </w:rPr>
              <w:t>Version Update Type</w:t>
            </w:r>
          </w:p>
        </w:tc>
      </w:tr>
      <w:tr w:rsidR="005B7342" w:rsidRPr="0023794E" w14:paraId="4FE11462"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4FE1145D" w14:textId="77777777" w:rsidR="005B7342" w:rsidRPr="00B81D0A" w:rsidRDefault="005B7342" w:rsidP="0018518B">
            <w:pPr>
              <w:pStyle w:val="TableText0"/>
              <w:jc w:val="center"/>
            </w:pPr>
            <w:r w:rsidRPr="00B81D0A">
              <w:t xml:space="preserve">CC </w:t>
            </w:r>
            <w:r w:rsidR="008D5F85">
              <w:t>8315</w:t>
            </w:r>
            <w:r w:rsidRPr="00B81D0A">
              <w:t xml:space="preserve"> – </w:t>
            </w:r>
            <w:r w:rsidR="00B81D0A" w:rsidRPr="00B81D0A">
              <w:t xml:space="preserve">Day Ahead </w:t>
            </w:r>
            <w:r w:rsidR="00C92A1B" w:rsidRPr="00B81D0A">
              <w:t>Green</w:t>
            </w:r>
            <w:r w:rsidR="008D0F89" w:rsidRPr="00B81D0A">
              <w:t xml:space="preserve">house </w:t>
            </w:r>
            <w:r w:rsidR="00C92A1B" w:rsidRPr="00B81D0A">
              <w:t xml:space="preserve">Gas </w:t>
            </w:r>
            <w:r w:rsidR="0018518B">
              <w:t>Offset</w:t>
            </w:r>
          </w:p>
        </w:tc>
        <w:tc>
          <w:tcPr>
            <w:tcW w:w="1440" w:type="dxa"/>
            <w:tcBorders>
              <w:top w:val="single" w:sz="4" w:space="0" w:color="auto"/>
              <w:left w:val="single" w:sz="4" w:space="0" w:color="auto"/>
              <w:bottom w:val="single" w:sz="4" w:space="0" w:color="auto"/>
              <w:right w:val="single" w:sz="4" w:space="0" w:color="auto"/>
            </w:tcBorders>
          </w:tcPr>
          <w:p w14:paraId="4FE1145E" w14:textId="77777777" w:rsidR="005B7342" w:rsidRPr="00B81D0A" w:rsidRDefault="00231750" w:rsidP="005B7342">
            <w:pPr>
              <w:pStyle w:val="TableText0"/>
              <w:jc w:val="center"/>
            </w:pPr>
            <w:r w:rsidRPr="00B81D0A">
              <w:t>5.0</w:t>
            </w:r>
          </w:p>
        </w:tc>
        <w:tc>
          <w:tcPr>
            <w:tcW w:w="1440" w:type="dxa"/>
            <w:tcBorders>
              <w:top w:val="single" w:sz="4" w:space="0" w:color="auto"/>
              <w:left w:val="single" w:sz="4" w:space="0" w:color="auto"/>
              <w:bottom w:val="single" w:sz="4" w:space="0" w:color="auto"/>
              <w:right w:val="single" w:sz="4" w:space="0" w:color="auto"/>
            </w:tcBorders>
          </w:tcPr>
          <w:p w14:paraId="4FE1145F" w14:textId="77777777" w:rsidR="005B7342" w:rsidRPr="00B81D0A" w:rsidRDefault="00B81D0A" w:rsidP="00F25825">
            <w:pPr>
              <w:pStyle w:val="TableText0"/>
              <w:jc w:val="center"/>
            </w:pPr>
            <w:r w:rsidRPr="00B81D0A">
              <w:t>05/01/2</w:t>
            </w:r>
            <w:r w:rsidR="00D67C9A">
              <w:t>6</w:t>
            </w:r>
          </w:p>
        </w:tc>
        <w:tc>
          <w:tcPr>
            <w:tcW w:w="1440" w:type="dxa"/>
            <w:tcBorders>
              <w:top w:val="single" w:sz="4" w:space="0" w:color="auto"/>
              <w:left w:val="single" w:sz="4" w:space="0" w:color="auto"/>
              <w:bottom w:val="single" w:sz="4" w:space="0" w:color="auto"/>
              <w:right w:val="single" w:sz="4" w:space="0" w:color="auto"/>
            </w:tcBorders>
          </w:tcPr>
          <w:p w14:paraId="4FE11460" w14:textId="77777777" w:rsidR="005B7342" w:rsidRPr="00B81D0A" w:rsidRDefault="005B7342" w:rsidP="009222F9">
            <w:pPr>
              <w:pStyle w:val="TableText0"/>
              <w:jc w:val="center"/>
            </w:pPr>
            <w:r w:rsidRPr="00B81D0A">
              <w:t>Open</w:t>
            </w:r>
          </w:p>
        </w:tc>
        <w:tc>
          <w:tcPr>
            <w:tcW w:w="2340" w:type="dxa"/>
            <w:tcBorders>
              <w:top w:val="single" w:sz="4" w:space="0" w:color="auto"/>
              <w:left w:val="single" w:sz="4" w:space="0" w:color="auto"/>
              <w:bottom w:val="single" w:sz="4" w:space="0" w:color="auto"/>
              <w:right w:val="single" w:sz="4" w:space="0" w:color="auto"/>
            </w:tcBorders>
          </w:tcPr>
          <w:p w14:paraId="4FE11461" w14:textId="77777777" w:rsidR="005B7342" w:rsidRPr="0023794E" w:rsidRDefault="005B7342" w:rsidP="009222F9">
            <w:pPr>
              <w:pStyle w:val="TableText0"/>
              <w:jc w:val="center"/>
            </w:pPr>
            <w:r w:rsidRPr="00B81D0A">
              <w:t>Configuration Impacted</w:t>
            </w:r>
          </w:p>
        </w:tc>
      </w:tr>
    </w:tbl>
    <w:p w14:paraId="4FE11463" w14:textId="77777777" w:rsidR="009F0098" w:rsidRPr="0023794E" w:rsidRDefault="009F0098" w:rsidP="009F0098">
      <w:pPr>
        <w:pStyle w:val="BodyText"/>
        <w:rPr>
          <w:rFonts w:cs="Arial"/>
        </w:rPr>
      </w:pPr>
    </w:p>
    <w:p w14:paraId="4FE11464" w14:textId="77777777" w:rsidR="00701B48" w:rsidRPr="009F0098" w:rsidRDefault="00701B48">
      <w:pPr>
        <w:pStyle w:val="NormalIndent"/>
      </w:pPr>
      <w:bookmarkStart w:id="56" w:name="_Toc128909871"/>
      <w:bookmarkStart w:id="57" w:name="_Toc128909945"/>
      <w:bookmarkStart w:id="58" w:name="_Toc128909989"/>
      <w:bookmarkStart w:id="59" w:name="_Toc128909872"/>
      <w:bookmarkStart w:id="60" w:name="_Toc128909946"/>
      <w:bookmarkStart w:id="61" w:name="_Toc128909990"/>
      <w:bookmarkStart w:id="62" w:name="_Toc128909873"/>
      <w:bookmarkStart w:id="63" w:name="_Toc128909947"/>
      <w:bookmarkStart w:id="64" w:name="_Toc128909991"/>
      <w:bookmarkStart w:id="65" w:name="_Toc128909874"/>
      <w:bookmarkStart w:id="66" w:name="_Toc128909948"/>
      <w:bookmarkStart w:id="67" w:name="_Toc128909992"/>
      <w:bookmarkEnd w:id="1"/>
      <w:bookmarkEnd w:id="2"/>
      <w:bookmarkEnd w:id="11"/>
      <w:bookmarkEnd w:id="12"/>
      <w:bookmarkEnd w:id="13"/>
      <w:bookmarkEnd w:id="56"/>
      <w:bookmarkEnd w:id="57"/>
      <w:bookmarkEnd w:id="58"/>
      <w:bookmarkEnd w:id="59"/>
      <w:bookmarkEnd w:id="60"/>
      <w:bookmarkEnd w:id="61"/>
      <w:bookmarkEnd w:id="62"/>
      <w:bookmarkEnd w:id="63"/>
      <w:bookmarkEnd w:id="64"/>
      <w:bookmarkEnd w:id="65"/>
      <w:bookmarkEnd w:id="66"/>
      <w:bookmarkEnd w:id="67"/>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11467" w14:textId="77777777" w:rsidR="00CE12EB" w:rsidRDefault="00CE12EB">
      <w:r>
        <w:separator/>
      </w:r>
    </w:p>
  </w:endnote>
  <w:endnote w:type="continuationSeparator" w:id="0">
    <w:p w14:paraId="4FE11468" w14:textId="77777777" w:rsidR="00CE12EB" w:rsidRDefault="00CE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71835" w:rsidRPr="00AE4572" w14:paraId="4FE11473" w14:textId="77777777">
      <w:tc>
        <w:tcPr>
          <w:tcW w:w="3162" w:type="dxa"/>
          <w:tcBorders>
            <w:top w:val="nil"/>
            <w:left w:val="nil"/>
            <w:bottom w:val="nil"/>
            <w:right w:val="nil"/>
          </w:tcBorders>
        </w:tcPr>
        <w:p w14:paraId="4FE11470" w14:textId="1004DC5D" w:rsidR="00A71835" w:rsidRPr="00AE4572" w:rsidRDefault="00A71835">
          <w:pPr>
            <w:ind w:right="360"/>
            <w:rPr>
              <w:rFonts w:cs="Arial"/>
              <w:sz w:val="16"/>
              <w:szCs w:val="16"/>
            </w:rPr>
          </w:pPr>
        </w:p>
      </w:tc>
      <w:tc>
        <w:tcPr>
          <w:tcW w:w="3162" w:type="dxa"/>
          <w:tcBorders>
            <w:top w:val="nil"/>
            <w:left w:val="nil"/>
            <w:bottom w:val="nil"/>
            <w:right w:val="nil"/>
          </w:tcBorders>
        </w:tcPr>
        <w:p w14:paraId="4FE11471" w14:textId="53199F2A" w:rsidR="00A71835" w:rsidRPr="00AE4572" w:rsidRDefault="00A71835">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A317C0">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4FE11472" w14:textId="611980B4" w:rsidR="00A71835" w:rsidRPr="00AE4572" w:rsidRDefault="00A71835">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A317C0">
            <w:rPr>
              <w:rStyle w:val="PageNumber"/>
              <w:rFonts w:cs="Arial"/>
              <w:noProof/>
              <w:sz w:val="16"/>
              <w:szCs w:val="16"/>
            </w:rPr>
            <w:t>6</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A317C0">
            <w:rPr>
              <w:rStyle w:val="PageNumber"/>
              <w:rFonts w:cs="Arial"/>
              <w:noProof/>
              <w:sz w:val="16"/>
              <w:szCs w:val="16"/>
            </w:rPr>
            <w:t>9</w:t>
          </w:r>
          <w:r w:rsidRPr="00AE4572">
            <w:rPr>
              <w:rStyle w:val="PageNumber"/>
              <w:rFonts w:cs="Arial"/>
              <w:sz w:val="16"/>
              <w:szCs w:val="16"/>
            </w:rPr>
            <w:fldChar w:fldCharType="end"/>
          </w:r>
        </w:p>
      </w:tc>
    </w:tr>
  </w:tbl>
  <w:p w14:paraId="4FE11474" w14:textId="77777777" w:rsidR="00A71835" w:rsidRDefault="00A7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11465" w14:textId="77777777" w:rsidR="00CE12EB" w:rsidRDefault="00CE12EB">
      <w:r>
        <w:separator/>
      </w:r>
    </w:p>
  </w:footnote>
  <w:footnote w:type="continuationSeparator" w:id="0">
    <w:p w14:paraId="4FE11466" w14:textId="77777777" w:rsidR="00CE12EB" w:rsidRDefault="00CE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EE34" w14:textId="6F6926FF" w:rsidR="00A317C0" w:rsidRDefault="00A317C0">
    <w:pPr>
      <w:pStyle w:val="Header"/>
    </w:pPr>
    <w:r>
      <w:rPr>
        <w:noProof/>
      </w:rPr>
      <w:pict w14:anchorId="4515C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6469" o:spid="_x0000_s11266"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71835" w:rsidRPr="00614385" w14:paraId="4FE1146B" w14:textId="77777777">
      <w:tc>
        <w:tcPr>
          <w:tcW w:w="6379" w:type="dxa"/>
        </w:tcPr>
        <w:p w14:paraId="4FE11469" w14:textId="77777777" w:rsidR="00A71835" w:rsidRPr="00614385" w:rsidRDefault="00A71835">
          <w:pPr>
            <w:pStyle w:val="CommentText"/>
            <w:rPr>
              <w:rFonts w:cs="Arial"/>
              <w:sz w:val="16"/>
              <w:szCs w:val="16"/>
            </w:rPr>
          </w:pPr>
          <w:r>
            <w:rPr>
              <w:rFonts w:cs="Arial"/>
              <w:sz w:val="16"/>
              <w:szCs w:val="16"/>
            </w:rPr>
            <w:t>Settlements &amp; Billing</w:t>
          </w:r>
        </w:p>
      </w:tc>
      <w:tc>
        <w:tcPr>
          <w:tcW w:w="3179" w:type="dxa"/>
        </w:tcPr>
        <w:p w14:paraId="4FE1146A" w14:textId="77777777" w:rsidR="00A71835" w:rsidRPr="00045213" w:rsidRDefault="00A71835" w:rsidP="009222F9">
          <w:pPr>
            <w:tabs>
              <w:tab w:val="left" w:pos="1135"/>
            </w:tabs>
            <w:spacing w:before="40"/>
            <w:ind w:right="68"/>
            <w:rPr>
              <w:rFonts w:cs="Arial"/>
              <w:b/>
              <w:bCs/>
              <w:color w:val="FF0000"/>
              <w:sz w:val="16"/>
              <w:szCs w:val="16"/>
            </w:rPr>
          </w:pPr>
          <w:r w:rsidRPr="00045213">
            <w:rPr>
              <w:rFonts w:cs="Arial"/>
              <w:sz w:val="16"/>
              <w:szCs w:val="16"/>
            </w:rPr>
            <w:t xml:space="preserve">  Version:  </w:t>
          </w:r>
          <w:r>
            <w:rPr>
              <w:rFonts w:cs="Arial"/>
              <w:sz w:val="16"/>
              <w:szCs w:val="16"/>
            </w:rPr>
            <w:t>5.0</w:t>
          </w:r>
        </w:p>
      </w:tc>
    </w:tr>
    <w:tr w:rsidR="00A71835" w:rsidRPr="00614385" w14:paraId="4FE1146E" w14:textId="77777777">
      <w:tc>
        <w:tcPr>
          <w:tcW w:w="6379" w:type="dxa"/>
        </w:tcPr>
        <w:p w14:paraId="4FE1146C" w14:textId="77777777" w:rsidR="00A71835" w:rsidRPr="00614385" w:rsidRDefault="00A71835" w:rsidP="008D0F89">
          <w:pPr>
            <w:rPr>
              <w:rFonts w:cs="Arial"/>
              <w:sz w:val="16"/>
              <w:szCs w:val="16"/>
            </w:rPr>
          </w:pPr>
          <w:r w:rsidRPr="00614385">
            <w:rPr>
              <w:rFonts w:cs="Arial"/>
              <w:sz w:val="16"/>
              <w:szCs w:val="16"/>
            </w:rPr>
            <w:t>Configuration Guide for</w:t>
          </w:r>
          <w:r w:rsidRPr="000B7B28">
            <w:rPr>
              <w:rFonts w:cs="Arial"/>
              <w:sz w:val="16"/>
              <w:szCs w:val="16"/>
            </w:rPr>
            <w:t xml:space="preserve">: </w:t>
          </w:r>
          <w:r>
            <w:rPr>
              <w:rFonts w:cs="Arial"/>
              <w:sz w:val="16"/>
              <w:szCs w:val="16"/>
            </w:rPr>
            <w:t xml:space="preserve">Day Ahead </w:t>
          </w:r>
          <w:r w:rsidRPr="00F350AB">
            <w:rPr>
              <w:rFonts w:cs="Arial"/>
              <w:sz w:val="16"/>
              <w:szCs w:val="16"/>
            </w:rPr>
            <w:t>Green</w:t>
          </w:r>
          <w:r w:rsidRPr="00B81D0A">
            <w:rPr>
              <w:rFonts w:cs="Arial"/>
              <w:sz w:val="16"/>
              <w:szCs w:val="16"/>
            </w:rPr>
            <w:t>hous</w:t>
          </w:r>
          <w:r>
            <w:rPr>
              <w:rFonts w:cs="Arial"/>
              <w:sz w:val="16"/>
              <w:szCs w:val="16"/>
            </w:rPr>
            <w:t>e Gas Offset</w:t>
          </w:r>
        </w:p>
      </w:tc>
      <w:tc>
        <w:tcPr>
          <w:tcW w:w="3179" w:type="dxa"/>
        </w:tcPr>
        <w:p w14:paraId="4FE1146D" w14:textId="5C77D78A" w:rsidR="00A71835" w:rsidRPr="00045213" w:rsidRDefault="00A71835" w:rsidP="00A0321B">
          <w:pPr>
            <w:rPr>
              <w:rFonts w:cs="Arial"/>
              <w:sz w:val="16"/>
              <w:szCs w:val="16"/>
            </w:rPr>
          </w:pPr>
          <w:r w:rsidRPr="00045213">
            <w:rPr>
              <w:rFonts w:cs="Arial"/>
              <w:sz w:val="16"/>
              <w:szCs w:val="16"/>
            </w:rPr>
            <w:t xml:space="preserve">  Date</w:t>
          </w:r>
          <w:r>
            <w:rPr>
              <w:rFonts w:cs="Arial"/>
              <w:sz w:val="16"/>
              <w:szCs w:val="16"/>
            </w:rPr>
            <w:t xml:space="preserve"> </w:t>
          </w:r>
          <w:r w:rsidR="00A0321B" w:rsidRPr="00A317C0">
            <w:rPr>
              <w:rFonts w:cs="Arial"/>
              <w:sz w:val="16"/>
              <w:szCs w:val="16"/>
              <w:highlight w:val="yellow"/>
            </w:rPr>
            <w:t>4/11/2025</w:t>
          </w:r>
        </w:p>
      </w:tc>
    </w:tr>
  </w:tbl>
  <w:p w14:paraId="4FE1146F" w14:textId="2AAAFEBE" w:rsidR="00A71835" w:rsidRDefault="00A317C0">
    <w:pPr>
      <w:pStyle w:val="Header"/>
    </w:pPr>
    <w:r>
      <w:rPr>
        <w:noProof/>
      </w:rPr>
      <w:pict w14:anchorId="50C18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6470" o:spid="_x0000_s11267"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421A" w14:textId="1D7CCEA6" w:rsidR="00A317C0" w:rsidRDefault="00A317C0" w:rsidP="00A317C0">
    <w:pPr>
      <w:rPr>
        <w:sz w:val="24"/>
      </w:rPr>
    </w:pPr>
    <w:r>
      <w:rPr>
        <w:noProof/>
      </w:rPr>
      <w:pict w14:anchorId="5A76E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6468" o:spid="_x0000_s11265"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B849458" w14:textId="77777777" w:rsidR="00A317C0" w:rsidRDefault="00A317C0" w:rsidP="00A317C0">
    <w:pPr>
      <w:pBdr>
        <w:top w:val="single" w:sz="6" w:space="1" w:color="auto"/>
      </w:pBdr>
      <w:rPr>
        <w:sz w:val="24"/>
      </w:rPr>
    </w:pPr>
  </w:p>
  <w:p w14:paraId="083BD6F4" w14:textId="77777777" w:rsidR="00A317C0" w:rsidRPr="00CA5EC4" w:rsidRDefault="00A317C0" w:rsidP="00A317C0">
    <w:pPr>
      <w:pBdr>
        <w:bottom w:val="single" w:sz="6" w:space="1" w:color="auto"/>
      </w:pBdr>
      <w:rPr>
        <w:rFonts w:cs="Arial"/>
        <w:b/>
        <w:sz w:val="36"/>
      </w:rPr>
    </w:pPr>
    <w:r>
      <w:rPr>
        <w:rFonts w:cs="Arial"/>
        <w:b/>
        <w:noProof/>
        <w:sz w:val="36"/>
      </w:rPr>
      <w:drawing>
        <wp:inline distT="0" distB="0" distL="0" distR="0" wp14:anchorId="201D3175" wp14:editId="1AFF2096">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7AB20017" w14:textId="77777777" w:rsidR="00A317C0" w:rsidRDefault="00A317C0" w:rsidP="00A317C0">
    <w:pPr>
      <w:pBdr>
        <w:bottom w:val="single" w:sz="6" w:space="1" w:color="auto"/>
      </w:pBdr>
      <w:jc w:val="right"/>
      <w:rPr>
        <w:sz w:val="24"/>
      </w:rPr>
    </w:pPr>
  </w:p>
  <w:p w14:paraId="19BA6E11" w14:textId="77777777" w:rsidR="00A317C0" w:rsidRDefault="00A317C0" w:rsidP="00A317C0">
    <w:pPr>
      <w:rPr>
        <w:i/>
      </w:rPr>
    </w:pPr>
  </w:p>
  <w:p w14:paraId="4FE11479" w14:textId="77777777" w:rsidR="00A71835" w:rsidRDefault="00A71835">
    <w:pPr>
      <w:pStyle w:val="Body"/>
      <w:jc w:val="center"/>
      <w:rPr>
        <w:sz w:val="52"/>
      </w:rPr>
    </w:pPr>
  </w:p>
  <w:p w14:paraId="4FE1147A" w14:textId="77777777" w:rsidR="00A71835" w:rsidRDefault="00A71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50581C"/>
    <w:multiLevelType w:val="hybridMultilevel"/>
    <w:tmpl w:val="E22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BC41799"/>
    <w:multiLevelType w:val="hybridMultilevel"/>
    <w:tmpl w:val="0C96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97E2B5B"/>
    <w:multiLevelType w:val="hybridMultilevel"/>
    <w:tmpl w:val="F68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7BCC"/>
    <w:multiLevelType w:val="multilevel"/>
    <w:tmpl w:val="5F6C49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0212ED9"/>
    <w:multiLevelType w:val="hybridMultilevel"/>
    <w:tmpl w:val="E4B23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92A31"/>
    <w:multiLevelType w:val="multilevel"/>
    <w:tmpl w:val="9732072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w:hAnsi="Arial"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4" w15:restartNumberingAfterBreak="0">
    <w:nsid w:val="4F621E5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 w15:restartNumberingAfterBreak="0">
    <w:nsid w:val="5465735B"/>
    <w:multiLevelType w:val="hybridMultilevel"/>
    <w:tmpl w:val="54628C7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54C60520"/>
    <w:multiLevelType w:val="hybridMultilevel"/>
    <w:tmpl w:val="DC28699E"/>
    <w:lvl w:ilvl="0" w:tplc="0478B7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514D0E"/>
    <w:multiLevelType w:val="hybridMultilevel"/>
    <w:tmpl w:val="6BB2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0204C"/>
    <w:multiLevelType w:val="hybridMultilevel"/>
    <w:tmpl w:val="9C6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33C97"/>
    <w:multiLevelType w:val="multilevel"/>
    <w:tmpl w:val="A07639A6"/>
    <w:lvl w:ilvl="0">
      <w:start w:val="1"/>
      <w:numFmt w:val="decimal"/>
      <w:suff w:val="nothing"/>
      <w:lvlText w:val="%1.0"/>
      <w:lvlJc w:val="left"/>
      <w:pPr>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suff w:val="nothing"/>
      <w:lvlText w:val="%1.%2.%3"/>
      <w:lvlJc w:val="left"/>
      <w:pPr>
        <w:ind w:left="360" w:hanging="360"/>
      </w:pPr>
      <w:rPr>
        <w:rFonts w:hint="default"/>
      </w:rPr>
    </w:lvl>
    <w:lvl w:ilvl="3">
      <w:start w:val="1"/>
      <w:numFmt w:val="decimal"/>
      <w:suff w:val="nothing"/>
      <w:lvlText w:val="%1.%2.%3.%4"/>
      <w:lvlJc w:val="left"/>
      <w:pPr>
        <w:ind w:left="360" w:hanging="360"/>
      </w:pPr>
      <w:rPr>
        <w:rFonts w:hint="default"/>
      </w:rPr>
    </w:lvl>
    <w:lvl w:ilvl="4">
      <w:start w:val="1"/>
      <w:numFmt w:val="decimal"/>
      <w:suff w:val="nothing"/>
      <w:lvlText w:val="%1.%2.%3.%4.%5"/>
      <w:lvlJc w:val="left"/>
      <w:pPr>
        <w:ind w:left="360" w:hanging="360"/>
      </w:pPr>
      <w:rPr>
        <w:rFonts w:hint="default"/>
      </w:rPr>
    </w:lvl>
    <w:lvl w:ilvl="5">
      <w:start w:val="1"/>
      <w:numFmt w:val="decimal"/>
      <w:suff w:val="nothing"/>
      <w:lvlText w:val="%1.%2.%3.%4.%5.%6"/>
      <w:lvlJc w:val="left"/>
      <w:pPr>
        <w:ind w:left="360" w:hanging="360"/>
      </w:pPr>
      <w:rPr>
        <w:rFonts w:hint="default"/>
      </w:rPr>
    </w:lvl>
    <w:lvl w:ilvl="6">
      <w:start w:val="1"/>
      <w:numFmt w:val="decimal"/>
      <w:suff w:val="nothing"/>
      <w:lvlText w:val="%1.%2.%3.%4.%5.%6.%7"/>
      <w:lvlJc w:val="left"/>
      <w:pPr>
        <w:ind w:left="360" w:hanging="360"/>
      </w:pPr>
      <w:rPr>
        <w:rFonts w:hint="default"/>
      </w:rPr>
    </w:lvl>
    <w:lvl w:ilvl="7">
      <w:start w:val="1"/>
      <w:numFmt w:val="decimal"/>
      <w:suff w:val="nothing"/>
      <w:lvlText w:val="%1.%2.%3.%4.%5.%6.%7.%8"/>
      <w:lvlJc w:val="left"/>
      <w:pPr>
        <w:ind w:left="360" w:hanging="360"/>
      </w:pPr>
      <w:rPr>
        <w:rFonts w:hint="default"/>
      </w:rPr>
    </w:lvl>
    <w:lvl w:ilvl="8">
      <w:start w:val="1"/>
      <w:numFmt w:val="decimal"/>
      <w:suff w:val="nothing"/>
      <w:lvlText w:val="%1.%2.%3.%4.%5.%6.%7.%8.%9"/>
      <w:lvlJc w:val="left"/>
      <w:pPr>
        <w:ind w:left="360" w:hanging="360"/>
      </w:pPr>
      <w:rPr>
        <w:rFonts w:hint="default"/>
      </w:rPr>
    </w:lvl>
  </w:abstractNum>
  <w:abstractNum w:abstractNumId="20" w15:restartNumberingAfterBreak="0">
    <w:nsid w:val="635869EE"/>
    <w:multiLevelType w:val="hybridMultilevel"/>
    <w:tmpl w:val="566A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0484A"/>
    <w:multiLevelType w:val="hybridMultilevel"/>
    <w:tmpl w:val="0686890E"/>
    <w:lvl w:ilvl="0" w:tplc="44E464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3" w15:restartNumberingAfterBreak="0">
    <w:nsid w:val="7C0C3D85"/>
    <w:multiLevelType w:val="hybridMultilevel"/>
    <w:tmpl w:val="D19E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3"/>
  </w:num>
  <w:num w:numId="5">
    <w:abstractNumId w:val="8"/>
  </w:num>
  <w:num w:numId="6">
    <w:abstractNumId w:val="13"/>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2"/>
  </w:num>
  <w:num w:numId="9">
    <w:abstractNumId w:val="5"/>
  </w:num>
  <w:num w:numId="10">
    <w:abstractNumId w:val="14"/>
  </w:num>
  <w:num w:numId="11">
    <w:abstractNumId w:val="12"/>
  </w:num>
  <w:num w:numId="12">
    <w:abstractNumId w:val="15"/>
  </w:num>
  <w:num w:numId="13">
    <w:abstractNumId w:val="19"/>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6"/>
  </w:num>
  <w:num w:numId="25">
    <w:abstractNumId w:val="4"/>
  </w:num>
  <w:num w:numId="26">
    <w:abstractNumId w:val="17"/>
  </w:num>
  <w:num w:numId="27">
    <w:abstractNumId w:val="21"/>
  </w:num>
  <w:num w:numId="28">
    <w:abstractNumId w:val="7"/>
  </w:num>
  <w:num w:numId="29">
    <w:abstractNumId w:val="23"/>
  </w:num>
  <w:num w:numId="30">
    <w:abstractNumId w:val="16"/>
  </w:num>
  <w:num w:numId="31">
    <w:abstractNumId w:val="2"/>
  </w:num>
  <w:num w:numId="32">
    <w:abstractNumId w:val="18"/>
  </w:num>
  <w:num w:numId="33">
    <w:abstractNumId w:val="11"/>
  </w:num>
  <w:num w:numId="3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8"/>
    <o:shapelayout v:ext="edit">
      <o:idmap v:ext="edit" data="1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071D"/>
    <w:rsid w:val="00002F31"/>
    <w:rsid w:val="00004737"/>
    <w:rsid w:val="00006CDE"/>
    <w:rsid w:val="00013C58"/>
    <w:rsid w:val="000303C1"/>
    <w:rsid w:val="0003661D"/>
    <w:rsid w:val="00036925"/>
    <w:rsid w:val="00037155"/>
    <w:rsid w:val="00040088"/>
    <w:rsid w:val="0004264B"/>
    <w:rsid w:val="000434C5"/>
    <w:rsid w:val="000442F0"/>
    <w:rsid w:val="00045213"/>
    <w:rsid w:val="000525F3"/>
    <w:rsid w:val="00054C1B"/>
    <w:rsid w:val="0005639C"/>
    <w:rsid w:val="000640ED"/>
    <w:rsid w:val="00064756"/>
    <w:rsid w:val="0006688C"/>
    <w:rsid w:val="00067EA4"/>
    <w:rsid w:val="000764DF"/>
    <w:rsid w:val="0007751E"/>
    <w:rsid w:val="000830B5"/>
    <w:rsid w:val="000849FE"/>
    <w:rsid w:val="00087040"/>
    <w:rsid w:val="0009579C"/>
    <w:rsid w:val="00095ECE"/>
    <w:rsid w:val="000A05B1"/>
    <w:rsid w:val="000A40B0"/>
    <w:rsid w:val="000A4BC1"/>
    <w:rsid w:val="000B3EFF"/>
    <w:rsid w:val="000B5B9E"/>
    <w:rsid w:val="000B68CC"/>
    <w:rsid w:val="000B7B28"/>
    <w:rsid w:val="000C05AE"/>
    <w:rsid w:val="000C1F69"/>
    <w:rsid w:val="000C2FEA"/>
    <w:rsid w:val="000C65B9"/>
    <w:rsid w:val="000D0D71"/>
    <w:rsid w:val="000D6002"/>
    <w:rsid w:val="000E0374"/>
    <w:rsid w:val="000F008C"/>
    <w:rsid w:val="0010116C"/>
    <w:rsid w:val="0010325E"/>
    <w:rsid w:val="001066DE"/>
    <w:rsid w:val="001132FD"/>
    <w:rsid w:val="00115F1F"/>
    <w:rsid w:val="00120CC5"/>
    <w:rsid w:val="00130AB5"/>
    <w:rsid w:val="00131AB2"/>
    <w:rsid w:val="00141AFB"/>
    <w:rsid w:val="0014241B"/>
    <w:rsid w:val="001464E5"/>
    <w:rsid w:val="00146C1F"/>
    <w:rsid w:val="001540DB"/>
    <w:rsid w:val="00161392"/>
    <w:rsid w:val="00173D34"/>
    <w:rsid w:val="00174FC9"/>
    <w:rsid w:val="0017776A"/>
    <w:rsid w:val="00182468"/>
    <w:rsid w:val="00183CA4"/>
    <w:rsid w:val="0018518B"/>
    <w:rsid w:val="00187A4D"/>
    <w:rsid w:val="00193F49"/>
    <w:rsid w:val="001944F9"/>
    <w:rsid w:val="001A12E9"/>
    <w:rsid w:val="001A15A4"/>
    <w:rsid w:val="001A1AA1"/>
    <w:rsid w:val="001B290C"/>
    <w:rsid w:val="001B6B5C"/>
    <w:rsid w:val="001B6E5C"/>
    <w:rsid w:val="001C3AC0"/>
    <w:rsid w:val="001E5F7F"/>
    <w:rsid w:val="001F1D0D"/>
    <w:rsid w:val="001F749D"/>
    <w:rsid w:val="00201D79"/>
    <w:rsid w:val="0020298A"/>
    <w:rsid w:val="00204031"/>
    <w:rsid w:val="00217B9A"/>
    <w:rsid w:val="00217E99"/>
    <w:rsid w:val="00224D8D"/>
    <w:rsid w:val="0022626E"/>
    <w:rsid w:val="00231750"/>
    <w:rsid w:val="0023794E"/>
    <w:rsid w:val="002411A1"/>
    <w:rsid w:val="002425B9"/>
    <w:rsid w:val="002524F6"/>
    <w:rsid w:val="00254AF2"/>
    <w:rsid w:val="00256FED"/>
    <w:rsid w:val="00263508"/>
    <w:rsid w:val="00265F52"/>
    <w:rsid w:val="00266A4E"/>
    <w:rsid w:val="002822B1"/>
    <w:rsid w:val="002918BC"/>
    <w:rsid w:val="002A25EA"/>
    <w:rsid w:val="002A4204"/>
    <w:rsid w:val="002A6A39"/>
    <w:rsid w:val="002C3218"/>
    <w:rsid w:val="002C3320"/>
    <w:rsid w:val="002E03C9"/>
    <w:rsid w:val="002E0F62"/>
    <w:rsid w:val="002E3B92"/>
    <w:rsid w:val="002E513F"/>
    <w:rsid w:val="002E7BF6"/>
    <w:rsid w:val="002F06E9"/>
    <w:rsid w:val="002F543E"/>
    <w:rsid w:val="00301797"/>
    <w:rsid w:val="0030275E"/>
    <w:rsid w:val="0030490A"/>
    <w:rsid w:val="00312B15"/>
    <w:rsid w:val="00313A3E"/>
    <w:rsid w:val="003149E7"/>
    <w:rsid w:val="00316353"/>
    <w:rsid w:val="0032086F"/>
    <w:rsid w:val="003272A0"/>
    <w:rsid w:val="00332096"/>
    <w:rsid w:val="003326F6"/>
    <w:rsid w:val="00335246"/>
    <w:rsid w:val="0034098E"/>
    <w:rsid w:val="003666F0"/>
    <w:rsid w:val="00370E57"/>
    <w:rsid w:val="0037251F"/>
    <w:rsid w:val="0037280D"/>
    <w:rsid w:val="0037743E"/>
    <w:rsid w:val="0038104C"/>
    <w:rsid w:val="00384B28"/>
    <w:rsid w:val="003851C1"/>
    <w:rsid w:val="003929EC"/>
    <w:rsid w:val="00392F66"/>
    <w:rsid w:val="00395A34"/>
    <w:rsid w:val="003A2567"/>
    <w:rsid w:val="003A398F"/>
    <w:rsid w:val="003A4001"/>
    <w:rsid w:val="003B09D0"/>
    <w:rsid w:val="003B5215"/>
    <w:rsid w:val="003C2641"/>
    <w:rsid w:val="003D3F0C"/>
    <w:rsid w:val="003D7479"/>
    <w:rsid w:val="003E2010"/>
    <w:rsid w:val="003E3922"/>
    <w:rsid w:val="003F4710"/>
    <w:rsid w:val="004041BF"/>
    <w:rsid w:val="00407ABE"/>
    <w:rsid w:val="00407F19"/>
    <w:rsid w:val="0041003F"/>
    <w:rsid w:val="00411178"/>
    <w:rsid w:val="004223DE"/>
    <w:rsid w:val="00430273"/>
    <w:rsid w:val="004346BF"/>
    <w:rsid w:val="004355F6"/>
    <w:rsid w:val="0044542D"/>
    <w:rsid w:val="00450336"/>
    <w:rsid w:val="00456446"/>
    <w:rsid w:val="00456C7E"/>
    <w:rsid w:val="004579A0"/>
    <w:rsid w:val="00457D3F"/>
    <w:rsid w:val="004648E6"/>
    <w:rsid w:val="004658D7"/>
    <w:rsid w:val="004815AE"/>
    <w:rsid w:val="00491842"/>
    <w:rsid w:val="00492553"/>
    <w:rsid w:val="004A204D"/>
    <w:rsid w:val="004A6EDB"/>
    <w:rsid w:val="004C0437"/>
    <w:rsid w:val="004C16EB"/>
    <w:rsid w:val="004C191E"/>
    <w:rsid w:val="004C2EFB"/>
    <w:rsid w:val="004C718D"/>
    <w:rsid w:val="004D7CB5"/>
    <w:rsid w:val="004E4E53"/>
    <w:rsid w:val="004E6B18"/>
    <w:rsid w:val="00501E87"/>
    <w:rsid w:val="00506529"/>
    <w:rsid w:val="005135DE"/>
    <w:rsid w:val="00520A50"/>
    <w:rsid w:val="00522174"/>
    <w:rsid w:val="00540467"/>
    <w:rsid w:val="005406C7"/>
    <w:rsid w:val="005446BF"/>
    <w:rsid w:val="00555404"/>
    <w:rsid w:val="005610A8"/>
    <w:rsid w:val="00571BEF"/>
    <w:rsid w:val="00574280"/>
    <w:rsid w:val="00575D76"/>
    <w:rsid w:val="00581582"/>
    <w:rsid w:val="0058584A"/>
    <w:rsid w:val="00586357"/>
    <w:rsid w:val="00590715"/>
    <w:rsid w:val="005B3B0E"/>
    <w:rsid w:val="005B3E39"/>
    <w:rsid w:val="005B7342"/>
    <w:rsid w:val="005C3065"/>
    <w:rsid w:val="005C42E7"/>
    <w:rsid w:val="005C4EFC"/>
    <w:rsid w:val="005D4C2A"/>
    <w:rsid w:val="005D7834"/>
    <w:rsid w:val="005E3FC8"/>
    <w:rsid w:val="005E55AF"/>
    <w:rsid w:val="005E641A"/>
    <w:rsid w:val="005F0272"/>
    <w:rsid w:val="005F4AFA"/>
    <w:rsid w:val="005F6017"/>
    <w:rsid w:val="00613A8F"/>
    <w:rsid w:val="00614385"/>
    <w:rsid w:val="00615B6A"/>
    <w:rsid w:val="00617FF5"/>
    <w:rsid w:val="0062331C"/>
    <w:rsid w:val="00623FE5"/>
    <w:rsid w:val="00631E41"/>
    <w:rsid w:val="00632849"/>
    <w:rsid w:val="0064608A"/>
    <w:rsid w:val="006475C2"/>
    <w:rsid w:val="006566DB"/>
    <w:rsid w:val="00656F67"/>
    <w:rsid w:val="00664565"/>
    <w:rsid w:val="0067087F"/>
    <w:rsid w:val="006717AD"/>
    <w:rsid w:val="00673E7C"/>
    <w:rsid w:val="00682A9C"/>
    <w:rsid w:val="00683CE3"/>
    <w:rsid w:val="00685A05"/>
    <w:rsid w:val="00686884"/>
    <w:rsid w:val="00686BE0"/>
    <w:rsid w:val="006873D1"/>
    <w:rsid w:val="00691736"/>
    <w:rsid w:val="006924D8"/>
    <w:rsid w:val="00693E5D"/>
    <w:rsid w:val="00696394"/>
    <w:rsid w:val="006A0ACC"/>
    <w:rsid w:val="006A23A6"/>
    <w:rsid w:val="006A57EC"/>
    <w:rsid w:val="006A6A79"/>
    <w:rsid w:val="006B0955"/>
    <w:rsid w:val="006B406C"/>
    <w:rsid w:val="006B603B"/>
    <w:rsid w:val="006B635C"/>
    <w:rsid w:val="006B6491"/>
    <w:rsid w:val="006B6E2E"/>
    <w:rsid w:val="006C08C0"/>
    <w:rsid w:val="006D5784"/>
    <w:rsid w:val="006E7D7D"/>
    <w:rsid w:val="006F683A"/>
    <w:rsid w:val="007011A7"/>
    <w:rsid w:val="00701B48"/>
    <w:rsid w:val="00705FF7"/>
    <w:rsid w:val="00711C66"/>
    <w:rsid w:val="00716599"/>
    <w:rsid w:val="00730675"/>
    <w:rsid w:val="007356B6"/>
    <w:rsid w:val="00745AE9"/>
    <w:rsid w:val="00747BCE"/>
    <w:rsid w:val="0075254C"/>
    <w:rsid w:val="00762E37"/>
    <w:rsid w:val="007644E2"/>
    <w:rsid w:val="00764AE3"/>
    <w:rsid w:val="00766618"/>
    <w:rsid w:val="00771B81"/>
    <w:rsid w:val="007762F9"/>
    <w:rsid w:val="0077641E"/>
    <w:rsid w:val="00777E2A"/>
    <w:rsid w:val="00782191"/>
    <w:rsid w:val="007840C2"/>
    <w:rsid w:val="00784D67"/>
    <w:rsid w:val="00793FDD"/>
    <w:rsid w:val="00795792"/>
    <w:rsid w:val="007A55D9"/>
    <w:rsid w:val="007B7C2F"/>
    <w:rsid w:val="007C0E6B"/>
    <w:rsid w:val="007C1FBF"/>
    <w:rsid w:val="007C634C"/>
    <w:rsid w:val="007C6653"/>
    <w:rsid w:val="007D5341"/>
    <w:rsid w:val="007E1D4A"/>
    <w:rsid w:val="007F1EEE"/>
    <w:rsid w:val="007F2781"/>
    <w:rsid w:val="007F6EDE"/>
    <w:rsid w:val="007F7583"/>
    <w:rsid w:val="0081216D"/>
    <w:rsid w:val="00812BDA"/>
    <w:rsid w:val="008139E1"/>
    <w:rsid w:val="00815D74"/>
    <w:rsid w:val="00827FD5"/>
    <w:rsid w:val="00831AEC"/>
    <w:rsid w:val="008356E6"/>
    <w:rsid w:val="008371F0"/>
    <w:rsid w:val="0084300F"/>
    <w:rsid w:val="0084371D"/>
    <w:rsid w:val="00845E92"/>
    <w:rsid w:val="0085212F"/>
    <w:rsid w:val="008549D7"/>
    <w:rsid w:val="00860B89"/>
    <w:rsid w:val="008671A7"/>
    <w:rsid w:val="00877864"/>
    <w:rsid w:val="00885F5A"/>
    <w:rsid w:val="00886052"/>
    <w:rsid w:val="008874C2"/>
    <w:rsid w:val="0089007F"/>
    <w:rsid w:val="00891868"/>
    <w:rsid w:val="0089678A"/>
    <w:rsid w:val="008A15C9"/>
    <w:rsid w:val="008A322C"/>
    <w:rsid w:val="008A36DD"/>
    <w:rsid w:val="008A5909"/>
    <w:rsid w:val="008B18BC"/>
    <w:rsid w:val="008C02C7"/>
    <w:rsid w:val="008C76EE"/>
    <w:rsid w:val="008D0F89"/>
    <w:rsid w:val="008D177E"/>
    <w:rsid w:val="008D395A"/>
    <w:rsid w:val="008D5F85"/>
    <w:rsid w:val="008D6CD4"/>
    <w:rsid w:val="008E3A76"/>
    <w:rsid w:val="008E6AE9"/>
    <w:rsid w:val="008F1132"/>
    <w:rsid w:val="00900766"/>
    <w:rsid w:val="00901F51"/>
    <w:rsid w:val="00904A63"/>
    <w:rsid w:val="00917CBF"/>
    <w:rsid w:val="00917DF4"/>
    <w:rsid w:val="009222F9"/>
    <w:rsid w:val="0092337C"/>
    <w:rsid w:val="00943CA3"/>
    <w:rsid w:val="0095646A"/>
    <w:rsid w:val="009674FD"/>
    <w:rsid w:val="0097701B"/>
    <w:rsid w:val="00977132"/>
    <w:rsid w:val="00983D14"/>
    <w:rsid w:val="00997D9C"/>
    <w:rsid w:val="009A30BE"/>
    <w:rsid w:val="009A3EA9"/>
    <w:rsid w:val="009B5668"/>
    <w:rsid w:val="009C616C"/>
    <w:rsid w:val="009D009F"/>
    <w:rsid w:val="009E0892"/>
    <w:rsid w:val="009E6A9F"/>
    <w:rsid w:val="009F0098"/>
    <w:rsid w:val="009F3024"/>
    <w:rsid w:val="00A0321B"/>
    <w:rsid w:val="00A072D1"/>
    <w:rsid w:val="00A13422"/>
    <w:rsid w:val="00A26B5C"/>
    <w:rsid w:val="00A317C0"/>
    <w:rsid w:val="00A40768"/>
    <w:rsid w:val="00A40C44"/>
    <w:rsid w:val="00A40CDD"/>
    <w:rsid w:val="00A6515D"/>
    <w:rsid w:val="00A71835"/>
    <w:rsid w:val="00A83E0F"/>
    <w:rsid w:val="00A85C71"/>
    <w:rsid w:val="00A87C8B"/>
    <w:rsid w:val="00A95C5D"/>
    <w:rsid w:val="00A95E95"/>
    <w:rsid w:val="00AC0B96"/>
    <w:rsid w:val="00AC5E5E"/>
    <w:rsid w:val="00AD233B"/>
    <w:rsid w:val="00AE23B5"/>
    <w:rsid w:val="00AE30AC"/>
    <w:rsid w:val="00AE4572"/>
    <w:rsid w:val="00AE6169"/>
    <w:rsid w:val="00AE72B3"/>
    <w:rsid w:val="00AF08A7"/>
    <w:rsid w:val="00B07E1A"/>
    <w:rsid w:val="00B11D29"/>
    <w:rsid w:val="00B13363"/>
    <w:rsid w:val="00B27869"/>
    <w:rsid w:val="00B27A5C"/>
    <w:rsid w:val="00B323B4"/>
    <w:rsid w:val="00B41144"/>
    <w:rsid w:val="00B43FCA"/>
    <w:rsid w:val="00B46A46"/>
    <w:rsid w:val="00B54B12"/>
    <w:rsid w:val="00B56442"/>
    <w:rsid w:val="00B57D8E"/>
    <w:rsid w:val="00B705FF"/>
    <w:rsid w:val="00B714B1"/>
    <w:rsid w:val="00B71630"/>
    <w:rsid w:val="00B80265"/>
    <w:rsid w:val="00B81D0A"/>
    <w:rsid w:val="00B83D35"/>
    <w:rsid w:val="00B84907"/>
    <w:rsid w:val="00B85294"/>
    <w:rsid w:val="00B90FF3"/>
    <w:rsid w:val="00B91850"/>
    <w:rsid w:val="00B97FF9"/>
    <w:rsid w:val="00BA120D"/>
    <w:rsid w:val="00BA167D"/>
    <w:rsid w:val="00BA33D4"/>
    <w:rsid w:val="00BA4282"/>
    <w:rsid w:val="00BB24B7"/>
    <w:rsid w:val="00BB6186"/>
    <w:rsid w:val="00BC1705"/>
    <w:rsid w:val="00BC2B44"/>
    <w:rsid w:val="00BC3B51"/>
    <w:rsid w:val="00BE32C5"/>
    <w:rsid w:val="00BE62A4"/>
    <w:rsid w:val="00BF4F05"/>
    <w:rsid w:val="00BF5A1D"/>
    <w:rsid w:val="00C00BA2"/>
    <w:rsid w:val="00C10B11"/>
    <w:rsid w:val="00C134E8"/>
    <w:rsid w:val="00C13E28"/>
    <w:rsid w:val="00C1402D"/>
    <w:rsid w:val="00C152D2"/>
    <w:rsid w:val="00C15441"/>
    <w:rsid w:val="00C31637"/>
    <w:rsid w:val="00C32098"/>
    <w:rsid w:val="00C51D18"/>
    <w:rsid w:val="00C521AB"/>
    <w:rsid w:val="00C52BC7"/>
    <w:rsid w:val="00C54DD5"/>
    <w:rsid w:val="00C555C5"/>
    <w:rsid w:val="00C57908"/>
    <w:rsid w:val="00C6020D"/>
    <w:rsid w:val="00C61D58"/>
    <w:rsid w:val="00C6596F"/>
    <w:rsid w:val="00C66436"/>
    <w:rsid w:val="00C708A8"/>
    <w:rsid w:val="00C710A3"/>
    <w:rsid w:val="00C711BE"/>
    <w:rsid w:val="00C84B9F"/>
    <w:rsid w:val="00C92A1B"/>
    <w:rsid w:val="00C97AF2"/>
    <w:rsid w:val="00CA1CDA"/>
    <w:rsid w:val="00CA1E9D"/>
    <w:rsid w:val="00CB6F86"/>
    <w:rsid w:val="00CC0089"/>
    <w:rsid w:val="00CD194D"/>
    <w:rsid w:val="00CE12EB"/>
    <w:rsid w:val="00CE24D8"/>
    <w:rsid w:val="00CE2745"/>
    <w:rsid w:val="00CE5FB6"/>
    <w:rsid w:val="00CF08D9"/>
    <w:rsid w:val="00CF1758"/>
    <w:rsid w:val="00D0580D"/>
    <w:rsid w:val="00D11BDB"/>
    <w:rsid w:val="00D1255F"/>
    <w:rsid w:val="00D15DEC"/>
    <w:rsid w:val="00D16DFC"/>
    <w:rsid w:val="00D248AE"/>
    <w:rsid w:val="00D37DD9"/>
    <w:rsid w:val="00D40696"/>
    <w:rsid w:val="00D426DE"/>
    <w:rsid w:val="00D42D35"/>
    <w:rsid w:val="00D4335F"/>
    <w:rsid w:val="00D448FA"/>
    <w:rsid w:val="00D517AD"/>
    <w:rsid w:val="00D65799"/>
    <w:rsid w:val="00D67C9A"/>
    <w:rsid w:val="00D725AB"/>
    <w:rsid w:val="00D7397E"/>
    <w:rsid w:val="00D73F55"/>
    <w:rsid w:val="00D74992"/>
    <w:rsid w:val="00D76DA9"/>
    <w:rsid w:val="00D77B8A"/>
    <w:rsid w:val="00D915A8"/>
    <w:rsid w:val="00D96658"/>
    <w:rsid w:val="00DA13CF"/>
    <w:rsid w:val="00DA37E5"/>
    <w:rsid w:val="00DA4AEB"/>
    <w:rsid w:val="00DB1D28"/>
    <w:rsid w:val="00DB2DD9"/>
    <w:rsid w:val="00DC0749"/>
    <w:rsid w:val="00DC26B9"/>
    <w:rsid w:val="00DC2B5E"/>
    <w:rsid w:val="00DD361F"/>
    <w:rsid w:val="00DE25A7"/>
    <w:rsid w:val="00DE3A06"/>
    <w:rsid w:val="00DE5D9E"/>
    <w:rsid w:val="00DF0974"/>
    <w:rsid w:val="00DF0E15"/>
    <w:rsid w:val="00DF1224"/>
    <w:rsid w:val="00DF5EB0"/>
    <w:rsid w:val="00DF6BB6"/>
    <w:rsid w:val="00E04103"/>
    <w:rsid w:val="00E05A70"/>
    <w:rsid w:val="00E16397"/>
    <w:rsid w:val="00E305A4"/>
    <w:rsid w:val="00E34221"/>
    <w:rsid w:val="00E34D1C"/>
    <w:rsid w:val="00E357B2"/>
    <w:rsid w:val="00E37276"/>
    <w:rsid w:val="00E43CC0"/>
    <w:rsid w:val="00E52505"/>
    <w:rsid w:val="00E571CC"/>
    <w:rsid w:val="00E62912"/>
    <w:rsid w:val="00E67533"/>
    <w:rsid w:val="00E70991"/>
    <w:rsid w:val="00E73B44"/>
    <w:rsid w:val="00E7507B"/>
    <w:rsid w:val="00E77E7A"/>
    <w:rsid w:val="00E816DE"/>
    <w:rsid w:val="00EA4E7A"/>
    <w:rsid w:val="00EB6199"/>
    <w:rsid w:val="00EC0564"/>
    <w:rsid w:val="00EC237A"/>
    <w:rsid w:val="00EC2A1E"/>
    <w:rsid w:val="00EC438B"/>
    <w:rsid w:val="00ED5593"/>
    <w:rsid w:val="00ED5868"/>
    <w:rsid w:val="00ED62E4"/>
    <w:rsid w:val="00ED6547"/>
    <w:rsid w:val="00ED7265"/>
    <w:rsid w:val="00EE2B73"/>
    <w:rsid w:val="00F10D8B"/>
    <w:rsid w:val="00F133F2"/>
    <w:rsid w:val="00F158C5"/>
    <w:rsid w:val="00F25825"/>
    <w:rsid w:val="00F350AB"/>
    <w:rsid w:val="00F44F33"/>
    <w:rsid w:val="00F771B7"/>
    <w:rsid w:val="00F84349"/>
    <w:rsid w:val="00F93DAB"/>
    <w:rsid w:val="00F950B2"/>
    <w:rsid w:val="00F95594"/>
    <w:rsid w:val="00F96E8B"/>
    <w:rsid w:val="00FA3254"/>
    <w:rsid w:val="00FB2688"/>
    <w:rsid w:val="00FB7DE8"/>
    <w:rsid w:val="00FC1560"/>
    <w:rsid w:val="00FC2013"/>
    <w:rsid w:val="00FC2A71"/>
    <w:rsid w:val="00FC321D"/>
    <w:rsid w:val="00FC3F4B"/>
    <w:rsid w:val="00FC4864"/>
    <w:rsid w:val="00FC6682"/>
    <w:rsid w:val="00FD1DBC"/>
    <w:rsid w:val="00FD25C3"/>
    <w:rsid w:val="00FD5A49"/>
    <w:rsid w:val="00FE019A"/>
    <w:rsid w:val="00FE24B9"/>
    <w:rsid w:val="00FE5B76"/>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8"/>
    <o:shapelayout v:ext="edit">
      <o:idmap v:ext="edit" data="1"/>
    </o:shapelayout>
  </w:shapeDefaults>
  <w:decimalSymbol w:val="."/>
  <w:listSeparator w:val=","/>
  <w14:docId w14:val="4FE112B0"/>
  <w15:chartTrackingRefBased/>
  <w15:docId w15:val="{0260D15F-34C4-4444-A8B3-8D588A8D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3"/>
    <w:basedOn w:val="Heading1"/>
    <w:next w:val="Normal"/>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link w:val="SubtitleChar"/>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rsid w:val="004658D7"/>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lang w:val="en-US" w:eastAsia="en-US" w:bidi="ar-SA"/>
    </w:rPr>
  </w:style>
  <w:style w:type="character" w:customStyle="1" w:styleId="Heading2Char">
    <w:name w:val="Heading 2 Char"/>
    <w:aliases w:val="Heading 2 Char Char Char,h2 Char"/>
    <w:link w:val="Heading2"/>
    <w:rsid w:val="004658D7"/>
    <w:rPr>
      <w:rFonts w:ascii="Arial" w:hAnsi="Arial"/>
      <w:b/>
      <w:sz w:val="22"/>
    </w:rPr>
  </w:style>
  <w:style w:type="character" w:customStyle="1" w:styleId="StyleHeading2Heading2CharCharChar">
    <w:name w:val="Style Heading 2Heading 2 Char Char Char"/>
    <w:link w:val="StyleHeading2Heading2CharChar"/>
    <w:rsid w:val="004658D7"/>
    <w:rPr>
      <w:rFonts w:ascii="Arial" w:hAnsi="Arial"/>
      <w:b/>
      <w:bCs/>
      <w:sz w:val="22"/>
      <w:lang w:val="en-US" w:eastAsia="en-US" w:bidi="ar-SA"/>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qFormat/>
    <w:rsid w:val="00FC321D"/>
    <w:rPr>
      <w:rFonts w:ascii="Arial Bold" w:hAnsi="Arial Bold"/>
      <w:b/>
      <w:sz w:val="22"/>
      <w:szCs w:val="22"/>
      <w:vertAlign w:val="subscript"/>
    </w:rPr>
  </w:style>
  <w:style w:type="character" w:customStyle="1" w:styleId="CommentTextChar">
    <w:name w:val="Comment Text Char"/>
    <w:link w:val="CommentText"/>
    <w:uiPriority w:val="99"/>
    <w:rsid w:val="00571BEF"/>
    <w:rPr>
      <w:rFonts w:ascii="Arial" w:hAnsi="Arial"/>
      <w:sz w:val="22"/>
    </w:rPr>
  </w:style>
  <w:style w:type="paragraph" w:customStyle="1" w:styleId="Default">
    <w:name w:val="Default"/>
    <w:rsid w:val="00613A8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0D6002"/>
    <w:rPr>
      <w:b/>
      <w:bCs/>
      <w:sz w:val="20"/>
    </w:rPr>
  </w:style>
  <w:style w:type="character" w:customStyle="1" w:styleId="CommentSubjectChar">
    <w:name w:val="Comment Subject Char"/>
    <w:link w:val="CommentSubject"/>
    <w:rsid w:val="000D6002"/>
    <w:rPr>
      <w:rFonts w:ascii="Arial" w:hAnsi="Arial"/>
      <w:b/>
      <w:bCs/>
      <w:sz w:val="22"/>
    </w:rPr>
  </w:style>
  <w:style w:type="character" w:customStyle="1" w:styleId="StyleTabletextArial11ptBoldItalicChar">
    <w:name w:val="Style Tabletext + Arial 11 pt Bold Italic Char"/>
    <w:link w:val="StyleTabletextArial11ptBoldItalic"/>
    <w:locked/>
    <w:rsid w:val="007C634C"/>
    <w:rPr>
      <w:rFonts w:ascii="Arial" w:hAnsi="Arial" w:cs="Arial"/>
      <w:b/>
      <w:bCs/>
      <w:iCs/>
      <w:sz w:val="22"/>
    </w:rPr>
  </w:style>
  <w:style w:type="paragraph" w:customStyle="1" w:styleId="StyleTabletextArial11ptBoldItalic">
    <w:name w:val="Style Tabletext + Arial 11 pt Bold Italic"/>
    <w:basedOn w:val="Normal"/>
    <w:link w:val="StyleTabletextArial11ptBoldItalicChar"/>
    <w:rsid w:val="007C634C"/>
    <w:pPr>
      <w:keepLines/>
      <w:spacing w:after="120"/>
    </w:pPr>
    <w:rPr>
      <w:rFonts w:cs="Arial"/>
      <w:b/>
      <w:bCs/>
      <w:iCs/>
    </w:rPr>
  </w:style>
  <w:style w:type="paragraph" w:styleId="ListParagraph">
    <w:name w:val="List Paragraph"/>
    <w:basedOn w:val="Normal"/>
    <w:link w:val="ListParagraphChar"/>
    <w:uiPriority w:val="34"/>
    <w:qFormat/>
    <w:rsid w:val="00B81D0A"/>
    <w:pPr>
      <w:widowControl/>
      <w:spacing w:before="120" w:after="120" w:line="240" w:lineRule="auto"/>
      <w:ind w:left="720"/>
    </w:pPr>
    <w:rPr>
      <w:rFonts w:eastAsia="Calibri"/>
      <w:szCs w:val="24"/>
    </w:rPr>
  </w:style>
  <w:style w:type="character" w:customStyle="1" w:styleId="ListParagraphChar">
    <w:name w:val="List Paragraph Char"/>
    <w:link w:val="ListParagraph"/>
    <w:uiPriority w:val="34"/>
    <w:locked/>
    <w:rsid w:val="00B81D0A"/>
    <w:rPr>
      <w:rFonts w:ascii="Arial" w:eastAsia="Calibri" w:hAnsi="Arial"/>
      <w:sz w:val="22"/>
      <w:szCs w:val="24"/>
    </w:rPr>
  </w:style>
  <w:style w:type="character" w:customStyle="1" w:styleId="SubtitleChar">
    <w:name w:val="Subtitle Char"/>
    <w:link w:val="Subtitle"/>
    <w:rsid w:val="00B81D0A"/>
    <w:rPr>
      <w:rFonts w:ascii="Arial" w:hAnsi="Arial"/>
      <w:i/>
      <w:sz w:val="36"/>
      <w:lang w:val="en-AU"/>
    </w:rPr>
  </w:style>
  <w:style w:type="paragraph" w:styleId="Revision">
    <w:name w:val="Revision"/>
    <w:hidden/>
    <w:uiPriority w:val="99"/>
    <w:semiHidden/>
    <w:rsid w:val="000764DF"/>
    <w:rPr>
      <w:rFonts w:ascii="Arial" w:hAnsi="Arial"/>
      <w:sz w:val="22"/>
    </w:rPr>
  </w:style>
  <w:style w:type="character" w:styleId="Emphasis">
    <w:name w:val="Emphasis"/>
    <w:qFormat/>
    <w:rsid w:val="00673E7C"/>
    <w:rPr>
      <w:rFonts w:ascii="Arial" w:hAnsi="Arial"/>
      <w:i/>
      <w:iCs/>
      <w:color w:val="0000FF"/>
      <w:sz w:val="22"/>
      <w:szCs w:val="20"/>
    </w:rPr>
  </w:style>
  <w:style w:type="paragraph" w:customStyle="1" w:styleId="ConfigurationFormula">
    <w:name w:val="Configuration Formula"/>
    <w:basedOn w:val="BodyText3"/>
    <w:rsid w:val="00901F51"/>
    <w:pPr>
      <w:widowControl/>
      <w:spacing w:after="240" w:line="280" w:lineRule="atLeast"/>
      <w:ind w:left="1080"/>
      <w:jc w:val="both"/>
    </w:pPr>
    <w:rPr>
      <w:rFonts w:cs="Arial"/>
      <w:b/>
      <w:bCs/>
      <w:i/>
      <w:iCs/>
      <w:sz w:val="20"/>
      <w:szCs w:val="16"/>
    </w:rPr>
  </w:style>
  <w:style w:type="character" w:customStyle="1" w:styleId="StyleConfigurationFormulaNotBoldNotItalicChar">
    <w:name w:val="Style Configuration Formula + Not Bold Not Italic Char"/>
    <w:rsid w:val="00901F51"/>
    <w:rPr>
      <w:rFonts w:ascii="Arial" w:hAnsi="Arial" w:cs="Arial"/>
      <w:b/>
      <w:bCs/>
      <w:i/>
      <w:iCs/>
      <w:sz w:val="22"/>
      <w:szCs w:val="16"/>
      <w:lang w:val="en-US" w:eastAsia="en-US" w:bidi="ar-SA"/>
    </w:rPr>
  </w:style>
  <w:style w:type="character" w:customStyle="1" w:styleId="Subscript">
    <w:name w:val="Subscript"/>
    <w:rsid w:val="00CE24D8"/>
    <w:rPr>
      <w:rFonts w:cs="Arial"/>
      <w:bCs/>
      <w:position w:val="-6"/>
      <w:sz w:val="28"/>
      <w:szCs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68">
      <w:bodyDiv w:val="1"/>
      <w:marLeft w:val="0"/>
      <w:marRight w:val="0"/>
      <w:marTop w:val="0"/>
      <w:marBottom w:val="0"/>
      <w:divBdr>
        <w:top w:val="none" w:sz="0" w:space="0" w:color="auto"/>
        <w:left w:val="none" w:sz="0" w:space="0" w:color="auto"/>
        <w:bottom w:val="none" w:sz="0" w:space="0" w:color="auto"/>
        <w:right w:val="none" w:sz="0" w:space="0" w:color="auto"/>
      </w:divBdr>
    </w:div>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1471014">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 w:id="890000787">
      <w:bodyDiv w:val="1"/>
      <w:marLeft w:val="0"/>
      <w:marRight w:val="0"/>
      <w:marTop w:val="0"/>
      <w:marBottom w:val="0"/>
      <w:divBdr>
        <w:top w:val="none" w:sz="0" w:space="0" w:color="auto"/>
        <w:left w:val="none" w:sz="0" w:space="0" w:color="auto"/>
        <w:bottom w:val="none" w:sz="0" w:space="0" w:color="auto"/>
        <w:right w:val="none" w:sz="0" w:space="0" w:color="auto"/>
      </w:divBdr>
    </w:div>
    <w:div w:id="21124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527da47d-0254-4575-b602-8c84f2a7582d;2019-03-20 09:46:59;AUTOCLASSIFIED;Automatically Updated Record Series:2019-03-20 09:46:59|False||AUTOCLASSIFIED|2019-03-20 09:46:59|UNDEFINED|00000000-0000-0000-0000-000000000000;Automatically Updated Document Type:2019-03-20 09:46:59|False||AUTOCLASSIFIED|2019-03-20 09:46:59|UNDEFINED|00000000-0000-0000-0000-000000000000;Automatically Updated Topic:2019-03-20 09:46:59|False||AUTOCLASSIFIED|2019-03-20 09:46:59|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89F20-8877-4595-AE0F-F6B07E6B2831}">
  <ds:schemaRefs>
    <ds:schemaRef ds:uri="http://schemas.microsoft.com/office/2006/metadata/customXsn"/>
  </ds:schemaRefs>
</ds:datastoreItem>
</file>

<file path=customXml/itemProps2.xml><?xml version="1.0" encoding="utf-8"?>
<ds:datastoreItem xmlns:ds="http://schemas.openxmlformats.org/officeDocument/2006/customXml" ds:itemID="{C9908736-6597-4CC1-8786-06297AB207DE}"/>
</file>

<file path=customXml/itemProps3.xml><?xml version="1.0" encoding="utf-8"?>
<ds:datastoreItem xmlns:ds="http://schemas.openxmlformats.org/officeDocument/2006/customXml" ds:itemID="{2D180497-9E35-49E1-886C-EB12CDB1DA5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A10C0B3-0F3F-4ED4-81C2-8CCA4DFB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85AB5-BDF4-41EC-B46C-C4D2C4CFDA69}">
  <ds:schemaRefs>
    <ds:schemaRef ds:uri="http://schemas.microsoft.com/sharepoint/v3/contenttype/forms"/>
  </ds:schemaRefs>
</ds:datastoreItem>
</file>

<file path=customXml/itemProps6.xml><?xml version="1.0" encoding="utf-8"?>
<ds:datastoreItem xmlns:ds="http://schemas.openxmlformats.org/officeDocument/2006/customXml" ds:itemID="{4A1972E1-0131-4264-9713-15ADF30BAC52}">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rup_ucspec</Template>
  <TotalTime>3</TotalTime>
  <Pages>9</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BPM - CG CC 8315 Day Ahead Green House Gas Offset</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8315 Day Ahead Green House Gas Offset</dc:title>
  <dc:subject/>
  <dc:creator/>
  <cp:keywords/>
  <dc:description/>
  <cp:lastModifiedBy>Ahmadi, Massih</cp:lastModifiedBy>
  <cp:revision>6</cp:revision>
  <cp:lastPrinted>2014-08-26T17:39:00Z</cp:lastPrinted>
  <dcterms:created xsi:type="dcterms:W3CDTF">2025-01-13T17:22:00Z</dcterms:created>
  <dcterms:modified xsi:type="dcterms:W3CDTF">2025-04-24T23:45:00Z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FGD5EMQPXRTV-138-27042</vt:lpwstr>
  </property>
  <property fmtid="{D5CDD505-2E9C-101B-9397-08002B2CF9AE}" pid="4" name="Editor">
    <vt:lpwstr>281;#ISOOA1\mioffe</vt:lpwstr>
  </property>
  <property fmtid="{D5CDD505-2E9C-101B-9397-08002B2CF9AE}" pid="5" name="_dlc_DocIdItemGuid">
    <vt:lpwstr>90bbd6e9-0b67-48f3-8b98-21bbf924dd86</vt:lpwstr>
  </property>
  <property fmtid="{D5CDD505-2E9C-101B-9397-08002B2CF9AE}" pid="6" name="_dlc_DocIdUrl">
    <vt:lpwstr>https://records.oa.caiso.com/sites/ops/MS/MSDC/_layouts/15/DocIdRedir.aspx?ID=FGD5EMQPXRTV-138-27042, FGD5EMQPXRTV-138-27042</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Market)|8d70e666-cb1a-46e0-b4ed-ba4285596162;#3;#Tariff|cc4c938c-feeb-4c7a-a862-f9df7d868b49;#4;#Market Services|a8a6aff3-fd7d-495b-a01e-6d728ab6438f</vt:lpwstr>
  </property>
</Properties>
</file>