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C8D6" w14:textId="754323D3" w:rsidR="00F53E16" w:rsidRDefault="00A86448">
      <w:pPr>
        <w:pStyle w:val="Heading1"/>
      </w:pPr>
      <w:r>
        <w:rPr>
          <w:noProof/>
        </w:rPr>
        <w:drawing>
          <wp:inline distT="0" distB="0" distL="0" distR="0" wp14:anchorId="3EC347B2" wp14:editId="1983EDB6">
            <wp:extent cx="28575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590550"/>
                    </a:xfrm>
                    <a:prstGeom prst="rect">
                      <a:avLst/>
                    </a:prstGeom>
                    <a:noFill/>
                    <a:ln>
                      <a:noFill/>
                    </a:ln>
                  </pic:spPr>
                </pic:pic>
              </a:graphicData>
            </a:graphic>
          </wp:inline>
        </w:drawing>
      </w:r>
    </w:p>
    <w:p w14:paraId="6F1772FC" w14:textId="77777777" w:rsidR="00407B6B" w:rsidRDefault="00407B6B">
      <w:pPr>
        <w:pStyle w:val="Heading1"/>
      </w:pPr>
      <w:r>
        <w:t>Template for Submission of Comments on 5-Year Market Initiatives Roadmap</w:t>
      </w:r>
    </w:p>
    <w:p w14:paraId="71A3250E" w14:textId="77777777" w:rsidR="00AB42C1" w:rsidRDefault="00AB42C1" w:rsidP="00F412AA">
      <w:pPr>
        <w:rPr>
          <w:rFonts w:ascii="Arial" w:hAnsi="Arial" w:cs="Arial"/>
          <w:sz w:val="22"/>
          <w:szCs w:val="22"/>
        </w:rPr>
      </w:pPr>
    </w:p>
    <w:p w14:paraId="1AD17F80" w14:textId="77777777" w:rsidR="00672FB9" w:rsidRPr="00672FB9" w:rsidRDefault="00672FB9" w:rsidP="00F412AA">
      <w:pPr>
        <w:rPr>
          <w:rFonts w:ascii="Arial" w:hAnsi="Arial" w:cs="Arial"/>
          <w:b/>
          <w:sz w:val="22"/>
          <w:szCs w:val="22"/>
        </w:rPr>
      </w:pPr>
      <w:r w:rsidRPr="00672FB9">
        <w:rPr>
          <w:rFonts w:ascii="Arial" w:hAnsi="Arial" w:cs="Arial"/>
          <w:b/>
          <w:sz w:val="22"/>
          <w:szCs w:val="22"/>
        </w:rPr>
        <w:t xml:space="preserve">Response of Barbara R. Barkovich for the </w:t>
      </w:r>
      <w:smartTag w:uri="urn:schemas-microsoft-com:office:smarttags" w:element="place">
        <w:smartTag w:uri="urn:schemas-microsoft-com:office:smarttags" w:element="State">
          <w:r w:rsidRPr="00672FB9">
            <w:rPr>
              <w:rFonts w:ascii="Arial" w:hAnsi="Arial" w:cs="Arial"/>
              <w:b/>
              <w:sz w:val="22"/>
              <w:szCs w:val="22"/>
            </w:rPr>
            <w:t>California</w:t>
          </w:r>
        </w:smartTag>
      </w:smartTag>
      <w:r w:rsidRPr="00672FB9">
        <w:rPr>
          <w:rFonts w:ascii="Arial" w:hAnsi="Arial" w:cs="Arial"/>
          <w:b/>
          <w:sz w:val="22"/>
          <w:szCs w:val="22"/>
        </w:rPr>
        <w:t xml:space="preserve"> Large Energy Consumers Association.</w:t>
      </w:r>
    </w:p>
    <w:p w14:paraId="72151D40" w14:textId="77777777" w:rsidR="00AB42C1" w:rsidRPr="00672FB9" w:rsidRDefault="00AB42C1" w:rsidP="00F412AA">
      <w:pPr>
        <w:rPr>
          <w:rFonts w:ascii="Arial" w:hAnsi="Arial" w:cs="Arial"/>
          <w:b/>
          <w:sz w:val="22"/>
          <w:szCs w:val="22"/>
        </w:rPr>
      </w:pPr>
    </w:p>
    <w:p w14:paraId="2F101298" w14:textId="77777777" w:rsidR="00F412AA" w:rsidRDefault="00F412AA">
      <w:pPr>
        <w:rPr>
          <w:rFonts w:ascii="Arial" w:hAnsi="Arial" w:cs="Arial"/>
          <w:sz w:val="22"/>
          <w:szCs w:val="22"/>
        </w:rPr>
      </w:pPr>
    </w:p>
    <w:p w14:paraId="16A60BE4" w14:textId="77777777" w:rsidR="00325FC8" w:rsidRDefault="00325FC8">
      <w:pPr>
        <w:rPr>
          <w:rFonts w:ascii="Arial" w:hAnsi="Arial" w:cs="Arial"/>
          <w:sz w:val="22"/>
          <w:szCs w:val="22"/>
        </w:rPr>
      </w:pPr>
      <w:r>
        <w:rPr>
          <w:rFonts w:ascii="Arial" w:hAnsi="Arial" w:cs="Arial"/>
          <w:sz w:val="22"/>
          <w:szCs w:val="22"/>
        </w:rPr>
        <w:t xml:space="preserve">Please provide </w:t>
      </w:r>
      <w:r w:rsidR="00785F38">
        <w:rPr>
          <w:rFonts w:ascii="Arial" w:hAnsi="Arial" w:cs="Arial"/>
          <w:sz w:val="22"/>
          <w:szCs w:val="22"/>
        </w:rPr>
        <w:t>responses</w:t>
      </w:r>
      <w:r>
        <w:rPr>
          <w:rFonts w:ascii="Arial" w:hAnsi="Arial" w:cs="Arial"/>
          <w:sz w:val="22"/>
          <w:szCs w:val="22"/>
        </w:rPr>
        <w:t xml:space="preserve"> </w:t>
      </w:r>
      <w:r w:rsidR="00F412AA">
        <w:rPr>
          <w:rFonts w:ascii="Arial" w:hAnsi="Arial" w:cs="Arial"/>
          <w:sz w:val="22"/>
          <w:szCs w:val="22"/>
        </w:rPr>
        <w:t>to the following questions:</w:t>
      </w:r>
    </w:p>
    <w:p w14:paraId="7B22E5EB" w14:textId="77777777" w:rsidR="00F412AA" w:rsidRDefault="00F412AA">
      <w:pPr>
        <w:rPr>
          <w:rFonts w:ascii="Arial" w:hAnsi="Arial" w:cs="Arial"/>
          <w:sz w:val="22"/>
          <w:szCs w:val="22"/>
        </w:rPr>
      </w:pPr>
    </w:p>
    <w:p w14:paraId="04DB5C24" w14:textId="77777777" w:rsidR="00F412AA" w:rsidRDefault="00F412AA">
      <w:pPr>
        <w:rPr>
          <w:rFonts w:ascii="Arial" w:hAnsi="Arial" w:cs="Arial"/>
          <w:sz w:val="22"/>
          <w:szCs w:val="22"/>
        </w:rPr>
      </w:pPr>
    </w:p>
    <w:p w14:paraId="6E6A769D" w14:textId="77777777" w:rsidR="00AD3AFB" w:rsidRDefault="00AD3AFB" w:rsidP="00AD3AFB">
      <w:pPr>
        <w:ind w:left="360"/>
        <w:rPr>
          <w:rFonts w:ascii="Arial" w:hAnsi="Arial" w:cs="Arial"/>
          <w:sz w:val="22"/>
          <w:szCs w:val="22"/>
        </w:rPr>
      </w:pPr>
    </w:p>
    <w:p w14:paraId="05556551" w14:textId="77777777" w:rsidR="00AD3AFB" w:rsidRDefault="00F412AA" w:rsidP="002063AB">
      <w:pPr>
        <w:numPr>
          <w:ilvl w:val="0"/>
          <w:numId w:val="19"/>
        </w:numPr>
        <w:rPr>
          <w:rFonts w:ascii="Arial" w:hAnsi="Arial" w:cs="Arial"/>
          <w:sz w:val="22"/>
          <w:szCs w:val="22"/>
        </w:rPr>
      </w:pPr>
      <w:r>
        <w:rPr>
          <w:rFonts w:ascii="Arial" w:hAnsi="Arial" w:cs="Arial"/>
          <w:sz w:val="22"/>
          <w:szCs w:val="22"/>
        </w:rPr>
        <w:t xml:space="preserve">The </w:t>
      </w:r>
      <w:r w:rsidR="00AD3AFB">
        <w:rPr>
          <w:rFonts w:ascii="Arial" w:hAnsi="Arial" w:cs="Arial"/>
          <w:sz w:val="22"/>
          <w:szCs w:val="22"/>
        </w:rPr>
        <w:t>market</w:t>
      </w:r>
      <w:r w:rsidR="00785F38">
        <w:rPr>
          <w:rFonts w:ascii="Arial" w:hAnsi="Arial" w:cs="Arial"/>
          <w:sz w:val="22"/>
          <w:szCs w:val="22"/>
        </w:rPr>
        <w:t xml:space="preserve"> enhancements listed below </w:t>
      </w:r>
      <w:r w:rsidR="00AD3AFB">
        <w:rPr>
          <w:rFonts w:ascii="Arial" w:hAnsi="Arial" w:cs="Arial"/>
          <w:sz w:val="22"/>
          <w:szCs w:val="22"/>
        </w:rPr>
        <w:t>were raised as high priority by market participants that presented at the April 30</w:t>
      </w:r>
      <w:r w:rsidR="00AD3AFB" w:rsidRPr="00AD3AFB">
        <w:rPr>
          <w:rFonts w:ascii="Arial" w:hAnsi="Arial" w:cs="Arial"/>
          <w:sz w:val="22"/>
          <w:szCs w:val="22"/>
          <w:vertAlign w:val="superscript"/>
        </w:rPr>
        <w:t>th</w:t>
      </w:r>
      <w:r w:rsidR="00AD3AFB">
        <w:rPr>
          <w:rFonts w:ascii="Arial" w:hAnsi="Arial" w:cs="Arial"/>
          <w:sz w:val="22"/>
          <w:szCs w:val="22"/>
        </w:rPr>
        <w:t xml:space="preserve"> stakeholder meeting</w:t>
      </w:r>
      <w:r w:rsidR="00325FC8">
        <w:rPr>
          <w:rFonts w:ascii="Arial" w:hAnsi="Arial" w:cs="Arial"/>
          <w:sz w:val="22"/>
          <w:szCs w:val="22"/>
        </w:rPr>
        <w:t xml:space="preserve">. </w:t>
      </w:r>
      <w:r w:rsidR="00785F38">
        <w:rPr>
          <w:rFonts w:ascii="Arial" w:hAnsi="Arial" w:cs="Arial"/>
          <w:sz w:val="22"/>
          <w:szCs w:val="22"/>
        </w:rPr>
        <w:t xml:space="preserve">The reference to the section of the Roadmap where these initiatives are located is provided for your reference. </w:t>
      </w:r>
      <w:r w:rsidR="00325FC8">
        <w:rPr>
          <w:rFonts w:ascii="Arial" w:hAnsi="Arial" w:cs="Arial"/>
          <w:sz w:val="22"/>
          <w:szCs w:val="22"/>
        </w:rPr>
        <w:t>Do you agree these should be</w:t>
      </w:r>
      <w:r w:rsidR="00785F38">
        <w:rPr>
          <w:rFonts w:ascii="Arial" w:hAnsi="Arial" w:cs="Arial"/>
          <w:sz w:val="22"/>
          <w:szCs w:val="22"/>
        </w:rPr>
        <w:t xml:space="preserve"> considered </w:t>
      </w:r>
      <w:r w:rsidR="00325FC8">
        <w:rPr>
          <w:rFonts w:ascii="Arial" w:hAnsi="Arial" w:cs="Arial"/>
          <w:sz w:val="22"/>
          <w:szCs w:val="22"/>
        </w:rPr>
        <w:t>high priority initiatives and if so why?</w:t>
      </w:r>
    </w:p>
    <w:p w14:paraId="381C86B4" w14:textId="77777777" w:rsidR="00AD3AFB" w:rsidRDefault="00AD3AFB" w:rsidP="00AD3AFB">
      <w:pPr>
        <w:rPr>
          <w:rFonts w:ascii="Arial" w:hAnsi="Arial" w:cs="Arial"/>
          <w:sz w:val="22"/>
          <w:szCs w:val="22"/>
        </w:rPr>
      </w:pPr>
    </w:p>
    <w:p w14:paraId="39687CA9" w14:textId="77777777" w:rsidR="00AD3AFB" w:rsidRDefault="00AD3AFB" w:rsidP="00AD3AFB">
      <w:pPr>
        <w:numPr>
          <w:ilvl w:val="0"/>
          <w:numId w:val="2"/>
        </w:numPr>
        <w:rPr>
          <w:rFonts w:ascii="Arial" w:hAnsi="Arial" w:cs="Arial"/>
          <w:sz w:val="22"/>
          <w:szCs w:val="22"/>
        </w:rPr>
      </w:pPr>
      <w:r>
        <w:rPr>
          <w:rFonts w:ascii="Arial" w:hAnsi="Arial" w:cs="Arial"/>
          <w:sz w:val="22"/>
          <w:szCs w:val="22"/>
        </w:rPr>
        <w:t>Voltage Support Procurement</w:t>
      </w:r>
      <w:r w:rsidR="00785F38">
        <w:rPr>
          <w:rFonts w:ascii="Arial" w:hAnsi="Arial" w:cs="Arial"/>
          <w:sz w:val="22"/>
          <w:szCs w:val="22"/>
        </w:rPr>
        <w:t xml:space="preserve"> – 2.5.1</w:t>
      </w:r>
    </w:p>
    <w:p w14:paraId="78832DFE" w14:textId="77777777" w:rsidR="002063AB" w:rsidRDefault="002063AB" w:rsidP="002063AB">
      <w:pPr>
        <w:rPr>
          <w:rFonts w:ascii="Arial" w:hAnsi="Arial" w:cs="Arial"/>
          <w:sz w:val="22"/>
          <w:szCs w:val="22"/>
        </w:rPr>
      </w:pPr>
    </w:p>
    <w:p w14:paraId="5B8857DE" w14:textId="77777777" w:rsidR="002063AB" w:rsidRDefault="002063AB" w:rsidP="002063AB">
      <w:pPr>
        <w:rPr>
          <w:rFonts w:ascii="Arial" w:hAnsi="Arial" w:cs="Arial"/>
          <w:sz w:val="22"/>
          <w:szCs w:val="22"/>
        </w:rPr>
      </w:pPr>
    </w:p>
    <w:p w14:paraId="189FBD63" w14:textId="77777777" w:rsidR="00AD3AFB" w:rsidRDefault="00AD3AFB" w:rsidP="00AD3AFB">
      <w:pPr>
        <w:ind w:left="1080"/>
        <w:rPr>
          <w:rFonts w:ascii="Arial" w:hAnsi="Arial" w:cs="Arial"/>
          <w:sz w:val="22"/>
          <w:szCs w:val="22"/>
        </w:rPr>
      </w:pPr>
    </w:p>
    <w:p w14:paraId="43313B5B" w14:textId="77777777" w:rsidR="00AD3AFB" w:rsidRDefault="00785F38" w:rsidP="00AD3AFB">
      <w:pPr>
        <w:numPr>
          <w:ilvl w:val="0"/>
          <w:numId w:val="2"/>
        </w:numPr>
        <w:rPr>
          <w:rFonts w:ascii="Arial" w:hAnsi="Arial" w:cs="Arial"/>
          <w:sz w:val="22"/>
          <w:szCs w:val="22"/>
        </w:rPr>
      </w:pPr>
      <w:r>
        <w:rPr>
          <w:rFonts w:ascii="Arial" w:hAnsi="Arial" w:cs="Arial"/>
          <w:sz w:val="22"/>
          <w:szCs w:val="22"/>
        </w:rPr>
        <w:t xml:space="preserve">Economic Methodology for Transmission </w:t>
      </w:r>
      <w:r w:rsidR="00AD3AFB">
        <w:rPr>
          <w:rFonts w:ascii="Arial" w:hAnsi="Arial" w:cs="Arial"/>
          <w:sz w:val="22"/>
          <w:szCs w:val="22"/>
        </w:rPr>
        <w:t>Outages</w:t>
      </w:r>
      <w:r>
        <w:rPr>
          <w:rFonts w:ascii="Arial" w:hAnsi="Arial" w:cs="Arial"/>
          <w:sz w:val="22"/>
          <w:szCs w:val="22"/>
        </w:rPr>
        <w:t xml:space="preserve"> 2.2.3.30</w:t>
      </w:r>
    </w:p>
    <w:p w14:paraId="52BEFB55" w14:textId="77777777" w:rsidR="002063AB" w:rsidRDefault="002063AB" w:rsidP="002063AB">
      <w:pPr>
        <w:ind w:left="360"/>
        <w:rPr>
          <w:rFonts w:ascii="Arial" w:hAnsi="Arial" w:cs="Arial"/>
          <w:sz w:val="22"/>
          <w:szCs w:val="22"/>
        </w:rPr>
      </w:pPr>
    </w:p>
    <w:p w14:paraId="03BCCD97" w14:textId="77777777" w:rsidR="00AD3AFB" w:rsidRDefault="00AD3AFB" w:rsidP="00AD3AFB">
      <w:pPr>
        <w:rPr>
          <w:rFonts w:ascii="Arial" w:hAnsi="Arial" w:cs="Arial"/>
          <w:sz w:val="22"/>
          <w:szCs w:val="22"/>
        </w:rPr>
      </w:pPr>
    </w:p>
    <w:p w14:paraId="7D27C7EF" w14:textId="77777777" w:rsidR="00AD3AFB" w:rsidRDefault="00AD3AFB" w:rsidP="00AD3AFB">
      <w:pPr>
        <w:rPr>
          <w:rFonts w:ascii="Arial" w:hAnsi="Arial" w:cs="Arial"/>
          <w:sz w:val="22"/>
          <w:szCs w:val="22"/>
        </w:rPr>
      </w:pPr>
    </w:p>
    <w:p w14:paraId="7A2E10DC" w14:textId="77777777" w:rsidR="00AD3AFB" w:rsidRDefault="00AB42C1" w:rsidP="00AD3AFB">
      <w:pPr>
        <w:numPr>
          <w:ilvl w:val="0"/>
          <w:numId w:val="2"/>
        </w:numPr>
        <w:rPr>
          <w:rFonts w:ascii="Arial" w:hAnsi="Arial" w:cs="Arial"/>
          <w:sz w:val="22"/>
          <w:szCs w:val="22"/>
        </w:rPr>
      </w:pPr>
      <w:r>
        <w:rPr>
          <w:rFonts w:ascii="Arial" w:hAnsi="Arial" w:cs="Arial"/>
          <w:sz w:val="22"/>
          <w:szCs w:val="22"/>
        </w:rPr>
        <w:t>Strengthening General Market Power Provisions - 2.2.3.26</w:t>
      </w:r>
    </w:p>
    <w:p w14:paraId="5449BDA2" w14:textId="77777777" w:rsidR="0010709C" w:rsidRDefault="0010709C" w:rsidP="0010709C">
      <w:pPr>
        <w:rPr>
          <w:rFonts w:ascii="Arial" w:hAnsi="Arial" w:cs="Arial"/>
          <w:sz w:val="22"/>
          <w:szCs w:val="22"/>
        </w:rPr>
      </w:pPr>
    </w:p>
    <w:p w14:paraId="2BFCD77B" w14:textId="77777777" w:rsidR="0010709C" w:rsidRDefault="0010709C" w:rsidP="001A5A28">
      <w:pPr>
        <w:ind w:firstLine="720"/>
        <w:rPr>
          <w:rFonts w:ascii="Arial" w:hAnsi="Arial" w:cs="Arial"/>
          <w:sz w:val="22"/>
          <w:szCs w:val="22"/>
        </w:rPr>
      </w:pPr>
      <w:r w:rsidRPr="0010709C">
        <w:rPr>
          <w:rFonts w:ascii="Arial" w:hAnsi="Arial" w:cs="Arial"/>
          <w:b/>
          <w:sz w:val="22"/>
          <w:szCs w:val="22"/>
        </w:rPr>
        <w:t>Agree.  See comments in Section 2</w:t>
      </w:r>
      <w:r>
        <w:rPr>
          <w:rFonts w:ascii="Arial" w:hAnsi="Arial" w:cs="Arial"/>
          <w:sz w:val="22"/>
          <w:szCs w:val="22"/>
        </w:rPr>
        <w:t>.</w:t>
      </w:r>
    </w:p>
    <w:p w14:paraId="1DE3452E" w14:textId="77777777" w:rsidR="002063AB" w:rsidRDefault="002063AB" w:rsidP="002063AB">
      <w:pPr>
        <w:rPr>
          <w:rFonts w:ascii="Arial" w:hAnsi="Arial" w:cs="Arial"/>
          <w:sz w:val="22"/>
          <w:szCs w:val="22"/>
        </w:rPr>
      </w:pPr>
    </w:p>
    <w:p w14:paraId="32E1B1BB" w14:textId="77777777" w:rsidR="002063AB" w:rsidRDefault="002063AB" w:rsidP="002063AB">
      <w:pPr>
        <w:rPr>
          <w:rFonts w:ascii="Arial" w:hAnsi="Arial" w:cs="Arial"/>
          <w:sz w:val="22"/>
          <w:szCs w:val="22"/>
        </w:rPr>
      </w:pPr>
    </w:p>
    <w:p w14:paraId="176C195E" w14:textId="77777777" w:rsidR="00AD3AFB" w:rsidRDefault="00AD3AFB" w:rsidP="00AD3AFB">
      <w:pPr>
        <w:ind w:left="1080"/>
        <w:rPr>
          <w:rFonts w:ascii="Arial" w:hAnsi="Arial" w:cs="Arial"/>
          <w:sz w:val="22"/>
          <w:szCs w:val="22"/>
        </w:rPr>
      </w:pPr>
    </w:p>
    <w:p w14:paraId="2915FB19" w14:textId="77777777" w:rsidR="00AD3AFB" w:rsidRDefault="00AD3AFB" w:rsidP="00AD3AFB">
      <w:pPr>
        <w:numPr>
          <w:ilvl w:val="0"/>
          <w:numId w:val="2"/>
        </w:numPr>
        <w:rPr>
          <w:rFonts w:ascii="Arial" w:hAnsi="Arial" w:cs="Arial"/>
          <w:sz w:val="22"/>
          <w:szCs w:val="22"/>
        </w:rPr>
      </w:pPr>
      <w:r>
        <w:rPr>
          <w:rFonts w:ascii="Arial" w:hAnsi="Arial" w:cs="Arial"/>
          <w:sz w:val="22"/>
          <w:szCs w:val="22"/>
        </w:rPr>
        <w:t>Dynamic</w:t>
      </w:r>
      <w:r w:rsidR="00785F38">
        <w:rPr>
          <w:rFonts w:ascii="Arial" w:hAnsi="Arial" w:cs="Arial"/>
          <w:sz w:val="22"/>
          <w:szCs w:val="22"/>
        </w:rPr>
        <w:t xml:space="preserve"> Pivotal Supplier Test </w:t>
      </w:r>
      <w:r w:rsidR="00AB42C1">
        <w:rPr>
          <w:rFonts w:ascii="Arial" w:hAnsi="Arial" w:cs="Arial"/>
          <w:sz w:val="22"/>
          <w:szCs w:val="22"/>
        </w:rPr>
        <w:t>– 2.2.2.5</w:t>
      </w:r>
    </w:p>
    <w:p w14:paraId="4B4EC0A7" w14:textId="77777777" w:rsidR="00407B6B" w:rsidRDefault="00407B6B">
      <w:pPr>
        <w:ind w:left="720"/>
        <w:rPr>
          <w:rFonts w:ascii="Arial" w:hAnsi="Arial" w:cs="Arial"/>
          <w:sz w:val="22"/>
          <w:szCs w:val="22"/>
        </w:rPr>
      </w:pPr>
    </w:p>
    <w:p w14:paraId="2741A6F4" w14:textId="77777777" w:rsidR="00407B6B" w:rsidRDefault="00407B6B">
      <w:pPr>
        <w:rPr>
          <w:rFonts w:ascii="Arial" w:hAnsi="Arial" w:cs="Arial"/>
          <w:sz w:val="22"/>
          <w:szCs w:val="22"/>
        </w:rPr>
      </w:pPr>
    </w:p>
    <w:p w14:paraId="1CAEA1C7" w14:textId="77777777" w:rsidR="002063AB" w:rsidRDefault="002063AB">
      <w:pPr>
        <w:rPr>
          <w:rFonts w:ascii="Arial" w:hAnsi="Arial" w:cs="Arial"/>
          <w:sz w:val="22"/>
          <w:szCs w:val="22"/>
        </w:rPr>
      </w:pPr>
    </w:p>
    <w:p w14:paraId="72811F8A" w14:textId="77777777" w:rsidR="00407B6B" w:rsidRDefault="00F412AA" w:rsidP="00325FC8">
      <w:pPr>
        <w:numPr>
          <w:ilvl w:val="0"/>
          <w:numId w:val="19"/>
        </w:numPr>
        <w:rPr>
          <w:rFonts w:ascii="Arial" w:hAnsi="Arial" w:cs="Arial"/>
          <w:sz w:val="22"/>
          <w:szCs w:val="22"/>
        </w:rPr>
      </w:pPr>
      <w:r>
        <w:rPr>
          <w:rFonts w:ascii="Arial" w:hAnsi="Arial" w:cs="Arial"/>
          <w:sz w:val="22"/>
          <w:szCs w:val="22"/>
        </w:rPr>
        <w:t xml:space="preserve">Are there other initiatives that </w:t>
      </w:r>
      <w:r w:rsidR="002063AB">
        <w:rPr>
          <w:rFonts w:ascii="Arial" w:hAnsi="Arial" w:cs="Arial"/>
          <w:sz w:val="22"/>
          <w:szCs w:val="22"/>
        </w:rPr>
        <w:t>you believe the CAISO should further consider as high priority going int</w:t>
      </w:r>
      <w:r>
        <w:rPr>
          <w:rFonts w:ascii="Arial" w:hAnsi="Arial" w:cs="Arial"/>
          <w:sz w:val="22"/>
          <w:szCs w:val="22"/>
        </w:rPr>
        <w:t>o the detailed ranking process?</w:t>
      </w:r>
      <w:r w:rsidR="002063AB">
        <w:rPr>
          <w:rFonts w:ascii="Arial" w:hAnsi="Arial" w:cs="Arial"/>
          <w:sz w:val="22"/>
          <w:szCs w:val="22"/>
        </w:rPr>
        <w:t xml:space="preserve"> The chart below can be used to rank and provide detail on the proposed items using th</w:t>
      </w:r>
      <w:r>
        <w:rPr>
          <w:rFonts w:ascii="Arial" w:hAnsi="Arial" w:cs="Arial"/>
          <w:sz w:val="22"/>
          <w:szCs w:val="22"/>
        </w:rPr>
        <w:t xml:space="preserve">e high prioritization criteria. </w:t>
      </w:r>
      <w:r w:rsidR="00412B2B">
        <w:rPr>
          <w:rFonts w:ascii="Arial" w:hAnsi="Arial" w:cs="Arial"/>
          <w:sz w:val="22"/>
          <w:szCs w:val="22"/>
        </w:rPr>
        <w:t>In providing your justification for a proposed market enhancement, the specific business needs of your company are extremely important and should be described as clearly and fully as possible</w:t>
      </w:r>
    </w:p>
    <w:p w14:paraId="5EA3DF93" w14:textId="77777777" w:rsidR="002063AB" w:rsidRDefault="002063AB">
      <w:pPr>
        <w:rPr>
          <w:rFonts w:ascii="Arial" w:hAnsi="Arial" w:cs="Arial"/>
          <w:sz w:val="22"/>
          <w:szCs w:val="22"/>
        </w:rPr>
      </w:pPr>
    </w:p>
    <w:p w14:paraId="4FC500B7" w14:textId="77777777" w:rsidR="002063AB" w:rsidRDefault="002063AB">
      <w:pPr>
        <w:rPr>
          <w:rFonts w:ascii="Arial" w:hAnsi="Arial" w:cs="Arial"/>
          <w:sz w:val="22"/>
          <w:szCs w:val="22"/>
        </w:rPr>
      </w:pPr>
    </w:p>
    <w:p w14:paraId="53B93F0D" w14:textId="77777777" w:rsidR="00407B6B" w:rsidRDefault="00407B6B">
      <w:pPr>
        <w:rPr>
          <w:rFonts w:ascii="Arial" w:hAnsi="Arial" w:cs="Arial"/>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425"/>
        <w:gridCol w:w="2284"/>
        <w:gridCol w:w="2284"/>
        <w:gridCol w:w="2187"/>
        <w:gridCol w:w="2340"/>
      </w:tblGrid>
      <w:tr w:rsidR="00407B6B" w14:paraId="159C3EE0" w14:textId="77777777">
        <w:tc>
          <w:tcPr>
            <w:tcW w:w="1548" w:type="dxa"/>
          </w:tcPr>
          <w:p w14:paraId="04B4B602" w14:textId="77777777" w:rsidR="00407B6B" w:rsidRDefault="002063AB">
            <w:pPr>
              <w:jc w:val="center"/>
              <w:rPr>
                <w:rFonts w:ascii="Arial" w:hAnsi="Arial" w:cs="Arial"/>
                <w:b/>
                <w:sz w:val="20"/>
                <w:szCs w:val="22"/>
              </w:rPr>
            </w:pPr>
            <w:r>
              <w:rPr>
                <w:rFonts w:ascii="Arial" w:hAnsi="Arial" w:cs="Arial"/>
                <w:b/>
                <w:sz w:val="20"/>
                <w:szCs w:val="22"/>
              </w:rPr>
              <w:t>Roadmap section number</w:t>
            </w:r>
          </w:p>
          <w:p w14:paraId="23B72DDD" w14:textId="77777777" w:rsidR="00407B6B" w:rsidRDefault="00407B6B">
            <w:pPr>
              <w:jc w:val="center"/>
              <w:rPr>
                <w:rFonts w:ascii="Arial" w:hAnsi="Arial" w:cs="Arial"/>
                <w:b/>
                <w:sz w:val="20"/>
                <w:szCs w:val="22"/>
              </w:rPr>
            </w:pPr>
          </w:p>
        </w:tc>
        <w:tc>
          <w:tcPr>
            <w:tcW w:w="2425" w:type="dxa"/>
          </w:tcPr>
          <w:p w14:paraId="45674789" w14:textId="77777777" w:rsidR="00407B6B" w:rsidRDefault="00407B6B">
            <w:pPr>
              <w:jc w:val="center"/>
              <w:rPr>
                <w:rFonts w:ascii="Arial" w:hAnsi="Arial" w:cs="Arial"/>
                <w:b/>
                <w:sz w:val="20"/>
                <w:szCs w:val="22"/>
              </w:rPr>
            </w:pPr>
            <w:r>
              <w:rPr>
                <w:rFonts w:ascii="Arial" w:hAnsi="Arial" w:cs="Arial"/>
                <w:b/>
                <w:sz w:val="20"/>
                <w:szCs w:val="22"/>
              </w:rPr>
              <w:t>Title and description of proposed enhancement</w:t>
            </w:r>
          </w:p>
        </w:tc>
        <w:tc>
          <w:tcPr>
            <w:tcW w:w="2284" w:type="dxa"/>
          </w:tcPr>
          <w:p w14:paraId="26301ADA"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impact on improving Grid Reliability and why?</w:t>
            </w:r>
          </w:p>
        </w:tc>
        <w:tc>
          <w:tcPr>
            <w:tcW w:w="2284" w:type="dxa"/>
          </w:tcPr>
          <w:p w14:paraId="1E82ECFF" w14:textId="77777777" w:rsidR="00407B6B" w:rsidRDefault="00407B6B">
            <w:pPr>
              <w:rPr>
                <w:rFonts w:ascii="Arial" w:hAnsi="Arial" w:cs="Arial"/>
                <w:b/>
                <w:sz w:val="20"/>
                <w:szCs w:val="22"/>
              </w:rPr>
            </w:pPr>
            <w:r>
              <w:rPr>
                <w:rFonts w:ascii="Arial" w:hAnsi="Arial" w:cs="Arial"/>
                <w:b/>
                <w:sz w:val="20"/>
                <w:szCs w:val="22"/>
              </w:rPr>
              <w:t>Does this market enhancement have a High, Medium or Low effect on improving market efficiency and why?</w:t>
            </w:r>
          </w:p>
        </w:tc>
        <w:tc>
          <w:tcPr>
            <w:tcW w:w="2187" w:type="dxa"/>
          </w:tcPr>
          <w:p w14:paraId="1FCAB746" w14:textId="77777777" w:rsidR="00407B6B" w:rsidRDefault="00407B6B">
            <w:pPr>
              <w:rPr>
                <w:rFonts w:ascii="Arial" w:hAnsi="Arial" w:cs="Arial"/>
                <w:b/>
                <w:sz w:val="20"/>
                <w:szCs w:val="22"/>
              </w:rPr>
            </w:pPr>
            <w:r>
              <w:rPr>
                <w:rFonts w:ascii="Arial" w:hAnsi="Arial" w:cs="Arial"/>
                <w:b/>
                <w:sz w:val="20"/>
                <w:szCs w:val="22"/>
              </w:rPr>
              <w:t xml:space="preserve">Estimated Implementation /Cost Impact to CAISO Please specify </w:t>
            </w:r>
          </w:p>
          <w:p w14:paraId="3EE5BA97" w14:textId="77777777" w:rsidR="00407B6B" w:rsidRDefault="00407B6B">
            <w:pPr>
              <w:rPr>
                <w:rFonts w:ascii="Arial" w:hAnsi="Arial" w:cs="Arial"/>
                <w:b/>
                <w:sz w:val="20"/>
                <w:szCs w:val="22"/>
              </w:rPr>
            </w:pPr>
            <w:r>
              <w:rPr>
                <w:rFonts w:ascii="Arial" w:hAnsi="Arial" w:cs="Arial"/>
                <w:b/>
                <w:sz w:val="20"/>
                <w:szCs w:val="22"/>
              </w:rPr>
              <w:t>(High, Medium or Low)</w:t>
            </w:r>
          </w:p>
        </w:tc>
        <w:tc>
          <w:tcPr>
            <w:tcW w:w="2340" w:type="dxa"/>
          </w:tcPr>
          <w:p w14:paraId="0E341B9C" w14:textId="77777777" w:rsidR="00407B6B" w:rsidRDefault="00407B6B">
            <w:pPr>
              <w:rPr>
                <w:rFonts w:ascii="Arial" w:hAnsi="Arial" w:cs="Arial"/>
                <w:b/>
                <w:sz w:val="20"/>
                <w:szCs w:val="22"/>
              </w:rPr>
            </w:pPr>
            <w:r>
              <w:rPr>
                <w:rFonts w:ascii="Arial" w:hAnsi="Arial" w:cs="Arial"/>
                <w:b/>
                <w:sz w:val="20"/>
                <w:szCs w:val="22"/>
              </w:rPr>
              <w:t>Estimated Implementation/Cost Impact to Market Participants Please specify</w:t>
            </w:r>
          </w:p>
          <w:p w14:paraId="0013E09B" w14:textId="77777777" w:rsidR="00407B6B" w:rsidRDefault="00407B6B">
            <w:pPr>
              <w:rPr>
                <w:rFonts w:ascii="Arial" w:hAnsi="Arial" w:cs="Arial"/>
                <w:b/>
                <w:sz w:val="20"/>
                <w:szCs w:val="22"/>
              </w:rPr>
            </w:pPr>
            <w:r>
              <w:rPr>
                <w:rFonts w:ascii="Arial" w:hAnsi="Arial" w:cs="Arial"/>
                <w:b/>
                <w:sz w:val="20"/>
                <w:szCs w:val="22"/>
              </w:rPr>
              <w:t>(High, Medium or Low)</w:t>
            </w:r>
          </w:p>
        </w:tc>
      </w:tr>
      <w:tr w:rsidR="00407B6B" w14:paraId="6AEDA945" w14:textId="77777777">
        <w:tc>
          <w:tcPr>
            <w:tcW w:w="1548" w:type="dxa"/>
          </w:tcPr>
          <w:p w14:paraId="2624E36E" w14:textId="77777777" w:rsidR="00407B6B" w:rsidRDefault="0010709C">
            <w:pPr>
              <w:rPr>
                <w:rFonts w:ascii="Arial" w:hAnsi="Arial" w:cs="Arial"/>
                <w:sz w:val="22"/>
                <w:szCs w:val="22"/>
              </w:rPr>
            </w:pPr>
            <w:r>
              <w:rPr>
                <w:rFonts w:ascii="Arial" w:hAnsi="Arial" w:cs="Arial"/>
                <w:sz w:val="22"/>
                <w:szCs w:val="22"/>
              </w:rPr>
              <w:t>2.2.3.26</w:t>
            </w:r>
          </w:p>
          <w:p w14:paraId="7035C21A" w14:textId="77777777" w:rsidR="0010709C" w:rsidRDefault="0010709C">
            <w:pPr>
              <w:rPr>
                <w:rFonts w:ascii="Arial" w:hAnsi="Arial" w:cs="Arial"/>
                <w:sz w:val="22"/>
                <w:szCs w:val="22"/>
              </w:rPr>
            </w:pPr>
          </w:p>
          <w:p w14:paraId="59645096" w14:textId="77777777" w:rsidR="0010709C" w:rsidRDefault="0010709C">
            <w:pPr>
              <w:rPr>
                <w:rFonts w:ascii="Arial" w:hAnsi="Arial" w:cs="Arial"/>
                <w:sz w:val="22"/>
                <w:szCs w:val="22"/>
              </w:rPr>
            </w:pPr>
          </w:p>
          <w:p w14:paraId="78746F1E" w14:textId="77777777" w:rsidR="0010709C" w:rsidRDefault="0010709C">
            <w:pPr>
              <w:rPr>
                <w:rFonts w:ascii="Arial" w:hAnsi="Arial" w:cs="Arial"/>
                <w:sz w:val="22"/>
                <w:szCs w:val="22"/>
              </w:rPr>
            </w:pPr>
          </w:p>
          <w:p w14:paraId="25D7CFEE" w14:textId="77777777" w:rsidR="0010709C" w:rsidRDefault="0010709C">
            <w:pPr>
              <w:rPr>
                <w:rFonts w:ascii="Arial" w:hAnsi="Arial" w:cs="Arial"/>
                <w:sz w:val="22"/>
                <w:szCs w:val="22"/>
              </w:rPr>
            </w:pPr>
          </w:p>
        </w:tc>
        <w:tc>
          <w:tcPr>
            <w:tcW w:w="2425" w:type="dxa"/>
          </w:tcPr>
          <w:p w14:paraId="6350A504" w14:textId="77777777" w:rsidR="00407B6B" w:rsidRDefault="0010709C">
            <w:pPr>
              <w:rPr>
                <w:rFonts w:ascii="Arial" w:hAnsi="Arial" w:cs="Arial"/>
                <w:sz w:val="22"/>
                <w:szCs w:val="22"/>
              </w:rPr>
            </w:pPr>
            <w:r>
              <w:rPr>
                <w:rFonts w:ascii="Arial" w:hAnsi="Arial" w:cs="Arial"/>
                <w:sz w:val="22"/>
                <w:szCs w:val="22"/>
              </w:rPr>
              <w:t>Strengthening General Market Power Provisions</w:t>
            </w:r>
          </w:p>
        </w:tc>
        <w:tc>
          <w:tcPr>
            <w:tcW w:w="2284" w:type="dxa"/>
          </w:tcPr>
          <w:p w14:paraId="27D77634" w14:textId="77777777" w:rsidR="00407B6B" w:rsidRDefault="0010709C">
            <w:pPr>
              <w:rPr>
                <w:rFonts w:ascii="Arial" w:hAnsi="Arial" w:cs="Arial"/>
                <w:sz w:val="22"/>
                <w:szCs w:val="22"/>
              </w:rPr>
            </w:pPr>
            <w:r>
              <w:rPr>
                <w:rFonts w:ascii="Arial" w:hAnsi="Arial" w:cs="Arial"/>
                <w:sz w:val="22"/>
                <w:szCs w:val="22"/>
              </w:rPr>
              <w:t>Medium</w:t>
            </w:r>
          </w:p>
          <w:p w14:paraId="0FDE6403" w14:textId="77777777" w:rsidR="0010709C" w:rsidRDefault="0010709C">
            <w:pPr>
              <w:rPr>
                <w:rFonts w:ascii="Arial" w:hAnsi="Arial" w:cs="Arial"/>
                <w:sz w:val="22"/>
                <w:szCs w:val="22"/>
              </w:rPr>
            </w:pPr>
          </w:p>
          <w:p w14:paraId="61AF86A1" w14:textId="77777777" w:rsidR="0010709C" w:rsidRDefault="0010709C">
            <w:pPr>
              <w:rPr>
                <w:rFonts w:ascii="Arial" w:hAnsi="Arial" w:cs="Arial"/>
                <w:sz w:val="22"/>
                <w:szCs w:val="22"/>
              </w:rPr>
            </w:pPr>
            <w:r>
              <w:rPr>
                <w:rFonts w:ascii="Arial" w:hAnsi="Arial" w:cs="Arial"/>
                <w:sz w:val="22"/>
                <w:szCs w:val="22"/>
              </w:rPr>
              <w:t>If this leads to better functioning markets, it should at least not hurt grid reliability and presumably will help</w:t>
            </w:r>
            <w:r w:rsidR="001A5A28">
              <w:rPr>
                <w:rFonts w:ascii="Arial" w:hAnsi="Arial" w:cs="Arial"/>
                <w:sz w:val="22"/>
                <w:szCs w:val="22"/>
              </w:rPr>
              <w:t>.</w:t>
            </w:r>
          </w:p>
        </w:tc>
        <w:tc>
          <w:tcPr>
            <w:tcW w:w="2284" w:type="dxa"/>
          </w:tcPr>
          <w:p w14:paraId="25CCA987" w14:textId="77777777" w:rsidR="00407B6B" w:rsidRDefault="0010709C">
            <w:pPr>
              <w:rPr>
                <w:rFonts w:ascii="Arial" w:hAnsi="Arial" w:cs="Arial"/>
                <w:sz w:val="22"/>
                <w:szCs w:val="22"/>
              </w:rPr>
            </w:pPr>
            <w:r>
              <w:rPr>
                <w:rFonts w:ascii="Arial" w:hAnsi="Arial" w:cs="Arial"/>
                <w:sz w:val="22"/>
                <w:szCs w:val="22"/>
              </w:rPr>
              <w:t>Medium to High</w:t>
            </w:r>
          </w:p>
          <w:p w14:paraId="37906E1E" w14:textId="77777777" w:rsidR="0010709C" w:rsidRDefault="0010709C">
            <w:pPr>
              <w:rPr>
                <w:rFonts w:ascii="Arial" w:hAnsi="Arial" w:cs="Arial"/>
                <w:sz w:val="22"/>
                <w:szCs w:val="22"/>
              </w:rPr>
            </w:pPr>
          </w:p>
          <w:p w14:paraId="3ADD5914" w14:textId="77777777" w:rsidR="0010709C" w:rsidRDefault="0010709C">
            <w:pPr>
              <w:rPr>
                <w:rFonts w:ascii="Arial" w:hAnsi="Arial" w:cs="Arial"/>
                <w:sz w:val="22"/>
                <w:szCs w:val="22"/>
              </w:rPr>
            </w:pPr>
            <w:r>
              <w:rPr>
                <w:rFonts w:ascii="Arial" w:hAnsi="Arial" w:cs="Arial"/>
                <w:sz w:val="22"/>
                <w:szCs w:val="22"/>
              </w:rPr>
              <w:t>Given the amount of generation in constrained local reliability areas, there are widespread concerns on the load side about the exercise of market power in all of the markets, including A/S and RUC.  Market mechanisms will not have the desired level of trust unless these issues are addressed.</w:t>
            </w:r>
          </w:p>
        </w:tc>
        <w:tc>
          <w:tcPr>
            <w:tcW w:w="2187" w:type="dxa"/>
          </w:tcPr>
          <w:p w14:paraId="58AF287C" w14:textId="77777777" w:rsidR="00407B6B" w:rsidRDefault="0010709C">
            <w:pPr>
              <w:rPr>
                <w:rFonts w:ascii="Arial" w:hAnsi="Arial" w:cs="Arial"/>
                <w:sz w:val="22"/>
                <w:szCs w:val="22"/>
              </w:rPr>
            </w:pPr>
            <w:r>
              <w:rPr>
                <w:rFonts w:ascii="Arial" w:hAnsi="Arial" w:cs="Arial"/>
                <w:sz w:val="22"/>
                <w:szCs w:val="22"/>
              </w:rPr>
              <w:t>Don’t know; assume there would be staffing, legal, and ultimately software costs</w:t>
            </w:r>
          </w:p>
        </w:tc>
        <w:tc>
          <w:tcPr>
            <w:tcW w:w="2340" w:type="dxa"/>
          </w:tcPr>
          <w:p w14:paraId="52B0FD2E" w14:textId="77777777" w:rsidR="00407B6B" w:rsidRDefault="0010709C">
            <w:pPr>
              <w:rPr>
                <w:rFonts w:ascii="Arial" w:hAnsi="Arial" w:cs="Arial"/>
                <w:sz w:val="22"/>
                <w:szCs w:val="22"/>
              </w:rPr>
            </w:pPr>
            <w:r>
              <w:rPr>
                <w:rFonts w:ascii="Arial" w:hAnsi="Arial" w:cs="Arial"/>
                <w:sz w:val="22"/>
                <w:szCs w:val="22"/>
              </w:rPr>
              <w:t>This might reduce market revenues but could also increase trust in the markets to function effectively</w:t>
            </w:r>
          </w:p>
        </w:tc>
      </w:tr>
    </w:tbl>
    <w:p w14:paraId="3A83BAEC" w14:textId="77777777" w:rsidR="002646B5" w:rsidRPr="002646B5" w:rsidRDefault="002646B5" w:rsidP="00344AC2">
      <w:pPr>
        <w:rPr>
          <w:rFonts w:ascii="Arial" w:hAnsi="Arial" w:cs="Arial"/>
          <w:sz w:val="22"/>
          <w:szCs w:val="22"/>
        </w:rPr>
      </w:pPr>
    </w:p>
    <w:p w14:paraId="6AA6B724" w14:textId="77777777" w:rsidR="00344AC2" w:rsidRPr="002646B5" w:rsidRDefault="00344AC2" w:rsidP="00325FC8">
      <w:pPr>
        <w:rPr>
          <w:rFonts w:ascii="Arial" w:hAnsi="Arial" w:cs="Arial"/>
          <w:sz w:val="22"/>
          <w:szCs w:val="22"/>
        </w:rPr>
      </w:pPr>
    </w:p>
    <w:p w14:paraId="18CCBDE4" w14:textId="77777777" w:rsidR="00325FC8" w:rsidRDefault="00F412AA" w:rsidP="00F412AA">
      <w:pPr>
        <w:numPr>
          <w:ilvl w:val="0"/>
          <w:numId w:val="19"/>
        </w:numPr>
        <w:rPr>
          <w:rFonts w:ascii="Arial" w:hAnsi="Arial" w:cs="Arial"/>
          <w:sz w:val="22"/>
          <w:szCs w:val="22"/>
        </w:rPr>
      </w:pPr>
      <w:r w:rsidRPr="00F412AA">
        <w:rPr>
          <w:rFonts w:ascii="Arial" w:hAnsi="Arial" w:cs="Arial"/>
          <w:sz w:val="22"/>
          <w:szCs w:val="22"/>
        </w:rPr>
        <w:t>Were the initiatives the CAISO determined to be high priority out of the high level prioritization ranked c</w:t>
      </w:r>
      <w:r>
        <w:rPr>
          <w:rFonts w:ascii="Arial" w:hAnsi="Arial" w:cs="Arial"/>
          <w:sz w:val="22"/>
          <w:szCs w:val="22"/>
        </w:rPr>
        <w:t>orrectly? If not how should the results</w:t>
      </w:r>
      <w:r w:rsidRPr="00F412AA">
        <w:rPr>
          <w:rFonts w:ascii="Arial" w:hAnsi="Arial" w:cs="Arial"/>
          <w:sz w:val="22"/>
          <w:szCs w:val="22"/>
        </w:rPr>
        <w:t xml:space="preserve"> be adjusted?</w:t>
      </w:r>
    </w:p>
    <w:p w14:paraId="019D9731" w14:textId="77777777" w:rsidR="00672FB9" w:rsidRPr="00672FB9" w:rsidRDefault="00672FB9" w:rsidP="00672FB9">
      <w:pPr>
        <w:rPr>
          <w:rFonts w:ascii="Arial" w:hAnsi="Arial" w:cs="Arial"/>
          <w:b/>
          <w:sz w:val="22"/>
          <w:szCs w:val="22"/>
        </w:rPr>
      </w:pPr>
    </w:p>
    <w:p w14:paraId="15BDF198" w14:textId="77777777" w:rsidR="00672FB9" w:rsidRPr="00672FB9" w:rsidRDefault="00A6299A" w:rsidP="00672FB9">
      <w:pPr>
        <w:rPr>
          <w:rFonts w:ascii="Arial" w:hAnsi="Arial" w:cs="Arial"/>
          <w:b/>
          <w:sz w:val="22"/>
          <w:szCs w:val="22"/>
        </w:rPr>
      </w:pPr>
      <w:r>
        <w:rPr>
          <w:rFonts w:ascii="Arial" w:hAnsi="Arial" w:cs="Arial"/>
          <w:b/>
          <w:sz w:val="22"/>
          <w:szCs w:val="22"/>
        </w:rPr>
        <w:t xml:space="preserve">There is </w:t>
      </w:r>
      <w:r w:rsidR="00672FB9" w:rsidRPr="00672FB9">
        <w:rPr>
          <w:rFonts w:ascii="Arial" w:hAnsi="Arial" w:cs="Arial"/>
          <w:b/>
          <w:sz w:val="22"/>
          <w:szCs w:val="22"/>
        </w:rPr>
        <w:t xml:space="preserve">widespread </w:t>
      </w:r>
      <w:r>
        <w:rPr>
          <w:rFonts w:ascii="Arial" w:hAnsi="Arial" w:cs="Arial"/>
          <w:b/>
          <w:sz w:val="22"/>
          <w:szCs w:val="22"/>
        </w:rPr>
        <w:t>stakeholder support for</w:t>
      </w:r>
      <w:r w:rsidR="00672FB9" w:rsidRPr="00672FB9">
        <w:rPr>
          <w:rFonts w:ascii="Arial" w:hAnsi="Arial" w:cs="Arial"/>
          <w:b/>
          <w:sz w:val="22"/>
          <w:szCs w:val="22"/>
        </w:rPr>
        <w:t xml:space="preserve"> a Standardized RA Product</w:t>
      </w:r>
      <w:r>
        <w:rPr>
          <w:rFonts w:ascii="Arial" w:hAnsi="Arial" w:cs="Arial"/>
          <w:b/>
          <w:sz w:val="22"/>
          <w:szCs w:val="22"/>
        </w:rPr>
        <w:t>. In addition, the CAISO has noted that this init</w:t>
      </w:r>
      <w:r w:rsidR="0010709C">
        <w:rPr>
          <w:rFonts w:ascii="Arial" w:hAnsi="Arial" w:cs="Arial"/>
          <w:b/>
          <w:sz w:val="22"/>
          <w:szCs w:val="22"/>
        </w:rPr>
        <w:t>i</w:t>
      </w:r>
      <w:r>
        <w:rPr>
          <w:rFonts w:ascii="Arial" w:hAnsi="Arial" w:cs="Arial"/>
          <w:b/>
          <w:sz w:val="22"/>
          <w:szCs w:val="22"/>
        </w:rPr>
        <w:t xml:space="preserve">ative has a high level of stakeholder benefit and a relatively high level of feasibility.  For all of these reasons, it is appropriate for this item to receive the highest ranking.  </w:t>
      </w:r>
    </w:p>
    <w:p w14:paraId="32EA0FF0" w14:textId="77777777" w:rsidR="00325FC8" w:rsidRPr="00672FB9" w:rsidRDefault="00325FC8" w:rsidP="00325FC8">
      <w:pPr>
        <w:rPr>
          <w:rFonts w:ascii="Arial" w:hAnsi="Arial" w:cs="Arial"/>
          <w:b/>
        </w:rPr>
      </w:pPr>
    </w:p>
    <w:p w14:paraId="5872469C" w14:textId="77777777" w:rsidR="00325FC8" w:rsidRDefault="00EA6D0E" w:rsidP="00325FC8">
      <w:pPr>
        <w:rPr>
          <w:rFonts w:ascii="Arial" w:hAnsi="Arial" w:cs="Arial"/>
        </w:rPr>
      </w:pPr>
      <w:r w:rsidRPr="00EA6D0E">
        <w:rPr>
          <w:rFonts w:ascii="Arial" w:hAnsi="Arial" w:cs="Arial"/>
          <w:b/>
          <w:sz w:val="22"/>
          <w:szCs w:val="22"/>
        </w:rPr>
        <w:t>CLECA would also like to point out that the stakeholder proposal to combine a Standardized RA Product with an Electronic Bulletin Board (EBB) to allow buyers and sellers to find each other is entirely consistent with the proposal in the FERC NOPR on Competitive Markets, which also calls</w:t>
      </w:r>
      <w:r w:rsidRPr="00EA6D0E">
        <w:rPr>
          <w:rFonts w:ascii="Arial" w:hAnsi="Arial" w:cs="Arial"/>
          <w:sz w:val="22"/>
          <w:szCs w:val="22"/>
        </w:rPr>
        <w:t xml:space="preserve"> </w:t>
      </w:r>
      <w:r w:rsidRPr="00EA6D0E">
        <w:rPr>
          <w:rFonts w:ascii="Arial" w:hAnsi="Arial" w:cs="Arial"/>
          <w:b/>
          <w:sz w:val="22"/>
          <w:szCs w:val="22"/>
        </w:rPr>
        <w:t>for such a vehicle</w:t>
      </w:r>
      <w:r>
        <w:rPr>
          <w:rFonts w:ascii="Arial" w:hAnsi="Arial" w:cs="Arial"/>
        </w:rPr>
        <w:t>:</w:t>
      </w:r>
    </w:p>
    <w:p w14:paraId="330BBDC1" w14:textId="77777777" w:rsidR="00EA6D0E" w:rsidRDefault="00EA6D0E" w:rsidP="00325FC8">
      <w:pPr>
        <w:rPr>
          <w:rFonts w:ascii="Arial" w:hAnsi="Arial" w:cs="Arial"/>
        </w:rPr>
      </w:pPr>
    </w:p>
    <w:p w14:paraId="647B66A2" w14:textId="77777777" w:rsidR="00EA6D0E" w:rsidRDefault="00EA6D0E" w:rsidP="00EA6D0E">
      <w:pPr>
        <w:autoSpaceDE w:val="0"/>
        <w:autoSpaceDN w:val="0"/>
        <w:adjustRightInd w:val="0"/>
        <w:rPr>
          <w:sz w:val="26"/>
          <w:szCs w:val="26"/>
        </w:rPr>
      </w:pPr>
      <w:r>
        <w:rPr>
          <w:sz w:val="26"/>
          <w:szCs w:val="26"/>
        </w:rPr>
        <w:t>“In light of these comments and our own observation, the Commission will take action in this area. We do so because of the importance of long-term contracts to a working market and because we believe greater transparency in the market will facilitate such long-term contracts. We therefore propose that regional organizations play a supporting role in encouraging voluntary contracting by providing an online forum in which potential buyers and sellers may exchange information.”</w:t>
      </w:r>
    </w:p>
    <w:p w14:paraId="6D1D46AA" w14:textId="77777777" w:rsidR="00EA6D0E" w:rsidRDefault="00EA6D0E" w:rsidP="00EA6D0E">
      <w:pPr>
        <w:autoSpaceDE w:val="0"/>
        <w:autoSpaceDN w:val="0"/>
        <w:adjustRightInd w:val="0"/>
        <w:rPr>
          <w:sz w:val="26"/>
          <w:szCs w:val="26"/>
        </w:rPr>
      </w:pPr>
    </w:p>
    <w:p w14:paraId="172CE497" w14:textId="77777777" w:rsidR="00A6299A" w:rsidRDefault="00EA6D0E" w:rsidP="00EA6D0E">
      <w:pPr>
        <w:autoSpaceDE w:val="0"/>
        <w:autoSpaceDN w:val="0"/>
        <w:adjustRightInd w:val="0"/>
        <w:rPr>
          <w:sz w:val="26"/>
          <w:szCs w:val="26"/>
        </w:rPr>
      </w:pPr>
      <w:r>
        <w:rPr>
          <w:sz w:val="26"/>
          <w:szCs w:val="26"/>
        </w:rPr>
        <w:t>FERC Docket Nos. RM07-19-000 and AD07-7-000 Notice of Proposed Rulemaking Regarding Wholesale Competition in Regions with Organized Electric Markets</w:t>
      </w:r>
    </w:p>
    <w:p w14:paraId="304A4003" w14:textId="77777777" w:rsidR="00EA6D0E" w:rsidRDefault="00EA6D0E" w:rsidP="00EA6D0E">
      <w:pPr>
        <w:autoSpaceDE w:val="0"/>
        <w:autoSpaceDN w:val="0"/>
        <w:adjustRightInd w:val="0"/>
        <w:rPr>
          <w:sz w:val="26"/>
          <w:szCs w:val="26"/>
        </w:rPr>
      </w:pPr>
      <w:r>
        <w:rPr>
          <w:sz w:val="26"/>
          <w:szCs w:val="26"/>
        </w:rPr>
        <w:t xml:space="preserve">(Issued </w:t>
      </w:r>
      <w:smartTag w:uri="urn:schemas-microsoft-com:office:smarttags" w:element="date">
        <w:smartTagPr>
          <w:attr w:name="Year" w:val="2008"/>
          <w:attr w:name="Day" w:val="22"/>
          <w:attr w:name="Month" w:val="2"/>
        </w:smartTagPr>
        <w:r>
          <w:rPr>
            <w:sz w:val="26"/>
            <w:szCs w:val="26"/>
          </w:rPr>
          <w:t>February 22, 2008</w:t>
        </w:r>
      </w:smartTag>
      <w:r>
        <w:rPr>
          <w:sz w:val="26"/>
          <w:szCs w:val="26"/>
        </w:rPr>
        <w:t>). p. 77</w:t>
      </w:r>
    </w:p>
    <w:p w14:paraId="2B866DAF" w14:textId="77777777" w:rsidR="00A6299A" w:rsidRDefault="00A6299A" w:rsidP="00EA6D0E">
      <w:pPr>
        <w:autoSpaceDE w:val="0"/>
        <w:autoSpaceDN w:val="0"/>
        <w:adjustRightInd w:val="0"/>
        <w:rPr>
          <w:sz w:val="26"/>
          <w:szCs w:val="26"/>
        </w:rPr>
      </w:pPr>
    </w:p>
    <w:p w14:paraId="5F2AAE0F" w14:textId="77777777" w:rsidR="00A6299A" w:rsidRPr="0010709C" w:rsidRDefault="00A6299A" w:rsidP="00EA6D0E">
      <w:pPr>
        <w:autoSpaceDE w:val="0"/>
        <w:autoSpaceDN w:val="0"/>
        <w:adjustRightInd w:val="0"/>
        <w:rPr>
          <w:rFonts w:ascii="Arial" w:hAnsi="Arial" w:cs="Arial"/>
          <w:b/>
          <w:sz w:val="22"/>
          <w:szCs w:val="22"/>
        </w:rPr>
      </w:pPr>
      <w:smartTag w:uri="urn:schemas-microsoft-com:office:smarttags" w:element="PersonName">
        <w:r w:rsidRPr="0010709C">
          <w:rPr>
            <w:rFonts w:ascii="Arial" w:hAnsi="Arial" w:cs="Arial"/>
            <w:b/>
            <w:sz w:val="22"/>
            <w:szCs w:val="22"/>
          </w:rPr>
          <w:t>CLECA</w:t>
        </w:r>
      </w:smartTag>
      <w:r w:rsidRPr="0010709C">
        <w:rPr>
          <w:rFonts w:ascii="Arial" w:hAnsi="Arial" w:cs="Arial"/>
          <w:b/>
          <w:sz w:val="22"/>
          <w:szCs w:val="22"/>
        </w:rPr>
        <w:t xml:space="preserve"> also supports the high rankings for 30-minute operating reserves (2.5.4) and improved tagging procedures and functionality (2.3.4).  </w:t>
      </w:r>
    </w:p>
    <w:p w14:paraId="03646D57" w14:textId="77777777" w:rsidR="00A6299A" w:rsidRPr="0010709C" w:rsidRDefault="00A6299A" w:rsidP="00EA6D0E">
      <w:pPr>
        <w:autoSpaceDE w:val="0"/>
        <w:autoSpaceDN w:val="0"/>
        <w:adjustRightInd w:val="0"/>
        <w:rPr>
          <w:rFonts w:ascii="Arial" w:hAnsi="Arial" w:cs="Arial"/>
          <w:b/>
          <w:sz w:val="22"/>
          <w:szCs w:val="22"/>
        </w:rPr>
      </w:pPr>
    </w:p>
    <w:sectPr w:rsidR="00A6299A" w:rsidRPr="0010709C">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06F7" w14:textId="77777777" w:rsidR="00D76388" w:rsidRDefault="00D76388">
      <w:r>
        <w:separator/>
      </w:r>
    </w:p>
  </w:endnote>
  <w:endnote w:type="continuationSeparator" w:id="0">
    <w:p w14:paraId="47AFE38B" w14:textId="77777777" w:rsidR="00D76388" w:rsidRDefault="00D7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30C5" w14:textId="77777777" w:rsidR="00D025F6" w:rsidRDefault="00D025F6">
    <w:pPr>
      <w:pStyle w:val="Footer"/>
      <w:tabs>
        <w:tab w:val="clear" w:pos="4320"/>
        <w:tab w:val="clear" w:pos="8640"/>
        <w:tab w:val="center" w:pos="6480"/>
        <w:tab w:val="right" w:pos="12960"/>
      </w:tabs>
      <w:rPr>
        <w:sz w:val="22"/>
        <w:szCs w:val="22"/>
      </w:rPr>
    </w:pPr>
    <w:r>
      <w:rPr>
        <w:sz w:val="22"/>
        <w:szCs w:val="22"/>
      </w:rPr>
      <w:t>CAISO / MPD / mm</w:t>
    </w:r>
    <w:r>
      <w:rPr>
        <w:sz w:val="22"/>
        <w:szCs w:val="22"/>
      </w:rPr>
      <w:tab/>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1A5A28">
      <w:rPr>
        <w:rStyle w:val="PageNumber"/>
        <w:noProof/>
        <w:sz w:val="22"/>
        <w:szCs w:val="22"/>
      </w:rPr>
      <w:t>2</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2B15" w14:textId="77777777" w:rsidR="00D76388" w:rsidRDefault="00D76388">
      <w:r>
        <w:separator/>
      </w:r>
    </w:p>
  </w:footnote>
  <w:footnote w:type="continuationSeparator" w:id="0">
    <w:p w14:paraId="75FDE468" w14:textId="77777777" w:rsidR="00D76388" w:rsidRDefault="00D7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5DD6" w14:textId="77777777" w:rsidR="00D025F6" w:rsidRDefault="00D025F6">
    <w:pPr>
      <w:pStyle w:val="Header"/>
      <w:tabs>
        <w:tab w:val="clear" w:pos="4320"/>
        <w:tab w:val="clear" w:pos="8640"/>
        <w:tab w:val="center" w:pos="6480"/>
        <w:tab w:val="right" w:pos="12960"/>
      </w:tabs>
    </w:pPr>
    <w:r>
      <w:t xml:space="preserve">CAISO Market Initiatives Roadmap </w:t>
    </w:r>
    <w:r>
      <w:tab/>
    </w:r>
    <w:r>
      <w:tab/>
    </w:r>
    <w:smartTag w:uri="urn:schemas-microsoft-com:office:smarttags" w:element="date">
      <w:smartTagPr>
        <w:attr w:name="Month" w:val="5"/>
        <w:attr w:name="Day" w:val="1"/>
        <w:attr w:name="Year" w:val="2008"/>
      </w:smartTagPr>
      <w:r>
        <w:t>5/1/2008</w:t>
      </w:r>
    </w:smartTag>
    <w:r>
      <w:t xml:space="preserve"> Template for Stakeholder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D245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1848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3274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A5F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F6B4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D618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DEAB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54DD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B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65E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5D8D"/>
    <w:multiLevelType w:val="hybridMultilevel"/>
    <w:tmpl w:val="856CFD1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2D0DE3"/>
    <w:multiLevelType w:val="hybridMultilevel"/>
    <w:tmpl w:val="DD7EE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735D8D"/>
    <w:multiLevelType w:val="hybridMultilevel"/>
    <w:tmpl w:val="503C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5A5B0D"/>
    <w:multiLevelType w:val="multilevel"/>
    <w:tmpl w:val="3EBC06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D06E2B"/>
    <w:multiLevelType w:val="hybridMultilevel"/>
    <w:tmpl w:val="656C7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A5388"/>
    <w:multiLevelType w:val="hybridMultilevel"/>
    <w:tmpl w:val="6FA0B82C"/>
    <w:lvl w:ilvl="0" w:tplc="225CA66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E6277"/>
    <w:multiLevelType w:val="multilevel"/>
    <w:tmpl w:val="FFF85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87689A"/>
    <w:multiLevelType w:val="hybridMultilevel"/>
    <w:tmpl w:val="E9169A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1C07D8"/>
    <w:multiLevelType w:val="hybridMultilevel"/>
    <w:tmpl w:val="9514B6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63CE8"/>
    <w:multiLevelType w:val="hybridMultilevel"/>
    <w:tmpl w:val="A4BC3EAA"/>
    <w:lvl w:ilvl="0" w:tplc="225CA6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61732046">
    <w:abstractNumId w:val="18"/>
  </w:num>
  <w:num w:numId="2" w16cid:durableId="1334335412">
    <w:abstractNumId w:val="15"/>
  </w:num>
  <w:num w:numId="3" w16cid:durableId="1356030932">
    <w:abstractNumId w:val="9"/>
  </w:num>
  <w:num w:numId="4" w16cid:durableId="89663603">
    <w:abstractNumId w:val="7"/>
  </w:num>
  <w:num w:numId="5" w16cid:durableId="126974502">
    <w:abstractNumId w:val="6"/>
  </w:num>
  <w:num w:numId="6" w16cid:durableId="1604461822">
    <w:abstractNumId w:val="5"/>
  </w:num>
  <w:num w:numId="7" w16cid:durableId="1657028339">
    <w:abstractNumId w:val="4"/>
  </w:num>
  <w:num w:numId="8" w16cid:durableId="744381709">
    <w:abstractNumId w:val="8"/>
  </w:num>
  <w:num w:numId="9" w16cid:durableId="2013413382">
    <w:abstractNumId w:val="3"/>
  </w:num>
  <w:num w:numId="10" w16cid:durableId="1467117235">
    <w:abstractNumId w:val="2"/>
  </w:num>
  <w:num w:numId="11" w16cid:durableId="524052791">
    <w:abstractNumId w:val="1"/>
  </w:num>
  <w:num w:numId="12" w16cid:durableId="957105834">
    <w:abstractNumId w:val="0"/>
  </w:num>
  <w:num w:numId="13" w16cid:durableId="1012073628">
    <w:abstractNumId w:val="10"/>
  </w:num>
  <w:num w:numId="14" w16cid:durableId="299582488">
    <w:abstractNumId w:val="11"/>
  </w:num>
  <w:num w:numId="15" w16cid:durableId="2113742111">
    <w:abstractNumId w:val="12"/>
  </w:num>
  <w:num w:numId="16" w16cid:durableId="1499617883">
    <w:abstractNumId w:val="14"/>
  </w:num>
  <w:num w:numId="17" w16cid:durableId="191460105">
    <w:abstractNumId w:val="16"/>
  </w:num>
  <w:num w:numId="18" w16cid:durableId="1692799119">
    <w:abstractNumId w:val="19"/>
  </w:num>
  <w:num w:numId="19" w16cid:durableId="1963876778">
    <w:abstractNumId w:val="17"/>
  </w:num>
  <w:num w:numId="20" w16cid:durableId="2103605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33"/>
    <w:rsid w:val="00047E32"/>
    <w:rsid w:val="0010709C"/>
    <w:rsid w:val="001A5A28"/>
    <w:rsid w:val="002063AB"/>
    <w:rsid w:val="002646B5"/>
    <w:rsid w:val="00300EDB"/>
    <w:rsid w:val="00325FC8"/>
    <w:rsid w:val="00344AC2"/>
    <w:rsid w:val="003A69C6"/>
    <w:rsid w:val="00407B6B"/>
    <w:rsid w:val="00412B2B"/>
    <w:rsid w:val="004D6BB8"/>
    <w:rsid w:val="0050762A"/>
    <w:rsid w:val="00632D33"/>
    <w:rsid w:val="006370A0"/>
    <w:rsid w:val="006658A0"/>
    <w:rsid w:val="00672FB9"/>
    <w:rsid w:val="006E4EF5"/>
    <w:rsid w:val="00785F38"/>
    <w:rsid w:val="007F3FF1"/>
    <w:rsid w:val="00801CE0"/>
    <w:rsid w:val="0082638A"/>
    <w:rsid w:val="0085160C"/>
    <w:rsid w:val="008700CC"/>
    <w:rsid w:val="008863E0"/>
    <w:rsid w:val="008E4B28"/>
    <w:rsid w:val="00915834"/>
    <w:rsid w:val="00940972"/>
    <w:rsid w:val="009A144F"/>
    <w:rsid w:val="00A6299A"/>
    <w:rsid w:val="00A86448"/>
    <w:rsid w:val="00AB42C1"/>
    <w:rsid w:val="00AD3AFB"/>
    <w:rsid w:val="00BB5F20"/>
    <w:rsid w:val="00D025F6"/>
    <w:rsid w:val="00D342FB"/>
    <w:rsid w:val="00D76388"/>
    <w:rsid w:val="00DC2C05"/>
    <w:rsid w:val="00E52EA1"/>
    <w:rsid w:val="00EA6D0E"/>
    <w:rsid w:val="00ED0B33"/>
    <w:rsid w:val="00F412AA"/>
    <w:rsid w:val="00F53E16"/>
    <w:rsid w:val="00FB25A4"/>
    <w:rsid w:val="00FF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PersonName"/>
  <w:shapeDefaults>
    <o:shapedefaults v:ext="edit" spidmax="2050"/>
    <o:shapelayout v:ext="edit">
      <o:idmap v:ext="edit" data="1"/>
    </o:shapelayout>
  </w:shapeDefaults>
  <w:decimalSymbol w:val="."/>
  <w:listSeparator w:val=","/>
  <w14:docId w14:val="53721E9F"/>
  <w15:chartTrackingRefBased/>
  <w15:docId w15:val="{DFA5A53C-1FDD-4F61-A7FD-D31DF285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0"/>
      <w:szCs w:val="20"/>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7;#Stakeholder processes|71659ab1-dac7-419e-9529-abc47c232b66;#26;#stakeholder initiative|eed0ce1e-bb47-425b-8cdd-84244efe7e65;#3;#Archived|0019c6e1-8c5e-460c-a653-a944372c5015;#665;#Stakeholder Comments on Preliminary Results of High Level Prioritization of Market Initiatives 09-May 2008|6c60f719-4649-4c93-be9a-9d02e98b5c3f]]></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10D97-D914-4583-96CD-8F323DEC5288}"/>
</file>

<file path=customXml/itemProps2.xml><?xml version="1.0" encoding="utf-8"?>
<ds:datastoreItem xmlns:ds="http://schemas.openxmlformats.org/officeDocument/2006/customXml" ds:itemID="{6A6FEE51-28BC-443F-B1E4-59FF6ABEEC8E}">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75B8E95-E5BC-4109-96EE-F2425F8597DA}"/>
</file>

<file path=customXml/itemProps4.xml><?xml version="1.0" encoding="utf-8"?>
<ds:datastoreItem xmlns:ds="http://schemas.openxmlformats.org/officeDocument/2006/customXml" ds:itemID="{BC57AC54-8DEE-4CA9-9008-61B03DF232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Attachment – A </vt:lpstr>
    </vt:vector>
  </TitlesOfParts>
  <Company>CALISO</Company>
  <LinksUpToDate>false</LinksUpToDate>
  <CharactersWithSpaces>3954</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CLECA Comments on High Level Prioritization</dc:title>
  <dc:subject/>
  <dc:creator>Margaret Miller</dc:creator>
  <cp:keywords/>
  <dc:description/>
  <cp:lastModifiedBy>Valladares, Angela</cp:lastModifiedBy>
  <cp:revision>2</cp:revision>
  <cp:lastPrinted>2008-04-29T04:02:00Z</cp:lastPrinted>
  <dcterms:created xsi:type="dcterms:W3CDTF">2025-10-22T15:54:00Z</dcterms:created>
  <dcterms:modified xsi:type="dcterms:W3CDTF">2025-10-22T15:54:00Z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2008-05-14T10:27:00Z</vt:lpwstr>
  </property>
  <property fmtid="{D5CDD505-2E9C-101B-9397-08002B2CF9AE}" pid="3" name="ISOKeywords">
    <vt:lpwstr>26;#stakeholder initiative|eed0ce1e-bb47-425b-8cdd-84244efe7e65</vt:lpwstr>
  </property>
  <property fmtid="{D5CDD505-2E9C-101B-9397-08002B2CF9AE}" pid="4" name="ISOGroup">
    <vt:lpwstr>665;#Stakeholder Comments on Preliminary Results of High Level Prioritization of Market Initiatives 09-May 2008|6c60f719-4649-4c93-be9a-9d02e98b5c3f</vt:lpwstr>
  </property>
  <property fmtid="{D5CDD505-2E9C-101B-9397-08002B2CF9AE}" pid="5" name="ISOTopic">
    <vt:lpwstr>7;#Stakeholder processes|71659ab1-dac7-419e-9529-abc47c232b66</vt:lpwstr>
  </property>
  <property fmtid="{D5CDD505-2E9C-101B-9397-08002B2CF9AE}" pid="6" name="Order">
    <vt:lpwstr>25766100.0000000</vt:lpwstr>
  </property>
  <property fmtid="{D5CDD505-2E9C-101B-9397-08002B2CF9AE}" pid="7" name="ISOArchive">
    <vt:lpwstr>3;#Archived|0019c6e1-8c5e-460c-a653-a944372c5015</vt:lpwstr>
  </property>
  <property fmtid="{D5CDD505-2E9C-101B-9397-08002B2CF9AE}" pid="8" name="OriginalUriCopy">
    <vt:lpwstr>http://www.caiso.com/1fc7/1fc792f55b950.doc, http://www.caiso.com/1fc7/1fc792f55b950.doc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http://www.caiso.com/1fc7/1fc792f55b950.doc, /1fc7/1fc792f55b950.doc</vt:lpwstr>
  </property>
  <property fmtid="{D5CDD505-2E9C-101B-9397-08002B2CF9AE}" pid="12" name="ContentTypeId">
    <vt:lpwstr>0x010100776092249CC62C48AA17033F357BFB4B</vt:lpwstr>
  </property>
</Properties>
</file>