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B8EE5" w14:textId="2DFAB062" w:rsidR="00285ED2" w:rsidRDefault="00285ED2" w:rsidP="002B0DDA">
      <w:pPr>
        <w:rPr>
          <w:rFonts w:cs="Arial"/>
          <w:szCs w:val="22"/>
        </w:rPr>
      </w:pPr>
      <w:r>
        <w:rPr>
          <w:rFonts w:cs="Arial"/>
          <w:szCs w:val="22"/>
        </w:rPr>
        <w:t>November 1</w:t>
      </w:r>
      <w:r w:rsidR="00177EC8">
        <w:rPr>
          <w:rFonts w:cs="Arial"/>
          <w:szCs w:val="22"/>
        </w:rPr>
        <w:t>8</w:t>
      </w:r>
      <w:r>
        <w:rPr>
          <w:rFonts w:cs="Arial"/>
          <w:szCs w:val="22"/>
        </w:rPr>
        <w:t>, 2024</w:t>
      </w:r>
    </w:p>
    <w:p w14:paraId="054D61D8" w14:textId="77777777" w:rsidR="002B0DDA" w:rsidRDefault="002B0DDA" w:rsidP="002B0DDA">
      <w:pPr>
        <w:rPr>
          <w:rFonts w:cs="Arial"/>
          <w:szCs w:val="22"/>
        </w:rPr>
      </w:pPr>
    </w:p>
    <w:p w14:paraId="3B07AC5A" w14:textId="04AF3E77" w:rsidR="00546A10" w:rsidRDefault="0040234C" w:rsidP="002B0DDA">
      <w:pPr>
        <w:spacing w:after="240"/>
        <w:rPr>
          <w:rFonts w:cs="Arial"/>
          <w:szCs w:val="22"/>
        </w:rPr>
      </w:pPr>
      <w:r>
        <w:rPr>
          <w:rFonts w:cs="Arial"/>
          <w:sz w:val="28"/>
          <w:szCs w:val="28"/>
        </w:rPr>
        <w:t>Instructions</w:t>
      </w:r>
      <w:r w:rsidRPr="001A5149">
        <w:rPr>
          <w:rFonts w:cs="Arial"/>
          <w:sz w:val="28"/>
          <w:szCs w:val="28"/>
        </w:rPr>
        <w:t xml:space="preserve"> </w:t>
      </w:r>
      <w:r>
        <w:rPr>
          <w:rFonts w:cs="Arial"/>
          <w:sz w:val="28"/>
          <w:szCs w:val="28"/>
        </w:rPr>
        <w:t xml:space="preserve">to Interconnection Customers </w:t>
      </w:r>
      <w:r w:rsidRPr="001A5149">
        <w:rPr>
          <w:rFonts w:cs="Arial"/>
          <w:sz w:val="28"/>
          <w:szCs w:val="28"/>
        </w:rPr>
        <w:t xml:space="preserve">for </w:t>
      </w:r>
      <w:r>
        <w:rPr>
          <w:rFonts w:cs="Arial"/>
          <w:sz w:val="28"/>
          <w:szCs w:val="28"/>
        </w:rPr>
        <w:t xml:space="preserve">meeting Cluster 15 </w:t>
      </w:r>
      <w:r w:rsidRPr="001A5149">
        <w:rPr>
          <w:rFonts w:cs="Arial"/>
          <w:sz w:val="28"/>
          <w:szCs w:val="28"/>
        </w:rPr>
        <w:t>Commercial Readiness Deposit</w:t>
      </w:r>
      <w:r>
        <w:rPr>
          <w:rFonts w:cs="Arial"/>
          <w:sz w:val="28"/>
          <w:szCs w:val="28"/>
        </w:rPr>
        <w:t>, Merchant Deposit, Study Deposit and Application Fee requirements.</w:t>
      </w:r>
    </w:p>
    <w:p w14:paraId="306BC247" w14:textId="77777777" w:rsidR="00546A10" w:rsidRDefault="00546A10" w:rsidP="002B0DDA">
      <w:pPr>
        <w:spacing w:after="120"/>
        <w:rPr>
          <w:rFonts w:cs="Arial"/>
          <w:szCs w:val="22"/>
        </w:rPr>
      </w:pPr>
      <w:r>
        <w:rPr>
          <w:rFonts w:cs="Arial"/>
          <w:szCs w:val="22"/>
        </w:rPr>
        <w:t>Below is a list of contact emails for each of the PTOs that will be performing the interconnection request studies and who are responsible under the ISO Tariff Appendix KK for receiving, reviewing, approving and executing the respective PTO approved financial instruments.</w:t>
      </w:r>
    </w:p>
    <w:p w14:paraId="3C733D2B" w14:textId="77777777" w:rsidR="00546A10" w:rsidRDefault="00546A10" w:rsidP="002B0DDA">
      <w:pPr>
        <w:spacing w:after="240"/>
        <w:rPr>
          <w:rFonts w:cs="Arial"/>
          <w:szCs w:val="22"/>
        </w:rPr>
      </w:pPr>
      <w:r>
        <w:rPr>
          <w:rFonts w:cs="Arial"/>
          <w:szCs w:val="22"/>
        </w:rPr>
        <w:t xml:space="preserve">Below the contact information are the instructions for what is acceptable and the deadlines for meeting the requirements for the </w:t>
      </w:r>
      <w:r w:rsidRPr="00546A10">
        <w:rPr>
          <w:rFonts w:cs="Arial"/>
          <w:szCs w:val="22"/>
        </w:rPr>
        <w:t>Commercial Readiness Deposit</w:t>
      </w:r>
      <w:r>
        <w:rPr>
          <w:rFonts w:cs="Arial"/>
          <w:szCs w:val="22"/>
        </w:rPr>
        <w:t>,</w:t>
      </w:r>
      <w:r w:rsidRPr="00546A10">
        <w:rPr>
          <w:rFonts w:cs="Arial"/>
          <w:szCs w:val="22"/>
        </w:rPr>
        <w:t xml:space="preserve"> </w:t>
      </w:r>
      <w:r>
        <w:rPr>
          <w:rFonts w:cs="Arial"/>
          <w:szCs w:val="22"/>
        </w:rPr>
        <w:t xml:space="preserve">the </w:t>
      </w:r>
      <w:r w:rsidRPr="00546A10">
        <w:rPr>
          <w:rFonts w:cs="Arial"/>
          <w:szCs w:val="22"/>
        </w:rPr>
        <w:t>Merchant Deposit</w:t>
      </w:r>
      <w:r>
        <w:rPr>
          <w:rFonts w:cs="Arial"/>
          <w:szCs w:val="22"/>
        </w:rPr>
        <w:t>, the Study Deposit and the IR Application Fee.  It is vitally important for interconnection customers to follow the instructions precisely.  Items that do not meet these requirements will</w:t>
      </w:r>
      <w:r w:rsidR="00236ACA">
        <w:rPr>
          <w:rFonts w:cs="Arial"/>
          <w:szCs w:val="22"/>
        </w:rPr>
        <w:t xml:space="preserve"> result in the interconnection request </w:t>
      </w:r>
      <w:r>
        <w:rPr>
          <w:rFonts w:cs="Arial"/>
          <w:szCs w:val="22"/>
        </w:rPr>
        <w:t>not be</w:t>
      </w:r>
      <w:r w:rsidR="00236ACA">
        <w:rPr>
          <w:rFonts w:cs="Arial"/>
          <w:szCs w:val="22"/>
        </w:rPr>
        <w:t>ing</w:t>
      </w:r>
      <w:r>
        <w:rPr>
          <w:rFonts w:cs="Arial"/>
          <w:szCs w:val="22"/>
        </w:rPr>
        <w:t xml:space="preserve"> eligible to be studied in cluster 15.</w:t>
      </w:r>
    </w:p>
    <w:p w14:paraId="5959C079" w14:textId="77777777" w:rsidR="00546A10" w:rsidRDefault="0040234C" w:rsidP="002B0DDA">
      <w:pPr>
        <w:spacing w:after="120"/>
        <w:rPr>
          <w:rFonts w:cs="Arial"/>
          <w:szCs w:val="22"/>
        </w:rPr>
      </w:pPr>
      <w:r>
        <w:rPr>
          <w:rFonts w:cs="Arial"/>
          <w:sz w:val="28"/>
          <w:szCs w:val="28"/>
        </w:rPr>
        <w:t>PTO C</w:t>
      </w:r>
      <w:r w:rsidR="00236ACA" w:rsidRPr="002E178D">
        <w:rPr>
          <w:rFonts w:cs="Arial"/>
          <w:sz w:val="28"/>
          <w:szCs w:val="28"/>
        </w:rPr>
        <w:t xml:space="preserve">ontact </w:t>
      </w:r>
      <w:r>
        <w:rPr>
          <w:rFonts w:cs="Arial"/>
          <w:sz w:val="28"/>
          <w:szCs w:val="28"/>
        </w:rPr>
        <w:t>I</w:t>
      </w:r>
      <w:r w:rsidR="00236ACA" w:rsidRPr="002E178D">
        <w:rPr>
          <w:rFonts w:cs="Arial"/>
          <w:sz w:val="28"/>
          <w:szCs w:val="28"/>
        </w:rPr>
        <w:t>nformation</w:t>
      </w:r>
    </w:p>
    <w:tbl>
      <w:tblPr>
        <w:tblW w:w="10160" w:type="dxa"/>
        <w:tblCellMar>
          <w:left w:w="0" w:type="dxa"/>
          <w:right w:w="0" w:type="dxa"/>
        </w:tblCellMar>
        <w:tblLook w:val="04A0" w:firstRow="1" w:lastRow="0" w:firstColumn="1" w:lastColumn="0" w:noHBand="0" w:noVBand="1"/>
      </w:tblPr>
      <w:tblGrid>
        <w:gridCol w:w="2051"/>
        <w:gridCol w:w="2138"/>
        <w:gridCol w:w="3840"/>
        <w:gridCol w:w="2131"/>
      </w:tblGrid>
      <w:tr w:rsidR="00B022EA" w:rsidRPr="00B022EA" w14:paraId="47863DC5" w14:textId="77777777" w:rsidTr="002B0DDA">
        <w:trPr>
          <w:trHeight w:val="300"/>
        </w:trPr>
        <w:tc>
          <w:tcPr>
            <w:tcW w:w="205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3A00061C"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PTO</w:t>
            </w:r>
          </w:p>
        </w:tc>
        <w:tc>
          <w:tcPr>
            <w:tcW w:w="2138"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2DF72555"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Name</w:t>
            </w:r>
          </w:p>
        </w:tc>
        <w:tc>
          <w:tcPr>
            <w:tcW w:w="3840"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7D5FFA74"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Email Address</w:t>
            </w:r>
          </w:p>
        </w:tc>
        <w:tc>
          <w:tcPr>
            <w:tcW w:w="2131" w:type="dxa"/>
            <w:tcBorders>
              <w:top w:val="single" w:sz="8" w:space="0" w:color="FFFFFF"/>
              <w:left w:val="single" w:sz="8" w:space="0" w:color="FFFFFF"/>
              <w:bottom w:val="single" w:sz="24" w:space="0" w:color="FFFFFF"/>
              <w:right w:val="single" w:sz="8" w:space="0" w:color="FFFFFF"/>
            </w:tcBorders>
            <w:shd w:val="clear" w:color="auto" w:fill="4F81BD"/>
            <w:tcMar>
              <w:top w:w="15" w:type="dxa"/>
              <w:left w:w="108" w:type="dxa"/>
              <w:bottom w:w="0" w:type="dxa"/>
              <w:right w:w="108" w:type="dxa"/>
            </w:tcMar>
            <w:vAlign w:val="bottom"/>
            <w:hideMark/>
          </w:tcPr>
          <w:p w14:paraId="66182667"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Phone</w:t>
            </w:r>
          </w:p>
        </w:tc>
      </w:tr>
      <w:tr w:rsidR="00B022EA" w:rsidRPr="00B022EA" w14:paraId="7BC24B03" w14:textId="77777777" w:rsidTr="002B0DDA">
        <w:trPr>
          <w:trHeight w:val="600"/>
        </w:trPr>
        <w:tc>
          <w:tcPr>
            <w:tcW w:w="2051" w:type="dxa"/>
            <w:tcBorders>
              <w:top w:val="single" w:sz="24"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3FC8E2E"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DCRT</w:t>
            </w:r>
          </w:p>
        </w:tc>
        <w:tc>
          <w:tcPr>
            <w:tcW w:w="2138"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AE72580" w14:textId="77777777" w:rsidR="00B022EA" w:rsidRPr="00B022EA" w:rsidRDefault="00B022EA" w:rsidP="002B0DDA">
            <w:pPr>
              <w:spacing w:after="120"/>
              <w:rPr>
                <w:rFonts w:cs="Arial"/>
                <w:szCs w:val="22"/>
              </w:rPr>
            </w:pPr>
            <w:r w:rsidRPr="00B022EA">
              <w:rPr>
                <w:rFonts w:cs="Arial"/>
                <w:szCs w:val="22"/>
              </w:rPr>
              <w:t xml:space="preserve">Ali Amirali </w:t>
            </w:r>
          </w:p>
        </w:tc>
        <w:tc>
          <w:tcPr>
            <w:tcW w:w="3840"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096481C" w14:textId="77777777" w:rsidR="00B022EA" w:rsidRPr="00B022EA" w:rsidRDefault="00076627" w:rsidP="002B0DDA">
            <w:pPr>
              <w:spacing w:after="120"/>
              <w:rPr>
                <w:rFonts w:cs="Arial"/>
                <w:szCs w:val="22"/>
              </w:rPr>
            </w:pPr>
            <w:hyperlink r:id="rId7" w:history="1">
              <w:r w:rsidR="00B022EA" w:rsidRPr="00B022EA">
                <w:rPr>
                  <w:rStyle w:val="Hyperlink"/>
                  <w:rFonts w:cs="Arial"/>
                  <w:szCs w:val="22"/>
                </w:rPr>
                <w:t xml:space="preserve">AAmirali@lotuspartners.com </w:t>
              </w:r>
            </w:hyperlink>
          </w:p>
        </w:tc>
        <w:tc>
          <w:tcPr>
            <w:tcW w:w="2131"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00594540" w14:textId="77777777" w:rsidR="00B022EA" w:rsidRPr="00B022EA" w:rsidRDefault="00B022EA" w:rsidP="002B0DDA">
            <w:pPr>
              <w:spacing w:after="120"/>
              <w:rPr>
                <w:rFonts w:cs="Arial"/>
                <w:szCs w:val="22"/>
              </w:rPr>
            </w:pPr>
            <w:r w:rsidRPr="00B022EA">
              <w:rPr>
                <w:rFonts w:cs="Arial"/>
                <w:szCs w:val="22"/>
              </w:rPr>
              <w:t xml:space="preserve">408-204-7630 </w:t>
            </w:r>
            <w:r w:rsidRPr="00B022EA">
              <w:rPr>
                <w:rFonts w:cs="Arial"/>
                <w:szCs w:val="22"/>
              </w:rPr>
              <w:br/>
              <w:t>916-740-0990</w:t>
            </w:r>
          </w:p>
        </w:tc>
      </w:tr>
      <w:tr w:rsidR="00B022EA" w:rsidRPr="00B022EA" w14:paraId="2987B2B3"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67C4BD15"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 xml:space="preserve">DSLK/LSPGC </w:t>
            </w: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196B4C3" w14:textId="77777777" w:rsidR="00B022EA" w:rsidRPr="00B022EA" w:rsidRDefault="00B022EA" w:rsidP="002B0DDA">
            <w:pPr>
              <w:spacing w:after="120"/>
              <w:rPr>
                <w:rFonts w:cs="Arial"/>
                <w:szCs w:val="22"/>
              </w:rPr>
            </w:pPr>
            <w:r w:rsidRPr="00B022EA">
              <w:rPr>
                <w:rFonts w:cs="Arial"/>
                <w:szCs w:val="22"/>
              </w:rPr>
              <w:t>John “Jack” Niland</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center"/>
            <w:hideMark/>
          </w:tcPr>
          <w:p w14:paraId="0DA1400F" w14:textId="77777777" w:rsidR="00B022EA" w:rsidRPr="00B022EA" w:rsidRDefault="00076627" w:rsidP="002B0DDA">
            <w:pPr>
              <w:spacing w:after="120"/>
              <w:rPr>
                <w:rFonts w:cs="Arial"/>
                <w:szCs w:val="22"/>
              </w:rPr>
            </w:pPr>
            <w:hyperlink r:id="rId8" w:history="1">
              <w:r w:rsidR="00B022EA" w:rsidRPr="00B022EA">
                <w:rPr>
                  <w:rStyle w:val="Hyperlink"/>
                  <w:rFonts w:cs="Arial"/>
                  <w:szCs w:val="22"/>
                </w:rPr>
                <w:t>jniland@lspower.com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E234129" w14:textId="77777777" w:rsidR="00B022EA" w:rsidRPr="00B022EA" w:rsidRDefault="00B022EA" w:rsidP="002B0DDA">
            <w:pPr>
              <w:spacing w:after="120"/>
              <w:rPr>
                <w:rFonts w:cs="Arial"/>
                <w:szCs w:val="22"/>
              </w:rPr>
            </w:pPr>
            <w:r w:rsidRPr="00B022EA">
              <w:rPr>
                <w:rFonts w:cs="Arial"/>
                <w:szCs w:val="22"/>
              </w:rPr>
              <w:t xml:space="preserve"> 917-838-4012</w:t>
            </w:r>
          </w:p>
        </w:tc>
      </w:tr>
      <w:tr w:rsidR="00B022EA" w:rsidRPr="00B022EA" w14:paraId="2DCF986F"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55DF555E"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GridLiance -GLW</w:t>
            </w:r>
          </w:p>
        </w:tc>
        <w:tc>
          <w:tcPr>
            <w:tcW w:w="213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73DAD6E7" w14:textId="77777777" w:rsidR="00B022EA" w:rsidRPr="00B022EA" w:rsidRDefault="00B022EA" w:rsidP="002B0DDA">
            <w:pPr>
              <w:spacing w:after="120"/>
              <w:rPr>
                <w:rFonts w:cs="Arial"/>
                <w:szCs w:val="22"/>
              </w:rPr>
            </w:pPr>
            <w:r w:rsidRPr="00B022EA">
              <w:rPr>
                <w:rFonts w:cs="Arial"/>
                <w:szCs w:val="22"/>
              </w:rPr>
              <w:t>Jonathan Pytka</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D73615E" w14:textId="77777777" w:rsidR="00B022EA" w:rsidRPr="00B022EA" w:rsidRDefault="00076627" w:rsidP="002B0DDA">
            <w:pPr>
              <w:spacing w:after="120"/>
              <w:rPr>
                <w:rFonts w:cs="Arial"/>
                <w:szCs w:val="22"/>
              </w:rPr>
            </w:pPr>
            <w:hyperlink r:id="rId9" w:history="1">
              <w:r w:rsidR="00B022EA" w:rsidRPr="00B022EA">
                <w:rPr>
                  <w:rStyle w:val="Hyperlink"/>
                  <w:rFonts w:cs="Arial"/>
                  <w:szCs w:val="22"/>
                </w:rPr>
                <w:t>Jonathan.Pytka@nexteraenergy.com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3E6B19F5" w14:textId="77777777" w:rsidR="00B022EA" w:rsidRPr="00B022EA" w:rsidRDefault="00B022EA" w:rsidP="002B0DDA">
            <w:pPr>
              <w:spacing w:after="120"/>
              <w:rPr>
                <w:rFonts w:cs="Arial"/>
                <w:szCs w:val="22"/>
              </w:rPr>
            </w:pPr>
            <w:r w:rsidRPr="00B022EA">
              <w:rPr>
                <w:rFonts w:cs="Arial"/>
                <w:szCs w:val="22"/>
              </w:rPr>
              <w:t xml:space="preserve">406-539-4135 </w:t>
            </w:r>
          </w:p>
        </w:tc>
      </w:tr>
      <w:tr w:rsidR="00B022EA" w:rsidRPr="00B022EA" w14:paraId="35B535AB"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1017984B"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HWT</w:t>
            </w: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43A3109" w14:textId="77777777" w:rsidR="00B022EA" w:rsidRPr="00B022EA" w:rsidRDefault="00B022EA" w:rsidP="002B0DDA">
            <w:pPr>
              <w:spacing w:after="120"/>
              <w:rPr>
                <w:rFonts w:cs="Arial"/>
                <w:szCs w:val="22"/>
              </w:rPr>
            </w:pPr>
            <w:r w:rsidRPr="00B022EA">
              <w:rPr>
                <w:rFonts w:cs="Arial"/>
                <w:szCs w:val="22"/>
              </w:rPr>
              <w:t>Jonathan Pytka</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7782485" w14:textId="77777777" w:rsidR="00B022EA" w:rsidRPr="00B022EA" w:rsidRDefault="00076627" w:rsidP="002B0DDA">
            <w:pPr>
              <w:spacing w:after="120"/>
              <w:rPr>
                <w:rFonts w:cs="Arial"/>
                <w:szCs w:val="22"/>
              </w:rPr>
            </w:pPr>
            <w:hyperlink r:id="rId10" w:history="1">
              <w:r w:rsidR="00B022EA" w:rsidRPr="00B022EA">
                <w:rPr>
                  <w:rStyle w:val="Hyperlink"/>
                  <w:rFonts w:cs="Arial"/>
                  <w:szCs w:val="22"/>
                </w:rPr>
                <w:t>Jonathan.Pytka@nexteraenergy.com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571E0511" w14:textId="77777777" w:rsidR="00B022EA" w:rsidRPr="00B022EA" w:rsidRDefault="00B022EA" w:rsidP="002B0DDA">
            <w:pPr>
              <w:spacing w:after="120"/>
              <w:rPr>
                <w:rFonts w:cs="Arial"/>
                <w:szCs w:val="22"/>
              </w:rPr>
            </w:pPr>
            <w:r w:rsidRPr="00B022EA">
              <w:rPr>
                <w:rFonts w:cs="Arial"/>
                <w:szCs w:val="22"/>
              </w:rPr>
              <w:t xml:space="preserve">406-539-4135 </w:t>
            </w:r>
          </w:p>
        </w:tc>
      </w:tr>
      <w:tr w:rsidR="00B022EA" w:rsidRPr="00B022EA" w14:paraId="7C0E1F63"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3D8A875"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PGE</w:t>
            </w:r>
          </w:p>
        </w:tc>
        <w:tc>
          <w:tcPr>
            <w:tcW w:w="213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9C340FC" w14:textId="77777777" w:rsidR="00B022EA" w:rsidRPr="00B022EA" w:rsidRDefault="00B022EA" w:rsidP="002B0DDA">
            <w:pPr>
              <w:spacing w:after="120"/>
              <w:rPr>
                <w:rFonts w:cs="Arial"/>
                <w:szCs w:val="22"/>
              </w:rPr>
            </w:pPr>
            <w:r w:rsidRPr="00B022EA">
              <w:rPr>
                <w:rFonts w:cs="Arial"/>
                <w:szCs w:val="22"/>
              </w:rPr>
              <w:t>Rachel Martinez</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2A0CB07" w14:textId="77777777" w:rsidR="00B022EA" w:rsidRPr="00B022EA" w:rsidRDefault="00076627" w:rsidP="002B0DDA">
            <w:pPr>
              <w:spacing w:after="120"/>
              <w:rPr>
                <w:rFonts w:cs="Arial"/>
                <w:szCs w:val="22"/>
              </w:rPr>
            </w:pPr>
            <w:hyperlink r:id="rId11" w:history="1">
              <w:r w:rsidR="00B022EA" w:rsidRPr="00B022EA">
                <w:rPr>
                  <w:rStyle w:val="Hyperlink"/>
                  <w:rFonts w:cs="Arial"/>
                  <w:szCs w:val="22"/>
                </w:rPr>
                <w:t>RY1W@pge.com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2D99B053" w14:textId="77777777" w:rsidR="00B022EA" w:rsidRPr="00B022EA" w:rsidRDefault="00B022EA" w:rsidP="002B0DDA">
            <w:pPr>
              <w:spacing w:after="120"/>
              <w:rPr>
                <w:rFonts w:cs="Arial"/>
                <w:szCs w:val="22"/>
              </w:rPr>
            </w:pPr>
            <w:r w:rsidRPr="00B022EA">
              <w:rPr>
                <w:rFonts w:cs="Arial"/>
                <w:szCs w:val="22"/>
              </w:rPr>
              <w:t>559-859-7662</w:t>
            </w:r>
          </w:p>
        </w:tc>
      </w:tr>
      <w:tr w:rsidR="00B022EA" w:rsidRPr="00B022EA" w14:paraId="2F3FB592"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44D724DB"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SCE</w:t>
            </w: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CADC432" w14:textId="77777777" w:rsidR="00B022EA" w:rsidRPr="00B022EA" w:rsidRDefault="00B022EA" w:rsidP="002B0DDA">
            <w:pPr>
              <w:spacing w:after="120"/>
              <w:rPr>
                <w:rFonts w:cs="Arial"/>
                <w:szCs w:val="22"/>
              </w:rPr>
            </w:pPr>
            <w:r w:rsidRPr="00B022EA">
              <w:rPr>
                <w:rFonts w:cs="Arial"/>
                <w:szCs w:val="22"/>
              </w:rPr>
              <w:t xml:space="preserve">Steven Baltodano </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014C7574" w14:textId="77777777" w:rsidR="00B022EA" w:rsidRPr="00B022EA" w:rsidRDefault="00076627" w:rsidP="002B0DDA">
            <w:pPr>
              <w:spacing w:after="120"/>
              <w:rPr>
                <w:rFonts w:cs="Arial"/>
                <w:szCs w:val="22"/>
              </w:rPr>
            </w:pPr>
            <w:hyperlink r:id="rId12" w:history="1">
              <w:r w:rsidR="00B022EA" w:rsidRPr="00B022EA">
                <w:rPr>
                  <w:rStyle w:val="Hyperlink"/>
                  <w:rFonts w:cs="Arial"/>
                  <w:szCs w:val="22"/>
                </w:rPr>
                <w:t>steven.baltodano@sce.com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D429AF6" w14:textId="77777777" w:rsidR="00B022EA" w:rsidRPr="00B022EA" w:rsidRDefault="00B022EA" w:rsidP="002B0DDA">
            <w:pPr>
              <w:spacing w:after="120"/>
              <w:rPr>
                <w:rFonts w:cs="Arial"/>
                <w:szCs w:val="22"/>
              </w:rPr>
            </w:pPr>
            <w:r w:rsidRPr="00B022EA">
              <w:rPr>
                <w:rFonts w:cs="Arial"/>
                <w:szCs w:val="22"/>
              </w:rPr>
              <w:t xml:space="preserve">562-319-3565 </w:t>
            </w:r>
          </w:p>
        </w:tc>
      </w:tr>
      <w:tr w:rsidR="00B022EA" w:rsidRPr="00B022EA" w14:paraId="793F3575"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3A257E20" w14:textId="77777777" w:rsidR="00B022EA" w:rsidRPr="00B022EA" w:rsidRDefault="00B022EA" w:rsidP="002B0DDA">
            <w:pPr>
              <w:spacing w:after="120"/>
              <w:rPr>
                <w:rFonts w:cs="Arial"/>
                <w:color w:val="FFFFFF" w:themeColor="background1"/>
                <w:szCs w:val="22"/>
              </w:rPr>
            </w:pPr>
            <w:r w:rsidRPr="00B022EA">
              <w:rPr>
                <w:rFonts w:cs="Arial"/>
                <w:b/>
                <w:bCs/>
                <w:color w:val="FFFFFF" w:themeColor="background1"/>
                <w:szCs w:val="22"/>
              </w:rPr>
              <w:t>SDGE</w:t>
            </w:r>
          </w:p>
        </w:tc>
        <w:tc>
          <w:tcPr>
            <w:tcW w:w="2138"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B647488" w14:textId="77777777" w:rsidR="00B022EA" w:rsidRPr="00B022EA" w:rsidRDefault="00B022EA" w:rsidP="002B0DDA">
            <w:pPr>
              <w:spacing w:after="120"/>
              <w:rPr>
                <w:rFonts w:cs="Arial"/>
                <w:szCs w:val="22"/>
              </w:rPr>
            </w:pPr>
            <w:r w:rsidRPr="00B022EA">
              <w:rPr>
                <w:rFonts w:cs="Arial"/>
                <w:szCs w:val="22"/>
              </w:rPr>
              <w:t>Laura Irvin</w:t>
            </w:r>
          </w:p>
        </w:tc>
        <w:tc>
          <w:tcPr>
            <w:tcW w:w="3840"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67D75640" w14:textId="77777777" w:rsidR="00B022EA" w:rsidRPr="00B022EA" w:rsidRDefault="00076627" w:rsidP="002B0DDA">
            <w:pPr>
              <w:spacing w:after="120"/>
              <w:rPr>
                <w:rFonts w:cs="Arial"/>
                <w:szCs w:val="22"/>
              </w:rPr>
            </w:pPr>
            <w:hyperlink r:id="rId13" w:history="1">
              <w:r w:rsidR="00B022EA" w:rsidRPr="00B022EA">
                <w:rPr>
                  <w:rStyle w:val="Hyperlink"/>
                  <w:rFonts w:cs="Arial"/>
                  <w:szCs w:val="22"/>
                </w:rPr>
                <w:t>llirvin@sdge.com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D0D8E8"/>
            <w:tcMar>
              <w:top w:w="15" w:type="dxa"/>
              <w:left w:w="108" w:type="dxa"/>
              <w:bottom w:w="0" w:type="dxa"/>
              <w:right w:w="108" w:type="dxa"/>
            </w:tcMar>
            <w:vAlign w:val="bottom"/>
            <w:hideMark/>
          </w:tcPr>
          <w:p w14:paraId="4B14D514" w14:textId="77777777" w:rsidR="00B022EA" w:rsidRPr="00B022EA" w:rsidRDefault="00B022EA" w:rsidP="002B0DDA">
            <w:pPr>
              <w:spacing w:after="120"/>
              <w:rPr>
                <w:rFonts w:cs="Arial"/>
                <w:szCs w:val="22"/>
              </w:rPr>
            </w:pPr>
            <w:r w:rsidRPr="00B022EA">
              <w:rPr>
                <w:rFonts w:cs="Arial"/>
                <w:szCs w:val="22"/>
              </w:rPr>
              <w:t xml:space="preserve">619-676-3721 </w:t>
            </w:r>
          </w:p>
        </w:tc>
      </w:tr>
      <w:tr w:rsidR="00B022EA" w:rsidRPr="00B022EA" w14:paraId="5C265FE0" w14:textId="77777777" w:rsidTr="002B0DDA">
        <w:trPr>
          <w:trHeight w:val="300"/>
        </w:trPr>
        <w:tc>
          <w:tcPr>
            <w:tcW w:w="2051" w:type="dxa"/>
            <w:tcBorders>
              <w:top w:val="single" w:sz="8" w:space="0" w:color="FFFFFF"/>
              <w:left w:val="single" w:sz="8" w:space="0" w:color="FFFFFF"/>
              <w:bottom w:val="single" w:sz="8" w:space="0" w:color="FFFFFF"/>
              <w:right w:val="single" w:sz="8" w:space="0" w:color="FFFFFF"/>
            </w:tcBorders>
            <w:shd w:val="clear" w:color="auto" w:fill="4F81BD"/>
            <w:tcMar>
              <w:top w:w="15" w:type="dxa"/>
              <w:left w:w="108" w:type="dxa"/>
              <w:bottom w:w="0" w:type="dxa"/>
              <w:right w:w="108" w:type="dxa"/>
            </w:tcMar>
            <w:vAlign w:val="bottom"/>
            <w:hideMark/>
          </w:tcPr>
          <w:p w14:paraId="08F2B781" w14:textId="77777777" w:rsidR="00B022EA" w:rsidRPr="00B022EA" w:rsidRDefault="00B022EA" w:rsidP="002B0DDA">
            <w:pPr>
              <w:spacing w:after="120"/>
              <w:rPr>
                <w:rFonts w:cs="Arial"/>
                <w:szCs w:val="22"/>
              </w:rPr>
            </w:pPr>
            <w:r w:rsidRPr="00B022EA">
              <w:rPr>
                <w:rFonts w:cs="Arial"/>
                <w:b/>
                <w:bCs/>
                <w:color w:val="FFFFFF" w:themeColor="background1"/>
                <w:szCs w:val="22"/>
              </w:rPr>
              <w:t>SDGE</w:t>
            </w:r>
          </w:p>
        </w:tc>
        <w:tc>
          <w:tcPr>
            <w:tcW w:w="2138"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627675DA" w14:textId="77777777" w:rsidR="00B022EA" w:rsidRPr="00B022EA" w:rsidRDefault="00B022EA" w:rsidP="002B0DDA">
            <w:pPr>
              <w:spacing w:after="120"/>
              <w:rPr>
                <w:rFonts w:cs="Arial"/>
                <w:szCs w:val="22"/>
              </w:rPr>
            </w:pPr>
            <w:r w:rsidRPr="00B022EA">
              <w:rPr>
                <w:rFonts w:cs="Arial"/>
                <w:szCs w:val="22"/>
              </w:rPr>
              <w:t>General Mail Box</w:t>
            </w:r>
          </w:p>
        </w:tc>
        <w:tc>
          <w:tcPr>
            <w:tcW w:w="3840"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7594098E" w14:textId="77777777" w:rsidR="00B022EA" w:rsidRPr="00B022EA" w:rsidRDefault="00076627" w:rsidP="002B0DDA">
            <w:pPr>
              <w:spacing w:after="120"/>
              <w:rPr>
                <w:rFonts w:cs="Arial"/>
                <w:szCs w:val="22"/>
              </w:rPr>
            </w:pPr>
            <w:hyperlink r:id="rId14" w:history="1">
              <w:r w:rsidR="00B022EA" w:rsidRPr="00B022EA">
                <w:rPr>
                  <w:rStyle w:val="Hyperlink"/>
                  <w:rFonts w:cs="Arial"/>
                  <w:szCs w:val="22"/>
                </w:rPr>
                <w:t>GIA-Transmission@sdge.com</w:t>
              </w:r>
            </w:hyperlink>
          </w:p>
        </w:tc>
        <w:tc>
          <w:tcPr>
            <w:tcW w:w="2131" w:type="dxa"/>
            <w:tcBorders>
              <w:top w:val="single" w:sz="8" w:space="0" w:color="FFFFFF"/>
              <w:left w:val="single" w:sz="8" w:space="0" w:color="FFFFFF"/>
              <w:bottom w:val="single" w:sz="8" w:space="0" w:color="FFFFFF"/>
              <w:right w:val="single" w:sz="8" w:space="0" w:color="FFFFFF"/>
            </w:tcBorders>
            <w:shd w:val="clear" w:color="auto" w:fill="E9EDF4"/>
            <w:tcMar>
              <w:top w:w="15" w:type="dxa"/>
              <w:left w:w="108" w:type="dxa"/>
              <w:bottom w:w="0" w:type="dxa"/>
              <w:right w:w="108" w:type="dxa"/>
            </w:tcMar>
            <w:vAlign w:val="bottom"/>
            <w:hideMark/>
          </w:tcPr>
          <w:p w14:paraId="4B3F72DD" w14:textId="77777777" w:rsidR="00B022EA" w:rsidRPr="00B022EA" w:rsidRDefault="00B022EA" w:rsidP="002B0DDA">
            <w:pPr>
              <w:spacing w:after="120"/>
              <w:rPr>
                <w:rFonts w:cs="Arial"/>
                <w:szCs w:val="22"/>
              </w:rPr>
            </w:pPr>
            <w:r w:rsidRPr="00B022EA">
              <w:rPr>
                <w:rFonts w:cs="Arial"/>
                <w:szCs w:val="22"/>
              </w:rPr>
              <w:t> </w:t>
            </w:r>
          </w:p>
        </w:tc>
      </w:tr>
    </w:tbl>
    <w:p w14:paraId="7008CF47" w14:textId="77777777" w:rsidR="00236ACA" w:rsidRDefault="00236ACA" w:rsidP="002B0DDA">
      <w:pPr>
        <w:spacing w:after="120"/>
        <w:rPr>
          <w:rFonts w:cs="Arial"/>
          <w:szCs w:val="22"/>
        </w:rPr>
      </w:pPr>
    </w:p>
    <w:p w14:paraId="1D04C025" w14:textId="1934D91F" w:rsidR="00285ED2" w:rsidRPr="001A5149" w:rsidRDefault="00285ED2" w:rsidP="002B0DDA">
      <w:pPr>
        <w:spacing w:after="120"/>
        <w:rPr>
          <w:rFonts w:cs="Arial"/>
          <w:sz w:val="28"/>
          <w:szCs w:val="28"/>
        </w:rPr>
      </w:pPr>
      <w:r w:rsidRPr="001A5149">
        <w:rPr>
          <w:rFonts w:cs="Arial"/>
          <w:sz w:val="28"/>
          <w:szCs w:val="28"/>
        </w:rPr>
        <w:t xml:space="preserve">Minimum Requirements for </w:t>
      </w:r>
      <w:r w:rsidR="00F97E9D">
        <w:rPr>
          <w:rFonts w:cs="Arial"/>
          <w:sz w:val="28"/>
          <w:szCs w:val="28"/>
        </w:rPr>
        <w:t xml:space="preserve">Cluster 15 </w:t>
      </w:r>
      <w:r w:rsidRPr="001A5149">
        <w:rPr>
          <w:rFonts w:cs="Arial"/>
          <w:sz w:val="28"/>
          <w:szCs w:val="28"/>
        </w:rPr>
        <w:t>Commercial Readiness Deposit and Merchant Deposits</w:t>
      </w:r>
      <w:r w:rsidR="00A75342">
        <w:rPr>
          <w:rFonts w:cs="Arial"/>
          <w:sz w:val="28"/>
          <w:szCs w:val="28"/>
        </w:rPr>
        <w:t xml:space="preserve"> to the PTOs </w:t>
      </w:r>
    </w:p>
    <w:p w14:paraId="32BE352E" w14:textId="513904F6" w:rsidR="002A0A67" w:rsidRDefault="004E7526" w:rsidP="002B0DDA">
      <w:pPr>
        <w:spacing w:after="120"/>
      </w:pPr>
      <w:r>
        <w:rPr>
          <w:rFonts w:cs="Arial"/>
          <w:szCs w:val="22"/>
        </w:rPr>
        <w:t>B</w:t>
      </w:r>
      <w:r w:rsidR="00285ED2">
        <w:rPr>
          <w:rFonts w:cs="Arial"/>
          <w:szCs w:val="22"/>
        </w:rPr>
        <w:t>elow</w:t>
      </w:r>
      <w:r>
        <w:rPr>
          <w:rFonts w:cs="Arial"/>
          <w:szCs w:val="22"/>
        </w:rPr>
        <w:t xml:space="preserve"> are the</w:t>
      </w:r>
      <w:r w:rsidR="00285ED2">
        <w:rPr>
          <w:rFonts w:cs="Arial"/>
          <w:szCs w:val="22"/>
        </w:rPr>
        <w:t xml:space="preserve"> </w:t>
      </w:r>
      <w:r w:rsidR="00285ED2" w:rsidRPr="002A0A67">
        <w:rPr>
          <w:rFonts w:cs="Arial"/>
          <w:b/>
          <w:szCs w:val="22"/>
          <w:u w:val="single"/>
        </w:rPr>
        <w:t>minimum</w:t>
      </w:r>
      <w:r w:rsidR="00285ED2">
        <w:rPr>
          <w:rFonts w:cs="Arial"/>
          <w:szCs w:val="22"/>
        </w:rPr>
        <w:t xml:space="preserve"> requirements </w:t>
      </w:r>
      <w:r w:rsidR="006C38E4">
        <w:rPr>
          <w:rFonts w:cs="Arial"/>
          <w:szCs w:val="22"/>
        </w:rPr>
        <w:t xml:space="preserve">for </w:t>
      </w:r>
      <w:r w:rsidR="002A0A67">
        <w:rPr>
          <w:rFonts w:cs="Arial"/>
          <w:szCs w:val="22"/>
        </w:rPr>
        <w:t xml:space="preserve">all </w:t>
      </w:r>
      <w:r w:rsidR="002E178D">
        <w:rPr>
          <w:rFonts w:cs="Arial"/>
          <w:szCs w:val="22"/>
        </w:rPr>
        <w:t>C</w:t>
      </w:r>
      <w:r>
        <w:rPr>
          <w:rFonts w:cs="Arial"/>
          <w:szCs w:val="22"/>
        </w:rPr>
        <w:t xml:space="preserve">luster 15 </w:t>
      </w:r>
      <w:r w:rsidR="002A0A67">
        <w:t xml:space="preserve">Interconnection Request’s initial Commercial Readiness </w:t>
      </w:r>
      <w:r w:rsidR="002B0DDA">
        <w:t>Deposit (</w:t>
      </w:r>
      <w:r w:rsidR="002A0A67">
        <w:t>CRD) as well as for those Interconnection Requests that require a Merchant Deposit. The financial instruments for both deposits will be processed under the same requirements and deadline.</w:t>
      </w:r>
    </w:p>
    <w:p w14:paraId="22F4739F" w14:textId="77777777" w:rsidR="002A0A67" w:rsidRPr="002B0DDA" w:rsidRDefault="00E700E3" w:rsidP="002B0DDA">
      <w:pPr>
        <w:spacing w:after="120"/>
        <w:rPr>
          <w:rFonts w:cs="Arial"/>
          <w:b/>
          <w:szCs w:val="22"/>
        </w:rPr>
      </w:pPr>
      <w:r w:rsidRPr="002B0DDA">
        <w:rPr>
          <w:rFonts w:cs="Arial"/>
          <w:b/>
          <w:szCs w:val="22"/>
        </w:rPr>
        <w:t xml:space="preserve">December 2, 2024 DEADLINE </w:t>
      </w:r>
    </w:p>
    <w:p w14:paraId="17046C5D" w14:textId="303400FD" w:rsidR="005306A6" w:rsidRPr="005306A6" w:rsidRDefault="005E75EE" w:rsidP="002B0DDA">
      <w:pPr>
        <w:pStyle w:val="ListParagraph"/>
        <w:numPr>
          <w:ilvl w:val="0"/>
          <w:numId w:val="4"/>
        </w:numPr>
        <w:spacing w:after="120"/>
        <w:contextualSpacing w:val="0"/>
        <w:rPr>
          <w:rFonts w:cs="Arial"/>
          <w:szCs w:val="22"/>
        </w:rPr>
      </w:pPr>
      <w:r w:rsidRPr="005306A6">
        <w:rPr>
          <w:rFonts w:cs="Arial"/>
          <w:szCs w:val="22"/>
        </w:rPr>
        <w:t xml:space="preserve">Upload a draft of the actual commercial readiness deposit financial instrument.  </w:t>
      </w:r>
      <w:r w:rsidRPr="0003260B">
        <w:rPr>
          <w:rFonts w:cs="Arial"/>
          <w:szCs w:val="22"/>
          <w:u w:val="single"/>
        </w:rPr>
        <w:t>Th</w:t>
      </w:r>
      <w:r w:rsidR="00FB6397" w:rsidRPr="0003260B">
        <w:rPr>
          <w:rFonts w:cs="Arial"/>
          <w:szCs w:val="22"/>
          <w:u w:val="single"/>
        </w:rPr>
        <w:t>e</w:t>
      </w:r>
      <w:r w:rsidRPr="0003260B">
        <w:rPr>
          <w:rFonts w:cs="Arial"/>
          <w:szCs w:val="22"/>
          <w:u w:val="single"/>
        </w:rPr>
        <w:t xml:space="preserve"> </w:t>
      </w:r>
      <w:r w:rsidR="00FB6397" w:rsidRPr="0003260B">
        <w:rPr>
          <w:rFonts w:cs="Arial"/>
          <w:szCs w:val="22"/>
          <w:u w:val="single"/>
        </w:rPr>
        <w:t xml:space="preserve">draft </w:t>
      </w:r>
      <w:r w:rsidRPr="0003260B">
        <w:rPr>
          <w:rFonts w:cs="Arial"/>
          <w:szCs w:val="22"/>
          <w:u w:val="single"/>
        </w:rPr>
        <w:t xml:space="preserve">document must </w:t>
      </w:r>
      <w:r w:rsidR="00FB6397" w:rsidRPr="0003260B">
        <w:rPr>
          <w:rFonts w:cs="Arial"/>
          <w:szCs w:val="22"/>
          <w:u w:val="single"/>
        </w:rPr>
        <w:t xml:space="preserve">be reviewed and approved by the PTO and </w:t>
      </w:r>
      <w:r w:rsidRPr="0003260B">
        <w:rPr>
          <w:rFonts w:cs="Arial"/>
          <w:szCs w:val="22"/>
          <w:u w:val="single"/>
        </w:rPr>
        <w:t xml:space="preserve">be uploaded to the GRIP platform no later than </w:t>
      </w:r>
      <w:r w:rsidR="00E700E3" w:rsidRPr="0003260B">
        <w:rPr>
          <w:rFonts w:cs="Arial"/>
          <w:szCs w:val="22"/>
          <w:u w:val="single"/>
        </w:rPr>
        <w:t>December 2, 2024</w:t>
      </w:r>
      <w:r w:rsidRPr="005306A6">
        <w:rPr>
          <w:rFonts w:cs="Arial"/>
          <w:szCs w:val="22"/>
        </w:rPr>
        <w:t xml:space="preserve">. </w:t>
      </w:r>
      <w:r w:rsidR="00E700E3" w:rsidRPr="005306A6">
        <w:rPr>
          <w:rFonts w:cs="Arial"/>
          <w:szCs w:val="22"/>
        </w:rPr>
        <w:t>The ISO will verify with the PTO</w:t>
      </w:r>
      <w:r w:rsidR="000D1C33" w:rsidRPr="000D1C33">
        <w:t xml:space="preserve"> </w:t>
      </w:r>
      <w:r w:rsidR="000D1C33">
        <w:t xml:space="preserve">that the interconnection customer is </w:t>
      </w:r>
      <w:r w:rsidR="000D1C33" w:rsidRPr="005306A6">
        <w:rPr>
          <w:rFonts w:cs="Arial"/>
          <w:szCs w:val="22"/>
        </w:rPr>
        <w:t xml:space="preserve">working with the PTO in good faith </w:t>
      </w:r>
      <w:r w:rsidR="004E7526" w:rsidRPr="005306A6">
        <w:rPr>
          <w:rFonts w:cs="Arial"/>
          <w:szCs w:val="22"/>
        </w:rPr>
        <w:t>and</w:t>
      </w:r>
      <w:r w:rsidR="00E700E3" w:rsidRPr="005306A6">
        <w:rPr>
          <w:rFonts w:cs="Arial"/>
          <w:szCs w:val="22"/>
        </w:rPr>
        <w:t xml:space="preserve"> that a pending agreement in progress.</w:t>
      </w:r>
      <w:r w:rsidR="005306A6" w:rsidRPr="005306A6">
        <w:rPr>
          <w:rFonts w:cs="Arial"/>
          <w:szCs w:val="22"/>
        </w:rPr>
        <w:t xml:space="preserve">  There will be</w:t>
      </w:r>
      <w:r w:rsidR="005306A6">
        <w:rPr>
          <w:rFonts w:cs="Arial"/>
          <w:szCs w:val="22"/>
        </w:rPr>
        <w:t xml:space="preserve"> no cure period beyond the December 2</w:t>
      </w:r>
      <w:r w:rsidR="002E178D">
        <w:rPr>
          <w:rFonts w:cs="Arial"/>
          <w:szCs w:val="22"/>
        </w:rPr>
        <w:t>, 2024</w:t>
      </w:r>
      <w:r w:rsidR="005306A6" w:rsidRPr="005306A6">
        <w:rPr>
          <w:rFonts w:cs="Arial"/>
          <w:szCs w:val="22"/>
        </w:rPr>
        <w:t xml:space="preserve"> date.</w:t>
      </w:r>
    </w:p>
    <w:p w14:paraId="510E4BD0" w14:textId="77777777" w:rsidR="002A0A67" w:rsidRPr="002B0DDA" w:rsidRDefault="005E75EE" w:rsidP="002B0DDA">
      <w:pPr>
        <w:pStyle w:val="ListParagraph"/>
        <w:numPr>
          <w:ilvl w:val="0"/>
          <w:numId w:val="4"/>
        </w:numPr>
        <w:spacing w:after="120"/>
        <w:contextualSpacing w:val="0"/>
        <w:rPr>
          <w:rFonts w:cs="Arial"/>
          <w:b/>
          <w:szCs w:val="22"/>
          <w:u w:val="single"/>
        </w:rPr>
      </w:pPr>
      <w:r w:rsidRPr="002B0DDA">
        <w:rPr>
          <w:rFonts w:cs="Arial"/>
          <w:b/>
          <w:szCs w:val="22"/>
          <w:u w:val="single"/>
        </w:rPr>
        <w:lastRenderedPageBreak/>
        <w:t>Emails of intent will not be accepted.</w:t>
      </w:r>
      <w:r w:rsidR="00E700E3" w:rsidRPr="002B0DDA">
        <w:rPr>
          <w:rFonts w:cs="Arial"/>
          <w:b/>
          <w:szCs w:val="22"/>
          <w:u w:val="single"/>
        </w:rPr>
        <w:t xml:space="preserve">  </w:t>
      </w:r>
    </w:p>
    <w:p w14:paraId="7316FA4B" w14:textId="385FD3E1" w:rsidR="002A0A67" w:rsidRPr="002B0DDA" w:rsidRDefault="005E75EE" w:rsidP="002B0DDA">
      <w:pPr>
        <w:pStyle w:val="ListParagraph"/>
        <w:numPr>
          <w:ilvl w:val="0"/>
          <w:numId w:val="4"/>
        </w:numPr>
        <w:spacing w:after="240"/>
        <w:contextualSpacing w:val="0"/>
        <w:rPr>
          <w:rFonts w:cs="Arial"/>
          <w:szCs w:val="22"/>
        </w:rPr>
      </w:pPr>
      <w:r w:rsidRPr="00E700E3">
        <w:rPr>
          <w:rFonts w:cs="Arial"/>
          <w:szCs w:val="22"/>
        </w:rPr>
        <w:t xml:space="preserve">If </w:t>
      </w:r>
      <w:r w:rsidR="00E700E3" w:rsidRPr="00E700E3">
        <w:rPr>
          <w:rFonts w:cs="Arial"/>
          <w:szCs w:val="22"/>
        </w:rPr>
        <w:t xml:space="preserve">a Merchant deposit is required, </w:t>
      </w:r>
      <w:r w:rsidR="00FB6397">
        <w:rPr>
          <w:rFonts w:cs="Arial"/>
          <w:szCs w:val="22"/>
        </w:rPr>
        <w:t xml:space="preserve">follow the same procedures and </w:t>
      </w:r>
      <w:r w:rsidR="001A5149">
        <w:rPr>
          <w:rFonts w:cs="Arial"/>
          <w:szCs w:val="22"/>
        </w:rPr>
        <w:t xml:space="preserve">upload </w:t>
      </w:r>
      <w:r w:rsidR="00E700E3" w:rsidRPr="00E700E3">
        <w:rPr>
          <w:rFonts w:cs="Arial"/>
          <w:szCs w:val="22"/>
        </w:rPr>
        <w:t xml:space="preserve">a draft of </w:t>
      </w:r>
      <w:r w:rsidR="00FB6397">
        <w:rPr>
          <w:rFonts w:cs="Arial"/>
          <w:szCs w:val="22"/>
        </w:rPr>
        <w:t xml:space="preserve">the PTO approved </w:t>
      </w:r>
      <w:r w:rsidR="00E700E3" w:rsidRPr="00E700E3">
        <w:rPr>
          <w:rFonts w:cs="Arial"/>
          <w:szCs w:val="22"/>
        </w:rPr>
        <w:t xml:space="preserve">financial instrument </w:t>
      </w:r>
      <w:r w:rsidR="00FB6397">
        <w:rPr>
          <w:rFonts w:cs="Arial"/>
          <w:szCs w:val="22"/>
        </w:rPr>
        <w:t xml:space="preserve">by </w:t>
      </w:r>
      <w:r w:rsidR="00E700E3" w:rsidRPr="00E700E3">
        <w:rPr>
          <w:rFonts w:cs="Arial"/>
          <w:szCs w:val="22"/>
        </w:rPr>
        <w:t xml:space="preserve">the same </w:t>
      </w:r>
      <w:r w:rsidR="00E700E3">
        <w:rPr>
          <w:rFonts w:cs="Arial"/>
          <w:szCs w:val="22"/>
        </w:rPr>
        <w:t>December 2, 2024</w:t>
      </w:r>
      <w:r w:rsidR="00E700E3" w:rsidRPr="00E700E3">
        <w:rPr>
          <w:rFonts w:cs="Arial"/>
          <w:szCs w:val="22"/>
        </w:rPr>
        <w:t xml:space="preserve"> deadline.</w:t>
      </w:r>
    </w:p>
    <w:p w14:paraId="538CF67F" w14:textId="77777777" w:rsidR="002A0A67" w:rsidRPr="002B0DDA" w:rsidRDefault="00E700E3" w:rsidP="002B0DDA">
      <w:pPr>
        <w:spacing w:after="120"/>
        <w:rPr>
          <w:rFonts w:cs="Arial"/>
          <w:b/>
          <w:szCs w:val="22"/>
        </w:rPr>
      </w:pPr>
      <w:r w:rsidRPr="002B0DDA">
        <w:rPr>
          <w:rFonts w:cs="Arial"/>
          <w:b/>
          <w:szCs w:val="22"/>
        </w:rPr>
        <w:t>May 1, 2025 DEADLINE</w:t>
      </w:r>
    </w:p>
    <w:p w14:paraId="68389751" w14:textId="08DF2E62" w:rsidR="001A5149" w:rsidRPr="002B0DDA" w:rsidRDefault="00255579" w:rsidP="002B0DDA">
      <w:pPr>
        <w:pStyle w:val="ListParagraph"/>
        <w:numPr>
          <w:ilvl w:val="0"/>
          <w:numId w:val="4"/>
        </w:numPr>
        <w:spacing w:after="120"/>
        <w:contextualSpacing w:val="0"/>
        <w:rPr>
          <w:rFonts w:cs="Arial"/>
          <w:szCs w:val="22"/>
        </w:rPr>
      </w:pPr>
      <w:r>
        <w:rPr>
          <w:rFonts w:cs="Arial"/>
          <w:szCs w:val="22"/>
        </w:rPr>
        <w:t xml:space="preserve">Post an executed Commercial Readiness Deposit with the PTO.  </w:t>
      </w:r>
      <w:r w:rsidR="001A5149" w:rsidRPr="001A5149">
        <w:rPr>
          <w:rFonts w:cs="Arial"/>
          <w:szCs w:val="22"/>
        </w:rPr>
        <w:t xml:space="preserve">All interconnection requests must have an EXECUTED Commercial Readiness Deposit by May 1, 2025 in order to be eligible to move forward in the study process.  </w:t>
      </w:r>
      <w:r w:rsidR="00B20D0C">
        <w:rPr>
          <w:rFonts w:cs="Arial"/>
          <w:szCs w:val="22"/>
        </w:rPr>
        <w:t>There will be no cure period beyond the May 1 date.</w:t>
      </w:r>
    </w:p>
    <w:p w14:paraId="6EF5AB1D" w14:textId="7B3A7B3C" w:rsidR="00313733" w:rsidRPr="002B0DDA" w:rsidRDefault="00255579" w:rsidP="002B0DDA">
      <w:pPr>
        <w:pStyle w:val="ListParagraph"/>
        <w:numPr>
          <w:ilvl w:val="0"/>
          <w:numId w:val="4"/>
        </w:numPr>
        <w:spacing w:after="120"/>
        <w:contextualSpacing w:val="0"/>
        <w:rPr>
          <w:rFonts w:cs="Arial"/>
          <w:szCs w:val="22"/>
        </w:rPr>
      </w:pPr>
      <w:r>
        <w:rPr>
          <w:rFonts w:cs="Arial"/>
          <w:szCs w:val="22"/>
        </w:rPr>
        <w:t>Post the Merchant Deposit with the PTO if applicable.  When</w:t>
      </w:r>
      <w:r w:rsidR="001A5149" w:rsidRPr="001A5149">
        <w:rPr>
          <w:rFonts w:cs="Arial"/>
          <w:szCs w:val="22"/>
        </w:rPr>
        <w:t xml:space="preserve"> a Merchant Deposit is required, the financial instrument must be EXECUTED by May 1, 2025 in order for that project to be eligible to move forward.</w:t>
      </w:r>
      <w:r w:rsidR="00B20D0C">
        <w:rPr>
          <w:rFonts w:cs="Arial"/>
          <w:szCs w:val="22"/>
        </w:rPr>
        <w:t xml:space="preserve">  There will be no cure period beyond the May 1 date. </w:t>
      </w:r>
    </w:p>
    <w:p w14:paraId="61B25D5C" w14:textId="77777777" w:rsidR="00313733" w:rsidRPr="00DB4387" w:rsidRDefault="00313733" w:rsidP="002B0DDA">
      <w:pPr>
        <w:spacing w:after="120"/>
        <w:rPr>
          <w:rFonts w:cs="Arial"/>
          <w:szCs w:val="22"/>
        </w:rPr>
      </w:pPr>
    </w:p>
    <w:p w14:paraId="338F5FA0" w14:textId="64E873D1" w:rsidR="005306A6" w:rsidRPr="002B0DDA" w:rsidRDefault="005306A6" w:rsidP="002B0DDA">
      <w:pPr>
        <w:spacing w:after="120"/>
        <w:rPr>
          <w:rFonts w:cs="Arial"/>
          <w:sz w:val="28"/>
          <w:szCs w:val="28"/>
        </w:rPr>
      </w:pPr>
      <w:r w:rsidRPr="001A5149">
        <w:rPr>
          <w:rFonts w:cs="Arial"/>
          <w:sz w:val="28"/>
          <w:szCs w:val="28"/>
        </w:rPr>
        <w:t xml:space="preserve">Requirements for </w:t>
      </w:r>
      <w:r>
        <w:rPr>
          <w:rFonts w:cs="Arial"/>
          <w:sz w:val="28"/>
          <w:szCs w:val="28"/>
        </w:rPr>
        <w:t>Cluster 15 Study</w:t>
      </w:r>
      <w:r w:rsidRPr="001A5149">
        <w:rPr>
          <w:rFonts w:cs="Arial"/>
          <w:sz w:val="28"/>
          <w:szCs w:val="28"/>
        </w:rPr>
        <w:t xml:space="preserve"> Deposit</w:t>
      </w:r>
      <w:r>
        <w:rPr>
          <w:rFonts w:cs="Arial"/>
          <w:sz w:val="28"/>
          <w:szCs w:val="28"/>
        </w:rPr>
        <w:t xml:space="preserve"> and </w:t>
      </w:r>
      <w:r w:rsidR="00502CE9">
        <w:rPr>
          <w:rFonts w:cs="Arial"/>
          <w:sz w:val="28"/>
          <w:szCs w:val="28"/>
        </w:rPr>
        <w:t>application fee</w:t>
      </w:r>
      <w:r>
        <w:rPr>
          <w:rFonts w:cs="Arial"/>
          <w:sz w:val="28"/>
          <w:szCs w:val="28"/>
        </w:rPr>
        <w:t xml:space="preserve"> </w:t>
      </w:r>
      <w:r w:rsidR="00A75342">
        <w:rPr>
          <w:rFonts w:cs="Arial"/>
          <w:sz w:val="28"/>
          <w:szCs w:val="28"/>
        </w:rPr>
        <w:t xml:space="preserve">to the CAISO </w:t>
      </w:r>
    </w:p>
    <w:p w14:paraId="25794951" w14:textId="2F54201B" w:rsidR="00313733" w:rsidRPr="00DB4387" w:rsidRDefault="005306A6" w:rsidP="002B0DDA">
      <w:pPr>
        <w:spacing w:after="120"/>
        <w:rPr>
          <w:rFonts w:cs="Arial"/>
          <w:szCs w:val="22"/>
        </w:rPr>
      </w:pPr>
      <w:r>
        <w:rPr>
          <w:rFonts w:cs="Arial"/>
          <w:szCs w:val="22"/>
        </w:rPr>
        <w:t>Below are the requirements</w:t>
      </w:r>
      <w:r w:rsidR="00502CE9">
        <w:rPr>
          <w:rFonts w:cs="Arial"/>
          <w:szCs w:val="22"/>
        </w:rPr>
        <w:t xml:space="preserve"> for wiring the study deposit and </w:t>
      </w:r>
      <w:r w:rsidR="00502CE9" w:rsidRPr="00502CE9">
        <w:rPr>
          <w:rFonts w:cs="Arial"/>
          <w:szCs w:val="22"/>
        </w:rPr>
        <w:t>application fe</w:t>
      </w:r>
      <w:r w:rsidR="00A75342">
        <w:rPr>
          <w:rFonts w:cs="Arial"/>
          <w:szCs w:val="22"/>
        </w:rPr>
        <w:t>e</w:t>
      </w:r>
      <w:r w:rsidR="002B0DDA">
        <w:rPr>
          <w:rFonts w:cs="Arial"/>
          <w:szCs w:val="22"/>
        </w:rPr>
        <w:t>.</w:t>
      </w:r>
    </w:p>
    <w:p w14:paraId="78A84FF3" w14:textId="01A46C22" w:rsidR="002B0DDA" w:rsidRDefault="00450CBE" w:rsidP="002B0DDA">
      <w:pPr>
        <w:spacing w:after="120"/>
        <w:rPr>
          <w:rFonts w:cs="Arial"/>
          <w:szCs w:val="22"/>
        </w:rPr>
      </w:pPr>
      <w:r w:rsidRPr="00450CBE">
        <w:rPr>
          <w:rFonts w:cs="Arial"/>
          <w:szCs w:val="22"/>
        </w:rPr>
        <w:t>The $5,000.00 Application Fee and any Study Deposit True-up (where applicable) are still required before an IR package can be reviewed for completeness by the CAISO.  Projects whose IR package has not been deemed complete by the close of the resubmittal window on 12/2/24 will not be eligible to move forward in the Cluster 15 study process.</w:t>
      </w:r>
    </w:p>
    <w:p w14:paraId="549113E0" w14:textId="77777777" w:rsidR="002B0DDA" w:rsidRDefault="002B0DDA" w:rsidP="002B0DDA">
      <w:pPr>
        <w:spacing w:after="120"/>
        <w:rPr>
          <w:rFonts w:cs="Arial"/>
          <w:b/>
          <w:bCs/>
          <w:szCs w:val="22"/>
        </w:rPr>
      </w:pPr>
      <w:r w:rsidRPr="002B0DDA">
        <w:rPr>
          <w:rFonts w:cs="Arial"/>
          <w:b/>
          <w:bCs/>
          <w:szCs w:val="22"/>
        </w:rPr>
        <w:t>Cluster 15 True up examples</w:t>
      </w:r>
    </w:p>
    <w:p w14:paraId="5CB450F0" w14:textId="71C4B649" w:rsidR="002B0DDA" w:rsidRPr="002B0DDA" w:rsidRDefault="002B0DDA" w:rsidP="002B0DDA">
      <w:pPr>
        <w:numPr>
          <w:ilvl w:val="0"/>
          <w:numId w:val="6"/>
        </w:numPr>
        <w:spacing w:after="120"/>
        <w:rPr>
          <w:rFonts w:cs="Arial"/>
          <w:szCs w:val="22"/>
        </w:rPr>
      </w:pPr>
      <w:r w:rsidRPr="002B0DDA">
        <w:rPr>
          <w:rFonts w:cs="Arial"/>
          <w:szCs w:val="22"/>
        </w:rPr>
        <w:t>Projects less than 80</w:t>
      </w:r>
      <w:r w:rsidR="0003260B">
        <w:rPr>
          <w:rFonts w:cs="Arial"/>
          <w:szCs w:val="22"/>
        </w:rPr>
        <w:t xml:space="preserve"> </w:t>
      </w:r>
      <w:r w:rsidRPr="002B0DDA">
        <w:rPr>
          <w:rFonts w:cs="Arial"/>
          <w:szCs w:val="22"/>
        </w:rPr>
        <w:t>MW: Refun</w:t>
      </w:r>
      <w:r w:rsidR="0003260B">
        <w:rPr>
          <w:rFonts w:cs="Arial"/>
          <w:szCs w:val="22"/>
        </w:rPr>
        <w:t>d in the amount of initial $150k</w:t>
      </w:r>
      <w:r w:rsidRPr="002B0DDA">
        <w:rPr>
          <w:rFonts w:cs="Arial"/>
          <w:szCs w:val="22"/>
        </w:rPr>
        <w:t xml:space="preserve"> study deposit less the adjusted study deposit amount - calculations above (3.5.1.1 (a))</w:t>
      </w:r>
    </w:p>
    <w:p w14:paraId="0C91FBDB" w14:textId="063C093D" w:rsidR="002B0DDA" w:rsidRPr="002B0DDA" w:rsidRDefault="002B0DDA" w:rsidP="002B0DDA">
      <w:pPr>
        <w:numPr>
          <w:ilvl w:val="0"/>
          <w:numId w:val="6"/>
        </w:numPr>
        <w:spacing w:after="120"/>
        <w:rPr>
          <w:rFonts w:cs="Arial"/>
          <w:szCs w:val="22"/>
        </w:rPr>
      </w:pPr>
      <w:r w:rsidRPr="002B0DDA">
        <w:rPr>
          <w:rFonts w:cs="Arial"/>
          <w:szCs w:val="22"/>
        </w:rPr>
        <w:t>Projects 80</w:t>
      </w:r>
      <w:r w:rsidR="0003260B">
        <w:rPr>
          <w:rFonts w:cs="Arial"/>
          <w:szCs w:val="22"/>
        </w:rPr>
        <w:t xml:space="preserve"> </w:t>
      </w:r>
      <w:r w:rsidRPr="002B0DDA">
        <w:rPr>
          <w:rFonts w:cs="Arial"/>
          <w:szCs w:val="22"/>
        </w:rPr>
        <w:t xml:space="preserve">MW to </w:t>
      </w:r>
      <w:r w:rsidR="0003260B">
        <w:rPr>
          <w:rFonts w:cs="Arial"/>
          <w:szCs w:val="22"/>
        </w:rPr>
        <w:t xml:space="preserve">less than </w:t>
      </w:r>
      <w:r w:rsidRPr="002B0DDA">
        <w:rPr>
          <w:rFonts w:cs="Arial"/>
          <w:szCs w:val="22"/>
        </w:rPr>
        <w:t>200</w:t>
      </w:r>
      <w:r w:rsidR="0003260B">
        <w:rPr>
          <w:rFonts w:cs="Arial"/>
          <w:szCs w:val="22"/>
        </w:rPr>
        <w:t xml:space="preserve"> </w:t>
      </w:r>
      <w:r w:rsidRPr="002B0DDA">
        <w:rPr>
          <w:rFonts w:cs="Arial"/>
          <w:szCs w:val="22"/>
        </w:rPr>
        <w:t>MW: No refund or true up needed.</w:t>
      </w:r>
    </w:p>
    <w:p w14:paraId="1499563E" w14:textId="2425CB45" w:rsidR="00450CBE" w:rsidRPr="002B0DDA" w:rsidRDefault="002B0DDA" w:rsidP="002B0DDA">
      <w:pPr>
        <w:numPr>
          <w:ilvl w:val="0"/>
          <w:numId w:val="6"/>
        </w:numPr>
        <w:spacing w:after="120"/>
        <w:rPr>
          <w:rFonts w:cs="Arial"/>
          <w:szCs w:val="22"/>
        </w:rPr>
      </w:pPr>
      <w:r w:rsidRPr="002B0DDA">
        <w:rPr>
          <w:rFonts w:cs="Arial"/>
          <w:szCs w:val="22"/>
        </w:rPr>
        <w:t>Projects 200</w:t>
      </w:r>
      <w:r w:rsidR="0003260B">
        <w:rPr>
          <w:rFonts w:cs="Arial"/>
          <w:szCs w:val="22"/>
        </w:rPr>
        <w:t xml:space="preserve"> </w:t>
      </w:r>
      <w:r w:rsidRPr="002B0DDA">
        <w:rPr>
          <w:rFonts w:cs="Arial"/>
          <w:szCs w:val="22"/>
        </w:rPr>
        <w:t>MW and a</w:t>
      </w:r>
      <w:r w:rsidR="0003260B">
        <w:rPr>
          <w:rFonts w:cs="Arial"/>
          <w:szCs w:val="22"/>
        </w:rPr>
        <w:t>bove: True up in amount of $100k</w:t>
      </w:r>
    </w:p>
    <w:p w14:paraId="598E4E21" w14:textId="77777777" w:rsidR="00450CBE" w:rsidRPr="002B0DDA" w:rsidRDefault="00450CBE" w:rsidP="002B0DDA">
      <w:pPr>
        <w:spacing w:after="120"/>
        <w:rPr>
          <w:rFonts w:cs="Arial"/>
          <w:b/>
          <w:szCs w:val="22"/>
        </w:rPr>
      </w:pPr>
      <w:r w:rsidRPr="002B0DDA">
        <w:rPr>
          <w:rFonts w:cs="Arial"/>
          <w:b/>
          <w:szCs w:val="22"/>
        </w:rPr>
        <w:t>Due by 12/2/24:</w:t>
      </w:r>
    </w:p>
    <w:p w14:paraId="43583E60" w14:textId="77777777" w:rsidR="00450CBE" w:rsidRPr="00450CBE" w:rsidRDefault="00450CBE" w:rsidP="002B0DDA">
      <w:pPr>
        <w:numPr>
          <w:ilvl w:val="0"/>
          <w:numId w:val="1"/>
        </w:numPr>
        <w:spacing w:after="120"/>
        <w:rPr>
          <w:rFonts w:cs="Arial"/>
          <w:szCs w:val="22"/>
        </w:rPr>
      </w:pPr>
      <w:r w:rsidRPr="00450CBE">
        <w:rPr>
          <w:rFonts w:cs="Arial"/>
          <w:szCs w:val="22"/>
        </w:rPr>
        <w:t>$5k Application Fee – To CAISO</w:t>
      </w:r>
    </w:p>
    <w:p w14:paraId="2B5DC26A" w14:textId="77777777" w:rsidR="00450CBE" w:rsidRPr="00450CBE" w:rsidRDefault="00450CBE" w:rsidP="002B0DDA">
      <w:pPr>
        <w:numPr>
          <w:ilvl w:val="0"/>
          <w:numId w:val="1"/>
        </w:numPr>
        <w:spacing w:after="120"/>
        <w:rPr>
          <w:rFonts w:cs="Arial"/>
          <w:szCs w:val="22"/>
        </w:rPr>
      </w:pPr>
      <w:r w:rsidRPr="00450CBE">
        <w:rPr>
          <w:rFonts w:cs="Arial"/>
          <w:szCs w:val="22"/>
        </w:rPr>
        <w:t>Study Deposit True-up – To CAISO</w:t>
      </w:r>
    </w:p>
    <w:p w14:paraId="3BA2E1FF" w14:textId="77777777" w:rsidR="00B022EA" w:rsidRPr="00DC3422" w:rsidRDefault="00B022EA" w:rsidP="00DC3422">
      <w:pPr>
        <w:spacing w:after="120"/>
        <w:ind w:left="360"/>
        <w:rPr>
          <w:rFonts w:cs="Arial"/>
          <w:b/>
          <w:szCs w:val="22"/>
        </w:rPr>
      </w:pPr>
      <w:r w:rsidRPr="00DC3422">
        <w:rPr>
          <w:rFonts w:cs="Arial"/>
          <w:b/>
          <w:szCs w:val="22"/>
        </w:rPr>
        <w:t>All payments must be separate wire transactions, by project and deposit type.  Customers submitting one wire transactions for multiple projects will be rejected.</w:t>
      </w:r>
    </w:p>
    <w:p w14:paraId="72C4C05C" w14:textId="77777777" w:rsidR="00B022EA" w:rsidRPr="00B022EA" w:rsidRDefault="00B022EA" w:rsidP="002B0DDA">
      <w:pPr>
        <w:pStyle w:val="ListParagraph"/>
        <w:numPr>
          <w:ilvl w:val="0"/>
          <w:numId w:val="7"/>
        </w:numPr>
        <w:spacing w:after="120"/>
        <w:contextualSpacing w:val="0"/>
        <w:rPr>
          <w:rFonts w:cs="Arial"/>
          <w:szCs w:val="22"/>
        </w:rPr>
      </w:pPr>
      <w:r w:rsidRPr="00B022EA">
        <w:rPr>
          <w:rFonts w:cs="Arial"/>
          <w:szCs w:val="22"/>
        </w:rPr>
        <w:t>One wire for the Application Fee for each project.</w:t>
      </w:r>
    </w:p>
    <w:p w14:paraId="0BF090E0" w14:textId="234E2754" w:rsidR="00B022EA" w:rsidRPr="002B0DDA" w:rsidRDefault="00B022EA" w:rsidP="002B0DDA">
      <w:pPr>
        <w:pStyle w:val="ListParagraph"/>
        <w:numPr>
          <w:ilvl w:val="0"/>
          <w:numId w:val="7"/>
        </w:numPr>
        <w:spacing w:after="120"/>
        <w:contextualSpacing w:val="0"/>
        <w:rPr>
          <w:rFonts w:cs="Arial"/>
          <w:szCs w:val="22"/>
        </w:rPr>
      </w:pPr>
      <w:r w:rsidRPr="00A75342">
        <w:rPr>
          <w:rFonts w:cs="Arial"/>
          <w:szCs w:val="22"/>
        </w:rPr>
        <w:t>One wire for the Study Deposit for each project.</w:t>
      </w:r>
    </w:p>
    <w:p w14:paraId="26F29B5F" w14:textId="77777777" w:rsidR="00B022EA" w:rsidRPr="002B0DDA" w:rsidRDefault="00B022EA" w:rsidP="002B0DDA">
      <w:pPr>
        <w:spacing w:after="120"/>
        <w:rPr>
          <w:rFonts w:cs="Arial"/>
          <w:b/>
          <w:szCs w:val="22"/>
        </w:rPr>
      </w:pPr>
      <w:r w:rsidRPr="002B0DDA">
        <w:rPr>
          <w:rFonts w:cs="Arial"/>
          <w:b/>
          <w:szCs w:val="22"/>
        </w:rPr>
        <w:t>Each wire must:</w:t>
      </w:r>
    </w:p>
    <w:p w14:paraId="4E7D96AC" w14:textId="6739DED7" w:rsidR="00B022EA" w:rsidRPr="00076627" w:rsidRDefault="00076627" w:rsidP="002949EE">
      <w:pPr>
        <w:pStyle w:val="ListParagraph"/>
        <w:numPr>
          <w:ilvl w:val="0"/>
          <w:numId w:val="8"/>
        </w:numPr>
        <w:spacing w:after="120"/>
        <w:contextualSpacing w:val="0"/>
        <w:rPr>
          <w:rFonts w:cs="Arial"/>
          <w:szCs w:val="22"/>
        </w:rPr>
      </w:pPr>
      <w:r w:rsidRPr="00076627">
        <w:rPr>
          <w:rFonts w:cs="Arial"/>
          <w:szCs w:val="22"/>
        </w:rPr>
        <w:t xml:space="preserve">Contain: </w:t>
      </w:r>
      <w:r>
        <w:rPr>
          <w:rFonts w:cs="Arial"/>
          <w:szCs w:val="22"/>
        </w:rPr>
        <w:t xml:space="preserve">(1) </w:t>
      </w:r>
      <w:r w:rsidRPr="00076627">
        <w:rPr>
          <w:rFonts w:cs="Arial"/>
          <w:szCs w:val="22"/>
        </w:rPr>
        <w:t xml:space="preserve">the </w:t>
      </w:r>
      <w:r w:rsidRPr="00076627">
        <w:rPr>
          <w:rFonts w:cs="Arial"/>
          <w:szCs w:val="22"/>
          <w:u w:val="single"/>
        </w:rPr>
        <w:t>project name</w:t>
      </w:r>
      <w:r>
        <w:rPr>
          <w:rFonts w:cs="Arial"/>
          <w:szCs w:val="22"/>
        </w:rPr>
        <w:t xml:space="preserve"> </w:t>
      </w:r>
      <w:r>
        <w:rPr>
          <w:rFonts w:cs="Arial"/>
          <w:szCs w:val="22"/>
        </w:rPr>
        <w:t>(</w:t>
      </w:r>
      <w:r>
        <w:rPr>
          <w:rFonts w:cs="Arial"/>
          <w:szCs w:val="22"/>
        </w:rPr>
        <w:t>column C</w:t>
      </w:r>
      <w:r>
        <w:rPr>
          <w:rFonts w:cs="Arial"/>
          <w:szCs w:val="22"/>
        </w:rPr>
        <w:t>)</w:t>
      </w:r>
      <w:r>
        <w:rPr>
          <w:rFonts w:cs="Arial"/>
          <w:szCs w:val="22"/>
        </w:rPr>
        <w:t>,</w:t>
      </w:r>
      <w:r w:rsidRPr="00076627">
        <w:rPr>
          <w:rFonts w:cs="Arial"/>
          <w:szCs w:val="22"/>
        </w:rPr>
        <w:t xml:space="preserve"> </w:t>
      </w:r>
      <w:r w:rsidRPr="00076627">
        <w:rPr>
          <w:rFonts w:cs="Arial"/>
          <w:b/>
          <w:szCs w:val="22"/>
        </w:rPr>
        <w:t>and</w:t>
      </w:r>
      <w:r w:rsidRPr="00076627">
        <w:rPr>
          <w:rFonts w:cs="Arial"/>
          <w:szCs w:val="22"/>
        </w:rPr>
        <w:t xml:space="preserve"> </w:t>
      </w:r>
      <w:r>
        <w:rPr>
          <w:rFonts w:cs="Arial"/>
          <w:szCs w:val="22"/>
        </w:rPr>
        <w:t xml:space="preserve">(2) </w:t>
      </w:r>
      <w:r w:rsidR="00B022EA" w:rsidRPr="00076627">
        <w:rPr>
          <w:rFonts w:cs="Arial"/>
          <w:szCs w:val="22"/>
        </w:rPr>
        <w:t xml:space="preserve">the </w:t>
      </w:r>
      <w:r w:rsidR="00B022EA" w:rsidRPr="00076627">
        <w:rPr>
          <w:rFonts w:cs="Arial"/>
          <w:szCs w:val="22"/>
          <w:u w:val="single"/>
        </w:rPr>
        <w:t>project number</w:t>
      </w:r>
      <w:r w:rsidRPr="00076627">
        <w:rPr>
          <w:rFonts w:cs="Arial"/>
          <w:szCs w:val="22"/>
        </w:rPr>
        <w:t xml:space="preserve"> </w:t>
      </w:r>
      <w:r>
        <w:rPr>
          <w:rFonts w:cs="Arial"/>
          <w:szCs w:val="22"/>
        </w:rPr>
        <w:t>(</w:t>
      </w:r>
      <w:r w:rsidRPr="00076627">
        <w:rPr>
          <w:rFonts w:cs="Arial"/>
          <w:szCs w:val="22"/>
        </w:rPr>
        <w:t>column B</w:t>
      </w:r>
      <w:r>
        <w:rPr>
          <w:rFonts w:cs="Arial"/>
          <w:szCs w:val="22"/>
        </w:rPr>
        <w:t>)</w:t>
      </w:r>
      <w:r w:rsidRPr="00076627">
        <w:rPr>
          <w:rFonts w:cs="Arial"/>
          <w:szCs w:val="22"/>
        </w:rPr>
        <w:t xml:space="preserve"> </w:t>
      </w:r>
      <w:r w:rsidRPr="00076627">
        <w:rPr>
          <w:rFonts w:cs="Arial"/>
          <w:szCs w:val="22"/>
        </w:rPr>
        <w:t xml:space="preserve">listed in </w:t>
      </w:r>
      <w:r w:rsidRPr="00076627">
        <w:rPr>
          <w:rFonts w:cs="Arial"/>
          <w:szCs w:val="22"/>
        </w:rPr>
        <w:t xml:space="preserve">the </w:t>
      </w:r>
      <w:hyperlink r:id="rId15" w:history="1">
        <w:r w:rsidRPr="00076627">
          <w:rPr>
            <w:rStyle w:val="Hyperlink"/>
            <w:rFonts w:cs="Arial"/>
            <w:szCs w:val="22"/>
          </w:rPr>
          <w:t>Clu</w:t>
        </w:r>
        <w:r w:rsidRPr="00076627">
          <w:rPr>
            <w:rStyle w:val="Hyperlink"/>
            <w:rFonts w:cs="Arial"/>
            <w:szCs w:val="22"/>
          </w:rPr>
          <w:t>s</w:t>
        </w:r>
        <w:r w:rsidRPr="00076627">
          <w:rPr>
            <w:rStyle w:val="Hyperlink"/>
            <w:rFonts w:cs="Arial"/>
            <w:szCs w:val="22"/>
          </w:rPr>
          <w:t>ter 15 Interc</w:t>
        </w:r>
        <w:bookmarkStart w:id="0" w:name="_GoBack"/>
        <w:bookmarkEnd w:id="0"/>
        <w:r w:rsidRPr="00076627">
          <w:rPr>
            <w:rStyle w:val="Hyperlink"/>
            <w:rFonts w:cs="Arial"/>
            <w:szCs w:val="22"/>
          </w:rPr>
          <w:t>o</w:t>
        </w:r>
        <w:r w:rsidRPr="00076627">
          <w:rPr>
            <w:rStyle w:val="Hyperlink"/>
            <w:rFonts w:cs="Arial"/>
            <w:szCs w:val="22"/>
          </w:rPr>
          <w:t>nn</w:t>
        </w:r>
        <w:r w:rsidRPr="00076627">
          <w:rPr>
            <w:rStyle w:val="Hyperlink"/>
            <w:rFonts w:cs="Arial"/>
            <w:szCs w:val="22"/>
          </w:rPr>
          <w:t>e</w:t>
        </w:r>
        <w:r w:rsidRPr="00076627">
          <w:rPr>
            <w:rStyle w:val="Hyperlink"/>
            <w:rFonts w:cs="Arial"/>
            <w:szCs w:val="22"/>
          </w:rPr>
          <w:t>ction Requests</w:t>
        </w:r>
      </w:hyperlink>
      <w:r w:rsidRPr="00076627">
        <w:rPr>
          <w:rFonts w:cs="Arial"/>
          <w:szCs w:val="22"/>
        </w:rPr>
        <w:t xml:space="preserve"> </w:t>
      </w:r>
      <w:r w:rsidR="00B022EA" w:rsidRPr="00076627">
        <w:rPr>
          <w:rFonts w:cs="Arial"/>
          <w:szCs w:val="22"/>
        </w:rPr>
        <w:t>list on the ISO website.</w:t>
      </w:r>
    </w:p>
    <w:p w14:paraId="430A33AE" w14:textId="77777777" w:rsidR="00313733" w:rsidRPr="002B0DDA" w:rsidRDefault="00B022EA" w:rsidP="002B0DDA">
      <w:pPr>
        <w:pStyle w:val="ListParagraph"/>
        <w:numPr>
          <w:ilvl w:val="0"/>
          <w:numId w:val="8"/>
        </w:numPr>
        <w:spacing w:after="120"/>
        <w:contextualSpacing w:val="0"/>
        <w:rPr>
          <w:rFonts w:cs="Arial"/>
          <w:szCs w:val="22"/>
        </w:rPr>
      </w:pPr>
      <w:r w:rsidRPr="002B0DDA">
        <w:rPr>
          <w:rFonts w:cs="Arial"/>
          <w:szCs w:val="22"/>
        </w:rPr>
        <w:t>Specify: whether it is for the Application Fee, Study Deposit, or Site Control Deposit (must qualify for the regulatory limitation).</w:t>
      </w:r>
    </w:p>
    <w:p w14:paraId="687B13E9" w14:textId="5C820559" w:rsidR="00313733" w:rsidRPr="00DB4387" w:rsidRDefault="00313733" w:rsidP="002B0DDA">
      <w:pPr>
        <w:spacing w:after="120"/>
        <w:rPr>
          <w:rFonts w:cs="Arial"/>
          <w:szCs w:val="22"/>
        </w:rPr>
      </w:pPr>
    </w:p>
    <w:sectPr w:rsidR="00313733" w:rsidRPr="00DB4387" w:rsidSect="002B0DDA">
      <w:headerReference w:type="default" r:id="rId16"/>
      <w:footerReference w:type="default" r:id="rId17"/>
      <w:headerReference w:type="first" r:id="rId18"/>
      <w:footerReference w:type="first" r:id="rId1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3A68EF" w14:textId="77777777" w:rsidR="0087741D" w:rsidRDefault="0087741D" w:rsidP="0068266D">
      <w:r>
        <w:separator/>
      </w:r>
    </w:p>
  </w:endnote>
  <w:endnote w:type="continuationSeparator" w:id="0">
    <w:p w14:paraId="7BB6C0CF" w14:textId="77777777" w:rsidR="0087741D" w:rsidRDefault="0087741D" w:rsidP="0068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E5E83" w14:textId="77777777" w:rsidR="002E178D" w:rsidRPr="00DB4387" w:rsidRDefault="002E178D" w:rsidP="0068266D">
    <w:pPr>
      <w:ind w:right="0"/>
      <w:rPr>
        <w:rFonts w:cs="Arial"/>
        <w:noProof/>
        <w:color w:val="404040"/>
        <w:sz w:val="16"/>
        <w:szCs w:val="17"/>
      </w:rPr>
    </w:pPr>
    <w:r>
      <w:rPr>
        <w:rFonts w:cs="Arial"/>
        <w:b/>
        <w:noProof/>
        <w:color w:val="6F7330"/>
        <w:sz w:val="16"/>
        <w:szCs w:val="17"/>
      </w:rPr>
      <mc:AlternateContent>
        <mc:Choice Requires="wps">
          <w:drawing>
            <wp:anchor distT="0" distB="0" distL="114300" distR="114300" simplePos="0" relativeHeight="251656704" behindDoc="0" locked="0" layoutInCell="1" allowOverlap="1" wp14:anchorId="24FED6A3" wp14:editId="5F7CEDC0">
              <wp:simplePos x="0" y="0"/>
              <wp:positionH relativeFrom="margin">
                <wp:align>left</wp:align>
              </wp:positionH>
              <wp:positionV relativeFrom="paragraph">
                <wp:posOffset>-200025</wp:posOffset>
              </wp:positionV>
              <wp:extent cx="5962015" cy="635"/>
              <wp:effectExtent l="9525" t="9525" r="10160" b="18415"/>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1905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B6D89C" id="_x0000_t32" coordsize="21600,21600" o:spt="32" o:oned="t" path="m,l21600,21600e" filled="f">
              <v:path arrowok="t" fillok="f" o:connecttype="none"/>
              <o:lock v:ext="edit" shapetype="t"/>
            </v:shapetype>
            <v:shape id="AutoShape 6" o:spid="_x0000_s1026" type="#_x0000_t32" style="position:absolute;margin-left:0;margin-top:-15.75pt;width:469.45pt;height:.0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" strokecolor="#6f7330" strokeweight="1.5pt">
              <w10:wrap anchorx="margin"/>
            </v:shape>
          </w:pict>
        </mc:Fallback>
      </mc:AlternateContent>
    </w:r>
    <w:r w:rsidRPr="00DB4387">
      <w:rPr>
        <w:rFonts w:cs="Arial"/>
        <w:b/>
        <w:noProof/>
        <w:color w:val="6F7330"/>
        <w:sz w:val="16"/>
        <w:szCs w:val="17"/>
      </w:rPr>
      <w:t xml:space="preserve">www.caiso.com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898B4" w14:textId="77777777" w:rsidR="002E178D" w:rsidRPr="00DB4387" w:rsidRDefault="002E178D" w:rsidP="00313733">
    <w:pPr>
      <w:ind w:right="0"/>
      <w:rPr>
        <w:rFonts w:cs="Arial"/>
        <w:noProof/>
        <w:color w:val="404040"/>
        <w:sz w:val="16"/>
        <w:szCs w:val="17"/>
      </w:rPr>
    </w:pPr>
    <w:r>
      <w:rPr>
        <w:rFonts w:cs="Arial"/>
        <w:b/>
        <w:noProof/>
        <w:color w:val="6F7330"/>
        <w:sz w:val="16"/>
        <w:szCs w:val="17"/>
      </w:rPr>
      <mc:AlternateContent>
        <mc:Choice Requires="wps">
          <w:drawing>
            <wp:anchor distT="0" distB="0" distL="114300" distR="114300" simplePos="0" relativeHeight="251655680" behindDoc="0" locked="0" layoutInCell="1" allowOverlap="1" wp14:anchorId="5371C038" wp14:editId="4DE8078C">
              <wp:simplePos x="0" y="0"/>
              <wp:positionH relativeFrom="margin">
                <wp:posOffset>19050</wp:posOffset>
              </wp:positionH>
              <wp:positionV relativeFrom="paragraph">
                <wp:posOffset>-179705</wp:posOffset>
              </wp:positionV>
              <wp:extent cx="5962015" cy="635"/>
              <wp:effectExtent l="9525" t="10795" r="10160" b="1714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2015" cy="635"/>
                      </a:xfrm>
                      <a:prstGeom prst="straightConnector1">
                        <a:avLst/>
                      </a:prstGeom>
                      <a:noFill/>
                      <a:ln w="19050">
                        <a:solidFill>
                          <a:srgbClr val="6F733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60FA619" id="_x0000_t32" coordsize="21600,21600" o:spt="32" o:oned="t" path="m,l21600,21600e" filled="f">
              <v:path arrowok="t" fillok="f" o:connecttype="none"/>
              <o:lock v:ext="edit" shapetype="t"/>
            </v:shapetype>
            <v:shape id="AutoShape 11" o:spid="_x0000_s1026" type="#_x0000_t32" style="position:absolute;margin-left:1.5pt;margin-top:-14.15pt;width:469.45pt;height:.05pt;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" strokecolor="#6f7330" strokeweight="1.5pt">
              <w10:wrap anchorx="margin"/>
            </v:shape>
          </w:pict>
        </mc:Fallback>
      </mc:AlternateContent>
    </w:r>
    <w:r w:rsidRPr="00DB4387">
      <w:rPr>
        <w:rFonts w:cs="Arial"/>
        <w:b/>
        <w:noProof/>
        <w:color w:val="6F7330"/>
        <w:sz w:val="16"/>
        <w:szCs w:val="17"/>
      </w:rPr>
      <w:t xml:space="preserve">www.caiso.com     </w:t>
    </w:r>
    <w:r w:rsidRPr="00DB4387">
      <w:rPr>
        <w:rFonts w:cs="Arial"/>
        <w:noProof/>
        <w:color w:val="404040"/>
        <w:sz w:val="16"/>
        <w:szCs w:val="17"/>
      </w:rPr>
      <w:t>│     250 Outcropping Way, Folsom, CA 95630     │     916.351.4400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BD225E" w14:textId="77777777" w:rsidR="0087741D" w:rsidRDefault="0087741D" w:rsidP="0068266D">
      <w:r>
        <w:separator/>
      </w:r>
    </w:p>
  </w:footnote>
  <w:footnote w:type="continuationSeparator" w:id="0">
    <w:p w14:paraId="4896DD09" w14:textId="77777777" w:rsidR="0087741D" w:rsidRDefault="0087741D" w:rsidP="0068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EB727" w14:textId="77777777" w:rsidR="002E178D" w:rsidRDefault="002E178D">
    <w:pPr>
      <w:pStyle w:val="Header"/>
    </w:pPr>
    <w:r>
      <w:rPr>
        <w:noProof/>
      </w:rPr>
      <mc:AlternateContent>
        <mc:Choice Requires="wps">
          <w:drawing>
            <wp:anchor distT="0" distB="0" distL="114300" distR="114300" simplePos="0" relativeHeight="251657728" behindDoc="0" locked="0" layoutInCell="1" allowOverlap="1" wp14:anchorId="1D206D1F" wp14:editId="0006EEAB">
              <wp:simplePos x="0" y="0"/>
              <wp:positionH relativeFrom="page">
                <wp:posOffset>4800600</wp:posOffset>
              </wp:positionH>
              <wp:positionV relativeFrom="page">
                <wp:posOffset>822960</wp:posOffset>
              </wp:positionV>
              <wp:extent cx="2646680" cy="214630"/>
              <wp:effectExtent l="0" t="3810" r="1270" b="635"/>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6680"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767294" w14:textId="77777777" w:rsidR="002E178D" w:rsidRPr="00DB4387" w:rsidRDefault="002E178D" w:rsidP="00233B9B">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206D1F" id="_x0000_t202" coordsize="21600,21600" o:spt="202" path="m,l,21600r21600,l21600,xe">
              <v:stroke joinstyle="miter"/>
              <v:path gradientshapeok="t" o:connecttype="rect"/>
            </v:shapetype>
            <v:shape id="Text Box 4" o:spid="_x0000_s1026" type="#_x0000_t202" style="position:absolute;left:0;text-align:left;margin-left:378pt;margin-top:64.8pt;width:208.4pt;height:16.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HHtQ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" filled="f" stroked="f">
              <v:textbox>
                <w:txbxContent>
                  <w:p w14:paraId="59767294" w14:textId="77777777" w:rsidR="002E178D" w:rsidRPr="00DB4387" w:rsidRDefault="002E178D" w:rsidP="00233B9B">
                    <w:pPr>
                      <w:rPr>
                        <w:rFonts w:cs="Arial"/>
                        <w:color w:val="595959"/>
                        <w:sz w:val="16"/>
                        <w:szCs w:val="16"/>
                      </w:rPr>
                    </w:pPr>
                    <w:r w:rsidRPr="00DB4387">
                      <w:rPr>
                        <w:rFonts w:cs="Arial"/>
                        <w:color w:val="595959"/>
                        <w:sz w:val="16"/>
                        <w:szCs w:val="16"/>
                      </w:rPr>
                      <w:t>California Independent System Operator Corporation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54515C" w14:textId="77777777" w:rsidR="002E178D" w:rsidRPr="009610CB" w:rsidRDefault="002E178D" w:rsidP="009610CB">
    <w:pPr>
      <w:pStyle w:val="Header"/>
      <w:tabs>
        <w:tab w:val="clear" w:pos="-1080"/>
        <w:tab w:val="left" w:pos="-720"/>
      </w:tabs>
      <w:ind w:firstLine="450"/>
      <w:rPr>
        <w:i w:val="0"/>
        <w:sz w:val="14"/>
        <w:szCs w:val="14"/>
      </w:rPr>
    </w:pPr>
  </w:p>
  <w:p w14:paraId="3AC1FFED" w14:textId="77777777" w:rsidR="002E178D" w:rsidRDefault="002E178D" w:rsidP="009610CB">
    <w:pPr>
      <w:pStyle w:val="Header"/>
      <w:tabs>
        <w:tab w:val="clear" w:pos="-1080"/>
        <w:tab w:val="left" w:pos="-720"/>
      </w:tabs>
      <w:ind w:firstLine="450"/>
    </w:pPr>
    <w:r>
      <w:rPr>
        <w:noProof/>
      </w:rPr>
      <mc:AlternateContent>
        <mc:Choice Requires="wps">
          <w:drawing>
            <wp:anchor distT="0" distB="0" distL="114300" distR="114300" simplePos="0" relativeHeight="251659776" behindDoc="0" locked="0" layoutInCell="1" allowOverlap="1" wp14:anchorId="56B9D19D" wp14:editId="31AB5F55">
              <wp:simplePos x="0" y="0"/>
              <wp:positionH relativeFrom="page">
                <wp:posOffset>4805680</wp:posOffset>
              </wp:positionH>
              <wp:positionV relativeFrom="page">
                <wp:posOffset>861060</wp:posOffset>
              </wp:positionV>
              <wp:extent cx="2564765" cy="214630"/>
              <wp:effectExtent l="0" t="3810" r="1905" b="635"/>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4765" cy="214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A13DD" w14:textId="77777777" w:rsidR="002E178D" w:rsidRPr="00DB4387" w:rsidRDefault="002E178D" w:rsidP="00313733">
                          <w:pPr>
                            <w:rPr>
                              <w:rFonts w:cs="Arial"/>
                              <w:color w:val="595959"/>
                              <w:sz w:val="16"/>
                              <w:szCs w:val="16"/>
                            </w:rPr>
                          </w:pPr>
                          <w:r w:rsidRPr="00DB4387">
                            <w:rPr>
                              <w:rFonts w:cs="Arial"/>
                              <w:color w:val="595959"/>
                              <w:sz w:val="16"/>
                              <w:szCs w:val="16"/>
                            </w:rPr>
                            <w:t>California Independent System Operator Corporation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B9D19D" id="_x0000_t202" coordsize="21600,21600" o:spt="202" path="m,l,21600r21600,l21600,xe">
              <v:stroke joinstyle="miter"/>
              <v:path gradientshapeok="t" o:connecttype="rect"/>
            </v:shapetype>
            <v:shape id="Text Box 8" o:spid="_x0000_s1027" type="#_x0000_t202" style="position:absolute;left:0;text-align:left;margin-left:378.4pt;margin-top:67.8pt;width:201.95pt;height:16.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" filled="f" stroked="f">
              <v:textbox>
                <w:txbxContent>
                  <w:p w14:paraId="6B4A13DD" w14:textId="77777777" w:rsidR="002E178D" w:rsidRPr="00DB4387" w:rsidRDefault="002E178D" w:rsidP="00313733">
                    <w:pPr>
                      <w:rPr>
                        <w:rFonts w:cs="Arial"/>
                        <w:color w:val="595959"/>
                        <w:sz w:val="16"/>
                        <w:szCs w:val="16"/>
                      </w:rPr>
                    </w:pPr>
                    <w:r w:rsidRPr="00DB4387">
                      <w:rPr>
                        <w:rFonts w:cs="Arial"/>
                        <w:color w:val="595959"/>
                        <w:sz w:val="16"/>
                        <w:szCs w:val="16"/>
                      </w:rPr>
                      <w:t>California Independent System Operator Corporation</w:t>
                    </w:r>
                  </w:p>
                </w:txbxContent>
              </v:textbox>
              <w10:wrap anchorx="page" anchory="page"/>
            </v:shape>
          </w:pict>
        </mc:Fallback>
      </mc:AlternateContent>
    </w:r>
    <w:r>
      <w:rPr>
        <w:noProof/>
      </w:rPr>
      <w:drawing>
        <wp:inline distT="0" distB="0" distL="0" distR="0" wp14:anchorId="16751DEB" wp14:editId="26097246">
          <wp:extent cx="2661313" cy="498996"/>
          <wp:effectExtent l="0" t="0" r="5715" b="0"/>
          <wp:docPr id="36" name="Picture 36" descr="CAISO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5659" cy="501686"/>
                  </a:xfrm>
                  <a:prstGeom prst="rect">
                    <a:avLst/>
                  </a:prstGeom>
                  <a:noFill/>
                  <a:ln>
                    <a:noFill/>
                  </a:ln>
                </pic:spPr>
              </pic:pic>
            </a:graphicData>
          </a:graphic>
        </wp:inline>
      </w:drawing>
    </w:r>
  </w:p>
  <w:p w14:paraId="3F840834" w14:textId="77777777" w:rsidR="002E178D" w:rsidRDefault="002E17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6891"/>
    <w:multiLevelType w:val="hybridMultilevel"/>
    <w:tmpl w:val="9258B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19C264B"/>
    <w:multiLevelType w:val="multilevel"/>
    <w:tmpl w:val="752484D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1F42324"/>
    <w:multiLevelType w:val="hybridMultilevel"/>
    <w:tmpl w:val="C1324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41B25"/>
    <w:multiLevelType w:val="hybridMultilevel"/>
    <w:tmpl w:val="A3F6999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256908"/>
    <w:multiLevelType w:val="hybridMultilevel"/>
    <w:tmpl w:val="58B81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A72B71"/>
    <w:multiLevelType w:val="hybridMultilevel"/>
    <w:tmpl w:val="80502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504EA3"/>
    <w:multiLevelType w:val="multilevel"/>
    <w:tmpl w:val="379E32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3551203"/>
    <w:multiLevelType w:val="hybridMultilevel"/>
    <w:tmpl w:val="4066E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7"/>
  </w:num>
  <w:num w:numId="4">
    <w:abstractNumId w:val="3"/>
  </w:num>
  <w:num w:numId="5">
    <w:abstractNumId w:val="0"/>
  </w:num>
  <w:num w:numId="6">
    <w:abstractNumId w:val="1"/>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ED2"/>
    <w:rsid w:val="0003260B"/>
    <w:rsid w:val="00076627"/>
    <w:rsid w:val="000D1C33"/>
    <w:rsid w:val="00157C01"/>
    <w:rsid w:val="00177EC8"/>
    <w:rsid w:val="001A5149"/>
    <w:rsid w:val="00233B9B"/>
    <w:rsid w:val="00236ACA"/>
    <w:rsid w:val="00255579"/>
    <w:rsid w:val="00285ED2"/>
    <w:rsid w:val="002A0A67"/>
    <w:rsid w:val="002B0DDA"/>
    <w:rsid w:val="002D3441"/>
    <w:rsid w:val="002E178D"/>
    <w:rsid w:val="003120FD"/>
    <w:rsid w:val="00313733"/>
    <w:rsid w:val="0035100F"/>
    <w:rsid w:val="003B25AB"/>
    <w:rsid w:val="003F613A"/>
    <w:rsid w:val="0040234C"/>
    <w:rsid w:val="00450CBE"/>
    <w:rsid w:val="0046090F"/>
    <w:rsid w:val="004E3629"/>
    <w:rsid w:val="004E7526"/>
    <w:rsid w:val="00502CE9"/>
    <w:rsid w:val="005306A6"/>
    <w:rsid w:val="00540535"/>
    <w:rsid w:val="00541DC8"/>
    <w:rsid w:val="00546A10"/>
    <w:rsid w:val="005E75EE"/>
    <w:rsid w:val="005F38B3"/>
    <w:rsid w:val="006557B9"/>
    <w:rsid w:val="0068266D"/>
    <w:rsid w:val="006C38E4"/>
    <w:rsid w:val="006D17A5"/>
    <w:rsid w:val="006F02CF"/>
    <w:rsid w:val="007A26FB"/>
    <w:rsid w:val="007A6753"/>
    <w:rsid w:val="007D6584"/>
    <w:rsid w:val="008163A8"/>
    <w:rsid w:val="0087741D"/>
    <w:rsid w:val="009610CB"/>
    <w:rsid w:val="00A02469"/>
    <w:rsid w:val="00A75342"/>
    <w:rsid w:val="00A8014A"/>
    <w:rsid w:val="00AB28C0"/>
    <w:rsid w:val="00AD22D5"/>
    <w:rsid w:val="00AD5CA7"/>
    <w:rsid w:val="00AE708C"/>
    <w:rsid w:val="00B022EA"/>
    <w:rsid w:val="00B20D0C"/>
    <w:rsid w:val="00BB5D08"/>
    <w:rsid w:val="00C014FC"/>
    <w:rsid w:val="00C63992"/>
    <w:rsid w:val="00C72AC4"/>
    <w:rsid w:val="00CF1BB2"/>
    <w:rsid w:val="00D025C5"/>
    <w:rsid w:val="00D1691F"/>
    <w:rsid w:val="00D862A1"/>
    <w:rsid w:val="00DB4387"/>
    <w:rsid w:val="00DC3422"/>
    <w:rsid w:val="00E167E6"/>
    <w:rsid w:val="00E405CC"/>
    <w:rsid w:val="00E700E3"/>
    <w:rsid w:val="00EB0826"/>
    <w:rsid w:val="00EF245F"/>
    <w:rsid w:val="00F530B5"/>
    <w:rsid w:val="00F658F8"/>
    <w:rsid w:val="00F97E9D"/>
    <w:rsid w:val="00FB6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A8FF7A7"/>
  <w15:chartTrackingRefBased/>
  <w15:docId w15:val="{88EC483E-E741-46E6-9BEC-D9A340322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7E6"/>
    <w:pPr>
      <w:ind w:right="-360"/>
    </w:pPr>
    <w:rPr>
      <w:rFonts w:ascii="Arial" w:hAnsi="Arial"/>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862A1"/>
    <w:rPr>
      <w:rFonts w:ascii="Tahoma" w:hAnsi="Tahoma" w:cs="Tahoma"/>
      <w:sz w:val="16"/>
      <w:szCs w:val="16"/>
    </w:rPr>
  </w:style>
  <w:style w:type="character" w:customStyle="1" w:styleId="BalloonTextChar">
    <w:name w:val="Balloon Text Char"/>
    <w:basedOn w:val="DefaultParagraphFont"/>
    <w:link w:val="BalloonText"/>
    <w:rsid w:val="00D862A1"/>
    <w:rPr>
      <w:rFonts w:ascii="Tahoma" w:hAnsi="Tahoma" w:cs="Tahoma"/>
      <w:sz w:val="16"/>
      <w:szCs w:val="16"/>
    </w:rPr>
  </w:style>
  <w:style w:type="paragraph" w:styleId="Header">
    <w:name w:val="header"/>
    <w:basedOn w:val="Normal"/>
    <w:link w:val="HeaderChar"/>
    <w:rsid w:val="00E405CC"/>
    <w:pPr>
      <w:keepLines/>
      <w:tabs>
        <w:tab w:val="left" w:pos="-1080"/>
        <w:tab w:val="center" w:pos="4320"/>
        <w:tab w:val="right" w:pos="9480"/>
      </w:tabs>
      <w:ind w:left="-1080" w:right="-1080"/>
    </w:pPr>
    <w:rPr>
      <w:i/>
    </w:rPr>
  </w:style>
  <w:style w:type="character" w:customStyle="1" w:styleId="HeaderChar">
    <w:name w:val="Header Char"/>
    <w:basedOn w:val="DefaultParagraphFont"/>
    <w:link w:val="Header"/>
    <w:rsid w:val="00E405CC"/>
    <w:rPr>
      <w:rFonts w:ascii="Arial" w:hAnsi="Arial"/>
      <w:i/>
    </w:rPr>
  </w:style>
  <w:style w:type="paragraph" w:styleId="Footer">
    <w:name w:val="footer"/>
    <w:basedOn w:val="Normal"/>
    <w:link w:val="FooterChar"/>
    <w:rsid w:val="0068266D"/>
    <w:pPr>
      <w:tabs>
        <w:tab w:val="center" w:pos="4680"/>
        <w:tab w:val="right" w:pos="9360"/>
      </w:tabs>
    </w:pPr>
  </w:style>
  <w:style w:type="character" w:customStyle="1" w:styleId="FooterChar">
    <w:name w:val="Footer Char"/>
    <w:basedOn w:val="DefaultParagraphFont"/>
    <w:link w:val="Footer"/>
    <w:rsid w:val="0068266D"/>
  </w:style>
  <w:style w:type="character" w:styleId="Hyperlink">
    <w:name w:val="Hyperlink"/>
    <w:basedOn w:val="DefaultParagraphFont"/>
    <w:uiPriority w:val="99"/>
    <w:unhideWhenUsed/>
    <w:rsid w:val="0068266D"/>
    <w:rPr>
      <w:color w:val="0000FF"/>
      <w:u w:val="single"/>
    </w:rPr>
  </w:style>
  <w:style w:type="paragraph" w:styleId="ListParagraph">
    <w:name w:val="List Paragraph"/>
    <w:basedOn w:val="Normal"/>
    <w:uiPriority w:val="34"/>
    <w:qFormat/>
    <w:rsid w:val="00E700E3"/>
    <w:pPr>
      <w:ind w:left="720"/>
      <w:contextualSpacing/>
    </w:pPr>
  </w:style>
  <w:style w:type="character" w:styleId="CommentReference">
    <w:name w:val="annotation reference"/>
    <w:basedOn w:val="DefaultParagraphFont"/>
    <w:rsid w:val="00450CBE"/>
    <w:rPr>
      <w:sz w:val="16"/>
      <w:szCs w:val="16"/>
    </w:rPr>
  </w:style>
  <w:style w:type="paragraph" w:styleId="CommentText">
    <w:name w:val="annotation text"/>
    <w:basedOn w:val="Normal"/>
    <w:link w:val="CommentTextChar"/>
    <w:rsid w:val="00450CBE"/>
    <w:rPr>
      <w:sz w:val="20"/>
    </w:rPr>
  </w:style>
  <w:style w:type="character" w:customStyle="1" w:styleId="CommentTextChar">
    <w:name w:val="Comment Text Char"/>
    <w:basedOn w:val="DefaultParagraphFont"/>
    <w:link w:val="CommentText"/>
    <w:rsid w:val="00450CBE"/>
    <w:rPr>
      <w:rFonts w:ascii="Arial" w:hAnsi="Arial"/>
    </w:rPr>
  </w:style>
  <w:style w:type="paragraph" w:styleId="CommentSubject">
    <w:name w:val="annotation subject"/>
    <w:basedOn w:val="CommentText"/>
    <w:next w:val="CommentText"/>
    <w:link w:val="CommentSubjectChar"/>
    <w:rsid w:val="00450CBE"/>
    <w:rPr>
      <w:b/>
      <w:bCs/>
    </w:rPr>
  </w:style>
  <w:style w:type="character" w:customStyle="1" w:styleId="CommentSubjectChar">
    <w:name w:val="Comment Subject Char"/>
    <w:basedOn w:val="CommentTextChar"/>
    <w:link w:val="CommentSubject"/>
    <w:rsid w:val="00450CBE"/>
    <w:rPr>
      <w:rFonts w:ascii="Arial" w:hAnsi="Arial"/>
      <w:b/>
      <w:bCs/>
    </w:rPr>
  </w:style>
  <w:style w:type="character" w:styleId="FollowedHyperlink">
    <w:name w:val="FollowedHyperlink"/>
    <w:basedOn w:val="DefaultParagraphFont"/>
    <w:rsid w:val="00076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83879">
      <w:bodyDiv w:val="1"/>
      <w:marLeft w:val="0"/>
      <w:marRight w:val="0"/>
      <w:marTop w:val="0"/>
      <w:marBottom w:val="0"/>
      <w:divBdr>
        <w:top w:val="none" w:sz="0" w:space="0" w:color="auto"/>
        <w:left w:val="none" w:sz="0" w:space="0" w:color="auto"/>
        <w:bottom w:val="none" w:sz="0" w:space="0" w:color="auto"/>
        <w:right w:val="none" w:sz="0" w:space="0" w:color="auto"/>
      </w:divBdr>
    </w:div>
    <w:div w:id="766853040">
      <w:bodyDiv w:val="1"/>
      <w:marLeft w:val="0"/>
      <w:marRight w:val="0"/>
      <w:marTop w:val="0"/>
      <w:marBottom w:val="0"/>
      <w:divBdr>
        <w:top w:val="none" w:sz="0" w:space="0" w:color="auto"/>
        <w:left w:val="none" w:sz="0" w:space="0" w:color="auto"/>
        <w:bottom w:val="none" w:sz="0" w:space="0" w:color="auto"/>
        <w:right w:val="none" w:sz="0" w:space="0" w:color="auto"/>
      </w:divBdr>
    </w:div>
    <w:div w:id="1340887198">
      <w:bodyDiv w:val="1"/>
      <w:marLeft w:val="0"/>
      <w:marRight w:val="0"/>
      <w:marTop w:val="0"/>
      <w:marBottom w:val="0"/>
      <w:divBdr>
        <w:top w:val="none" w:sz="0" w:space="0" w:color="auto"/>
        <w:left w:val="none" w:sz="0" w:space="0" w:color="auto"/>
        <w:bottom w:val="none" w:sz="0" w:space="0" w:color="auto"/>
        <w:right w:val="none" w:sz="0" w:space="0" w:color="auto"/>
      </w:divBdr>
    </w:div>
    <w:div w:id="1369842348">
      <w:bodyDiv w:val="1"/>
      <w:marLeft w:val="0"/>
      <w:marRight w:val="0"/>
      <w:marTop w:val="0"/>
      <w:marBottom w:val="0"/>
      <w:divBdr>
        <w:top w:val="none" w:sz="0" w:space="0" w:color="auto"/>
        <w:left w:val="none" w:sz="0" w:space="0" w:color="auto"/>
        <w:bottom w:val="none" w:sz="0" w:space="0" w:color="auto"/>
        <w:right w:val="none" w:sz="0" w:space="0" w:color="auto"/>
      </w:divBdr>
    </w:div>
    <w:div w:id="1448742073">
      <w:bodyDiv w:val="1"/>
      <w:marLeft w:val="0"/>
      <w:marRight w:val="0"/>
      <w:marTop w:val="0"/>
      <w:marBottom w:val="0"/>
      <w:divBdr>
        <w:top w:val="none" w:sz="0" w:space="0" w:color="auto"/>
        <w:left w:val="none" w:sz="0" w:space="0" w:color="auto"/>
        <w:bottom w:val="none" w:sz="0" w:space="0" w:color="auto"/>
        <w:right w:val="none" w:sz="0" w:space="0" w:color="auto"/>
      </w:divBdr>
    </w:div>
    <w:div w:id="1828084978">
      <w:bodyDiv w:val="1"/>
      <w:marLeft w:val="0"/>
      <w:marRight w:val="0"/>
      <w:marTop w:val="0"/>
      <w:marBottom w:val="0"/>
      <w:divBdr>
        <w:top w:val="none" w:sz="0" w:space="0" w:color="auto"/>
        <w:left w:val="none" w:sz="0" w:space="0" w:color="auto"/>
        <w:bottom w:val="none" w:sz="0" w:space="0" w:color="auto"/>
        <w:right w:val="none" w:sz="0" w:space="0" w:color="auto"/>
      </w:divBdr>
    </w:div>
    <w:div w:id="209724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niland@lspower.com" TargetMode="External"/><Relationship Id="rId13" Type="http://schemas.openxmlformats.org/officeDocument/2006/relationships/hyperlink" Target="mailto:llirvin@sdg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AAmirali@lotuspartners.com" TargetMode="External"/><Relationship Id="rId12" Type="http://schemas.openxmlformats.org/officeDocument/2006/relationships/hyperlink" Target="mailto:steven.baltodano@sce.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Y1W@pge.com"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www.caiso.com/documents/cluster-15-interconnection-requests.xlsx" TargetMode="External"/><Relationship Id="rId23" Type="http://schemas.openxmlformats.org/officeDocument/2006/relationships/customXml" Target="../customXml/item2.xml"/><Relationship Id="rId10" Type="http://schemas.openxmlformats.org/officeDocument/2006/relationships/hyperlink" Target="mailto:Jonathan.Pytka@nexteraenergy.com"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Jonathan.Pytka@nexteraenergy.com" TargetMode="External"/><Relationship Id="rId14" Type="http://schemas.openxmlformats.org/officeDocument/2006/relationships/hyperlink" Target="mailto:GIA-Transmission@sdge.com" TargetMode="External"/><Relationship Id="rId22"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o-apps\MSOfficeTemplates\ISO%20Correspondence\ISO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EF72B2-C7F0-4853-99B1-201D67EBB959}"/>
</file>

<file path=customXml/itemProps2.xml><?xml version="1.0" encoding="utf-8"?>
<ds:datastoreItem xmlns:ds="http://schemas.openxmlformats.org/officeDocument/2006/customXml" ds:itemID="{8B8CF673-132C-43D9-AA7E-A6D84DF2B906}"/>
</file>

<file path=customXml/itemProps3.xml><?xml version="1.0" encoding="utf-8"?>
<ds:datastoreItem xmlns:ds="http://schemas.openxmlformats.org/officeDocument/2006/customXml" ds:itemID="{9F59A045-6FAD-46A2-B977-4F47DE11BBEE}"/>
</file>

<file path=docProps/app.xml><?xml version="1.0" encoding="utf-8"?>
<Properties xmlns="http://schemas.openxmlformats.org/officeDocument/2006/extended-properties" xmlns:vt="http://schemas.openxmlformats.org/officeDocument/2006/docPropsVTypes">
  <Template>ISOLetterhead.dotx</Template>
  <TotalTime>16</TotalTime>
  <Pages>2</Pages>
  <Words>694</Words>
  <Characters>4281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CAISO</Company>
  <LinksUpToDate>false</LinksUpToDate>
  <CharactersWithSpaces>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 Debbie</dc:creator>
  <cp:keywords/>
  <dc:description/>
  <cp:lastModifiedBy>Emmert, Robert</cp:lastModifiedBy>
  <cp:revision>6</cp:revision>
  <dcterms:created xsi:type="dcterms:W3CDTF">2024-11-18T16:25:00Z</dcterms:created>
  <dcterms:modified xsi:type="dcterms:W3CDTF">2024-11-20T23:17:00Z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ies>
</file>