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5549" w14:textId="77777777" w:rsidR="005E7E4A" w:rsidRDefault="005E7E4A" w:rsidP="005E7E4A">
      <w:pPr>
        <w:jc w:val="center"/>
        <w:rPr>
          <w:b/>
          <w:sz w:val="40"/>
          <w:szCs w:val="40"/>
        </w:rPr>
      </w:pPr>
      <w:r w:rsidRPr="005E7E4A">
        <w:rPr>
          <w:b/>
          <w:sz w:val="40"/>
          <w:szCs w:val="40"/>
        </w:rPr>
        <w:t xml:space="preserve">Stakeholder </w:t>
      </w:r>
      <w:r w:rsidR="005D6A75">
        <w:rPr>
          <w:b/>
          <w:sz w:val="40"/>
          <w:szCs w:val="40"/>
        </w:rPr>
        <w:t>Comment</w:t>
      </w:r>
      <w:r w:rsidR="00C4611D">
        <w:rPr>
          <w:b/>
          <w:sz w:val="40"/>
          <w:szCs w:val="40"/>
        </w:rPr>
        <w:t>s</w:t>
      </w:r>
      <w:r w:rsidR="005D6A75">
        <w:rPr>
          <w:b/>
          <w:sz w:val="40"/>
          <w:szCs w:val="40"/>
        </w:rPr>
        <w:t xml:space="preserve"> Template</w:t>
      </w:r>
    </w:p>
    <w:p w14:paraId="4DBAA42A" w14:textId="77777777" w:rsidR="00C4611D" w:rsidRDefault="00C4611D" w:rsidP="005E7E4A">
      <w:pPr>
        <w:jc w:val="center"/>
        <w:rPr>
          <w:b/>
          <w:sz w:val="40"/>
          <w:szCs w:val="40"/>
        </w:rPr>
      </w:pPr>
    </w:p>
    <w:p w14:paraId="0C38C683" w14:textId="77777777" w:rsidR="00C4611D" w:rsidRDefault="00C4611D" w:rsidP="005E7E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Subject:</w:t>
      </w:r>
      <w:r w:rsidR="00082391">
        <w:rPr>
          <w:b/>
          <w:sz w:val="40"/>
          <w:szCs w:val="40"/>
        </w:rPr>
        <w:t xml:space="preserve"> </w:t>
      </w:r>
      <w:r w:rsidR="00535F01">
        <w:rPr>
          <w:b/>
          <w:sz w:val="40"/>
          <w:szCs w:val="40"/>
        </w:rPr>
        <w:t>Credit Policy Enhancements</w:t>
      </w:r>
    </w:p>
    <w:p w14:paraId="79244E9A" w14:textId="77777777" w:rsidR="005E7E4A" w:rsidRPr="00C4611D" w:rsidRDefault="005E7E4A" w:rsidP="00C4611D"/>
    <w:p w14:paraId="00E860F0" w14:textId="77777777" w:rsidR="00C4611D" w:rsidRDefault="00C4611D"/>
    <w:tbl>
      <w:tblPr>
        <w:tblStyle w:val="TableGrid"/>
        <w:tblpPr w:leftFromText="180" w:rightFromText="180" w:vertAnchor="page" w:horzAnchor="margin" w:tblpY="3781"/>
        <w:tblW w:w="9468" w:type="dxa"/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C4611D" w14:paraId="1AFB736C" w14:textId="77777777">
        <w:trPr>
          <w:trHeight w:val="541"/>
        </w:trPr>
        <w:tc>
          <w:tcPr>
            <w:tcW w:w="4248" w:type="dxa"/>
            <w:shd w:val="clear" w:color="auto" w:fill="C0C0C0"/>
          </w:tcPr>
          <w:p w14:paraId="6DDB7562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 xml:space="preserve">Submitted by </w:t>
            </w:r>
          </w:p>
        </w:tc>
        <w:tc>
          <w:tcPr>
            <w:tcW w:w="2880" w:type="dxa"/>
            <w:shd w:val="clear" w:color="auto" w:fill="C0C0C0"/>
          </w:tcPr>
          <w:p w14:paraId="1733122A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1D4C80F2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>Date Submitted</w:t>
            </w:r>
          </w:p>
        </w:tc>
      </w:tr>
      <w:tr w:rsidR="00C4611D" w14:paraId="73DD6CC7" w14:textId="77777777">
        <w:tblPrEx>
          <w:shd w:val="clear" w:color="auto" w:fill="auto"/>
        </w:tblPrEx>
        <w:trPr>
          <w:trHeight w:val="1083"/>
        </w:trPr>
        <w:tc>
          <w:tcPr>
            <w:tcW w:w="4248" w:type="dxa"/>
          </w:tcPr>
          <w:p w14:paraId="3B87AFDB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 xml:space="preserve">Please fill in </w:t>
            </w:r>
            <w:r>
              <w:rPr>
                <w:i/>
              </w:rPr>
              <w:t xml:space="preserve">name and contact number of specific </w:t>
            </w:r>
            <w:proofErr w:type="gramStart"/>
            <w:r>
              <w:rPr>
                <w:i/>
              </w:rPr>
              <w:t>person</w:t>
            </w:r>
            <w:proofErr w:type="gramEnd"/>
            <w:r>
              <w:rPr>
                <w:i/>
              </w:rPr>
              <w:t xml:space="preserve"> who can respond to any questions on these comments. </w:t>
            </w:r>
          </w:p>
        </w:tc>
        <w:tc>
          <w:tcPr>
            <w:tcW w:w="2880" w:type="dxa"/>
          </w:tcPr>
          <w:p w14:paraId="5F72322F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>Please fill in here</w:t>
            </w:r>
          </w:p>
        </w:tc>
        <w:tc>
          <w:tcPr>
            <w:tcW w:w="2340" w:type="dxa"/>
          </w:tcPr>
          <w:p w14:paraId="3AFC15CF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>Please fill in here</w:t>
            </w:r>
          </w:p>
        </w:tc>
      </w:tr>
    </w:tbl>
    <w:p w14:paraId="10A3128B" w14:textId="77777777" w:rsidR="00C4611D" w:rsidRDefault="00C4611D"/>
    <w:p w14:paraId="5B0B28E6" w14:textId="77777777" w:rsidR="00BF3F10" w:rsidRDefault="00BF3F10"/>
    <w:p w14:paraId="562CE78E" w14:textId="77777777" w:rsidR="00DC08E1" w:rsidRPr="00247A4C" w:rsidRDefault="005E7E4A">
      <w:r>
        <w:t>T</w:t>
      </w:r>
      <w:r w:rsidR="009062C7">
        <w:t>his temp</w:t>
      </w:r>
      <w:r w:rsidR="002721BC">
        <w:t>late has been created for submission of</w:t>
      </w:r>
      <w:r w:rsidR="009062C7">
        <w:t xml:space="preserve"> </w:t>
      </w:r>
      <w:r w:rsidR="002721BC">
        <w:t>stakeholder</w:t>
      </w:r>
      <w:r w:rsidR="009062C7">
        <w:t xml:space="preserve"> comments </w:t>
      </w:r>
      <w:r w:rsidR="00AB4F06">
        <w:t>on</w:t>
      </w:r>
      <w:r>
        <w:t xml:space="preserve"> </w:t>
      </w:r>
      <w:r w:rsidR="009062C7">
        <w:t xml:space="preserve">the </w:t>
      </w:r>
      <w:r>
        <w:t>topics</w:t>
      </w:r>
      <w:r w:rsidR="00C4611D">
        <w:t xml:space="preserve"> covered in the </w:t>
      </w:r>
      <w:r w:rsidR="00535F01">
        <w:t>September 22</w:t>
      </w:r>
      <w:r w:rsidR="00D411AB">
        <w:t xml:space="preserve">, </w:t>
      </w:r>
      <w:proofErr w:type="gramStart"/>
      <w:r w:rsidR="00D411AB">
        <w:t>2008</w:t>
      </w:r>
      <w:proofErr w:type="gramEnd"/>
      <w:r w:rsidR="00D411AB">
        <w:t xml:space="preserve"> </w:t>
      </w:r>
      <w:r w:rsidR="00BF3F10">
        <w:t>Credit Policy Enhancements stakeholder meeting</w:t>
      </w:r>
      <w:r w:rsidR="002721BC" w:rsidRPr="00F12347">
        <w:rPr>
          <w:i/>
        </w:rPr>
        <w:t xml:space="preserve">. </w:t>
      </w:r>
      <w:r w:rsidR="002721BC" w:rsidRPr="003148CD">
        <w:t>Upon completion of this template</w:t>
      </w:r>
      <w:r w:rsidR="00247A4C">
        <w:t>,</w:t>
      </w:r>
      <w:r w:rsidR="002721BC" w:rsidRPr="003148CD">
        <w:t xml:space="preserve"> please </w:t>
      </w:r>
      <w:r w:rsidR="00321D55">
        <w:t>email your comments</w:t>
      </w:r>
      <w:r w:rsidR="00DC08E1">
        <w:t xml:space="preserve"> (</w:t>
      </w:r>
      <w:r w:rsidR="001645D3">
        <w:t xml:space="preserve">as an attachment </w:t>
      </w:r>
      <w:r w:rsidR="00DC08E1">
        <w:t>in MS Word</w:t>
      </w:r>
      <w:r w:rsidR="001645D3">
        <w:t xml:space="preserve"> format</w:t>
      </w:r>
      <w:r w:rsidR="00DC08E1">
        <w:t xml:space="preserve">) to </w:t>
      </w:r>
      <w:hyperlink r:id="rId11" w:history="1">
        <w:r w:rsidR="00535F01" w:rsidRPr="009F32D6">
          <w:rPr>
            <w:rStyle w:val="Hyperlink"/>
          </w:rPr>
          <w:t>CreditPolicyComments@caiso.com</w:t>
        </w:r>
      </w:hyperlink>
      <w:r w:rsidR="002721BC">
        <w:t>.</w:t>
      </w:r>
      <w:r w:rsidR="00BF3F10">
        <w:t xml:space="preserve">  All comments will be posted to </w:t>
      </w:r>
      <w:r w:rsidR="00247A4C">
        <w:t xml:space="preserve">CAISO’s Credit Policy Stakeholder Process webpage at </w:t>
      </w:r>
      <w:hyperlink r:id="rId12" w:history="1">
        <w:r w:rsidR="00247A4C" w:rsidRPr="00745726">
          <w:rPr>
            <w:rStyle w:val="Hyperlink"/>
          </w:rPr>
          <w:t>http://www.caiso.com/docs/2003/04/21/2003042117001924814.html</w:t>
        </w:r>
      </w:hyperlink>
      <w:r w:rsidR="00247A4C">
        <w:t xml:space="preserve">. </w:t>
      </w:r>
    </w:p>
    <w:p w14:paraId="13BC10EC" w14:textId="77777777" w:rsidR="001645D3" w:rsidRDefault="001645D3"/>
    <w:p w14:paraId="30E1FB83" w14:textId="77777777" w:rsidR="005E7E4A" w:rsidRDefault="002721BC">
      <w:r>
        <w:t>Submissions are requested by cl</w:t>
      </w:r>
      <w:r w:rsidR="00082391">
        <w:t xml:space="preserve">ose of business on </w:t>
      </w:r>
      <w:r w:rsidR="00535F01">
        <w:rPr>
          <w:color w:val="FF0000"/>
        </w:rPr>
        <w:t>October 7</w:t>
      </w:r>
      <w:r w:rsidR="00CB0E87" w:rsidRPr="00CB0E87">
        <w:rPr>
          <w:color w:val="FF0000"/>
        </w:rPr>
        <w:t xml:space="preserve">, </w:t>
      </w:r>
      <w:proofErr w:type="gramStart"/>
      <w:r w:rsidR="00CB0E87" w:rsidRPr="00CB0E87">
        <w:rPr>
          <w:color w:val="FF0000"/>
        </w:rPr>
        <w:t>2008</w:t>
      </w:r>
      <w:proofErr w:type="gramEnd"/>
      <w:r w:rsidR="00EA7492">
        <w:rPr>
          <w:color w:val="FF0000"/>
        </w:rPr>
        <w:t xml:space="preserve"> or sooner</w:t>
      </w:r>
      <w:r>
        <w:t xml:space="preserve">. </w:t>
      </w:r>
    </w:p>
    <w:p w14:paraId="687A98E5" w14:textId="77777777" w:rsidR="003148CD" w:rsidRDefault="003148CD"/>
    <w:p w14:paraId="42486DE5" w14:textId="77777777" w:rsidR="003148CD" w:rsidRDefault="003148CD" w:rsidP="003148CD">
      <w:r>
        <w:t xml:space="preserve">Please submit your comments to the following questions for each topic in the spaces indicated. </w:t>
      </w:r>
    </w:p>
    <w:p w14:paraId="6FACC8D3" w14:textId="77777777" w:rsidR="005E7E4A" w:rsidRDefault="005E7E4A"/>
    <w:p w14:paraId="52A1304D" w14:textId="77777777" w:rsidR="00DC08E1" w:rsidRPr="00050CC3" w:rsidRDefault="006239EF" w:rsidP="003148CD">
      <w:pPr>
        <w:numPr>
          <w:ilvl w:val="0"/>
          <w:numId w:val="5"/>
        </w:numPr>
        <w:rPr>
          <w:bCs/>
        </w:rPr>
      </w:pPr>
      <w:r>
        <w:t xml:space="preserve">Do you support CAISO’s proposal </w:t>
      </w:r>
      <w:r w:rsidR="005156B2">
        <w:t>(Alternative 3) to replace the use of Credit Rating Default Probabilities and Moody’s KMV Default Probabilities</w:t>
      </w:r>
      <w:r w:rsidR="007832CB">
        <w:t xml:space="preserve"> with the use of agency issuer r</w:t>
      </w:r>
      <w:r w:rsidR="005156B2">
        <w:t>atings and Moody’s KMV Spot Credit Rating in its eight-</w:t>
      </w:r>
      <w:proofErr w:type="gramStart"/>
      <w:r w:rsidR="005156B2">
        <w:t>step process</w:t>
      </w:r>
      <w:proofErr w:type="gramEnd"/>
      <w:r w:rsidR="005156B2">
        <w:t xml:space="preserve"> credit assessment process?  Do you agree that these ratings should be blended according to the same </w:t>
      </w:r>
      <w:r w:rsidR="00984773">
        <w:t>percentages</w:t>
      </w:r>
      <w:r w:rsidR="005156B2">
        <w:t xml:space="preserve"> already established in the eight-step process?  Do you agree that </w:t>
      </w:r>
      <w:r w:rsidR="001645D3">
        <w:t xml:space="preserve">Moody’s KMV Spot Credit Rating should be used, according to the same blending </w:t>
      </w:r>
      <w:r w:rsidR="00984773">
        <w:t>percentages</w:t>
      </w:r>
      <w:r w:rsidR="001645D3">
        <w:t xml:space="preserve">, to assess whether a financial institution meets CAISO’s “reasonably acceptable” test for accepting a Letter of Credit or an Escrow Account (i.e., the blending must yield a result greater than </w:t>
      </w:r>
      <w:r w:rsidR="005A770B">
        <w:t>or equal to four (4.00)</w:t>
      </w:r>
      <w:r w:rsidR="001645D3">
        <w:t xml:space="preserve"> to be “reasonably acceptable”</w:t>
      </w:r>
      <w:r w:rsidR="00984773">
        <w:t>?</w:t>
      </w:r>
      <w:r w:rsidR="001645D3">
        <w:t>)</w:t>
      </w:r>
    </w:p>
    <w:p w14:paraId="0CC6D850" w14:textId="77777777" w:rsidR="00DC08E1" w:rsidRDefault="00DC08E1" w:rsidP="00D86764">
      <w:pPr>
        <w:ind w:left="720"/>
        <w:rPr>
          <w:rFonts w:cs="Arial"/>
          <w:bCs/>
        </w:rPr>
      </w:pPr>
    </w:p>
    <w:p w14:paraId="43651C7A" w14:textId="77777777" w:rsidR="00050CC3" w:rsidRDefault="00050CC3" w:rsidP="00D86764">
      <w:pPr>
        <w:ind w:left="720"/>
        <w:rPr>
          <w:rFonts w:cs="Arial"/>
          <w:bCs/>
        </w:rPr>
      </w:pPr>
    </w:p>
    <w:p w14:paraId="19023CA1" w14:textId="77777777" w:rsidR="00DC08E1" w:rsidRDefault="00DC08E1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05DCAAD5" w14:textId="77777777" w:rsidR="00DC08E1" w:rsidRDefault="00DC08E1" w:rsidP="00D86764">
      <w:pPr>
        <w:ind w:left="720"/>
        <w:rPr>
          <w:rFonts w:cs="Arial"/>
          <w:bCs/>
        </w:rPr>
      </w:pPr>
    </w:p>
    <w:p w14:paraId="7D9265A6" w14:textId="77777777" w:rsidR="00050CC3" w:rsidRDefault="00F03885" w:rsidP="00D8676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4527AF3" w14:textId="77777777" w:rsidR="00050CC3" w:rsidRPr="00050CC3" w:rsidRDefault="00DC7B10" w:rsidP="003148CD">
      <w:pPr>
        <w:numPr>
          <w:ilvl w:val="0"/>
          <w:numId w:val="5"/>
        </w:numPr>
        <w:rPr>
          <w:bCs/>
        </w:rPr>
      </w:pPr>
      <w:r>
        <w:t xml:space="preserve">Do you support CAISO’s proposal to expand the definition of Tangible Net Worth to exclude </w:t>
      </w:r>
      <w:r w:rsidR="001645D3">
        <w:t>assets that are earmarked for a specific purpose such as restricted a</w:t>
      </w:r>
      <w:r w:rsidR="00984773">
        <w:t xml:space="preserve">ssets and </w:t>
      </w:r>
      <w:r w:rsidR="001645D3">
        <w:t xml:space="preserve">assets </w:t>
      </w:r>
      <w:r w:rsidR="00984773">
        <w:t>related to affiliated entities</w:t>
      </w:r>
      <w:r w:rsidR="007832CB">
        <w:t>?  Do you also agree that CAISO should also exclude</w:t>
      </w:r>
      <w:r w:rsidR="00984773">
        <w:t xml:space="preserve"> highly volatile assets such as derivative assets</w:t>
      </w:r>
      <w:r w:rsidR="00D411AB">
        <w:t xml:space="preserve">? </w:t>
      </w:r>
      <w:r>
        <w:t xml:space="preserve"> </w:t>
      </w:r>
    </w:p>
    <w:p w14:paraId="1B43C0FA" w14:textId="77777777" w:rsidR="00050CC3" w:rsidRDefault="00050CC3" w:rsidP="00D86764">
      <w:pPr>
        <w:ind w:left="720"/>
        <w:rPr>
          <w:rFonts w:ascii="Arial" w:hAnsi="Arial" w:cs="Arial"/>
          <w:color w:val="000080"/>
          <w:sz w:val="20"/>
          <w:szCs w:val="20"/>
        </w:rPr>
      </w:pPr>
    </w:p>
    <w:p w14:paraId="114F04AD" w14:textId="77777777" w:rsidR="003148CD" w:rsidRDefault="003148CD" w:rsidP="00D86764">
      <w:pPr>
        <w:ind w:left="720"/>
        <w:rPr>
          <w:rFonts w:cs="Arial"/>
          <w:bCs/>
        </w:rPr>
      </w:pPr>
    </w:p>
    <w:p w14:paraId="1F7309C3" w14:textId="77777777" w:rsidR="007847DA" w:rsidRDefault="007847DA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1B4A3810" w14:textId="77777777" w:rsidR="00845346" w:rsidRDefault="00845346" w:rsidP="00D86764">
      <w:pPr>
        <w:ind w:left="720"/>
        <w:rPr>
          <w:rFonts w:cs="Arial"/>
          <w:bCs/>
        </w:rPr>
      </w:pPr>
    </w:p>
    <w:p w14:paraId="09557676" w14:textId="77777777" w:rsidR="007847DA" w:rsidRPr="003148CD" w:rsidRDefault="00F03885" w:rsidP="00F03885">
      <w:pPr>
        <w:rPr>
          <w:rFonts w:cs="Arial"/>
          <w:bCs/>
        </w:rPr>
      </w:pPr>
      <w:r>
        <w:rPr>
          <w:rFonts w:cs="Arial"/>
          <w:bCs/>
        </w:rPr>
        <w:tab/>
      </w:r>
    </w:p>
    <w:p w14:paraId="2EAE4CA2" w14:textId="77777777" w:rsidR="00050CC3" w:rsidRPr="00050CC3" w:rsidRDefault="002C1325" w:rsidP="007847DA">
      <w:pPr>
        <w:numPr>
          <w:ilvl w:val="0"/>
          <w:numId w:val="5"/>
        </w:numPr>
        <w:rPr>
          <w:bCs/>
        </w:rPr>
      </w:pPr>
      <w:r>
        <w:t xml:space="preserve">Do you support CAISO’s proposal (Alternative 2) to reduce the maximum amount of unsecured credit that </w:t>
      </w:r>
      <w:r w:rsidR="007832CB">
        <w:t>it</w:t>
      </w:r>
      <w:r>
        <w:t xml:space="preserve"> will assign to the most creditworthy party</w:t>
      </w:r>
      <w:r w:rsidR="00984773">
        <w:t xml:space="preserve"> to $100 million</w:t>
      </w:r>
      <w:r>
        <w:t>?</w:t>
      </w:r>
    </w:p>
    <w:p w14:paraId="6FBEAC6E" w14:textId="77777777" w:rsidR="007847DA" w:rsidRPr="00050CC3" w:rsidRDefault="007847DA" w:rsidP="00D86764">
      <w:pPr>
        <w:ind w:left="720"/>
        <w:rPr>
          <w:bCs/>
        </w:rPr>
      </w:pPr>
    </w:p>
    <w:p w14:paraId="00E9E00A" w14:textId="77777777" w:rsidR="007847DA" w:rsidRPr="00050CC3" w:rsidRDefault="007847DA" w:rsidP="00D86764">
      <w:pPr>
        <w:ind w:left="720"/>
        <w:rPr>
          <w:bCs/>
        </w:rPr>
      </w:pPr>
    </w:p>
    <w:p w14:paraId="27449EA6" w14:textId="77777777" w:rsidR="002F6FA5" w:rsidRDefault="002F6FA5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0E8716EF" w14:textId="77777777" w:rsidR="007847DA" w:rsidRDefault="007847DA" w:rsidP="00D86764">
      <w:pPr>
        <w:ind w:left="720"/>
        <w:rPr>
          <w:rFonts w:cs="Arial"/>
          <w:bCs/>
        </w:rPr>
      </w:pPr>
    </w:p>
    <w:p w14:paraId="6F877885" w14:textId="77777777" w:rsidR="0034540B" w:rsidRPr="0034540B" w:rsidRDefault="00F03885" w:rsidP="00F03885">
      <w:pPr>
        <w:rPr>
          <w:rFonts w:cs="Arial"/>
          <w:bCs/>
        </w:rPr>
      </w:pPr>
      <w:r>
        <w:rPr>
          <w:rFonts w:cs="Arial"/>
          <w:bCs/>
        </w:rPr>
        <w:tab/>
      </w:r>
    </w:p>
    <w:p w14:paraId="3B277686" w14:textId="77777777" w:rsidR="003148CD" w:rsidRDefault="002C1325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 xml:space="preserve">Do you support CAISO’s proposal (Alternative 2) to allow Guarantees and other forms of Financial Security </w:t>
      </w:r>
      <w:r w:rsidR="00D86764">
        <w:rPr>
          <w:rFonts w:cs="Arial"/>
          <w:bCs/>
        </w:rPr>
        <w:t>to be issued from Canadian entities?  Do you support expanding this policy to accept Financial Security from non-US / non-Canadian based entities using rules similar to those adopted by ISO New England</w:t>
      </w:r>
      <w:r w:rsidR="00B0300B">
        <w:rPr>
          <w:rFonts w:cs="Arial"/>
          <w:bCs/>
        </w:rPr>
        <w:t xml:space="preserve"> if CAISO can clear the legal hurdles and complexities of developing the necessary processes and agreement language for accepting Financial Security from foreign entities</w:t>
      </w:r>
      <w:r w:rsidR="00D86764">
        <w:rPr>
          <w:rFonts w:cs="Arial"/>
          <w:bCs/>
        </w:rPr>
        <w:t>?</w:t>
      </w:r>
      <w:r w:rsidR="00B0300B">
        <w:rPr>
          <w:rFonts w:cs="Arial"/>
          <w:bCs/>
        </w:rPr>
        <w:t xml:space="preserve">  Are ISO-NE’s restrictions sufficient and necessary?  Should other safeguards be put in place?  Should CAISO consider extending </w:t>
      </w:r>
      <w:r w:rsidR="002C78AE">
        <w:rPr>
          <w:rFonts w:cs="Arial"/>
          <w:bCs/>
        </w:rPr>
        <w:t>this policy to other types of Financial Security such as Letters of Credit?</w:t>
      </w:r>
    </w:p>
    <w:p w14:paraId="73FAB9A2" w14:textId="77777777" w:rsidR="00D86764" w:rsidRDefault="00D86764" w:rsidP="00D86764">
      <w:pPr>
        <w:ind w:left="720"/>
        <w:rPr>
          <w:rFonts w:cs="Arial"/>
          <w:bCs/>
        </w:rPr>
      </w:pPr>
    </w:p>
    <w:p w14:paraId="74B07C93" w14:textId="77777777" w:rsidR="00D86764" w:rsidRDefault="00D86764" w:rsidP="00D86764">
      <w:pPr>
        <w:ind w:left="720"/>
        <w:rPr>
          <w:rFonts w:cs="Arial"/>
          <w:bCs/>
        </w:rPr>
      </w:pPr>
    </w:p>
    <w:p w14:paraId="31A81601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1860EEEB" w14:textId="77777777" w:rsidR="00D86764" w:rsidRDefault="00D86764" w:rsidP="00D86764">
      <w:pPr>
        <w:ind w:left="720"/>
        <w:rPr>
          <w:rFonts w:cs="Arial"/>
          <w:bCs/>
        </w:rPr>
      </w:pPr>
    </w:p>
    <w:p w14:paraId="59BA7CF2" w14:textId="77777777" w:rsidR="00D86764" w:rsidRDefault="00D86764" w:rsidP="00D86764">
      <w:pPr>
        <w:ind w:left="720"/>
        <w:rPr>
          <w:rFonts w:cs="Arial"/>
          <w:bCs/>
        </w:rPr>
      </w:pPr>
    </w:p>
    <w:p w14:paraId="62582601" w14:textId="77777777" w:rsidR="00D86764" w:rsidRDefault="00984773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 xml:space="preserve">Do you agree that an Affiliate Guaranty, where a Guarantor backing the obligations of one Affiliate must provide the same Guaranty for all of its Affiliates in the CAISO market, is essential to </w:t>
      </w:r>
      <w:r w:rsidR="00B0300B">
        <w:rPr>
          <w:rFonts w:cs="Arial"/>
          <w:bCs/>
        </w:rPr>
        <w:t xml:space="preserve">help </w:t>
      </w:r>
      <w:r>
        <w:rPr>
          <w:rFonts w:cs="Arial"/>
          <w:bCs/>
        </w:rPr>
        <w:t xml:space="preserve">mitigate </w:t>
      </w:r>
      <w:r w:rsidR="00B0300B">
        <w:rPr>
          <w:rFonts w:cs="Arial"/>
          <w:bCs/>
        </w:rPr>
        <w:t xml:space="preserve">the risk of a payment default by an under-secured and thinly capitalized Affiliate?  </w:t>
      </w:r>
      <w:r w:rsidR="002C78AE">
        <w:rPr>
          <w:rFonts w:cs="Arial"/>
          <w:bCs/>
        </w:rPr>
        <w:t xml:space="preserve">Does the concept </w:t>
      </w:r>
      <w:proofErr w:type="gramStart"/>
      <w:r w:rsidR="002C78AE">
        <w:rPr>
          <w:rFonts w:cs="Arial"/>
          <w:bCs/>
        </w:rPr>
        <w:t>presented</w:t>
      </w:r>
      <w:proofErr w:type="gramEnd"/>
      <w:r w:rsidR="002C78AE">
        <w:rPr>
          <w:rFonts w:cs="Arial"/>
          <w:bCs/>
        </w:rPr>
        <w:t xml:space="preserve"> present regulatory issues for non-regulated parents backing regulated and non-regulated affiliates?</w:t>
      </w:r>
    </w:p>
    <w:p w14:paraId="6AB6E940" w14:textId="77777777" w:rsidR="00D86764" w:rsidRDefault="00D86764" w:rsidP="00D86764">
      <w:pPr>
        <w:ind w:left="720"/>
        <w:rPr>
          <w:rFonts w:cs="Arial"/>
          <w:bCs/>
        </w:rPr>
      </w:pPr>
    </w:p>
    <w:p w14:paraId="061F23E1" w14:textId="77777777" w:rsidR="00D86764" w:rsidRDefault="00D86764" w:rsidP="00D86764">
      <w:pPr>
        <w:ind w:left="720"/>
        <w:rPr>
          <w:rFonts w:cs="Arial"/>
          <w:bCs/>
        </w:rPr>
      </w:pPr>
    </w:p>
    <w:p w14:paraId="73B02A3B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4850FBD0" w14:textId="77777777" w:rsidR="00D86764" w:rsidRDefault="00D86764" w:rsidP="00D86764">
      <w:pPr>
        <w:ind w:left="720"/>
        <w:rPr>
          <w:rFonts w:cs="Arial"/>
          <w:bCs/>
        </w:rPr>
      </w:pPr>
    </w:p>
    <w:p w14:paraId="65D9476E" w14:textId="77777777" w:rsidR="00D86764" w:rsidRDefault="00D86764" w:rsidP="00D86764">
      <w:pPr>
        <w:ind w:left="720"/>
        <w:rPr>
          <w:rFonts w:cs="Arial"/>
          <w:bCs/>
        </w:rPr>
      </w:pPr>
    </w:p>
    <w:p w14:paraId="5B96443D" w14:textId="77777777" w:rsidR="00D86764" w:rsidRDefault="002C78AE" w:rsidP="00D86764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>Do you support CAISO’s proposal (Alternative 1) to reduce the time to post additional Financial Security from five (5) Business Days to three (3) Business Days?</w:t>
      </w:r>
    </w:p>
    <w:p w14:paraId="2EC4CCFA" w14:textId="77777777" w:rsidR="00D86764" w:rsidRDefault="00D86764" w:rsidP="00D86764">
      <w:pPr>
        <w:ind w:left="720"/>
        <w:rPr>
          <w:rFonts w:cs="Arial"/>
          <w:bCs/>
        </w:rPr>
      </w:pPr>
    </w:p>
    <w:p w14:paraId="4EF84D1D" w14:textId="77777777" w:rsidR="002C78AE" w:rsidRDefault="002C78AE" w:rsidP="00D86764">
      <w:pPr>
        <w:ind w:left="720"/>
        <w:rPr>
          <w:rFonts w:cs="Arial"/>
          <w:bCs/>
        </w:rPr>
      </w:pPr>
    </w:p>
    <w:p w14:paraId="26B33784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44657E99" w14:textId="77777777" w:rsidR="00D86764" w:rsidRDefault="00D86764" w:rsidP="00D86764">
      <w:pPr>
        <w:ind w:left="720"/>
        <w:rPr>
          <w:rFonts w:cs="Arial"/>
          <w:bCs/>
        </w:rPr>
      </w:pPr>
    </w:p>
    <w:p w14:paraId="04B67D8A" w14:textId="77777777" w:rsidR="00D86764" w:rsidRDefault="00F03885" w:rsidP="00F03885">
      <w:pPr>
        <w:rPr>
          <w:rFonts w:cs="Arial"/>
          <w:bCs/>
        </w:rPr>
      </w:pPr>
      <w:r>
        <w:rPr>
          <w:rFonts w:cs="Arial"/>
          <w:bCs/>
        </w:rPr>
        <w:tab/>
      </w:r>
    </w:p>
    <w:p w14:paraId="67FAD552" w14:textId="77777777" w:rsidR="00D86764" w:rsidRDefault="002C78AE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lastRenderedPageBreak/>
        <w:t xml:space="preserve">Should CAISO change its policy allowing 100% of Market Participant’s available credit (i.e., Aggregate Credit Limit minus Estimated Aggregate Liability) to be available for a Congestion Revenue Rights (“CRR”) auction?  </w:t>
      </w:r>
      <w:r w:rsidR="00F53B27">
        <w:rPr>
          <w:rFonts w:cs="Arial"/>
          <w:bCs/>
        </w:rPr>
        <w:t>Is setting the amount of available credit at 90% of available credit a reasonable approach</w:t>
      </w:r>
      <w:r w:rsidR="00F53B27" w:rsidRPr="00F53B27">
        <w:rPr>
          <w:rFonts w:cs="Arial"/>
          <w:bCs/>
        </w:rPr>
        <w:t xml:space="preserve"> </w:t>
      </w:r>
      <w:r w:rsidR="00F53B27">
        <w:rPr>
          <w:rFonts w:cs="Arial"/>
          <w:bCs/>
        </w:rPr>
        <w:t>to ensure some buffer remains in place for a Market Participant’s other market activities?  Should a lower threshold be considered?</w:t>
      </w:r>
    </w:p>
    <w:p w14:paraId="1CD6A1DA" w14:textId="77777777" w:rsidR="00D86764" w:rsidRDefault="00D86764" w:rsidP="00D86764">
      <w:pPr>
        <w:ind w:left="720"/>
        <w:rPr>
          <w:rFonts w:cs="Arial"/>
          <w:bCs/>
        </w:rPr>
      </w:pPr>
    </w:p>
    <w:p w14:paraId="710BF3B8" w14:textId="77777777" w:rsidR="00D86764" w:rsidRDefault="00D86764" w:rsidP="00F03885">
      <w:pPr>
        <w:ind w:left="720"/>
        <w:rPr>
          <w:rFonts w:cs="Arial"/>
          <w:bCs/>
        </w:rPr>
      </w:pPr>
    </w:p>
    <w:p w14:paraId="7291DDA4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60F0C9E6" w14:textId="77777777" w:rsidR="00D86764" w:rsidRDefault="00D86764" w:rsidP="00D86764">
      <w:pPr>
        <w:ind w:left="720"/>
        <w:rPr>
          <w:rFonts w:cs="Arial"/>
          <w:bCs/>
        </w:rPr>
      </w:pPr>
    </w:p>
    <w:p w14:paraId="107E56FF" w14:textId="77777777" w:rsidR="00D86764" w:rsidRDefault="00D86764" w:rsidP="00D86764">
      <w:pPr>
        <w:ind w:left="720"/>
        <w:rPr>
          <w:rFonts w:cs="Arial"/>
          <w:bCs/>
        </w:rPr>
      </w:pPr>
    </w:p>
    <w:p w14:paraId="59DC3154" w14:textId="77777777" w:rsidR="00D86764" w:rsidRDefault="00F53B27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 xml:space="preserve">Are you in favor of the CAISO funding a reserve account as a means of providing a source of funds in the case of a payment default?  How would you propose that such an account be funded?  </w:t>
      </w:r>
    </w:p>
    <w:p w14:paraId="6F5D424C" w14:textId="77777777" w:rsidR="00D86764" w:rsidRDefault="00D86764" w:rsidP="00F03885">
      <w:pPr>
        <w:ind w:left="720"/>
        <w:rPr>
          <w:rFonts w:cs="Arial"/>
          <w:bCs/>
        </w:rPr>
      </w:pPr>
    </w:p>
    <w:p w14:paraId="67C55531" w14:textId="77777777" w:rsidR="00D86764" w:rsidRDefault="00D86764" w:rsidP="00D86764">
      <w:pPr>
        <w:ind w:left="720"/>
        <w:rPr>
          <w:rFonts w:cs="Arial"/>
          <w:bCs/>
        </w:rPr>
      </w:pPr>
    </w:p>
    <w:p w14:paraId="1862351C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0A9C33C3" w14:textId="77777777" w:rsidR="00D86764" w:rsidRDefault="00D86764" w:rsidP="00D86764">
      <w:pPr>
        <w:ind w:left="720"/>
        <w:rPr>
          <w:rFonts w:cs="Arial"/>
          <w:bCs/>
        </w:rPr>
      </w:pPr>
    </w:p>
    <w:p w14:paraId="257A8959" w14:textId="77777777" w:rsidR="00D86764" w:rsidRDefault="00D86764" w:rsidP="00D86764">
      <w:pPr>
        <w:ind w:left="720"/>
        <w:rPr>
          <w:rFonts w:cs="Arial"/>
          <w:bCs/>
        </w:rPr>
      </w:pPr>
    </w:p>
    <w:p w14:paraId="68F3D613" w14:textId="77777777" w:rsidR="00D86764" w:rsidRDefault="00F53B27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>Are there other payment default risk mitigation strategies, of those that were presented, that you support and would want CAISO to investigate further such as a Line of Credit, credit insurance, establish</w:t>
      </w:r>
      <w:r w:rsidR="00F93528">
        <w:rPr>
          <w:rFonts w:cs="Arial"/>
          <w:bCs/>
        </w:rPr>
        <w:t>ing a captive insurance company, developing a blended finite risk program or a capital market transfer to provide potential funding sources in the case of payment default?  Are there other strategies that were not covered that CAISO should investigate and/or pursue?</w:t>
      </w:r>
    </w:p>
    <w:p w14:paraId="6D688053" w14:textId="77777777" w:rsidR="00D86764" w:rsidRDefault="00D86764" w:rsidP="00D86764">
      <w:pPr>
        <w:ind w:left="720"/>
        <w:rPr>
          <w:rFonts w:cs="Arial"/>
          <w:bCs/>
        </w:rPr>
      </w:pPr>
    </w:p>
    <w:p w14:paraId="5D0FDFCB" w14:textId="77777777" w:rsidR="00D86764" w:rsidRDefault="00D86764" w:rsidP="00D86764">
      <w:pPr>
        <w:ind w:left="720"/>
        <w:rPr>
          <w:rFonts w:cs="Arial"/>
          <w:bCs/>
        </w:rPr>
      </w:pPr>
    </w:p>
    <w:p w14:paraId="45096176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13ECC93B" w14:textId="77777777" w:rsidR="00D86764" w:rsidRDefault="00D86764" w:rsidP="00D86764">
      <w:pPr>
        <w:ind w:left="720"/>
        <w:rPr>
          <w:rFonts w:cs="Arial"/>
          <w:bCs/>
        </w:rPr>
      </w:pPr>
    </w:p>
    <w:p w14:paraId="7DF09C58" w14:textId="77777777" w:rsidR="00D86764" w:rsidRDefault="00F03885" w:rsidP="00F03885">
      <w:pPr>
        <w:rPr>
          <w:rFonts w:cs="Arial"/>
          <w:bCs/>
        </w:rPr>
      </w:pPr>
      <w:r>
        <w:rPr>
          <w:rFonts w:cs="Arial"/>
          <w:bCs/>
        </w:rPr>
        <w:tab/>
      </w:r>
    </w:p>
    <w:p w14:paraId="12AAD9DA" w14:textId="77777777" w:rsidR="00D86764" w:rsidRDefault="00F93528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>Do you support CAISO changing its loss sharing/chargeback mechanism to include the allocation of a payment default to all Market Participants – not just net creditors during the default month?  What measure should be used to apportion exposure to the chargeback?</w:t>
      </w:r>
    </w:p>
    <w:p w14:paraId="3F7439AA" w14:textId="77777777" w:rsidR="00D86764" w:rsidRDefault="00D86764" w:rsidP="00D86764">
      <w:pPr>
        <w:ind w:left="720"/>
        <w:rPr>
          <w:rFonts w:cs="Arial"/>
          <w:bCs/>
        </w:rPr>
      </w:pPr>
    </w:p>
    <w:p w14:paraId="68D514CF" w14:textId="77777777" w:rsidR="00D86764" w:rsidRDefault="00D86764" w:rsidP="00D86764">
      <w:pPr>
        <w:ind w:left="720"/>
        <w:rPr>
          <w:rFonts w:cs="Arial"/>
          <w:bCs/>
        </w:rPr>
      </w:pPr>
    </w:p>
    <w:p w14:paraId="518C322C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0A6DAE2F" w14:textId="77777777" w:rsidR="00D86764" w:rsidRDefault="00D86764" w:rsidP="00D86764">
      <w:pPr>
        <w:ind w:left="720"/>
        <w:rPr>
          <w:rFonts w:cs="Arial"/>
          <w:bCs/>
        </w:rPr>
      </w:pPr>
    </w:p>
    <w:p w14:paraId="2CBFFFA4" w14:textId="77777777" w:rsidR="00D86764" w:rsidRDefault="00D86764" w:rsidP="00D86764">
      <w:pPr>
        <w:ind w:left="720"/>
        <w:rPr>
          <w:rFonts w:cs="Arial"/>
          <w:bCs/>
        </w:rPr>
      </w:pPr>
    </w:p>
    <w:p w14:paraId="5CBF03C1" w14:textId="77777777" w:rsidR="00D86764" w:rsidRDefault="006618B7" w:rsidP="00D86764">
      <w:pPr>
        <w:ind w:left="720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26FFE067" w14:textId="77777777" w:rsidR="00D86764" w:rsidRDefault="00F93528" w:rsidP="002C1325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 xml:space="preserve">Do you agree with CAISO’s proposal to assess financial penalties on Market Participants who are late in paying their invoices two or more times in a rolling </w:t>
      </w:r>
      <w:proofErr w:type="gramStart"/>
      <w:r>
        <w:rPr>
          <w:rFonts w:cs="Arial"/>
          <w:bCs/>
        </w:rPr>
        <w:t>12 month</w:t>
      </w:r>
      <w:proofErr w:type="gramEnd"/>
      <w:r>
        <w:rPr>
          <w:rFonts w:cs="Arial"/>
          <w:bCs/>
        </w:rPr>
        <w:t xml:space="preserve"> period?  Are the financial penalties sufficient to ensure compliance with the </w:t>
      </w:r>
      <w:r w:rsidR="009419A9">
        <w:rPr>
          <w:rFonts w:cs="Arial"/>
          <w:bCs/>
        </w:rPr>
        <w:t xml:space="preserve">payment provisions of the </w:t>
      </w:r>
      <w:r>
        <w:rPr>
          <w:rFonts w:cs="Arial"/>
          <w:bCs/>
        </w:rPr>
        <w:t>CAISO Tari</w:t>
      </w:r>
      <w:r w:rsidR="009419A9">
        <w:rPr>
          <w:rFonts w:cs="Arial"/>
          <w:bCs/>
        </w:rPr>
        <w:t xml:space="preserve">ff?  Do you agree that Market Participants who are late a third time in a rolling </w:t>
      </w:r>
      <w:proofErr w:type="gramStart"/>
      <w:r w:rsidR="009419A9">
        <w:rPr>
          <w:rFonts w:cs="Arial"/>
          <w:bCs/>
        </w:rPr>
        <w:t>12 month</w:t>
      </w:r>
      <w:proofErr w:type="gramEnd"/>
      <w:r w:rsidR="009419A9">
        <w:rPr>
          <w:rFonts w:cs="Arial"/>
          <w:bCs/>
        </w:rPr>
        <w:t xml:space="preserve"> period should also have to post cash in lieu of any unsecured credit for a period of 12 months of on-time payments?  Do you agree that any penalties collected should fund a reserve account that can be used as a source of funds in the case of a payment default?</w:t>
      </w:r>
    </w:p>
    <w:p w14:paraId="4150885D" w14:textId="77777777" w:rsidR="00D86764" w:rsidRDefault="00D86764" w:rsidP="00D86764">
      <w:pPr>
        <w:ind w:left="720"/>
        <w:rPr>
          <w:rFonts w:cs="Arial"/>
          <w:bCs/>
        </w:rPr>
      </w:pPr>
    </w:p>
    <w:p w14:paraId="498C336C" w14:textId="77777777" w:rsidR="00D86764" w:rsidRDefault="00D86764" w:rsidP="00D86764">
      <w:pPr>
        <w:ind w:left="720"/>
        <w:rPr>
          <w:rFonts w:cs="Arial"/>
          <w:bCs/>
        </w:rPr>
      </w:pPr>
    </w:p>
    <w:p w14:paraId="229D95B2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128490E1" w14:textId="77777777" w:rsidR="00D86764" w:rsidRDefault="00D86764" w:rsidP="00D86764">
      <w:pPr>
        <w:ind w:left="720"/>
        <w:rPr>
          <w:rFonts w:cs="Arial"/>
          <w:bCs/>
        </w:rPr>
      </w:pPr>
    </w:p>
    <w:p w14:paraId="02B6B898" w14:textId="77777777" w:rsidR="00D86764" w:rsidRDefault="00F03885" w:rsidP="00F03885">
      <w:pPr>
        <w:rPr>
          <w:rFonts w:cs="Arial"/>
          <w:bCs/>
        </w:rPr>
      </w:pPr>
      <w:r>
        <w:rPr>
          <w:rFonts w:cs="Arial"/>
          <w:bCs/>
        </w:rPr>
        <w:tab/>
      </w:r>
    </w:p>
    <w:p w14:paraId="36D4632E" w14:textId="77777777" w:rsidR="009419A9" w:rsidRDefault="009419A9" w:rsidP="009419A9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 xml:space="preserve">Do you agree with CAISO’s proposal to assess a financial penalty on a Market Participant who is late in posting additional collateral on the third and each subsequent time in a rolling </w:t>
      </w:r>
      <w:proofErr w:type="gramStart"/>
      <w:r>
        <w:rPr>
          <w:rFonts w:cs="Arial"/>
          <w:bCs/>
        </w:rPr>
        <w:t>12 month</w:t>
      </w:r>
      <w:proofErr w:type="gramEnd"/>
      <w:r>
        <w:rPr>
          <w:rFonts w:cs="Arial"/>
          <w:bCs/>
        </w:rPr>
        <w:t xml:space="preserve"> period?  Are the financial penalties sufficient to ensure compliance with the collateral posting provisions of the CAISO Tariff?  Do you agree that any penalties collected should fund a reserve account that can be used as a source of funds in the case of a payment default?</w:t>
      </w:r>
    </w:p>
    <w:p w14:paraId="0CEDABE4" w14:textId="77777777" w:rsidR="009419A9" w:rsidRDefault="009419A9" w:rsidP="00F03885">
      <w:pPr>
        <w:ind w:left="720"/>
        <w:rPr>
          <w:rFonts w:cs="Arial"/>
          <w:bCs/>
        </w:rPr>
      </w:pPr>
    </w:p>
    <w:p w14:paraId="14E7FB95" w14:textId="77777777" w:rsidR="009419A9" w:rsidRDefault="009419A9" w:rsidP="00F03885">
      <w:pPr>
        <w:ind w:left="720"/>
        <w:rPr>
          <w:rFonts w:cs="Arial"/>
          <w:bCs/>
        </w:rPr>
      </w:pPr>
    </w:p>
    <w:p w14:paraId="22AB4DFC" w14:textId="77777777" w:rsidR="009419A9" w:rsidRDefault="009419A9" w:rsidP="009419A9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20DB81A2" w14:textId="77777777" w:rsidR="009419A9" w:rsidRDefault="009419A9" w:rsidP="009419A9">
      <w:pPr>
        <w:ind w:left="720"/>
        <w:rPr>
          <w:rFonts w:cs="Arial"/>
          <w:bCs/>
        </w:rPr>
      </w:pPr>
    </w:p>
    <w:p w14:paraId="2008E976" w14:textId="77777777" w:rsidR="009419A9" w:rsidRDefault="00F03885" w:rsidP="009419A9">
      <w:pPr>
        <w:rPr>
          <w:rFonts w:cs="Arial"/>
          <w:bCs/>
        </w:rPr>
      </w:pPr>
      <w:r>
        <w:rPr>
          <w:rFonts w:cs="Arial"/>
          <w:bCs/>
        </w:rPr>
        <w:tab/>
      </w:r>
    </w:p>
    <w:p w14:paraId="10F123E5" w14:textId="77777777" w:rsidR="009419A9" w:rsidRDefault="009419A9" w:rsidP="009419A9">
      <w:pPr>
        <w:numPr>
          <w:ilvl w:val="0"/>
          <w:numId w:val="5"/>
        </w:numPr>
        <w:rPr>
          <w:rFonts w:cs="Arial"/>
          <w:bCs/>
        </w:rPr>
      </w:pPr>
      <w:r>
        <w:rPr>
          <w:rFonts w:cs="Arial"/>
          <w:bCs/>
        </w:rPr>
        <w:t>Do you support the creation of a Credit Working G</w:t>
      </w:r>
      <w:r w:rsidR="00850E97">
        <w:rPr>
          <w:rFonts w:cs="Arial"/>
          <w:bCs/>
        </w:rPr>
        <w:t>roup (“CWG”) as a means to formalize the CAISO’s approach to managing credit policy change?  How do you envision the CWG adding value to CAISO’s existing stakeholder process (e.g., regularity of meetings, membership, etc.)?</w:t>
      </w:r>
    </w:p>
    <w:p w14:paraId="0DFABB5F" w14:textId="77777777" w:rsidR="00D86764" w:rsidRDefault="00D86764" w:rsidP="00F03885">
      <w:pPr>
        <w:ind w:left="720"/>
        <w:rPr>
          <w:rFonts w:cs="Arial"/>
          <w:bCs/>
        </w:rPr>
      </w:pPr>
    </w:p>
    <w:p w14:paraId="66F2E14F" w14:textId="77777777" w:rsidR="00D86764" w:rsidRDefault="00D86764" w:rsidP="00F03885">
      <w:pPr>
        <w:ind w:left="720"/>
        <w:rPr>
          <w:rFonts w:cs="Arial"/>
          <w:bCs/>
        </w:rPr>
      </w:pPr>
    </w:p>
    <w:p w14:paraId="0EBA7D94" w14:textId="77777777" w:rsidR="00D86764" w:rsidRDefault="00D86764" w:rsidP="00D86764">
      <w:pPr>
        <w:ind w:left="720"/>
        <w:rPr>
          <w:rFonts w:cs="Arial"/>
          <w:bCs/>
        </w:rPr>
      </w:pPr>
      <w:r>
        <w:rPr>
          <w:rFonts w:cs="Arial"/>
          <w:bCs/>
        </w:rPr>
        <w:t>(Submit Comments Here)</w:t>
      </w:r>
    </w:p>
    <w:p w14:paraId="23703D22" w14:textId="77777777" w:rsidR="000F4BA7" w:rsidRDefault="000F4BA7" w:rsidP="00D86764">
      <w:pPr>
        <w:ind w:left="720"/>
        <w:rPr>
          <w:rFonts w:cs="Arial"/>
          <w:bCs/>
        </w:rPr>
      </w:pPr>
    </w:p>
    <w:p w14:paraId="23E5F4D4" w14:textId="77777777" w:rsidR="000F4BA7" w:rsidRDefault="000F4BA7" w:rsidP="00D86764">
      <w:pPr>
        <w:ind w:left="720"/>
        <w:rPr>
          <w:rFonts w:cs="Arial"/>
          <w:bCs/>
        </w:rPr>
      </w:pPr>
    </w:p>
    <w:p w14:paraId="47EE3AB0" w14:textId="77777777" w:rsidR="000F4BA7" w:rsidRDefault="000F4BA7" w:rsidP="00845346">
      <w:pPr>
        <w:ind w:left="360"/>
        <w:rPr>
          <w:rFonts w:cs="Arial"/>
          <w:bCs/>
        </w:rPr>
      </w:pPr>
    </w:p>
    <w:p w14:paraId="194E4B54" w14:textId="77777777" w:rsidR="000F4BA7" w:rsidRDefault="000F4BA7" w:rsidP="00845346">
      <w:pPr>
        <w:ind w:left="360"/>
        <w:rPr>
          <w:rFonts w:cs="Arial"/>
          <w:bCs/>
        </w:rPr>
      </w:pPr>
    </w:p>
    <w:p w14:paraId="6BACA3BD" w14:textId="77777777" w:rsidR="00BB3B52" w:rsidRPr="003148CD" w:rsidRDefault="00BB3B52" w:rsidP="00BB3B52">
      <w:pPr>
        <w:rPr>
          <w:rFonts w:cs="Arial"/>
          <w:bCs/>
        </w:rPr>
      </w:pPr>
    </w:p>
    <w:sectPr w:rsidR="00BB3B52" w:rsidRPr="003148CD" w:rsidSect="005D6A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34B3" w14:textId="77777777" w:rsidR="006F767A" w:rsidRDefault="006F767A">
      <w:r>
        <w:separator/>
      </w:r>
    </w:p>
  </w:endnote>
  <w:endnote w:type="continuationSeparator" w:id="0">
    <w:p w14:paraId="2EB1DB58" w14:textId="77777777" w:rsidR="006F767A" w:rsidRDefault="006F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B2A1" w14:textId="77777777" w:rsidR="007832CB" w:rsidRDefault="007832CB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770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10D2" w14:textId="77777777" w:rsidR="006F767A" w:rsidRDefault="006F767A">
      <w:r>
        <w:separator/>
      </w:r>
    </w:p>
  </w:footnote>
  <w:footnote w:type="continuationSeparator" w:id="0">
    <w:p w14:paraId="553CEDF4" w14:textId="77777777" w:rsidR="006F767A" w:rsidRDefault="006F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0CCE" w14:textId="77777777" w:rsidR="007832CB" w:rsidRPr="00C4611D" w:rsidRDefault="007832CB" w:rsidP="00C4611D">
    <w:pPr>
      <w:pStyle w:val="Header"/>
      <w:tabs>
        <w:tab w:val="clear" w:pos="4320"/>
        <w:tab w:val="clear" w:pos="8640"/>
        <w:tab w:val="right" w:pos="9360"/>
      </w:tabs>
      <w:rPr>
        <w:b/>
        <w:sz w:val="22"/>
        <w:szCs w:val="22"/>
      </w:rPr>
    </w:pPr>
    <w:r w:rsidRPr="00C4611D">
      <w:rPr>
        <w:b/>
        <w:sz w:val="22"/>
        <w:szCs w:val="22"/>
      </w:rPr>
      <w:t>CAISO</w:t>
    </w:r>
    <w:r w:rsidRPr="00C4611D">
      <w:rPr>
        <w:b/>
        <w:sz w:val="22"/>
        <w:szCs w:val="22"/>
      </w:rPr>
      <w:tab/>
      <w:t>Comments Template</w:t>
    </w:r>
    <w:r>
      <w:rPr>
        <w:b/>
        <w:sz w:val="22"/>
        <w:szCs w:val="22"/>
      </w:rPr>
      <w:t xml:space="preserve"> for Credit Policy Enhancements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D33"/>
    <w:multiLevelType w:val="hybridMultilevel"/>
    <w:tmpl w:val="48041CD8"/>
    <w:lvl w:ilvl="0" w:tplc="FCE20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4002E"/>
    <w:multiLevelType w:val="hybridMultilevel"/>
    <w:tmpl w:val="14985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139673">
    <w:abstractNumId w:val="2"/>
  </w:num>
  <w:num w:numId="2" w16cid:durableId="1709406291">
    <w:abstractNumId w:val="0"/>
  </w:num>
  <w:num w:numId="3" w16cid:durableId="1390500388">
    <w:abstractNumId w:val="1"/>
  </w:num>
  <w:num w:numId="4" w16cid:durableId="1777168155">
    <w:abstractNumId w:val="3"/>
  </w:num>
  <w:num w:numId="5" w16cid:durableId="983241880">
    <w:abstractNumId w:val="4"/>
  </w:num>
  <w:num w:numId="6" w16cid:durableId="133726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7"/>
    <w:rsid w:val="00016BA4"/>
    <w:rsid w:val="0003256C"/>
    <w:rsid w:val="00050CC3"/>
    <w:rsid w:val="00076E59"/>
    <w:rsid w:val="00082391"/>
    <w:rsid w:val="000A29C5"/>
    <w:rsid w:val="000C35C3"/>
    <w:rsid w:val="000F4BA7"/>
    <w:rsid w:val="00132776"/>
    <w:rsid w:val="001645D3"/>
    <w:rsid w:val="00190D22"/>
    <w:rsid w:val="001D41DE"/>
    <w:rsid w:val="001E3E66"/>
    <w:rsid w:val="00210982"/>
    <w:rsid w:val="00211BD0"/>
    <w:rsid w:val="00236B61"/>
    <w:rsid w:val="00247A4C"/>
    <w:rsid w:val="00254B0B"/>
    <w:rsid w:val="002721BC"/>
    <w:rsid w:val="00290F7A"/>
    <w:rsid w:val="002C1325"/>
    <w:rsid w:val="002C78AE"/>
    <w:rsid w:val="002F6FA5"/>
    <w:rsid w:val="003148CD"/>
    <w:rsid w:val="00314E03"/>
    <w:rsid w:val="00321D55"/>
    <w:rsid w:val="00342BD7"/>
    <w:rsid w:val="0034540B"/>
    <w:rsid w:val="003573D7"/>
    <w:rsid w:val="00372ABF"/>
    <w:rsid w:val="003950B1"/>
    <w:rsid w:val="003B3349"/>
    <w:rsid w:val="003C266F"/>
    <w:rsid w:val="00412B9D"/>
    <w:rsid w:val="00446ECA"/>
    <w:rsid w:val="00482178"/>
    <w:rsid w:val="004B7419"/>
    <w:rsid w:val="004E09CC"/>
    <w:rsid w:val="005156B2"/>
    <w:rsid w:val="00535F01"/>
    <w:rsid w:val="00561BF8"/>
    <w:rsid w:val="00565E9E"/>
    <w:rsid w:val="005873E3"/>
    <w:rsid w:val="005A0E37"/>
    <w:rsid w:val="005A770B"/>
    <w:rsid w:val="005D59B2"/>
    <w:rsid w:val="005D6A75"/>
    <w:rsid w:val="005E0E8C"/>
    <w:rsid w:val="005E7E4A"/>
    <w:rsid w:val="005F5B7F"/>
    <w:rsid w:val="00617496"/>
    <w:rsid w:val="006239EF"/>
    <w:rsid w:val="00644345"/>
    <w:rsid w:val="006618B7"/>
    <w:rsid w:val="006D3005"/>
    <w:rsid w:val="006F767A"/>
    <w:rsid w:val="00733909"/>
    <w:rsid w:val="007536D5"/>
    <w:rsid w:val="00762C18"/>
    <w:rsid w:val="007832CB"/>
    <w:rsid w:val="007847DA"/>
    <w:rsid w:val="007906A7"/>
    <w:rsid w:val="00791D8E"/>
    <w:rsid w:val="007C5248"/>
    <w:rsid w:val="007E3286"/>
    <w:rsid w:val="00820AD2"/>
    <w:rsid w:val="00845346"/>
    <w:rsid w:val="00846C54"/>
    <w:rsid w:val="008473A4"/>
    <w:rsid w:val="00850E97"/>
    <w:rsid w:val="009062C7"/>
    <w:rsid w:val="00920588"/>
    <w:rsid w:val="00931D27"/>
    <w:rsid w:val="009419A9"/>
    <w:rsid w:val="00953746"/>
    <w:rsid w:val="00984773"/>
    <w:rsid w:val="009B259F"/>
    <w:rsid w:val="009B5132"/>
    <w:rsid w:val="00A034A8"/>
    <w:rsid w:val="00A56CF5"/>
    <w:rsid w:val="00A63C08"/>
    <w:rsid w:val="00A67657"/>
    <w:rsid w:val="00AA250A"/>
    <w:rsid w:val="00AB4F06"/>
    <w:rsid w:val="00AE164B"/>
    <w:rsid w:val="00AF1EFA"/>
    <w:rsid w:val="00B0300B"/>
    <w:rsid w:val="00B920AB"/>
    <w:rsid w:val="00BB3B52"/>
    <w:rsid w:val="00BC6F0A"/>
    <w:rsid w:val="00BF3F10"/>
    <w:rsid w:val="00C3470E"/>
    <w:rsid w:val="00C4611D"/>
    <w:rsid w:val="00CB0E87"/>
    <w:rsid w:val="00D26FCC"/>
    <w:rsid w:val="00D411AB"/>
    <w:rsid w:val="00D86764"/>
    <w:rsid w:val="00DA7A4E"/>
    <w:rsid w:val="00DB570C"/>
    <w:rsid w:val="00DC08E1"/>
    <w:rsid w:val="00DC7B10"/>
    <w:rsid w:val="00E520AB"/>
    <w:rsid w:val="00EA7492"/>
    <w:rsid w:val="00F03885"/>
    <w:rsid w:val="00F12347"/>
    <w:rsid w:val="00F46DD5"/>
    <w:rsid w:val="00F53B27"/>
    <w:rsid w:val="00F569D0"/>
    <w:rsid w:val="00F93528"/>
    <w:rsid w:val="00FA3C61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498105"/>
  <w15:chartTrackingRefBased/>
  <w15:docId w15:val="{BD2E0315-5447-4F28-9D0F-8E1EBB71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iso.com/docs/2003/04/21/2003042117001924814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ditPolicyComments@cai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7;#Stakeholder processes|71659ab1-dac7-419e-9529-abc47c232b66;#185;#stakeholder meeting|8025968f-9056-4c6d-a251-ca47de55a03d;#2227;#Credit Policy Stakeholder Meeting 22-Sep-2008|a826e36e-3240-4548-9c15-20b0fc825aee;#1;#Not Archived|d4ac4999-fa66-470b-a400-7ab6671d1fab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3A621-9AB0-4E0A-AE58-60EFCE3A20A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BBDF9CF9-E703-4B68-9C29-FC45A5F83046}"/>
</file>

<file path=customXml/itemProps3.xml><?xml version="1.0" encoding="utf-8"?>
<ds:datastoreItem xmlns:ds="http://schemas.openxmlformats.org/officeDocument/2006/customXml" ds:itemID="{316A99B4-9883-440E-92DB-570A4D67E6CA}"/>
</file>

<file path=customXml/itemProps4.xml><?xml version="1.0" encoding="utf-8"?>
<ds:datastoreItem xmlns:ds="http://schemas.openxmlformats.org/officeDocument/2006/customXml" ds:itemID="{7CC96BA8-67ED-423D-BEB1-C9330934E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CRR Stakeholder </vt:lpstr>
    </vt:vector>
  </TitlesOfParts>
  <Company>California ISO</Company>
  <LinksUpToDate>false</LinksUpToDate>
  <CharactersWithSpaces>6607</CharactersWithSpaces>
  <SharedDoc>false</SharedDoc>
  <HLinks>
    <vt:vector size="12" baseType="variant"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http://www.caiso.com/docs/2003/04/21/2003042117001924814.html</vt:lpwstr>
      </vt:variant>
      <vt:variant>
        <vt:lpwstr/>
      </vt:variant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mailto:CreditPolicyComments@caiso.com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Template: Credit Policy Stakeholder Meeting 22-Sep-2008</dc:title>
  <dc:subject/>
  <dc:creator>James Blatchford</dc:creator>
  <cp:keywords/>
  <dc:description/>
  <cp:lastModifiedBy>Valladares, Angela</cp:lastModifiedBy>
  <cp:revision>2</cp:revision>
  <cp:lastPrinted>2008-02-20T14:51:00Z</cp:lastPrinted>
  <dcterms:created xsi:type="dcterms:W3CDTF">2025-09-19T22:01:00Z</dcterms:created>
  <dcterms:modified xsi:type="dcterms:W3CDTF">2025-09-19T22:01:00Z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2008-09-22T09:00:48Z</vt:lpwstr>
  </property>
  <property fmtid="{D5CDD505-2E9C-101B-9397-08002B2CF9AE}" pid="3" name="ISOKeywords">
    <vt:lpwstr>185;#stakeholder meeting|8025968f-9056-4c6d-a251-ca47de55a03d</vt:lpwstr>
  </property>
  <property fmtid="{D5CDD505-2E9C-101B-9397-08002B2CF9AE}" pid="4" name="ISOGroup">
    <vt:lpwstr>2227;#Credit Policy Stakeholder Meeting 22-Sep-2008|a826e36e-3240-4548-9c15-20b0fc825aee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25489300.0000000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http://www-archive.caiso.com/204a/204a7ec031b90.doc, http://www.caiso.com/204a/204a7ec031b90.doc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http://www-archive.caiso.com/204a/204a7ec031b90.doc, /204a/204a7ec031b90.doc</vt:lpwstr>
  </property>
  <property fmtid="{D5CDD505-2E9C-101B-9397-08002B2CF9AE}" pid="12" name="ContentTypeId">
    <vt:lpwstr>0x010100776092249CC62C48AA17033F357BFB4B</vt:lpwstr>
  </property>
</Properties>
</file>