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64671" w14:textId="77777777" w:rsidR="005E7E4A" w:rsidRDefault="005E7E4A" w:rsidP="005E7E4A">
      <w:pPr>
        <w:jc w:val="center"/>
        <w:rPr>
          <w:b/>
          <w:sz w:val="40"/>
          <w:szCs w:val="40"/>
        </w:rPr>
      </w:pPr>
      <w:r w:rsidRPr="005E7E4A">
        <w:rPr>
          <w:b/>
          <w:sz w:val="40"/>
          <w:szCs w:val="40"/>
        </w:rPr>
        <w:t xml:space="preserve">Stakeholder </w:t>
      </w:r>
      <w:r w:rsidR="005D6A75">
        <w:rPr>
          <w:b/>
          <w:sz w:val="40"/>
          <w:szCs w:val="40"/>
        </w:rPr>
        <w:t>Comment</w:t>
      </w:r>
      <w:r w:rsidR="00C4611D">
        <w:rPr>
          <w:b/>
          <w:sz w:val="40"/>
          <w:szCs w:val="40"/>
        </w:rPr>
        <w:t>s</w:t>
      </w:r>
      <w:r w:rsidR="005D6A75">
        <w:rPr>
          <w:b/>
          <w:sz w:val="40"/>
          <w:szCs w:val="40"/>
        </w:rPr>
        <w:t xml:space="preserve"> Template</w:t>
      </w:r>
    </w:p>
    <w:p w14:paraId="7F2932FD" w14:textId="77777777" w:rsidR="00C4611D" w:rsidRDefault="00C4611D" w:rsidP="005E7E4A">
      <w:pPr>
        <w:jc w:val="center"/>
        <w:rPr>
          <w:b/>
          <w:sz w:val="40"/>
          <w:szCs w:val="40"/>
        </w:rPr>
      </w:pPr>
    </w:p>
    <w:p w14:paraId="6A962139" w14:textId="77777777" w:rsidR="00C4611D" w:rsidRDefault="00C22671" w:rsidP="00B0485F">
      <w:pPr>
        <w:jc w:val="center"/>
        <w:rPr>
          <w:b/>
          <w:sz w:val="40"/>
          <w:szCs w:val="40"/>
        </w:rPr>
      </w:pPr>
      <w:r>
        <w:rPr>
          <w:b/>
          <w:sz w:val="40"/>
          <w:szCs w:val="40"/>
        </w:rPr>
        <w:t>Transmission Access Charge Options</w:t>
      </w:r>
    </w:p>
    <w:p w14:paraId="1C8577BA" w14:textId="77777777" w:rsidR="004341EF" w:rsidRDefault="004341EF" w:rsidP="00B0485F">
      <w:pPr>
        <w:jc w:val="center"/>
        <w:rPr>
          <w:b/>
          <w:sz w:val="40"/>
          <w:szCs w:val="40"/>
        </w:rPr>
      </w:pPr>
    </w:p>
    <w:p w14:paraId="474EE340" w14:textId="77777777" w:rsidR="00475BC2" w:rsidRPr="009B67F9" w:rsidRDefault="001F38D0" w:rsidP="00B0485F">
      <w:pPr>
        <w:jc w:val="center"/>
        <w:rPr>
          <w:b/>
          <w:color w:val="FF0000"/>
          <w:sz w:val="36"/>
          <w:szCs w:val="36"/>
        </w:rPr>
      </w:pPr>
      <w:r w:rsidRPr="009B67F9">
        <w:rPr>
          <w:b/>
          <w:color w:val="FF0000"/>
          <w:sz w:val="36"/>
          <w:szCs w:val="36"/>
        </w:rPr>
        <w:t>August 11</w:t>
      </w:r>
      <w:r w:rsidR="004341EF" w:rsidRPr="009B67F9">
        <w:rPr>
          <w:b/>
          <w:color w:val="FF0000"/>
          <w:sz w:val="36"/>
          <w:szCs w:val="36"/>
        </w:rPr>
        <w:t xml:space="preserve">, </w:t>
      </w:r>
      <w:proofErr w:type="gramStart"/>
      <w:r w:rsidR="004341EF" w:rsidRPr="009B67F9">
        <w:rPr>
          <w:b/>
          <w:color w:val="FF0000"/>
          <w:sz w:val="36"/>
          <w:szCs w:val="36"/>
        </w:rPr>
        <w:t>2016</w:t>
      </w:r>
      <w:proofErr w:type="gramEnd"/>
      <w:r w:rsidR="004341EF" w:rsidRPr="009B67F9">
        <w:rPr>
          <w:b/>
          <w:color w:val="FF0000"/>
          <w:sz w:val="36"/>
          <w:szCs w:val="36"/>
        </w:rPr>
        <w:t xml:space="preserve"> </w:t>
      </w:r>
      <w:r w:rsidRPr="009B67F9">
        <w:rPr>
          <w:b/>
          <w:color w:val="FF0000"/>
          <w:sz w:val="36"/>
          <w:szCs w:val="36"/>
        </w:rPr>
        <w:t xml:space="preserve">Stakeholder Working Group Meeting </w:t>
      </w:r>
    </w:p>
    <w:p w14:paraId="3870EF6F" w14:textId="77777777" w:rsidR="005E7E4A" w:rsidRPr="00C4611D" w:rsidRDefault="005E7E4A" w:rsidP="00C4611D"/>
    <w:p w14:paraId="5F9E3F5A" w14:textId="77777777" w:rsidR="00C4611D" w:rsidRDefault="00C4611D"/>
    <w:p w14:paraId="54F14B37" w14:textId="77777777" w:rsidR="001F38D0" w:rsidRDefault="001F38D0"/>
    <w:tbl>
      <w:tblPr>
        <w:tblpPr w:leftFromText="180" w:rightFromText="180" w:vertAnchor="page" w:horzAnchor="page" w:tblpX="1576" w:tblpY="4482"/>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268"/>
        <w:gridCol w:w="2894"/>
        <w:gridCol w:w="2351"/>
      </w:tblGrid>
      <w:tr w:rsidR="004341EF" w14:paraId="7150F1A0" w14:textId="77777777" w:rsidTr="001F38D0">
        <w:trPr>
          <w:trHeight w:val="556"/>
        </w:trPr>
        <w:tc>
          <w:tcPr>
            <w:tcW w:w="4268" w:type="dxa"/>
            <w:shd w:val="clear" w:color="auto" w:fill="C0C0C0"/>
          </w:tcPr>
          <w:p w14:paraId="47DF6FEC" w14:textId="77777777" w:rsidR="004341EF" w:rsidRPr="00605A43" w:rsidRDefault="004341EF" w:rsidP="004341EF">
            <w:pPr>
              <w:rPr>
                <w:b/>
              </w:rPr>
            </w:pPr>
            <w:r w:rsidRPr="00605A43">
              <w:rPr>
                <w:b/>
              </w:rPr>
              <w:t xml:space="preserve">Submitted by </w:t>
            </w:r>
          </w:p>
        </w:tc>
        <w:tc>
          <w:tcPr>
            <w:tcW w:w="2894" w:type="dxa"/>
            <w:shd w:val="clear" w:color="auto" w:fill="C0C0C0"/>
          </w:tcPr>
          <w:p w14:paraId="61D57CA3" w14:textId="77777777" w:rsidR="004341EF" w:rsidRPr="00605A43" w:rsidRDefault="004341EF" w:rsidP="004341EF">
            <w:pPr>
              <w:rPr>
                <w:b/>
              </w:rPr>
            </w:pPr>
            <w:r w:rsidRPr="00605A43">
              <w:rPr>
                <w:b/>
              </w:rPr>
              <w:t>Company</w:t>
            </w:r>
          </w:p>
        </w:tc>
        <w:tc>
          <w:tcPr>
            <w:tcW w:w="2351" w:type="dxa"/>
            <w:shd w:val="clear" w:color="auto" w:fill="C0C0C0"/>
          </w:tcPr>
          <w:p w14:paraId="561B5321" w14:textId="77777777" w:rsidR="004341EF" w:rsidRPr="00605A43" w:rsidRDefault="004341EF" w:rsidP="004341EF">
            <w:pPr>
              <w:rPr>
                <w:b/>
              </w:rPr>
            </w:pPr>
            <w:r w:rsidRPr="00605A43">
              <w:rPr>
                <w:b/>
              </w:rPr>
              <w:t>Date Submitted</w:t>
            </w:r>
          </w:p>
        </w:tc>
      </w:tr>
      <w:tr w:rsidR="004341EF" w14:paraId="4C1D37CE" w14:textId="77777777" w:rsidTr="001F38D0">
        <w:tblPrEx>
          <w:shd w:val="clear" w:color="auto" w:fill="auto"/>
        </w:tblPrEx>
        <w:trPr>
          <w:trHeight w:val="1113"/>
        </w:trPr>
        <w:tc>
          <w:tcPr>
            <w:tcW w:w="4268" w:type="dxa"/>
          </w:tcPr>
          <w:p w14:paraId="495282C2" w14:textId="77777777" w:rsidR="004341EF" w:rsidRPr="00605A43" w:rsidRDefault="004341EF" w:rsidP="004341EF">
            <w:pPr>
              <w:rPr>
                <w:i/>
              </w:rPr>
            </w:pPr>
            <w:r w:rsidRPr="00605A43">
              <w:rPr>
                <w:i/>
              </w:rPr>
              <w:t>(submitter name</w:t>
            </w:r>
            <w:r>
              <w:rPr>
                <w:i/>
              </w:rPr>
              <w:t xml:space="preserve"> and phone number</w:t>
            </w:r>
            <w:r w:rsidRPr="00605A43">
              <w:rPr>
                <w:i/>
              </w:rPr>
              <w:t>)</w:t>
            </w:r>
          </w:p>
        </w:tc>
        <w:tc>
          <w:tcPr>
            <w:tcW w:w="2894" w:type="dxa"/>
          </w:tcPr>
          <w:p w14:paraId="7D6F1B39" w14:textId="77777777" w:rsidR="004341EF" w:rsidRPr="00605A43" w:rsidRDefault="004341EF" w:rsidP="004341EF">
            <w:pPr>
              <w:rPr>
                <w:i/>
              </w:rPr>
            </w:pPr>
            <w:r w:rsidRPr="00605A43">
              <w:rPr>
                <w:i/>
              </w:rPr>
              <w:t>(company name)</w:t>
            </w:r>
          </w:p>
        </w:tc>
        <w:tc>
          <w:tcPr>
            <w:tcW w:w="2351" w:type="dxa"/>
          </w:tcPr>
          <w:p w14:paraId="2A74563D" w14:textId="77777777" w:rsidR="004341EF" w:rsidRPr="00605A43" w:rsidRDefault="004341EF" w:rsidP="004341EF">
            <w:pPr>
              <w:rPr>
                <w:i/>
              </w:rPr>
            </w:pPr>
            <w:r w:rsidRPr="00605A43">
              <w:rPr>
                <w:i/>
              </w:rPr>
              <w:t>(date)</w:t>
            </w:r>
          </w:p>
        </w:tc>
      </w:tr>
    </w:tbl>
    <w:p w14:paraId="17F2A4EB" w14:textId="77777777" w:rsidR="00784522" w:rsidRDefault="005E7E4A">
      <w:r>
        <w:t>T</w:t>
      </w:r>
      <w:r w:rsidR="009062C7">
        <w:t>h</w:t>
      </w:r>
      <w:r w:rsidR="004341EF">
        <w:t>e ISO provides th</w:t>
      </w:r>
      <w:r w:rsidR="009062C7">
        <w:t>is temp</w:t>
      </w:r>
      <w:r w:rsidR="002721BC">
        <w:t>late for submission of</w:t>
      </w:r>
      <w:r w:rsidR="009062C7">
        <w:t xml:space="preserve"> </w:t>
      </w:r>
      <w:r w:rsidR="002721BC">
        <w:t>stakeholder</w:t>
      </w:r>
      <w:r w:rsidR="00EA48FF">
        <w:t xml:space="preserve"> comments</w:t>
      </w:r>
      <w:r w:rsidR="001F38D0">
        <w:t xml:space="preserve"> on the August 11</w:t>
      </w:r>
      <w:r w:rsidR="004341EF">
        <w:t xml:space="preserve">, </w:t>
      </w:r>
      <w:proofErr w:type="gramStart"/>
      <w:r w:rsidR="004341EF">
        <w:t>2016</w:t>
      </w:r>
      <w:proofErr w:type="gramEnd"/>
      <w:r w:rsidR="001F38D0">
        <w:t xml:space="preserve"> stakeholder working group meeting. Topic</w:t>
      </w:r>
      <w:r w:rsidR="00D04C44">
        <w:t xml:space="preserve"> 1 of the templat</w:t>
      </w:r>
      <w:r w:rsidR="001F38D0">
        <w:t>e is for comments on the default cost allocation provisions for new regional transmission facilities, the topic of the morning session of the working group. Topic 2</w:t>
      </w:r>
      <w:r w:rsidR="00D04C44">
        <w:t xml:space="preserve"> is for comments on the </w:t>
      </w:r>
      <w:r w:rsidR="001F38D0">
        <w:t xml:space="preserve">region-wide TAC rate for exports, which the presentation referred to as the “export access charge” (EAC) and was the topic of the afternoon session of the working group. </w:t>
      </w:r>
      <w:r w:rsidR="00B66F97">
        <w:t>The ISO invites</w:t>
      </w:r>
      <w:r w:rsidR="00784522">
        <w:t xml:space="preserve"> stakeholders to offer their suggestions for how to impro</w:t>
      </w:r>
      <w:r w:rsidR="00B66F97">
        <w:t>ve upon the ideas discussed in the working group meeting</w:t>
      </w:r>
      <w:r w:rsidR="00CE3E06">
        <w:t xml:space="preserve">. </w:t>
      </w:r>
    </w:p>
    <w:p w14:paraId="52AD7EFF" w14:textId="77777777" w:rsidR="00784522" w:rsidRDefault="00784522"/>
    <w:p w14:paraId="64EDDC3E" w14:textId="77777777" w:rsidR="00C22671" w:rsidRDefault="00C22671">
      <w:r>
        <w:t xml:space="preserve">The </w:t>
      </w:r>
      <w:r w:rsidR="001F38D0">
        <w:t>presentation for the August 11 meeting and</w:t>
      </w:r>
      <w:r>
        <w:t xml:space="preserve"> other information related to this initiative may be found at: </w:t>
      </w:r>
      <w:hyperlink r:id="rId12" w:history="1">
        <w:r w:rsidRPr="00F03496">
          <w:rPr>
            <w:rStyle w:val="Hyperlink"/>
          </w:rPr>
          <w:t>http://www.caiso.com/informed/Pages/StakeholderProcesses/TransmissionAccessChargeOptions.aspx</w:t>
        </w:r>
      </w:hyperlink>
      <w:r>
        <w:t xml:space="preserve"> </w:t>
      </w:r>
      <w:r w:rsidR="00C86E58">
        <w:t xml:space="preserve"> </w:t>
      </w:r>
    </w:p>
    <w:p w14:paraId="14272E09" w14:textId="77777777" w:rsidR="00C22671" w:rsidRDefault="00C22671"/>
    <w:p w14:paraId="3E1DDE3F" w14:textId="77777777" w:rsidR="005E7E4A" w:rsidRDefault="002721BC">
      <w:r w:rsidRPr="003148CD">
        <w:t xml:space="preserve">Upon completion of this template please submit </w:t>
      </w:r>
      <w:r w:rsidR="00F610DA">
        <w:t xml:space="preserve">it </w:t>
      </w:r>
      <w:r w:rsidRPr="003148CD">
        <w:t xml:space="preserve">to </w:t>
      </w:r>
      <w:hyperlink r:id="rId13" w:history="1">
        <w:r w:rsidR="00BB2E03" w:rsidRPr="00E26B11">
          <w:rPr>
            <w:rStyle w:val="Hyperlink"/>
          </w:rPr>
          <w:t>initiativecomments@caiso.com</w:t>
        </w:r>
      </w:hyperlink>
      <w:r w:rsidR="00BB2E03">
        <w:t xml:space="preserve">. </w:t>
      </w:r>
      <w:r w:rsidR="00C86E58">
        <w:t xml:space="preserve"> </w:t>
      </w:r>
      <w:r>
        <w:t>Submissions are requested by cl</w:t>
      </w:r>
      <w:r w:rsidR="001F38D0">
        <w:t xml:space="preserve">ose of business on </w:t>
      </w:r>
      <w:r w:rsidR="001F38D0" w:rsidRPr="001F38D0">
        <w:rPr>
          <w:b/>
        </w:rPr>
        <w:t xml:space="preserve">August </w:t>
      </w:r>
      <w:r w:rsidR="001F38D0">
        <w:rPr>
          <w:b/>
        </w:rPr>
        <w:t>25</w:t>
      </w:r>
      <w:r w:rsidR="004765D6">
        <w:rPr>
          <w:b/>
        </w:rPr>
        <w:t>, 2016</w:t>
      </w:r>
      <w:r w:rsidR="004F3593">
        <w:rPr>
          <w:b/>
        </w:rPr>
        <w:t>.</w:t>
      </w:r>
      <w:r w:rsidR="00EB6BE4">
        <w:t xml:space="preserve">  </w:t>
      </w:r>
    </w:p>
    <w:p w14:paraId="1AE3DB99" w14:textId="77777777" w:rsidR="00F610DA" w:rsidRDefault="00F610DA"/>
    <w:p w14:paraId="326C45B7" w14:textId="77777777" w:rsidR="001F38D0" w:rsidRDefault="001F38D0"/>
    <w:p w14:paraId="7EBB3BBE" w14:textId="77777777" w:rsidR="004A53D0" w:rsidRPr="009206EA" w:rsidRDefault="001F38D0">
      <w:pPr>
        <w:rPr>
          <w:b/>
          <w:sz w:val="28"/>
        </w:rPr>
      </w:pPr>
      <w:bookmarkStart w:id="0" w:name="OLE_LINK1"/>
      <w:bookmarkStart w:id="1" w:name="OLE_LINK2"/>
      <w:r w:rsidRPr="009206EA">
        <w:rPr>
          <w:b/>
          <w:sz w:val="28"/>
        </w:rPr>
        <w:t xml:space="preserve">Topic </w:t>
      </w:r>
      <w:r w:rsidR="004A53D0" w:rsidRPr="009206EA">
        <w:rPr>
          <w:b/>
          <w:sz w:val="28"/>
        </w:rPr>
        <w:t>1. Default Cost Allocation Provisions for New Regional Transmission Facilities</w:t>
      </w:r>
    </w:p>
    <w:bookmarkEnd w:id="0"/>
    <w:bookmarkEnd w:id="1"/>
    <w:p w14:paraId="6FEFE60D" w14:textId="77777777" w:rsidR="004A53D0" w:rsidRDefault="004A53D0"/>
    <w:p w14:paraId="61596EA4" w14:textId="77777777" w:rsidR="001E6C3C" w:rsidRPr="001E6C3C" w:rsidRDefault="001E6C3C">
      <w:pPr>
        <w:rPr>
          <w:b/>
        </w:rPr>
      </w:pPr>
      <w:r w:rsidRPr="001E6C3C">
        <w:rPr>
          <w:b/>
        </w:rPr>
        <w:t>Context</w:t>
      </w:r>
    </w:p>
    <w:p w14:paraId="3EF67566" w14:textId="77777777" w:rsidR="001E6C3C" w:rsidRDefault="001E6C3C"/>
    <w:p w14:paraId="1002B282" w14:textId="77777777" w:rsidR="0099776A" w:rsidRDefault="00B66F97">
      <w:r w:rsidRPr="00B66F97">
        <w:t xml:space="preserve">For </w:t>
      </w:r>
      <w:proofErr w:type="gramStart"/>
      <w:r>
        <w:t>purposes</w:t>
      </w:r>
      <w:proofErr w:type="gramEnd"/>
      <w:r>
        <w:t xml:space="preserve"> </w:t>
      </w:r>
      <w:r w:rsidRPr="00B66F97">
        <w:t>the working group discussion the</w:t>
      </w:r>
      <w:r>
        <w:t xml:space="preserve"> ISO assumed that the current structure of the transmission planning process (TPP) would be retained for the expanded BAA. That is, the TPP would consist of a first phase for specifying and adopting planning assumptions including public policy directives that would drive transmission needs, as well as a study plan. The second phase would consist of a sequential process for performing planning studies and identifying reliability projects, followed by policy-driven projects, and finally economic projects. </w:t>
      </w:r>
      <w:r w:rsidR="0099776A">
        <w:t xml:space="preserve">With each successive </w:t>
      </w:r>
      <w:r w:rsidR="0099776A">
        <w:lastRenderedPageBreak/>
        <w:t xml:space="preserve">project category, the ISO may identify a project that serves the need of a project identified in a prior category, in which case the project would be labeled by the last category in which it was identified, but its cost allocation would reflect the benefits in all categories. </w:t>
      </w:r>
    </w:p>
    <w:p w14:paraId="5286E0A5" w14:textId="77777777" w:rsidR="0099776A" w:rsidRDefault="0099776A"/>
    <w:p w14:paraId="1B64F55B" w14:textId="77777777" w:rsidR="009B67F9" w:rsidRDefault="009B67F9">
      <w:r>
        <w:t>By design t</w:t>
      </w:r>
      <w:r w:rsidR="00F006E4">
        <w:t xml:space="preserve">hese two </w:t>
      </w:r>
      <w:r w:rsidR="0099776A">
        <w:t xml:space="preserve">TPP </w:t>
      </w:r>
      <w:r w:rsidR="00F006E4">
        <w:t xml:space="preserve">phases </w:t>
      </w:r>
      <w:r w:rsidR="00B326A5">
        <w:t>take 15 months</w:t>
      </w:r>
      <w:r w:rsidR="0099776A">
        <w:t xml:space="preserve">, at the end of which the ISO </w:t>
      </w:r>
      <w:r>
        <w:t>would present</w:t>
      </w:r>
      <w:r w:rsidR="0099776A">
        <w:t xml:space="preserve"> the comprehensive transmission plan </w:t>
      </w:r>
      <w:r>
        <w:t>for approval to</w:t>
      </w:r>
      <w:r w:rsidR="00F006E4">
        <w:t xml:space="preserve"> the governing board f</w:t>
      </w:r>
      <w:r w:rsidR="008034C1">
        <w:t>or the expanded BAA</w:t>
      </w:r>
      <w:r w:rsidR="00F006E4">
        <w:t xml:space="preserve">. </w:t>
      </w:r>
      <w:r>
        <w:t xml:space="preserve">At the working group meeting the ISO also pointed out that while the concept of a “body of state regulators” or “Western States Committee” is still under discussion in the context of governance for the expanded BAA, no details have been developed or proposed regarding this entity’s role </w:t>
      </w:r>
      <w:proofErr w:type="gramStart"/>
      <w:r>
        <w:t>with regard to</w:t>
      </w:r>
      <w:proofErr w:type="gramEnd"/>
      <w:r>
        <w:t xml:space="preserve"> transmission planning and cost allocation. Moreover, once the default provisions being discussed in the working group </w:t>
      </w:r>
      <w:r w:rsidR="008377BF">
        <w:t xml:space="preserve">are finalized, filed and </w:t>
      </w:r>
      <w:r>
        <w:t>have been approved by FERC for inclusion in the ISO tariff</w:t>
      </w:r>
      <w:r w:rsidR="008377BF">
        <w:t xml:space="preserve">, any variations or deviations from those provisions would also have to be filed and approved by FERC. </w:t>
      </w:r>
      <w:r w:rsidR="00CC6CC8">
        <w:t xml:space="preserve">Stakeholders should therefore view the current effort to develop default cost allocation provisions </w:t>
      </w:r>
      <w:proofErr w:type="gramStart"/>
      <w:r w:rsidR="00CC6CC8">
        <w:t>as</w:t>
      </w:r>
      <w:proofErr w:type="gramEnd"/>
      <w:r w:rsidR="00CC6CC8">
        <w:t xml:space="preserve"> determining the rules that would govern transmission cost allocation for the expanded BAA. </w:t>
      </w:r>
    </w:p>
    <w:p w14:paraId="0B256E9E" w14:textId="77777777" w:rsidR="008377BF" w:rsidRDefault="008377BF"/>
    <w:p w14:paraId="36114C9C" w14:textId="77777777" w:rsidR="00B66F97" w:rsidRDefault="0070496B">
      <w:r>
        <w:t>Stakeholders should assume for purposes</w:t>
      </w:r>
      <w:r w:rsidR="008377BF">
        <w:t xml:space="preserve"> of their comments that the current ISO</w:t>
      </w:r>
      <w:r>
        <w:t xml:space="preserve"> TPP structure would be</w:t>
      </w:r>
      <w:r w:rsidR="000C5683">
        <w:t xml:space="preserve"> followed in an expanded TPP performed</w:t>
      </w:r>
      <w:r>
        <w:t xml:space="preserve"> for the expanded BAA. Parties wishing to comment on or suggest alternatives to these assumptions may add any additional comments at the end of this topic. </w:t>
      </w:r>
    </w:p>
    <w:p w14:paraId="50B4D2C4" w14:textId="77777777" w:rsidR="001E6C3C" w:rsidRDefault="001E6C3C"/>
    <w:p w14:paraId="440677BA" w14:textId="77777777" w:rsidR="001E6C3C" w:rsidRPr="001E6C3C" w:rsidRDefault="001E6C3C">
      <w:pPr>
        <w:rPr>
          <w:b/>
        </w:rPr>
      </w:pPr>
      <w:r w:rsidRPr="001E6C3C">
        <w:rPr>
          <w:b/>
        </w:rPr>
        <w:t>Questions</w:t>
      </w:r>
    </w:p>
    <w:p w14:paraId="472C0232" w14:textId="77777777" w:rsidR="004A53D0" w:rsidRPr="001F38D0" w:rsidRDefault="004A53D0" w:rsidP="004A53D0">
      <w:pPr>
        <w:widowControl w:val="0"/>
        <w:autoSpaceDE w:val="0"/>
        <w:autoSpaceDN w:val="0"/>
        <w:adjustRightInd w:val="0"/>
        <w:rPr>
          <w:color w:val="191919"/>
          <w:szCs w:val="30"/>
        </w:rPr>
      </w:pPr>
    </w:p>
    <w:p w14:paraId="7E5D1A04" w14:textId="77777777" w:rsidR="00B7499E" w:rsidRPr="0066488B" w:rsidRDefault="003E26BD" w:rsidP="0066488B">
      <w:pPr>
        <w:widowControl w:val="0"/>
        <w:numPr>
          <w:ilvl w:val="0"/>
          <w:numId w:val="13"/>
        </w:numPr>
        <w:autoSpaceDE w:val="0"/>
        <w:autoSpaceDN w:val="0"/>
        <w:adjustRightInd w:val="0"/>
        <w:rPr>
          <w:szCs w:val="30"/>
        </w:rPr>
      </w:pPr>
      <w:r w:rsidRPr="0066488B">
        <w:rPr>
          <w:szCs w:val="30"/>
        </w:rPr>
        <w:t xml:space="preserve">The working group presentation assumed </w:t>
      </w:r>
      <w:r w:rsidR="003D62E0" w:rsidRPr="0066488B">
        <w:rPr>
          <w:szCs w:val="30"/>
        </w:rPr>
        <w:t xml:space="preserve">we would use </w:t>
      </w:r>
      <w:r w:rsidRPr="0066488B">
        <w:rPr>
          <w:szCs w:val="30"/>
        </w:rPr>
        <w:t xml:space="preserve">the current Transmission Economic Assessment Methodology (TEAM) to calculate </w:t>
      </w:r>
      <w:r w:rsidR="00AC38EA" w:rsidRPr="0066488B">
        <w:rPr>
          <w:szCs w:val="30"/>
        </w:rPr>
        <w:t xml:space="preserve">a project’s </w:t>
      </w:r>
      <w:r w:rsidRPr="0066488B">
        <w:rPr>
          <w:szCs w:val="30"/>
        </w:rPr>
        <w:t xml:space="preserve">economic benefits </w:t>
      </w:r>
      <w:r w:rsidR="00AC38EA" w:rsidRPr="0066488B">
        <w:rPr>
          <w:szCs w:val="30"/>
        </w:rPr>
        <w:t xml:space="preserve">to the </w:t>
      </w:r>
      <w:r w:rsidRPr="0066488B">
        <w:rPr>
          <w:szCs w:val="30"/>
        </w:rPr>
        <w:t xml:space="preserve">BAA as a whole and to each of the sub-regions. </w:t>
      </w:r>
      <w:r w:rsidR="00AC38EA" w:rsidRPr="0066488B">
        <w:rPr>
          <w:szCs w:val="30"/>
        </w:rPr>
        <w:t>Currently</w:t>
      </w:r>
      <w:r w:rsidRPr="0066488B">
        <w:rPr>
          <w:szCs w:val="30"/>
        </w:rPr>
        <w:t xml:space="preserve"> TEAM </w:t>
      </w:r>
      <w:r w:rsidR="00AC38EA" w:rsidRPr="0066488B">
        <w:rPr>
          <w:szCs w:val="30"/>
        </w:rPr>
        <w:t xml:space="preserve">calculates </w:t>
      </w:r>
      <w:r w:rsidRPr="0066488B">
        <w:rPr>
          <w:szCs w:val="30"/>
        </w:rPr>
        <w:t xml:space="preserve">the </w:t>
      </w:r>
      <w:r w:rsidR="00AC38EA" w:rsidRPr="0066488B">
        <w:rPr>
          <w:szCs w:val="30"/>
        </w:rPr>
        <w:t>following types of benefits:</w:t>
      </w:r>
      <w:r w:rsidRPr="0066488B">
        <w:rPr>
          <w:szCs w:val="30"/>
        </w:rPr>
        <w:t xml:space="preserve"> efficiency of the economic dispatch, reduction of transmission line losses</w:t>
      </w:r>
      <w:r w:rsidR="00A97713" w:rsidRPr="0066488B">
        <w:rPr>
          <w:szCs w:val="30"/>
        </w:rPr>
        <w:t>, and reduction of</w:t>
      </w:r>
      <w:r w:rsidRPr="0066488B">
        <w:rPr>
          <w:szCs w:val="30"/>
        </w:rPr>
        <w:t xml:space="preserve"> resource adequacy capacity costs. </w:t>
      </w:r>
      <w:r w:rsidR="0066488B">
        <w:rPr>
          <w:szCs w:val="30"/>
        </w:rPr>
        <w:t xml:space="preserve">Are these </w:t>
      </w:r>
      <w:r w:rsidR="00B7499E" w:rsidRPr="0066488B">
        <w:rPr>
          <w:szCs w:val="30"/>
        </w:rPr>
        <w:t>economic benefit</w:t>
      </w:r>
      <w:r w:rsidR="0066488B">
        <w:rPr>
          <w:szCs w:val="30"/>
        </w:rPr>
        <w:t xml:space="preserve"> type</w:t>
      </w:r>
      <w:r w:rsidR="00B7499E" w:rsidRPr="0066488B">
        <w:rPr>
          <w:szCs w:val="30"/>
        </w:rPr>
        <w:t>s sufficient for purposes of cost allocat</w:t>
      </w:r>
      <w:r w:rsidR="0066488B">
        <w:rPr>
          <w:szCs w:val="30"/>
        </w:rPr>
        <w:t xml:space="preserve">ion, or should </w:t>
      </w:r>
      <w:r w:rsidR="00B7499E" w:rsidRPr="0066488B">
        <w:rPr>
          <w:szCs w:val="30"/>
        </w:rPr>
        <w:t xml:space="preserve">other types of benefits be </w:t>
      </w:r>
      <w:r w:rsidR="0066488B" w:rsidRPr="0066488B">
        <w:rPr>
          <w:szCs w:val="30"/>
        </w:rPr>
        <w:t>included</w:t>
      </w:r>
      <w:r w:rsidR="00C27F29">
        <w:rPr>
          <w:szCs w:val="30"/>
        </w:rPr>
        <w:t>?</w:t>
      </w:r>
      <w:r w:rsidR="0066488B" w:rsidRPr="0066488B">
        <w:rPr>
          <w:szCs w:val="30"/>
        </w:rPr>
        <w:t xml:space="preserve"> Please describe any</w:t>
      </w:r>
      <w:r w:rsidR="00B7499E" w:rsidRPr="0066488B">
        <w:rPr>
          <w:szCs w:val="30"/>
        </w:rPr>
        <w:t xml:space="preserve"> additional benefit typ</w:t>
      </w:r>
      <w:r w:rsidR="0066488B" w:rsidRPr="0066488B">
        <w:rPr>
          <w:szCs w:val="30"/>
        </w:rPr>
        <w:t>e</w:t>
      </w:r>
      <w:r w:rsidR="00B7499E" w:rsidRPr="0066488B">
        <w:rPr>
          <w:szCs w:val="30"/>
        </w:rPr>
        <w:t>s</w:t>
      </w:r>
      <w:r w:rsidR="0066488B" w:rsidRPr="0066488B">
        <w:rPr>
          <w:szCs w:val="30"/>
        </w:rPr>
        <w:t xml:space="preserve"> you would include in the benefits assessment and suggest how they could be quantified. </w:t>
      </w:r>
    </w:p>
    <w:p w14:paraId="54BC1432" w14:textId="77777777" w:rsidR="003E26BD" w:rsidRDefault="003E26BD" w:rsidP="004A53D0">
      <w:pPr>
        <w:widowControl w:val="0"/>
        <w:autoSpaceDE w:val="0"/>
        <w:autoSpaceDN w:val="0"/>
        <w:adjustRightInd w:val="0"/>
        <w:rPr>
          <w:szCs w:val="30"/>
        </w:rPr>
      </w:pPr>
    </w:p>
    <w:p w14:paraId="4E5FAF09" w14:textId="77777777" w:rsidR="0066488B" w:rsidRDefault="0066488B" w:rsidP="004A53D0">
      <w:pPr>
        <w:widowControl w:val="0"/>
        <w:autoSpaceDE w:val="0"/>
        <w:autoSpaceDN w:val="0"/>
        <w:adjustRightInd w:val="0"/>
        <w:rPr>
          <w:szCs w:val="30"/>
        </w:rPr>
      </w:pPr>
    </w:p>
    <w:p w14:paraId="47CAC330" w14:textId="77777777" w:rsidR="00EB1DC7" w:rsidRDefault="00EB1DC7" w:rsidP="004A53D0">
      <w:pPr>
        <w:widowControl w:val="0"/>
        <w:autoSpaceDE w:val="0"/>
        <w:autoSpaceDN w:val="0"/>
        <w:adjustRightInd w:val="0"/>
        <w:rPr>
          <w:szCs w:val="30"/>
        </w:rPr>
      </w:pPr>
    </w:p>
    <w:p w14:paraId="48AED6E3" w14:textId="77777777" w:rsidR="0066488B" w:rsidRDefault="0066488B" w:rsidP="004A53D0">
      <w:pPr>
        <w:widowControl w:val="0"/>
        <w:autoSpaceDE w:val="0"/>
        <w:autoSpaceDN w:val="0"/>
        <w:adjustRightInd w:val="0"/>
        <w:rPr>
          <w:szCs w:val="30"/>
        </w:rPr>
      </w:pPr>
    </w:p>
    <w:p w14:paraId="7676A31F" w14:textId="77777777" w:rsidR="0066488B" w:rsidRDefault="0066488B" w:rsidP="004A53D0">
      <w:pPr>
        <w:widowControl w:val="0"/>
        <w:autoSpaceDE w:val="0"/>
        <w:autoSpaceDN w:val="0"/>
        <w:adjustRightInd w:val="0"/>
        <w:rPr>
          <w:szCs w:val="30"/>
        </w:rPr>
      </w:pPr>
    </w:p>
    <w:p w14:paraId="405CC23D" w14:textId="77777777" w:rsidR="0066488B" w:rsidRDefault="0066488B" w:rsidP="00AF5652">
      <w:pPr>
        <w:widowControl w:val="0"/>
        <w:numPr>
          <w:ilvl w:val="0"/>
          <w:numId w:val="13"/>
        </w:numPr>
        <w:autoSpaceDE w:val="0"/>
        <w:autoSpaceDN w:val="0"/>
        <w:adjustRightInd w:val="0"/>
        <w:rPr>
          <w:szCs w:val="30"/>
        </w:rPr>
      </w:pPr>
      <w:r>
        <w:rPr>
          <w:szCs w:val="30"/>
        </w:rPr>
        <w:t>The ISO’s presentation suggested that</w:t>
      </w:r>
      <w:r w:rsidR="00AF5652">
        <w:rPr>
          <w:szCs w:val="30"/>
        </w:rPr>
        <w:t xml:space="preserve"> a sub-region’s avoided cost for a needed transmission project could be included among the benefits of a project with region-wide benefits. For </w:t>
      </w:r>
      <w:proofErr w:type="gramStart"/>
      <w:r w:rsidR="00AF5652">
        <w:rPr>
          <w:szCs w:val="30"/>
        </w:rPr>
        <w:t>example</w:t>
      </w:r>
      <w:proofErr w:type="gramEnd"/>
      <w:r w:rsidR="00AF5652">
        <w:rPr>
          <w:szCs w:val="30"/>
        </w:rPr>
        <w:t xml:space="preserve"> if project A with region-wide economic benefits enables sub-region 1 to avoid a reliability project B that would </w:t>
      </w:r>
      <w:proofErr w:type="gramStart"/>
      <w:r w:rsidR="00AF5652">
        <w:rPr>
          <w:szCs w:val="30"/>
        </w:rPr>
        <w:t>have cost</w:t>
      </w:r>
      <w:proofErr w:type="gramEnd"/>
      <w:r w:rsidR="00AF5652">
        <w:rPr>
          <w:szCs w:val="30"/>
        </w:rPr>
        <w:t xml:space="preserve"> $40 m, then the $40 m avoided cost should be included in the total benefits of project A for purposes of cost allocation to the sub-regions. </w:t>
      </w:r>
      <w:r w:rsidR="00085E69">
        <w:rPr>
          <w:szCs w:val="30"/>
        </w:rPr>
        <w:t xml:space="preserve">Please comment on whether such avoided costs should be included in the benefits for cost allocation purposes. </w:t>
      </w:r>
    </w:p>
    <w:p w14:paraId="4194803E" w14:textId="77777777" w:rsidR="00AF5652" w:rsidRDefault="00AF5652" w:rsidP="004A53D0">
      <w:pPr>
        <w:widowControl w:val="0"/>
        <w:autoSpaceDE w:val="0"/>
        <w:autoSpaceDN w:val="0"/>
        <w:adjustRightInd w:val="0"/>
        <w:rPr>
          <w:szCs w:val="30"/>
        </w:rPr>
      </w:pPr>
    </w:p>
    <w:p w14:paraId="79089B71" w14:textId="77777777" w:rsidR="00AF5652" w:rsidRDefault="00AF5652" w:rsidP="004A53D0">
      <w:pPr>
        <w:widowControl w:val="0"/>
        <w:autoSpaceDE w:val="0"/>
        <w:autoSpaceDN w:val="0"/>
        <w:adjustRightInd w:val="0"/>
        <w:rPr>
          <w:szCs w:val="30"/>
        </w:rPr>
      </w:pPr>
    </w:p>
    <w:p w14:paraId="5A4044D8" w14:textId="77777777" w:rsidR="00085E69" w:rsidRDefault="00085E69" w:rsidP="004A53D0">
      <w:pPr>
        <w:widowControl w:val="0"/>
        <w:autoSpaceDE w:val="0"/>
        <w:autoSpaceDN w:val="0"/>
        <w:adjustRightInd w:val="0"/>
        <w:rPr>
          <w:szCs w:val="30"/>
        </w:rPr>
      </w:pPr>
    </w:p>
    <w:p w14:paraId="6E9E09FA" w14:textId="77777777" w:rsidR="00085E69" w:rsidRDefault="00085E69" w:rsidP="004A53D0">
      <w:pPr>
        <w:widowControl w:val="0"/>
        <w:autoSpaceDE w:val="0"/>
        <w:autoSpaceDN w:val="0"/>
        <w:adjustRightInd w:val="0"/>
        <w:rPr>
          <w:szCs w:val="30"/>
        </w:rPr>
      </w:pPr>
    </w:p>
    <w:p w14:paraId="3FF1B129" w14:textId="77777777" w:rsidR="00EB1DC7" w:rsidRDefault="00EB1DC7" w:rsidP="004A53D0">
      <w:pPr>
        <w:widowControl w:val="0"/>
        <w:autoSpaceDE w:val="0"/>
        <w:autoSpaceDN w:val="0"/>
        <w:adjustRightInd w:val="0"/>
        <w:rPr>
          <w:szCs w:val="30"/>
        </w:rPr>
      </w:pPr>
    </w:p>
    <w:p w14:paraId="362636C1" w14:textId="77777777" w:rsidR="00D26901" w:rsidRDefault="00C742CA" w:rsidP="00085E69">
      <w:pPr>
        <w:widowControl w:val="0"/>
        <w:numPr>
          <w:ilvl w:val="0"/>
          <w:numId w:val="13"/>
        </w:numPr>
        <w:autoSpaceDE w:val="0"/>
        <w:autoSpaceDN w:val="0"/>
        <w:adjustRightInd w:val="0"/>
        <w:rPr>
          <w:szCs w:val="30"/>
        </w:rPr>
      </w:pPr>
      <w:r>
        <w:rPr>
          <w:szCs w:val="30"/>
        </w:rPr>
        <w:t>In the example of</w:t>
      </w:r>
      <w:r w:rsidR="00085E69">
        <w:rPr>
          <w:szCs w:val="30"/>
        </w:rPr>
        <w:t xml:space="preserve"> Question 2</w:t>
      </w:r>
      <w:r>
        <w:rPr>
          <w:szCs w:val="30"/>
        </w:rPr>
        <w:t xml:space="preserve"> a specific</w:t>
      </w:r>
      <w:r w:rsidR="00085E69">
        <w:rPr>
          <w:szCs w:val="30"/>
        </w:rPr>
        <w:t xml:space="preserve"> project B was identified to meet a reliability need, and so its avoided cost could be viewed as a realistic estimate of the cost to sub-region 1 of mitigating its reliability need. </w:t>
      </w:r>
      <w:r w:rsidR="00D26901">
        <w:rPr>
          <w:szCs w:val="30"/>
        </w:rPr>
        <w:t>In many instances in practice</w:t>
      </w:r>
      <w:r>
        <w:rPr>
          <w:szCs w:val="30"/>
        </w:rPr>
        <w:t>, however, cost-effective projects may be identified that</w:t>
      </w:r>
      <w:r w:rsidR="00D26901">
        <w:rPr>
          <w:szCs w:val="30"/>
        </w:rPr>
        <w:t xml:space="preserve"> provide economic, policy and reliability benefits without the planners ever identifying less costly but </w:t>
      </w:r>
      <w:proofErr w:type="gramStart"/>
      <w:r w:rsidR="00D26901">
        <w:rPr>
          <w:szCs w:val="30"/>
        </w:rPr>
        <w:t>narrowly-scoped</w:t>
      </w:r>
      <w:proofErr w:type="gramEnd"/>
      <w:r w:rsidR="00D26901">
        <w:rPr>
          <w:szCs w:val="30"/>
        </w:rPr>
        <w:t xml:space="preserve"> hypothetical alternative projects that could serve to provide concrete avoided cost estimates. Do you think it is important to perform additional studies to determine meaningful avoided cost estimates to use in cost allocation, perhaps by identifying hypothetical alternatives that would not ordinarily be considered in the TPP? Are there other approaches you would favor for estimating avoided costs to use in cost allocation? </w:t>
      </w:r>
      <w:r w:rsidR="00882805">
        <w:rPr>
          <w:szCs w:val="30"/>
        </w:rPr>
        <w:t xml:space="preserve">What other methods should the ISO consider for allocating reliability or policy “benefits” to a sub-region absent a well-defined project that can be avoided? </w:t>
      </w:r>
    </w:p>
    <w:p w14:paraId="730F612D" w14:textId="77777777" w:rsidR="00D26901" w:rsidRDefault="00D26901" w:rsidP="00D26901">
      <w:pPr>
        <w:widowControl w:val="0"/>
        <w:autoSpaceDE w:val="0"/>
        <w:autoSpaceDN w:val="0"/>
        <w:adjustRightInd w:val="0"/>
        <w:rPr>
          <w:szCs w:val="30"/>
        </w:rPr>
      </w:pPr>
    </w:p>
    <w:p w14:paraId="300FFE19" w14:textId="77777777" w:rsidR="00D26901" w:rsidRDefault="00D26901" w:rsidP="00D26901">
      <w:pPr>
        <w:widowControl w:val="0"/>
        <w:autoSpaceDE w:val="0"/>
        <w:autoSpaceDN w:val="0"/>
        <w:adjustRightInd w:val="0"/>
        <w:rPr>
          <w:szCs w:val="30"/>
        </w:rPr>
      </w:pPr>
    </w:p>
    <w:p w14:paraId="7093DD92" w14:textId="77777777" w:rsidR="00085E69" w:rsidRDefault="00085E69" w:rsidP="00D26901">
      <w:pPr>
        <w:widowControl w:val="0"/>
        <w:autoSpaceDE w:val="0"/>
        <w:autoSpaceDN w:val="0"/>
        <w:adjustRightInd w:val="0"/>
        <w:rPr>
          <w:szCs w:val="30"/>
        </w:rPr>
      </w:pPr>
    </w:p>
    <w:p w14:paraId="73A817BB" w14:textId="77777777" w:rsidR="00085E69" w:rsidRDefault="00085E69" w:rsidP="004A53D0">
      <w:pPr>
        <w:widowControl w:val="0"/>
        <w:autoSpaceDE w:val="0"/>
        <w:autoSpaceDN w:val="0"/>
        <w:adjustRightInd w:val="0"/>
        <w:rPr>
          <w:szCs w:val="30"/>
        </w:rPr>
      </w:pPr>
    </w:p>
    <w:p w14:paraId="12A35E24" w14:textId="77777777" w:rsidR="00EB1DC7" w:rsidRDefault="00EB1DC7" w:rsidP="004A53D0">
      <w:pPr>
        <w:widowControl w:val="0"/>
        <w:autoSpaceDE w:val="0"/>
        <w:autoSpaceDN w:val="0"/>
        <w:adjustRightInd w:val="0"/>
        <w:rPr>
          <w:szCs w:val="30"/>
        </w:rPr>
      </w:pPr>
    </w:p>
    <w:p w14:paraId="205F52A3" w14:textId="77777777" w:rsidR="00D26901" w:rsidRDefault="00D26901" w:rsidP="007F330A">
      <w:pPr>
        <w:widowControl w:val="0"/>
        <w:numPr>
          <w:ilvl w:val="0"/>
          <w:numId w:val="13"/>
        </w:numPr>
        <w:autoSpaceDE w:val="0"/>
        <w:autoSpaceDN w:val="0"/>
        <w:adjustRightInd w:val="0"/>
        <w:rPr>
          <w:szCs w:val="30"/>
        </w:rPr>
      </w:pPr>
      <w:r>
        <w:rPr>
          <w:szCs w:val="30"/>
        </w:rPr>
        <w:t xml:space="preserve">The cost allocation approach presented at the working group for projects with benefit-cost ratio BCR &lt; 1) started by first allocating cost shares equal to economic benefits, and only after that allocating remaining costs to the sub-region(s) driving the reliability or policy need. In the discussion, some parties suggested reversing this order, i.e., to start by allocating a cost share to the sub-region with the reliability or policy driver </w:t>
      </w:r>
      <w:proofErr w:type="gramStart"/>
      <w:r>
        <w:rPr>
          <w:szCs w:val="30"/>
        </w:rPr>
        <w:t>base</w:t>
      </w:r>
      <w:proofErr w:type="gramEnd"/>
      <w:r>
        <w:rPr>
          <w:szCs w:val="30"/>
        </w:rPr>
        <w:t xml:space="preserve"> on the avoided cost of the reliability or policy project it would have had to build, and only then allocating remaining costs based on economic benefit shares. </w:t>
      </w:r>
      <w:r w:rsidR="005D1A0E">
        <w:rPr>
          <w:szCs w:val="30"/>
        </w:rPr>
        <w:t xml:space="preserve">Please state your views on these two </w:t>
      </w:r>
      <w:proofErr w:type="gramStart"/>
      <w:r w:rsidR="005D1A0E">
        <w:rPr>
          <w:szCs w:val="30"/>
        </w:rPr>
        <w:t xml:space="preserve">approaches, </w:t>
      </w:r>
      <w:r w:rsidR="008D6455">
        <w:rPr>
          <w:szCs w:val="30"/>
        </w:rPr>
        <w:t>o</w:t>
      </w:r>
      <w:r w:rsidR="005D1A0E">
        <w:rPr>
          <w:szCs w:val="30"/>
        </w:rPr>
        <w:t>r</w:t>
      </w:r>
      <w:proofErr w:type="gramEnd"/>
      <w:r w:rsidR="005D1A0E">
        <w:rPr>
          <w:szCs w:val="30"/>
        </w:rPr>
        <w:t xml:space="preserve"> describe any other approach you would prefer and explain your reasons. </w:t>
      </w:r>
    </w:p>
    <w:p w14:paraId="03F1FC9A" w14:textId="77777777" w:rsidR="00D26901" w:rsidRDefault="00D26901" w:rsidP="004A53D0">
      <w:pPr>
        <w:widowControl w:val="0"/>
        <w:autoSpaceDE w:val="0"/>
        <w:autoSpaceDN w:val="0"/>
        <w:adjustRightInd w:val="0"/>
        <w:rPr>
          <w:szCs w:val="30"/>
        </w:rPr>
      </w:pPr>
    </w:p>
    <w:p w14:paraId="75745B10" w14:textId="77777777" w:rsidR="00D26901" w:rsidRDefault="00D26901" w:rsidP="004A53D0">
      <w:pPr>
        <w:widowControl w:val="0"/>
        <w:autoSpaceDE w:val="0"/>
        <w:autoSpaceDN w:val="0"/>
        <w:adjustRightInd w:val="0"/>
        <w:rPr>
          <w:szCs w:val="30"/>
        </w:rPr>
      </w:pPr>
    </w:p>
    <w:p w14:paraId="0BD65AB8" w14:textId="77777777" w:rsidR="00D26901" w:rsidRDefault="00D26901" w:rsidP="004A53D0">
      <w:pPr>
        <w:widowControl w:val="0"/>
        <w:autoSpaceDE w:val="0"/>
        <w:autoSpaceDN w:val="0"/>
        <w:adjustRightInd w:val="0"/>
        <w:rPr>
          <w:szCs w:val="30"/>
        </w:rPr>
      </w:pPr>
    </w:p>
    <w:p w14:paraId="3962F985" w14:textId="77777777" w:rsidR="00D26901" w:rsidRDefault="00D26901" w:rsidP="004A53D0">
      <w:pPr>
        <w:widowControl w:val="0"/>
        <w:autoSpaceDE w:val="0"/>
        <w:autoSpaceDN w:val="0"/>
        <w:adjustRightInd w:val="0"/>
        <w:rPr>
          <w:szCs w:val="30"/>
        </w:rPr>
      </w:pPr>
    </w:p>
    <w:p w14:paraId="250B3165" w14:textId="77777777" w:rsidR="00EB1DC7" w:rsidRDefault="00EB1DC7" w:rsidP="004A53D0">
      <w:pPr>
        <w:widowControl w:val="0"/>
        <w:autoSpaceDE w:val="0"/>
        <w:autoSpaceDN w:val="0"/>
        <w:adjustRightInd w:val="0"/>
        <w:rPr>
          <w:szCs w:val="30"/>
        </w:rPr>
      </w:pPr>
    </w:p>
    <w:p w14:paraId="3972AD82" w14:textId="77777777" w:rsidR="00E457B2" w:rsidRDefault="00E457B2" w:rsidP="00E457B2">
      <w:pPr>
        <w:widowControl w:val="0"/>
        <w:numPr>
          <w:ilvl w:val="0"/>
          <w:numId w:val="13"/>
        </w:numPr>
        <w:autoSpaceDE w:val="0"/>
        <w:autoSpaceDN w:val="0"/>
        <w:adjustRightInd w:val="0"/>
        <w:rPr>
          <w:szCs w:val="30"/>
        </w:rPr>
      </w:pPr>
      <w:r>
        <w:rPr>
          <w:szCs w:val="30"/>
        </w:rPr>
        <w:t xml:space="preserve">The presentation at the working group suggested that all facilities &gt; 200 kV planned through the expanded TPP would be assessed for potential region-wide economic benefits. Some parties suggested the ISO should apply threshold criteria to eliminate projects that clearly would not have region-wide benefits, rather than perform TEAM studies for all &gt; 200 kV. Do you support the use of threshold criteria? If so, what criteria would you apply and why? </w:t>
      </w:r>
    </w:p>
    <w:p w14:paraId="7F772871" w14:textId="77777777" w:rsidR="00E457B2" w:rsidRDefault="00E457B2" w:rsidP="004A53D0">
      <w:pPr>
        <w:widowControl w:val="0"/>
        <w:autoSpaceDE w:val="0"/>
        <w:autoSpaceDN w:val="0"/>
        <w:adjustRightInd w:val="0"/>
        <w:rPr>
          <w:szCs w:val="30"/>
        </w:rPr>
      </w:pPr>
    </w:p>
    <w:p w14:paraId="19577D8D" w14:textId="77777777" w:rsidR="00E457B2" w:rsidRDefault="00E457B2" w:rsidP="004A53D0">
      <w:pPr>
        <w:widowControl w:val="0"/>
        <w:autoSpaceDE w:val="0"/>
        <w:autoSpaceDN w:val="0"/>
        <w:adjustRightInd w:val="0"/>
        <w:rPr>
          <w:szCs w:val="30"/>
        </w:rPr>
      </w:pPr>
    </w:p>
    <w:p w14:paraId="4C783F7F" w14:textId="77777777" w:rsidR="00E457B2" w:rsidRDefault="00E457B2" w:rsidP="004A53D0">
      <w:pPr>
        <w:widowControl w:val="0"/>
        <w:autoSpaceDE w:val="0"/>
        <w:autoSpaceDN w:val="0"/>
        <w:adjustRightInd w:val="0"/>
        <w:rPr>
          <w:szCs w:val="30"/>
        </w:rPr>
      </w:pPr>
    </w:p>
    <w:p w14:paraId="3C28CA99" w14:textId="77777777" w:rsidR="00443B9A" w:rsidRDefault="00443B9A" w:rsidP="004A53D0">
      <w:pPr>
        <w:widowControl w:val="0"/>
        <w:autoSpaceDE w:val="0"/>
        <w:autoSpaceDN w:val="0"/>
        <w:adjustRightInd w:val="0"/>
        <w:rPr>
          <w:color w:val="18376A"/>
          <w:szCs w:val="30"/>
        </w:rPr>
      </w:pPr>
    </w:p>
    <w:p w14:paraId="03F112CC" w14:textId="77777777" w:rsidR="00EB1DC7" w:rsidRDefault="00EB1DC7" w:rsidP="004A53D0">
      <w:pPr>
        <w:widowControl w:val="0"/>
        <w:autoSpaceDE w:val="0"/>
        <w:autoSpaceDN w:val="0"/>
        <w:adjustRightInd w:val="0"/>
        <w:rPr>
          <w:color w:val="18376A"/>
          <w:szCs w:val="30"/>
        </w:rPr>
      </w:pPr>
    </w:p>
    <w:p w14:paraId="526ACCF6" w14:textId="77777777" w:rsidR="004A53D0" w:rsidRPr="00EE2F51" w:rsidRDefault="004A53D0" w:rsidP="00EE2F51">
      <w:pPr>
        <w:widowControl w:val="0"/>
        <w:numPr>
          <w:ilvl w:val="0"/>
          <w:numId w:val="13"/>
        </w:numPr>
        <w:autoSpaceDE w:val="0"/>
        <w:autoSpaceDN w:val="0"/>
        <w:adjustRightInd w:val="0"/>
        <w:rPr>
          <w:szCs w:val="30"/>
        </w:rPr>
      </w:pPr>
      <w:r w:rsidRPr="00EE2F51">
        <w:rPr>
          <w:szCs w:val="30"/>
        </w:rPr>
        <w:t>Do the de</w:t>
      </w:r>
      <w:r w:rsidR="00443B9A" w:rsidRPr="00EE2F51">
        <w:rPr>
          <w:szCs w:val="30"/>
        </w:rPr>
        <w:t>tails of TEAM</w:t>
      </w:r>
      <w:r w:rsidRPr="00EE2F51">
        <w:rPr>
          <w:szCs w:val="30"/>
        </w:rPr>
        <w:t>, e.g.</w:t>
      </w:r>
      <w:r w:rsidR="00443B9A" w:rsidRPr="00EE2F51">
        <w:rPr>
          <w:szCs w:val="30"/>
        </w:rPr>
        <w:t>,</w:t>
      </w:r>
      <w:r w:rsidRPr="00EE2F51">
        <w:rPr>
          <w:szCs w:val="30"/>
        </w:rPr>
        <w:t xml:space="preserve"> financial parameters, period over which present values are determined, etc</w:t>
      </w:r>
      <w:r w:rsidR="00EE2F51" w:rsidRPr="00EE2F51">
        <w:rPr>
          <w:szCs w:val="30"/>
        </w:rPr>
        <w:t>.</w:t>
      </w:r>
      <w:r w:rsidRPr="00EE2F51">
        <w:rPr>
          <w:szCs w:val="30"/>
        </w:rPr>
        <w:t xml:space="preserve">, need to be pre-determined </w:t>
      </w:r>
      <w:r w:rsidR="00EE2F51" w:rsidRPr="00EE2F51">
        <w:rPr>
          <w:szCs w:val="30"/>
        </w:rPr>
        <w:t>to maximize consistency of methodology and criteria across all projects, or should case-by-</w:t>
      </w:r>
      <w:r w:rsidRPr="00EE2F51">
        <w:rPr>
          <w:szCs w:val="30"/>
        </w:rPr>
        <w:t xml:space="preserve">case considerations be </w:t>
      </w:r>
      <w:proofErr w:type="gramStart"/>
      <w:r w:rsidRPr="00EE2F51">
        <w:rPr>
          <w:szCs w:val="30"/>
        </w:rPr>
        <w:t>taken into account</w:t>
      </w:r>
      <w:proofErr w:type="gramEnd"/>
      <w:r w:rsidRPr="00EE2F51">
        <w:rPr>
          <w:szCs w:val="30"/>
        </w:rPr>
        <w:t>?</w:t>
      </w:r>
    </w:p>
    <w:p w14:paraId="6645E3B0" w14:textId="77777777" w:rsidR="00EE2F51" w:rsidRDefault="00EE2F51" w:rsidP="004A53D0">
      <w:pPr>
        <w:widowControl w:val="0"/>
        <w:autoSpaceDE w:val="0"/>
        <w:autoSpaceDN w:val="0"/>
        <w:adjustRightInd w:val="0"/>
        <w:rPr>
          <w:color w:val="18376A"/>
          <w:szCs w:val="30"/>
        </w:rPr>
      </w:pPr>
    </w:p>
    <w:p w14:paraId="223CCD7A" w14:textId="77777777" w:rsidR="00EE2F51" w:rsidRDefault="00EE2F51" w:rsidP="004A53D0">
      <w:pPr>
        <w:widowControl w:val="0"/>
        <w:autoSpaceDE w:val="0"/>
        <w:autoSpaceDN w:val="0"/>
        <w:adjustRightInd w:val="0"/>
        <w:rPr>
          <w:color w:val="18376A"/>
          <w:szCs w:val="30"/>
        </w:rPr>
      </w:pPr>
    </w:p>
    <w:p w14:paraId="11A38270" w14:textId="77777777" w:rsidR="00EE2F51" w:rsidRDefault="00EE2F51" w:rsidP="004A53D0">
      <w:pPr>
        <w:widowControl w:val="0"/>
        <w:autoSpaceDE w:val="0"/>
        <w:autoSpaceDN w:val="0"/>
        <w:adjustRightInd w:val="0"/>
        <w:rPr>
          <w:color w:val="191919"/>
          <w:szCs w:val="30"/>
        </w:rPr>
      </w:pPr>
    </w:p>
    <w:p w14:paraId="48CFB03E" w14:textId="77777777" w:rsidR="00EE2F51" w:rsidRDefault="00EE2F51" w:rsidP="004A53D0">
      <w:pPr>
        <w:widowControl w:val="0"/>
        <w:autoSpaceDE w:val="0"/>
        <w:autoSpaceDN w:val="0"/>
        <w:adjustRightInd w:val="0"/>
        <w:rPr>
          <w:color w:val="191919"/>
          <w:szCs w:val="30"/>
        </w:rPr>
      </w:pPr>
    </w:p>
    <w:p w14:paraId="62A92525" w14:textId="77777777" w:rsidR="00EB1DC7" w:rsidRPr="001F38D0" w:rsidRDefault="00EB1DC7" w:rsidP="004A53D0">
      <w:pPr>
        <w:widowControl w:val="0"/>
        <w:autoSpaceDE w:val="0"/>
        <w:autoSpaceDN w:val="0"/>
        <w:adjustRightInd w:val="0"/>
        <w:rPr>
          <w:color w:val="191919"/>
          <w:szCs w:val="30"/>
        </w:rPr>
      </w:pPr>
    </w:p>
    <w:p w14:paraId="0E02E87E" w14:textId="77777777" w:rsidR="004A53D0" w:rsidRPr="002742D5" w:rsidRDefault="004A53D0" w:rsidP="002742D5">
      <w:pPr>
        <w:widowControl w:val="0"/>
        <w:numPr>
          <w:ilvl w:val="0"/>
          <w:numId w:val="13"/>
        </w:numPr>
        <w:autoSpaceDE w:val="0"/>
        <w:autoSpaceDN w:val="0"/>
        <w:adjustRightInd w:val="0"/>
        <w:rPr>
          <w:szCs w:val="30"/>
        </w:rPr>
      </w:pPr>
      <w:r w:rsidRPr="002742D5">
        <w:rPr>
          <w:szCs w:val="30"/>
        </w:rPr>
        <w:t xml:space="preserve">Should incidental benefits </w:t>
      </w:r>
      <w:r w:rsidR="009226E5">
        <w:rPr>
          <w:szCs w:val="30"/>
        </w:rPr>
        <w:t xml:space="preserve">to a sub-region </w:t>
      </w:r>
      <w:r w:rsidRPr="002742D5">
        <w:rPr>
          <w:szCs w:val="30"/>
        </w:rPr>
        <w:t xml:space="preserve">cause a cost allocation share for that sub-region </w:t>
      </w:r>
      <w:r w:rsidR="009226E5">
        <w:rPr>
          <w:szCs w:val="30"/>
        </w:rPr>
        <w:t xml:space="preserve">even though the project would not have been built but </w:t>
      </w:r>
      <w:r w:rsidRPr="002742D5">
        <w:rPr>
          <w:szCs w:val="30"/>
        </w:rPr>
        <w:t>for a reliability or policy need in another sub-region?</w:t>
      </w:r>
    </w:p>
    <w:p w14:paraId="209DDA67" w14:textId="77777777" w:rsidR="002742D5" w:rsidRDefault="002742D5" w:rsidP="004A53D0">
      <w:pPr>
        <w:rPr>
          <w:color w:val="18376A"/>
          <w:szCs w:val="30"/>
        </w:rPr>
      </w:pPr>
    </w:p>
    <w:p w14:paraId="62D076D6" w14:textId="77777777" w:rsidR="00EB1DC7" w:rsidRDefault="00EB1DC7" w:rsidP="004A53D0">
      <w:pPr>
        <w:rPr>
          <w:color w:val="18376A"/>
          <w:szCs w:val="30"/>
        </w:rPr>
      </w:pPr>
    </w:p>
    <w:p w14:paraId="726BCC47" w14:textId="77777777" w:rsidR="002742D5" w:rsidRDefault="002742D5" w:rsidP="004A53D0">
      <w:pPr>
        <w:rPr>
          <w:color w:val="18376A"/>
          <w:szCs w:val="30"/>
        </w:rPr>
      </w:pPr>
    </w:p>
    <w:p w14:paraId="2C88A626" w14:textId="77777777" w:rsidR="002742D5" w:rsidRDefault="002742D5" w:rsidP="004A53D0">
      <w:pPr>
        <w:rPr>
          <w:color w:val="18376A"/>
          <w:szCs w:val="30"/>
        </w:rPr>
      </w:pPr>
    </w:p>
    <w:p w14:paraId="115AB814" w14:textId="77777777" w:rsidR="002742D5" w:rsidRDefault="002742D5" w:rsidP="004A53D0">
      <w:pPr>
        <w:rPr>
          <w:color w:val="18376A"/>
          <w:szCs w:val="30"/>
        </w:rPr>
      </w:pPr>
    </w:p>
    <w:p w14:paraId="60549A8D" w14:textId="77777777" w:rsidR="002742D5" w:rsidRPr="002742D5" w:rsidRDefault="002742D5" w:rsidP="002742D5">
      <w:pPr>
        <w:widowControl w:val="0"/>
        <w:numPr>
          <w:ilvl w:val="0"/>
          <w:numId w:val="13"/>
        </w:numPr>
        <w:autoSpaceDE w:val="0"/>
        <w:autoSpaceDN w:val="0"/>
        <w:adjustRightInd w:val="0"/>
        <w:rPr>
          <w:szCs w:val="30"/>
        </w:rPr>
      </w:pPr>
      <w:r w:rsidRPr="002742D5">
        <w:rPr>
          <w:szCs w:val="30"/>
        </w:rPr>
        <w:t xml:space="preserve">Please offer any additional comments, suggestions or proposals that were not covered in the previous questions. </w:t>
      </w:r>
    </w:p>
    <w:p w14:paraId="28B9F169" w14:textId="77777777" w:rsidR="009206EA" w:rsidRDefault="009206EA" w:rsidP="004A53D0">
      <w:pPr>
        <w:rPr>
          <w:color w:val="18376A"/>
          <w:szCs w:val="30"/>
        </w:rPr>
      </w:pPr>
    </w:p>
    <w:p w14:paraId="006F08FD" w14:textId="77777777" w:rsidR="00EE2F51" w:rsidRDefault="00EE2F51" w:rsidP="004A53D0">
      <w:pPr>
        <w:rPr>
          <w:color w:val="18376A"/>
          <w:szCs w:val="30"/>
        </w:rPr>
      </w:pPr>
    </w:p>
    <w:p w14:paraId="3EB87C18" w14:textId="77777777" w:rsidR="00EE2F51" w:rsidRDefault="00EE2F51" w:rsidP="004A53D0">
      <w:pPr>
        <w:rPr>
          <w:color w:val="18376A"/>
          <w:szCs w:val="30"/>
        </w:rPr>
      </w:pPr>
    </w:p>
    <w:p w14:paraId="467D88AD" w14:textId="77777777" w:rsidR="00EE2F51" w:rsidRDefault="00EE2F51" w:rsidP="004A53D0">
      <w:pPr>
        <w:rPr>
          <w:color w:val="18376A"/>
          <w:szCs w:val="30"/>
        </w:rPr>
      </w:pPr>
    </w:p>
    <w:p w14:paraId="58F11FA0" w14:textId="77777777" w:rsidR="009206EA" w:rsidRDefault="009206EA" w:rsidP="004A53D0">
      <w:pPr>
        <w:rPr>
          <w:color w:val="18376A"/>
          <w:szCs w:val="30"/>
        </w:rPr>
      </w:pPr>
    </w:p>
    <w:p w14:paraId="3557219B" w14:textId="77777777" w:rsidR="00577705" w:rsidRDefault="00577705" w:rsidP="004A53D0">
      <w:pPr>
        <w:rPr>
          <w:color w:val="18376A"/>
          <w:szCs w:val="30"/>
        </w:rPr>
      </w:pPr>
    </w:p>
    <w:p w14:paraId="6AB10109" w14:textId="77777777" w:rsidR="00577705" w:rsidRDefault="00577705" w:rsidP="004A53D0">
      <w:pPr>
        <w:rPr>
          <w:color w:val="18376A"/>
          <w:szCs w:val="30"/>
        </w:rPr>
      </w:pPr>
    </w:p>
    <w:p w14:paraId="2381AC49" w14:textId="77777777" w:rsidR="009206EA" w:rsidRPr="009206EA" w:rsidRDefault="009206EA" w:rsidP="009206EA">
      <w:pPr>
        <w:rPr>
          <w:b/>
          <w:sz w:val="28"/>
        </w:rPr>
      </w:pPr>
      <w:r w:rsidRPr="009206EA">
        <w:rPr>
          <w:b/>
          <w:sz w:val="28"/>
        </w:rPr>
        <w:t xml:space="preserve">Topic </w:t>
      </w:r>
      <w:r>
        <w:rPr>
          <w:b/>
          <w:sz w:val="28"/>
        </w:rPr>
        <w:t>2</w:t>
      </w:r>
      <w:r w:rsidRPr="009206EA">
        <w:rPr>
          <w:b/>
          <w:sz w:val="28"/>
        </w:rPr>
        <w:t xml:space="preserve">. </w:t>
      </w:r>
      <w:r>
        <w:rPr>
          <w:b/>
          <w:sz w:val="28"/>
        </w:rPr>
        <w:t xml:space="preserve">Region-wide </w:t>
      </w:r>
      <w:r w:rsidR="00116DC8">
        <w:rPr>
          <w:b/>
          <w:sz w:val="28"/>
        </w:rPr>
        <w:t xml:space="preserve">“Export </w:t>
      </w:r>
      <w:r>
        <w:rPr>
          <w:b/>
          <w:sz w:val="28"/>
        </w:rPr>
        <w:t>Access Charge</w:t>
      </w:r>
      <w:r w:rsidR="00116DC8">
        <w:rPr>
          <w:b/>
          <w:sz w:val="28"/>
        </w:rPr>
        <w:t>” (EAC)</w:t>
      </w:r>
      <w:r>
        <w:rPr>
          <w:b/>
          <w:sz w:val="28"/>
        </w:rPr>
        <w:t xml:space="preserve"> Rate for Exports and Wheel-throughs </w:t>
      </w:r>
    </w:p>
    <w:p w14:paraId="40BB2338" w14:textId="77777777" w:rsidR="009206EA" w:rsidRDefault="009206EA" w:rsidP="004A53D0"/>
    <w:p w14:paraId="6642E5BF" w14:textId="77777777" w:rsidR="001E6C3C" w:rsidRPr="001E6C3C" w:rsidRDefault="001E6C3C" w:rsidP="004A53D0">
      <w:pPr>
        <w:rPr>
          <w:b/>
        </w:rPr>
      </w:pPr>
      <w:r w:rsidRPr="001E6C3C">
        <w:rPr>
          <w:b/>
        </w:rPr>
        <w:t>Context</w:t>
      </w:r>
    </w:p>
    <w:p w14:paraId="2F74B863" w14:textId="77777777" w:rsidR="001E6C3C" w:rsidRDefault="001E6C3C" w:rsidP="004A53D0"/>
    <w:p w14:paraId="2BD28C4D" w14:textId="77777777" w:rsidR="003374EF" w:rsidRDefault="003374EF" w:rsidP="004A53D0">
      <w:r>
        <w:t>For the working group discussion, the ISO’s presentation assumed a scenario where the current ISO BAA is expanded</w:t>
      </w:r>
      <w:r w:rsidR="00116DC8">
        <w:t xml:space="preserve"> by the integration of a</w:t>
      </w:r>
      <w:r>
        <w:t xml:space="preserve"> large </w:t>
      </w:r>
      <w:r w:rsidR="00116DC8">
        <w:t xml:space="preserve">external </w:t>
      </w:r>
      <w:r>
        <w:t>PTO such as PacifiCorp, and that the current ISO footprint and the new PTO would each be a “sub-region”</w:t>
      </w:r>
      <w:r w:rsidR="00116DC8">
        <w:t xml:space="preserve"> with its own</w:t>
      </w:r>
      <w:r>
        <w:t xml:space="preserve"> separate sub-regional TAC rate for load internal to the sub-region. </w:t>
      </w:r>
      <w:r w:rsidR="00116DC8">
        <w:t xml:space="preserve">The ISO further assumed that in this future scenario, only exports and wheel-throughs would pay the new EAC rate, while the “non-PTO” entities internal to the ISO BAA who currently pay the WAC would pay the sub-regional TAC rate. </w:t>
      </w:r>
      <w:r w:rsidR="00116DC8" w:rsidRPr="00116DC8">
        <w:rPr>
          <w:b/>
        </w:rPr>
        <w:t>Please assume the same in responding to the questions below.</w:t>
      </w:r>
      <w:r w:rsidR="00116DC8">
        <w:t xml:space="preserve"> If you wish to comment on or propose alternatives to these </w:t>
      </w:r>
      <w:proofErr w:type="gramStart"/>
      <w:r w:rsidR="00116DC8">
        <w:t>assumptions</w:t>
      </w:r>
      <w:proofErr w:type="gramEnd"/>
      <w:r w:rsidR="00116DC8">
        <w:t xml:space="preserve"> you can add any additional comments at the end of this section. </w:t>
      </w:r>
    </w:p>
    <w:p w14:paraId="475D33C0" w14:textId="77777777" w:rsidR="001E6C3C" w:rsidRDefault="001E6C3C" w:rsidP="004A53D0"/>
    <w:p w14:paraId="5D97150E" w14:textId="77777777" w:rsidR="001E6C3C" w:rsidRPr="001E6C3C" w:rsidRDefault="001E6C3C" w:rsidP="004A53D0">
      <w:pPr>
        <w:rPr>
          <w:b/>
        </w:rPr>
      </w:pPr>
      <w:r w:rsidRPr="001E6C3C">
        <w:rPr>
          <w:b/>
        </w:rPr>
        <w:t>Questions</w:t>
      </w:r>
    </w:p>
    <w:p w14:paraId="080F9ECB" w14:textId="77777777" w:rsidR="003374EF" w:rsidRPr="009206EA" w:rsidRDefault="003374EF" w:rsidP="004A53D0"/>
    <w:p w14:paraId="5A4B8A04" w14:textId="77777777" w:rsidR="009206EA" w:rsidRDefault="009206EA" w:rsidP="003374EF">
      <w:pPr>
        <w:numPr>
          <w:ilvl w:val="0"/>
          <w:numId w:val="11"/>
        </w:numPr>
      </w:pPr>
      <w:r>
        <w:t>For</w:t>
      </w:r>
      <w:r w:rsidR="000A42DD">
        <w:t xml:space="preserve"> an expanded BAA </w:t>
      </w:r>
      <w:r>
        <w:t xml:space="preserve">do you agree that a single region-wide </w:t>
      </w:r>
      <w:r w:rsidR="003374EF">
        <w:t xml:space="preserve">access charge </w:t>
      </w:r>
      <w:r>
        <w:t>rate for exports and wheel-throughs is appropriate</w:t>
      </w:r>
      <w:r w:rsidR="002D6240">
        <w:t xml:space="preserve">? Please explain your reasons. NOTE: This question is only about whether a single rate is appropriate, not about how that rate should be determined; the latter is covered in question 3 below. </w:t>
      </w:r>
    </w:p>
    <w:p w14:paraId="1EFAA51B" w14:textId="77777777" w:rsidR="009206EA" w:rsidRDefault="009206EA" w:rsidP="004A53D0"/>
    <w:p w14:paraId="109CB4A2" w14:textId="77777777" w:rsidR="009206EA" w:rsidRDefault="009206EA" w:rsidP="004A53D0"/>
    <w:p w14:paraId="66CA6AB0" w14:textId="77777777" w:rsidR="009206EA" w:rsidRDefault="009206EA" w:rsidP="004A53D0"/>
    <w:p w14:paraId="7E6BD8D8" w14:textId="77777777" w:rsidR="000A42DD" w:rsidRDefault="000A42DD" w:rsidP="004A53D0"/>
    <w:p w14:paraId="0A6AE0CA" w14:textId="77777777" w:rsidR="004417F6" w:rsidRDefault="004417F6" w:rsidP="004A53D0"/>
    <w:p w14:paraId="413E64D9" w14:textId="77777777" w:rsidR="003374EF" w:rsidRDefault="003374EF" w:rsidP="003374EF">
      <w:pPr>
        <w:numPr>
          <w:ilvl w:val="0"/>
          <w:numId w:val="11"/>
        </w:numPr>
      </w:pPr>
      <w:r>
        <w:lastRenderedPageBreak/>
        <w:t xml:space="preserve">If you answered YES to question 1, </w:t>
      </w:r>
      <w:r w:rsidR="002D6240">
        <w:t xml:space="preserve">do you favor the load-weighted average rate the ISO presented at the meeting, or another method for determining the single rate? Please explain the reasons for your preference. </w:t>
      </w:r>
    </w:p>
    <w:p w14:paraId="11AFACE8" w14:textId="77777777" w:rsidR="002D6240" w:rsidRDefault="002D6240" w:rsidP="002D6240"/>
    <w:p w14:paraId="1B88EC1E" w14:textId="77777777" w:rsidR="002D6240" w:rsidRDefault="002D6240" w:rsidP="002D6240"/>
    <w:p w14:paraId="6ED6F856" w14:textId="77777777" w:rsidR="002D6240" w:rsidRDefault="002D6240" w:rsidP="002D6240"/>
    <w:p w14:paraId="4801F959" w14:textId="77777777" w:rsidR="003374EF" w:rsidRDefault="003374EF" w:rsidP="004A53D0"/>
    <w:p w14:paraId="0EC799C9" w14:textId="77777777" w:rsidR="004417F6" w:rsidRDefault="004417F6" w:rsidP="004A53D0"/>
    <w:p w14:paraId="1A636E51" w14:textId="77777777" w:rsidR="003374EF" w:rsidRDefault="0021669F" w:rsidP="0021669F">
      <w:pPr>
        <w:numPr>
          <w:ilvl w:val="0"/>
          <w:numId w:val="11"/>
        </w:numPr>
      </w:pPr>
      <w:r>
        <w:t>To distribute the revenues collected via the EAC, the ISO’s presentation suggested giving each sub-region an amount of money equal to the MWh volume of exports and wheels from the sub-region times the sub-regional TAC rate. Please indicate whether you would support this approach or would prefer a different approach for distributing EAC revenues</w:t>
      </w:r>
      <w:r w:rsidR="001F5681">
        <w:t xml:space="preserve"> to the sub-regions</w:t>
      </w:r>
      <w:r>
        <w:t>.</w:t>
      </w:r>
    </w:p>
    <w:p w14:paraId="738BD909" w14:textId="77777777" w:rsidR="0021669F" w:rsidRDefault="0021669F" w:rsidP="0021669F"/>
    <w:p w14:paraId="571236A3" w14:textId="77777777" w:rsidR="0021669F" w:rsidRDefault="0021669F" w:rsidP="0021669F"/>
    <w:p w14:paraId="70C6FB88" w14:textId="77777777" w:rsidR="0021669F" w:rsidRDefault="0021669F" w:rsidP="0021669F"/>
    <w:p w14:paraId="1CAC74F6" w14:textId="77777777" w:rsidR="0021669F" w:rsidRDefault="0021669F" w:rsidP="0021669F"/>
    <w:p w14:paraId="1F0FD238" w14:textId="77777777" w:rsidR="004417F6" w:rsidRDefault="004417F6" w:rsidP="0021669F"/>
    <w:p w14:paraId="3D006172" w14:textId="77777777" w:rsidR="0021669F" w:rsidRDefault="0021669F" w:rsidP="0059046D">
      <w:pPr>
        <w:numPr>
          <w:ilvl w:val="0"/>
          <w:numId w:val="11"/>
        </w:numPr>
      </w:pPr>
      <w:r>
        <w:t xml:space="preserve">The </w:t>
      </w:r>
      <w:r w:rsidR="0059046D">
        <w:t xml:space="preserve">working group presentation illustrated how the </w:t>
      </w:r>
      <w:r>
        <w:t>method of distributing EAC revenues to sub-regions</w:t>
      </w:r>
      <w:r w:rsidR="0059046D">
        <w:t xml:space="preserve"> would most likely produce “unadjusted” sub-regional shares that do not add up </w:t>
      </w:r>
      <w:r w:rsidR="001F5681">
        <w:t xml:space="preserve">exactly </w:t>
      </w:r>
      <w:r w:rsidR="0059046D">
        <w:t xml:space="preserve">to the amount of EAC revenues collected from exports and wheels. The presentation offered one approach for distributing any </w:t>
      </w:r>
      <w:r w:rsidR="0059046D" w:rsidRPr="0059046D">
        <w:rPr>
          <w:b/>
        </w:rPr>
        <w:t>excess EAC revenues</w:t>
      </w:r>
      <w:r w:rsidR="0059046D">
        <w:t xml:space="preserve"> to the sub-regions. Do you support that approach, or would you prefer a different approach? Please explain. </w:t>
      </w:r>
    </w:p>
    <w:p w14:paraId="52A7279B" w14:textId="77777777" w:rsidR="003374EF" w:rsidRDefault="003374EF" w:rsidP="004A53D0"/>
    <w:p w14:paraId="71A7534D" w14:textId="77777777" w:rsidR="00DF61D4" w:rsidRDefault="00DF61D4" w:rsidP="004A53D0"/>
    <w:p w14:paraId="3B33A3B0" w14:textId="77777777" w:rsidR="00DF61D4" w:rsidRDefault="00DF61D4" w:rsidP="004A53D0"/>
    <w:p w14:paraId="471B745F" w14:textId="77777777" w:rsidR="00DF61D4" w:rsidRDefault="00DF61D4" w:rsidP="004A53D0"/>
    <w:p w14:paraId="034C4DC3" w14:textId="77777777" w:rsidR="004417F6" w:rsidRDefault="004417F6" w:rsidP="004A53D0"/>
    <w:p w14:paraId="214FDEE0" w14:textId="77777777" w:rsidR="00DF61D4" w:rsidRDefault="00DF61D4" w:rsidP="00DF61D4">
      <w:pPr>
        <w:numPr>
          <w:ilvl w:val="0"/>
          <w:numId w:val="11"/>
        </w:numPr>
      </w:pPr>
      <w:r>
        <w:t xml:space="preserve">Suppose that </w:t>
      </w:r>
      <w:proofErr w:type="gramStart"/>
      <w:r>
        <w:t>in a given year</w:t>
      </w:r>
      <w:proofErr w:type="gramEnd"/>
      <w:r>
        <w:t xml:space="preserve"> the EAC revenues are not sufficient to cover a distribution to sub-regions </w:t>
      </w:r>
      <w:r w:rsidR="001F5681">
        <w:t xml:space="preserve">that aligns with sub-regional TAC rates, as </w:t>
      </w:r>
      <w:r>
        <w:t xml:space="preserve">described in question 3. How would you propose the ISO deal with that situation? I.e., should the ISO ensure </w:t>
      </w:r>
      <w:r w:rsidR="00A317D0">
        <w:t xml:space="preserve">that </w:t>
      </w:r>
      <w:r>
        <w:t>each sub-region recei</w:t>
      </w:r>
      <w:r w:rsidR="00A317D0">
        <w:t>ves export revenues equal to its</w:t>
      </w:r>
      <w:r>
        <w:t xml:space="preserve"> sub-regional internal TAC rate times the volume of exports from its facilities, drawing upon oth</w:t>
      </w:r>
      <w:r w:rsidR="00A317D0">
        <w:t>er TAC revenues if necessary, or</w:t>
      </w:r>
      <w:r>
        <w:t xml:space="preserve"> should</w:t>
      </w:r>
      <w:r w:rsidR="00696543">
        <w:t xml:space="preserve"> the ISO only return EAC revenues to sub-regions until the EAC revenues are used up? </w:t>
      </w:r>
    </w:p>
    <w:p w14:paraId="1025F13A" w14:textId="77777777" w:rsidR="0021669F" w:rsidRDefault="0021669F" w:rsidP="004A53D0"/>
    <w:p w14:paraId="1AA3EAE1" w14:textId="77777777" w:rsidR="0021669F" w:rsidRDefault="0021669F" w:rsidP="004A53D0"/>
    <w:p w14:paraId="1D76850B" w14:textId="77777777" w:rsidR="0021669F" w:rsidRDefault="0021669F" w:rsidP="004A53D0"/>
    <w:p w14:paraId="66DABF86" w14:textId="77777777" w:rsidR="0021669F" w:rsidRDefault="0021669F" w:rsidP="004A53D0"/>
    <w:p w14:paraId="70F27149" w14:textId="77777777" w:rsidR="004417F6" w:rsidRDefault="004417F6" w:rsidP="004A53D0"/>
    <w:p w14:paraId="1FF0F628" w14:textId="77777777" w:rsidR="0021669F" w:rsidRDefault="0021669F" w:rsidP="0021669F">
      <w:pPr>
        <w:numPr>
          <w:ilvl w:val="0"/>
          <w:numId w:val="11"/>
        </w:numPr>
      </w:pPr>
      <w:r>
        <w:t xml:space="preserve">If you answered NO to question 1, please explain what rules or principles you would prefer </w:t>
      </w:r>
      <w:proofErr w:type="gramStart"/>
      <w:r>
        <w:t>be</w:t>
      </w:r>
      <w:proofErr w:type="gramEnd"/>
      <w:r>
        <w:t xml:space="preserve"> applied to exports and wheel-throughs. </w:t>
      </w:r>
      <w:r w:rsidR="00937D54">
        <w:t xml:space="preserve">Please discuss both (a) how you would propose to charge exports and wheel-throughs, and (b) how you would distribute the revenues collected to the sub-regions. </w:t>
      </w:r>
    </w:p>
    <w:p w14:paraId="7A202116" w14:textId="77777777" w:rsidR="0021669F" w:rsidRDefault="0021669F" w:rsidP="0021669F"/>
    <w:p w14:paraId="3DA250EA" w14:textId="77777777" w:rsidR="0021669F" w:rsidRDefault="0021669F" w:rsidP="0021669F"/>
    <w:p w14:paraId="1706E7AB" w14:textId="77777777" w:rsidR="0021669F" w:rsidRDefault="0021669F" w:rsidP="0021669F"/>
    <w:p w14:paraId="7EF2499C" w14:textId="77777777" w:rsidR="0021669F" w:rsidRDefault="0021669F" w:rsidP="0021669F"/>
    <w:p w14:paraId="2FFED23F" w14:textId="77777777" w:rsidR="004417F6" w:rsidRDefault="004417F6" w:rsidP="0021669F"/>
    <w:p w14:paraId="5DD47601" w14:textId="77777777" w:rsidR="0021669F" w:rsidRDefault="00D4761A" w:rsidP="00D4761A">
      <w:pPr>
        <w:numPr>
          <w:ilvl w:val="0"/>
          <w:numId w:val="11"/>
        </w:numPr>
      </w:pPr>
      <w:bookmarkStart w:id="2" w:name="OLE_LINK27"/>
      <w:bookmarkStart w:id="3" w:name="OLE_LINK28"/>
      <w:r>
        <w:t xml:space="preserve">Please offer any additional comments, suggestions or proposals that were not covered in the previous questions. </w:t>
      </w:r>
    </w:p>
    <w:bookmarkEnd w:id="2"/>
    <w:bookmarkEnd w:id="3"/>
    <w:p w14:paraId="3ABFEA44" w14:textId="77777777" w:rsidR="00D4761A" w:rsidRDefault="00D4761A" w:rsidP="004A53D0"/>
    <w:p w14:paraId="6F8B0DBD" w14:textId="77777777" w:rsidR="00D4761A" w:rsidRDefault="00D4761A" w:rsidP="004A53D0"/>
    <w:p w14:paraId="449B0019" w14:textId="77777777" w:rsidR="00D4761A" w:rsidRDefault="00D4761A" w:rsidP="004A53D0"/>
    <w:p w14:paraId="095FA36A" w14:textId="77777777" w:rsidR="00D4761A" w:rsidRPr="009206EA" w:rsidRDefault="00D4761A" w:rsidP="004A53D0"/>
    <w:sectPr w:rsidR="00D4761A" w:rsidRPr="009206EA" w:rsidSect="005D6A7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B1DFF" w14:textId="77777777" w:rsidR="006A19F3" w:rsidRDefault="006A19F3">
      <w:r>
        <w:separator/>
      </w:r>
    </w:p>
  </w:endnote>
  <w:endnote w:type="continuationSeparator" w:id="0">
    <w:p w14:paraId="6FEFF28A" w14:textId="77777777" w:rsidR="006A19F3" w:rsidRDefault="006A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F952" w14:textId="77777777" w:rsidR="00836522" w:rsidRDefault="00836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1E9D8" w14:textId="77777777" w:rsidR="00443B9A" w:rsidRDefault="00443B9A">
    <w:pPr>
      <w:pStyle w:val="Footer"/>
    </w:pPr>
    <w:r>
      <w:t>Comments on Working Group Topics</w:t>
    </w:r>
    <w:r>
      <w:tab/>
    </w:r>
    <w:r>
      <w:tab/>
      <w:t xml:space="preserve">Due August 25, 2016 – page </w:t>
    </w:r>
    <w:r>
      <w:rPr>
        <w:rStyle w:val="PageNumber"/>
      </w:rPr>
      <w:fldChar w:fldCharType="begin"/>
    </w:r>
    <w:r>
      <w:rPr>
        <w:rStyle w:val="PageNumber"/>
      </w:rPr>
      <w:instrText xml:space="preserve"> PAGE </w:instrText>
    </w:r>
    <w:r>
      <w:rPr>
        <w:rStyle w:val="PageNumber"/>
      </w:rPr>
      <w:fldChar w:fldCharType="separate"/>
    </w:r>
    <w:r w:rsidR="00836522">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55EC" w14:textId="77777777" w:rsidR="00836522" w:rsidRDefault="00836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37499" w14:textId="77777777" w:rsidR="006A19F3" w:rsidRDefault="006A19F3">
      <w:r>
        <w:separator/>
      </w:r>
    </w:p>
  </w:footnote>
  <w:footnote w:type="continuationSeparator" w:id="0">
    <w:p w14:paraId="337E6E64" w14:textId="77777777" w:rsidR="006A19F3" w:rsidRDefault="006A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93EC" w14:textId="77777777" w:rsidR="00836522" w:rsidRDefault="00836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D9E51" w14:textId="77777777" w:rsidR="00443B9A" w:rsidRPr="00C4611D" w:rsidRDefault="00443B9A" w:rsidP="00C4611D">
    <w:pPr>
      <w:pStyle w:val="Header"/>
      <w:tabs>
        <w:tab w:val="clear" w:pos="4320"/>
        <w:tab w:val="clear" w:pos="8640"/>
        <w:tab w:val="right" w:pos="9360"/>
      </w:tabs>
      <w:rPr>
        <w:b/>
        <w:sz w:val="22"/>
        <w:szCs w:val="22"/>
      </w:rPr>
    </w:pPr>
    <w:r w:rsidRPr="00C4611D">
      <w:rPr>
        <w:b/>
        <w:sz w:val="22"/>
        <w:szCs w:val="22"/>
      </w:rPr>
      <w:t>C</w:t>
    </w:r>
    <w:r>
      <w:rPr>
        <w:b/>
        <w:sz w:val="22"/>
        <w:szCs w:val="22"/>
      </w:rPr>
      <w:t xml:space="preserve">alifornia </w:t>
    </w:r>
    <w:r w:rsidRPr="00C4611D">
      <w:rPr>
        <w:b/>
        <w:sz w:val="22"/>
        <w:szCs w:val="22"/>
      </w:rPr>
      <w:t>ISO</w:t>
    </w:r>
    <w:r w:rsidRPr="00C4611D">
      <w:rPr>
        <w:b/>
        <w:sz w:val="22"/>
        <w:szCs w:val="22"/>
      </w:rPr>
      <w:tab/>
    </w:r>
    <w:r>
      <w:rPr>
        <w:b/>
        <w:sz w:val="22"/>
        <w:szCs w:val="22"/>
      </w:rPr>
      <w:t>Transmission Access Charge Options Initiative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3D10" w14:textId="77777777" w:rsidR="00836522" w:rsidRDefault="00836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24C6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E0876"/>
    <w:multiLevelType w:val="hybridMultilevel"/>
    <w:tmpl w:val="00A29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B4328"/>
    <w:multiLevelType w:val="hybridMultilevel"/>
    <w:tmpl w:val="3B604A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F3E17"/>
    <w:multiLevelType w:val="hybridMultilevel"/>
    <w:tmpl w:val="F1528B9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2861BD8">
      <w:start w:val="4"/>
      <w:numFmt w:val="decimal"/>
      <w:lvlText w:val="%3."/>
      <w:lvlJc w:val="left"/>
      <w:pPr>
        <w:tabs>
          <w:tab w:val="num" w:pos="2340"/>
        </w:tabs>
        <w:ind w:left="2340" w:hanging="360"/>
      </w:pPr>
      <w:rPr>
        <w:rFonts w:ascii="Arial" w:hAnsi="Arial" w:cs="Arial" w:hint="default"/>
        <w:color w:val="0000FF"/>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76273A"/>
    <w:multiLevelType w:val="hybridMultilevel"/>
    <w:tmpl w:val="F7784016"/>
    <w:lvl w:ilvl="0" w:tplc="96222B6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5432C02"/>
    <w:multiLevelType w:val="hybridMultilevel"/>
    <w:tmpl w:val="6D0C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717E9"/>
    <w:multiLevelType w:val="hybridMultilevel"/>
    <w:tmpl w:val="EB502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693A5F"/>
    <w:multiLevelType w:val="hybridMultilevel"/>
    <w:tmpl w:val="00A29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74B80"/>
    <w:multiLevelType w:val="hybridMultilevel"/>
    <w:tmpl w:val="00A29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81A49"/>
    <w:multiLevelType w:val="hybridMultilevel"/>
    <w:tmpl w:val="B82622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BB6C0D"/>
    <w:multiLevelType w:val="hybridMultilevel"/>
    <w:tmpl w:val="CB807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195728"/>
    <w:multiLevelType w:val="hybridMultilevel"/>
    <w:tmpl w:val="C94E43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891694"/>
    <w:multiLevelType w:val="hybridMultilevel"/>
    <w:tmpl w:val="BECC09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515D33"/>
    <w:multiLevelType w:val="hybridMultilevel"/>
    <w:tmpl w:val="7C4CD7D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304D44"/>
    <w:multiLevelType w:val="hybridMultilevel"/>
    <w:tmpl w:val="FB54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85D05"/>
    <w:multiLevelType w:val="hybridMultilevel"/>
    <w:tmpl w:val="86EC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849041">
    <w:abstractNumId w:val="9"/>
  </w:num>
  <w:num w:numId="2" w16cid:durableId="611516858">
    <w:abstractNumId w:val="3"/>
  </w:num>
  <w:num w:numId="3" w16cid:durableId="1579707403">
    <w:abstractNumId w:val="4"/>
  </w:num>
  <w:num w:numId="4" w16cid:durableId="1091002623">
    <w:abstractNumId w:val="12"/>
  </w:num>
  <w:num w:numId="5" w16cid:durableId="1453982276">
    <w:abstractNumId w:val="13"/>
  </w:num>
  <w:num w:numId="6" w16cid:durableId="631327659">
    <w:abstractNumId w:val="5"/>
  </w:num>
  <w:num w:numId="7" w16cid:durableId="845292373">
    <w:abstractNumId w:val="7"/>
  </w:num>
  <w:num w:numId="8" w16cid:durableId="1016274929">
    <w:abstractNumId w:val="0"/>
  </w:num>
  <w:num w:numId="9" w16cid:durableId="332269514">
    <w:abstractNumId w:val="1"/>
  </w:num>
  <w:num w:numId="10" w16cid:durableId="199130871">
    <w:abstractNumId w:val="8"/>
  </w:num>
  <w:num w:numId="11" w16cid:durableId="329793207">
    <w:abstractNumId w:val="11"/>
  </w:num>
  <w:num w:numId="12" w16cid:durableId="687759647">
    <w:abstractNumId w:val="14"/>
  </w:num>
  <w:num w:numId="13" w16cid:durableId="1036200134">
    <w:abstractNumId w:val="10"/>
  </w:num>
  <w:num w:numId="14" w16cid:durableId="2011523095">
    <w:abstractNumId w:val="15"/>
  </w:num>
  <w:num w:numId="15" w16cid:durableId="2073381423">
    <w:abstractNumId w:val="6"/>
  </w:num>
  <w:num w:numId="16" w16cid:durableId="1089236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9062C7"/>
    <w:rsid w:val="00024495"/>
    <w:rsid w:val="0003105C"/>
    <w:rsid w:val="000326BD"/>
    <w:rsid w:val="00036F0B"/>
    <w:rsid w:val="00052FE8"/>
    <w:rsid w:val="000842A0"/>
    <w:rsid w:val="00085E69"/>
    <w:rsid w:val="00091D77"/>
    <w:rsid w:val="000A42DD"/>
    <w:rsid w:val="000B4729"/>
    <w:rsid w:val="000B670C"/>
    <w:rsid w:val="000C35C3"/>
    <w:rsid w:val="000C5683"/>
    <w:rsid w:val="000F756F"/>
    <w:rsid w:val="00101B5A"/>
    <w:rsid w:val="00116DC8"/>
    <w:rsid w:val="00145ED5"/>
    <w:rsid w:val="0014798F"/>
    <w:rsid w:val="00155D72"/>
    <w:rsid w:val="00160DD5"/>
    <w:rsid w:val="001706F8"/>
    <w:rsid w:val="00187E8A"/>
    <w:rsid w:val="001A5FAF"/>
    <w:rsid w:val="001B4C0E"/>
    <w:rsid w:val="001C59D8"/>
    <w:rsid w:val="001E3E66"/>
    <w:rsid w:val="001E5CF0"/>
    <w:rsid w:val="001E6C3C"/>
    <w:rsid w:val="001F38D0"/>
    <w:rsid w:val="001F5681"/>
    <w:rsid w:val="00204632"/>
    <w:rsid w:val="0021669F"/>
    <w:rsid w:val="002205D0"/>
    <w:rsid w:val="00220A63"/>
    <w:rsid w:val="002428B1"/>
    <w:rsid w:val="00267050"/>
    <w:rsid w:val="002721BC"/>
    <w:rsid w:val="002742D5"/>
    <w:rsid w:val="002A242C"/>
    <w:rsid w:val="002A5193"/>
    <w:rsid w:val="002C5028"/>
    <w:rsid w:val="002D6240"/>
    <w:rsid w:val="003017E7"/>
    <w:rsid w:val="00307D52"/>
    <w:rsid w:val="003148CD"/>
    <w:rsid w:val="00314E03"/>
    <w:rsid w:val="00323E6E"/>
    <w:rsid w:val="003374EF"/>
    <w:rsid w:val="00354286"/>
    <w:rsid w:val="003A3386"/>
    <w:rsid w:val="003C266F"/>
    <w:rsid w:val="003D0FF2"/>
    <w:rsid w:val="003D62E0"/>
    <w:rsid w:val="003D750A"/>
    <w:rsid w:val="003E26BD"/>
    <w:rsid w:val="003E6D69"/>
    <w:rsid w:val="00411348"/>
    <w:rsid w:val="00413F8D"/>
    <w:rsid w:val="004212BD"/>
    <w:rsid w:val="00421CF0"/>
    <w:rsid w:val="004341EF"/>
    <w:rsid w:val="004417F6"/>
    <w:rsid w:val="00441C02"/>
    <w:rsid w:val="00443B9A"/>
    <w:rsid w:val="00475BC2"/>
    <w:rsid w:val="004765D6"/>
    <w:rsid w:val="004A05B7"/>
    <w:rsid w:val="004A53D0"/>
    <w:rsid w:val="004B7419"/>
    <w:rsid w:val="004D0EC3"/>
    <w:rsid w:val="004E57CD"/>
    <w:rsid w:val="004F3593"/>
    <w:rsid w:val="005067DB"/>
    <w:rsid w:val="00511A96"/>
    <w:rsid w:val="00516949"/>
    <w:rsid w:val="005201E7"/>
    <w:rsid w:val="00531AB0"/>
    <w:rsid w:val="005330C2"/>
    <w:rsid w:val="00544B16"/>
    <w:rsid w:val="00551419"/>
    <w:rsid w:val="00565E9E"/>
    <w:rsid w:val="00577705"/>
    <w:rsid w:val="0059046D"/>
    <w:rsid w:val="005D1A0E"/>
    <w:rsid w:val="005D3287"/>
    <w:rsid w:val="005D6A75"/>
    <w:rsid w:val="005E7E4A"/>
    <w:rsid w:val="00605A43"/>
    <w:rsid w:val="00622337"/>
    <w:rsid w:val="00644345"/>
    <w:rsid w:val="0066488B"/>
    <w:rsid w:val="006734B3"/>
    <w:rsid w:val="0068098A"/>
    <w:rsid w:val="00693D81"/>
    <w:rsid w:val="0069467E"/>
    <w:rsid w:val="00696543"/>
    <w:rsid w:val="006A19F3"/>
    <w:rsid w:val="006A6D72"/>
    <w:rsid w:val="006C0321"/>
    <w:rsid w:val="006C779F"/>
    <w:rsid w:val="0070496B"/>
    <w:rsid w:val="00723264"/>
    <w:rsid w:val="00724F6A"/>
    <w:rsid w:val="00733909"/>
    <w:rsid w:val="00741D0C"/>
    <w:rsid w:val="00750C2B"/>
    <w:rsid w:val="007536D5"/>
    <w:rsid w:val="00755034"/>
    <w:rsid w:val="00755788"/>
    <w:rsid w:val="00762C18"/>
    <w:rsid w:val="00771602"/>
    <w:rsid w:val="00783271"/>
    <w:rsid w:val="00783F2D"/>
    <w:rsid w:val="00784522"/>
    <w:rsid w:val="00795797"/>
    <w:rsid w:val="007C5248"/>
    <w:rsid w:val="007E3286"/>
    <w:rsid w:val="007F330A"/>
    <w:rsid w:val="007F5797"/>
    <w:rsid w:val="008034C1"/>
    <w:rsid w:val="00820AD2"/>
    <w:rsid w:val="00836522"/>
    <w:rsid w:val="00836750"/>
    <w:rsid w:val="008377BF"/>
    <w:rsid w:val="00846C54"/>
    <w:rsid w:val="0088120E"/>
    <w:rsid w:val="00882805"/>
    <w:rsid w:val="008A3E8E"/>
    <w:rsid w:val="008C412A"/>
    <w:rsid w:val="008D6455"/>
    <w:rsid w:val="008F519E"/>
    <w:rsid w:val="009062C7"/>
    <w:rsid w:val="0091016A"/>
    <w:rsid w:val="009206EA"/>
    <w:rsid w:val="009226E5"/>
    <w:rsid w:val="009300C1"/>
    <w:rsid w:val="00931D27"/>
    <w:rsid w:val="00937D54"/>
    <w:rsid w:val="009821D5"/>
    <w:rsid w:val="0099776A"/>
    <w:rsid w:val="009A1810"/>
    <w:rsid w:val="009A7291"/>
    <w:rsid w:val="009B259F"/>
    <w:rsid w:val="009B5132"/>
    <w:rsid w:val="009B67F9"/>
    <w:rsid w:val="009B7531"/>
    <w:rsid w:val="009D39BE"/>
    <w:rsid w:val="009F25EB"/>
    <w:rsid w:val="009F6A25"/>
    <w:rsid w:val="00A034A8"/>
    <w:rsid w:val="00A10D02"/>
    <w:rsid w:val="00A12B05"/>
    <w:rsid w:val="00A20C04"/>
    <w:rsid w:val="00A317D0"/>
    <w:rsid w:val="00A5446B"/>
    <w:rsid w:val="00A63C08"/>
    <w:rsid w:val="00A67657"/>
    <w:rsid w:val="00A71363"/>
    <w:rsid w:val="00A925DA"/>
    <w:rsid w:val="00A97713"/>
    <w:rsid w:val="00AA0449"/>
    <w:rsid w:val="00AA0F57"/>
    <w:rsid w:val="00AA236A"/>
    <w:rsid w:val="00AB4F06"/>
    <w:rsid w:val="00AC38EA"/>
    <w:rsid w:val="00AC734E"/>
    <w:rsid w:val="00AE6BF1"/>
    <w:rsid w:val="00AF5652"/>
    <w:rsid w:val="00B0485F"/>
    <w:rsid w:val="00B06A2E"/>
    <w:rsid w:val="00B30F13"/>
    <w:rsid w:val="00B326A5"/>
    <w:rsid w:val="00B51B78"/>
    <w:rsid w:val="00B6535E"/>
    <w:rsid w:val="00B66F97"/>
    <w:rsid w:val="00B7499E"/>
    <w:rsid w:val="00BB1351"/>
    <w:rsid w:val="00BB2E03"/>
    <w:rsid w:val="00BB4B97"/>
    <w:rsid w:val="00BC3638"/>
    <w:rsid w:val="00BC629D"/>
    <w:rsid w:val="00BD58F9"/>
    <w:rsid w:val="00BE7F4A"/>
    <w:rsid w:val="00BF250B"/>
    <w:rsid w:val="00C07997"/>
    <w:rsid w:val="00C22671"/>
    <w:rsid w:val="00C27F29"/>
    <w:rsid w:val="00C4611D"/>
    <w:rsid w:val="00C532C8"/>
    <w:rsid w:val="00C54D57"/>
    <w:rsid w:val="00C742CA"/>
    <w:rsid w:val="00C74710"/>
    <w:rsid w:val="00C74A24"/>
    <w:rsid w:val="00C86E58"/>
    <w:rsid w:val="00C92842"/>
    <w:rsid w:val="00C96921"/>
    <w:rsid w:val="00CB6FB5"/>
    <w:rsid w:val="00CC6CC8"/>
    <w:rsid w:val="00CD1422"/>
    <w:rsid w:val="00CE3E06"/>
    <w:rsid w:val="00CF677A"/>
    <w:rsid w:val="00D04C44"/>
    <w:rsid w:val="00D26901"/>
    <w:rsid w:val="00D26FCC"/>
    <w:rsid w:val="00D4075F"/>
    <w:rsid w:val="00D42A15"/>
    <w:rsid w:val="00D4761A"/>
    <w:rsid w:val="00D5007A"/>
    <w:rsid w:val="00D6132C"/>
    <w:rsid w:val="00D679E3"/>
    <w:rsid w:val="00D92B65"/>
    <w:rsid w:val="00DB32FF"/>
    <w:rsid w:val="00DE02E5"/>
    <w:rsid w:val="00DE52BB"/>
    <w:rsid w:val="00DE5F73"/>
    <w:rsid w:val="00DF61D4"/>
    <w:rsid w:val="00E13E7D"/>
    <w:rsid w:val="00E30AAF"/>
    <w:rsid w:val="00E457B2"/>
    <w:rsid w:val="00E546A2"/>
    <w:rsid w:val="00E56CDA"/>
    <w:rsid w:val="00E62229"/>
    <w:rsid w:val="00E961FC"/>
    <w:rsid w:val="00EA48FF"/>
    <w:rsid w:val="00EB1DC7"/>
    <w:rsid w:val="00EB6BE4"/>
    <w:rsid w:val="00EC4BB3"/>
    <w:rsid w:val="00EE2F51"/>
    <w:rsid w:val="00F006E4"/>
    <w:rsid w:val="00F12347"/>
    <w:rsid w:val="00F33B10"/>
    <w:rsid w:val="00F46DD5"/>
    <w:rsid w:val="00F500D4"/>
    <w:rsid w:val="00F56927"/>
    <w:rsid w:val="00F569D0"/>
    <w:rsid w:val="00F56FCA"/>
    <w:rsid w:val="00F610DA"/>
    <w:rsid w:val="00F67898"/>
    <w:rsid w:val="00F842FB"/>
    <w:rsid w:val="00F84B38"/>
    <w:rsid w:val="00F877F9"/>
    <w:rsid w:val="00FA5FF1"/>
    <w:rsid w:val="00FD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7AF8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2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7657"/>
    <w:rPr>
      <w:color w:val="0000FF"/>
      <w:u w:val="single"/>
    </w:rPr>
  </w:style>
  <w:style w:type="paragraph" w:styleId="Header">
    <w:name w:val="header"/>
    <w:basedOn w:val="Normal"/>
    <w:rsid w:val="00C4611D"/>
    <w:pPr>
      <w:tabs>
        <w:tab w:val="center" w:pos="4320"/>
        <w:tab w:val="right" w:pos="8640"/>
      </w:tabs>
    </w:pPr>
  </w:style>
  <w:style w:type="paragraph" w:styleId="Footer">
    <w:name w:val="footer"/>
    <w:basedOn w:val="Normal"/>
    <w:rsid w:val="00C4611D"/>
    <w:pPr>
      <w:tabs>
        <w:tab w:val="center" w:pos="4320"/>
        <w:tab w:val="right" w:pos="8640"/>
      </w:tabs>
    </w:pPr>
  </w:style>
  <w:style w:type="character" w:styleId="PageNumber">
    <w:name w:val="page number"/>
    <w:basedOn w:val="DefaultParagraphFont"/>
    <w:rsid w:val="00C4611D"/>
  </w:style>
  <w:style w:type="paragraph" w:styleId="MediumGrid1-Accent2">
    <w:name w:val="Medium Grid 1 Accent 2"/>
    <w:basedOn w:val="Normal"/>
    <w:uiPriority w:val="34"/>
    <w:qFormat/>
    <w:rsid w:val="00EB6BE4"/>
    <w:pPr>
      <w:ind w:left="720"/>
      <w:contextualSpacing/>
    </w:pPr>
  </w:style>
  <w:style w:type="character" w:styleId="CommentReference">
    <w:name w:val="annotation reference"/>
    <w:rsid w:val="004F3593"/>
    <w:rPr>
      <w:sz w:val="16"/>
      <w:szCs w:val="16"/>
    </w:rPr>
  </w:style>
  <w:style w:type="paragraph" w:styleId="CommentText">
    <w:name w:val="annotation text"/>
    <w:basedOn w:val="Normal"/>
    <w:link w:val="CommentTextChar"/>
    <w:rsid w:val="004F3593"/>
    <w:rPr>
      <w:sz w:val="20"/>
      <w:szCs w:val="20"/>
    </w:rPr>
  </w:style>
  <w:style w:type="character" w:customStyle="1" w:styleId="CommentTextChar">
    <w:name w:val="Comment Text Char"/>
    <w:basedOn w:val="DefaultParagraphFont"/>
    <w:link w:val="CommentText"/>
    <w:rsid w:val="004F3593"/>
  </w:style>
  <w:style w:type="paragraph" w:styleId="CommentSubject">
    <w:name w:val="annotation subject"/>
    <w:basedOn w:val="CommentText"/>
    <w:next w:val="CommentText"/>
    <w:link w:val="CommentSubjectChar"/>
    <w:rsid w:val="004F3593"/>
    <w:rPr>
      <w:b/>
      <w:bCs/>
    </w:rPr>
  </w:style>
  <w:style w:type="character" w:customStyle="1" w:styleId="CommentSubjectChar">
    <w:name w:val="Comment Subject Char"/>
    <w:link w:val="CommentSubject"/>
    <w:rsid w:val="004F3593"/>
    <w:rPr>
      <w:b/>
      <w:bCs/>
    </w:rPr>
  </w:style>
  <w:style w:type="paragraph" w:styleId="BalloonText">
    <w:name w:val="Balloon Text"/>
    <w:basedOn w:val="Normal"/>
    <w:link w:val="BalloonTextChar"/>
    <w:rsid w:val="004F3593"/>
    <w:rPr>
      <w:rFonts w:ascii="Tahoma" w:hAnsi="Tahoma" w:cs="Tahoma"/>
      <w:sz w:val="16"/>
      <w:szCs w:val="16"/>
    </w:rPr>
  </w:style>
  <w:style w:type="character" w:customStyle="1" w:styleId="BalloonTextChar">
    <w:name w:val="Balloon Text Char"/>
    <w:link w:val="BalloonText"/>
    <w:rsid w:val="004F3593"/>
    <w:rPr>
      <w:rFonts w:ascii="Tahoma" w:hAnsi="Tahoma" w:cs="Tahoma"/>
      <w:sz w:val="16"/>
      <w:szCs w:val="16"/>
    </w:rPr>
  </w:style>
  <w:style w:type="paragraph" w:customStyle="1" w:styleId="Default">
    <w:name w:val="Default"/>
    <w:rsid w:val="00EA48FF"/>
    <w:pPr>
      <w:autoSpaceDE w:val="0"/>
      <w:autoSpaceDN w:val="0"/>
      <w:adjustRightInd w:val="0"/>
    </w:pPr>
    <w:rPr>
      <w:rFonts w:ascii="Arial" w:hAnsi="Arial" w:cs="Arial"/>
      <w:color w:val="000000"/>
      <w:sz w:val="24"/>
      <w:szCs w:val="24"/>
    </w:rPr>
  </w:style>
  <w:style w:type="paragraph" w:styleId="ColorfulList-Accent1">
    <w:name w:val="Colorful List Accent 1"/>
    <w:basedOn w:val="Normal"/>
    <w:uiPriority w:val="34"/>
    <w:qFormat/>
    <w:rsid w:val="00441C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834766">
      <w:bodyDiv w:val="1"/>
      <w:marLeft w:val="0"/>
      <w:marRight w:val="0"/>
      <w:marTop w:val="0"/>
      <w:marBottom w:val="0"/>
      <w:divBdr>
        <w:top w:val="none" w:sz="0" w:space="0" w:color="auto"/>
        <w:left w:val="none" w:sz="0" w:space="0" w:color="auto"/>
        <w:bottom w:val="none" w:sz="0" w:space="0" w:color="auto"/>
        <w:right w:val="none" w:sz="0" w:space="0" w:color="auto"/>
      </w:divBdr>
      <w:divsChild>
        <w:div w:id="37903970">
          <w:marLeft w:val="0"/>
          <w:marRight w:val="0"/>
          <w:marTop w:val="0"/>
          <w:marBottom w:val="0"/>
          <w:divBdr>
            <w:top w:val="none" w:sz="0" w:space="0" w:color="auto"/>
            <w:left w:val="none" w:sz="0" w:space="0" w:color="auto"/>
            <w:bottom w:val="none" w:sz="0" w:space="0" w:color="auto"/>
            <w:right w:val="none" w:sz="0" w:space="0" w:color="auto"/>
          </w:divBdr>
        </w:div>
        <w:div w:id="55664796">
          <w:marLeft w:val="0"/>
          <w:marRight w:val="0"/>
          <w:marTop w:val="0"/>
          <w:marBottom w:val="0"/>
          <w:divBdr>
            <w:top w:val="none" w:sz="0" w:space="0" w:color="auto"/>
            <w:left w:val="none" w:sz="0" w:space="0" w:color="auto"/>
            <w:bottom w:val="none" w:sz="0" w:space="0" w:color="auto"/>
            <w:right w:val="none" w:sz="0" w:space="0" w:color="auto"/>
          </w:divBdr>
        </w:div>
        <w:div w:id="207230145">
          <w:marLeft w:val="0"/>
          <w:marRight w:val="0"/>
          <w:marTop w:val="0"/>
          <w:marBottom w:val="0"/>
          <w:divBdr>
            <w:top w:val="none" w:sz="0" w:space="0" w:color="auto"/>
            <w:left w:val="none" w:sz="0" w:space="0" w:color="auto"/>
            <w:bottom w:val="none" w:sz="0" w:space="0" w:color="auto"/>
            <w:right w:val="none" w:sz="0" w:space="0" w:color="auto"/>
          </w:divBdr>
        </w:div>
        <w:div w:id="408574799">
          <w:marLeft w:val="0"/>
          <w:marRight w:val="0"/>
          <w:marTop w:val="0"/>
          <w:marBottom w:val="0"/>
          <w:divBdr>
            <w:top w:val="none" w:sz="0" w:space="0" w:color="auto"/>
            <w:left w:val="none" w:sz="0" w:space="0" w:color="auto"/>
            <w:bottom w:val="none" w:sz="0" w:space="0" w:color="auto"/>
            <w:right w:val="none" w:sz="0" w:space="0" w:color="auto"/>
          </w:divBdr>
        </w:div>
        <w:div w:id="544299198">
          <w:marLeft w:val="0"/>
          <w:marRight w:val="0"/>
          <w:marTop w:val="0"/>
          <w:marBottom w:val="0"/>
          <w:divBdr>
            <w:top w:val="none" w:sz="0" w:space="0" w:color="auto"/>
            <w:left w:val="none" w:sz="0" w:space="0" w:color="auto"/>
            <w:bottom w:val="none" w:sz="0" w:space="0" w:color="auto"/>
            <w:right w:val="none" w:sz="0" w:space="0" w:color="auto"/>
          </w:divBdr>
        </w:div>
        <w:div w:id="1168442795">
          <w:marLeft w:val="0"/>
          <w:marRight w:val="0"/>
          <w:marTop w:val="0"/>
          <w:marBottom w:val="0"/>
          <w:divBdr>
            <w:top w:val="none" w:sz="0" w:space="0" w:color="auto"/>
            <w:left w:val="none" w:sz="0" w:space="0" w:color="auto"/>
            <w:bottom w:val="none" w:sz="0" w:space="0" w:color="auto"/>
            <w:right w:val="none" w:sz="0" w:space="0" w:color="auto"/>
          </w:divBdr>
        </w:div>
        <w:div w:id="1824151709">
          <w:marLeft w:val="0"/>
          <w:marRight w:val="0"/>
          <w:marTop w:val="0"/>
          <w:marBottom w:val="0"/>
          <w:divBdr>
            <w:top w:val="none" w:sz="0" w:space="0" w:color="auto"/>
            <w:left w:val="none" w:sz="0" w:space="0" w:color="auto"/>
            <w:bottom w:val="none" w:sz="0" w:space="0" w:color="auto"/>
            <w:right w:val="none" w:sz="0" w:space="0" w:color="auto"/>
          </w:divBdr>
        </w:div>
        <w:div w:id="2017345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itiativecomments@cais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aiso.com/informed/Pages/StakeholderProcesses/TransmissionAccessChargeOption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F1872-C61A-48DC-BD08-BB0FFAF2E6C0}"/>
</file>

<file path=customXml/itemProps2.xml><?xml version="1.0" encoding="utf-8"?>
<ds:datastoreItem xmlns:ds="http://schemas.openxmlformats.org/officeDocument/2006/customXml" ds:itemID="{F8914E9A-1C41-4F14-93FE-9D9CB0D9E6DC}"/>
</file>

<file path=customXml/itemProps3.xml><?xml version="1.0" encoding="utf-8"?>
<ds:datastoreItem xmlns:ds="http://schemas.openxmlformats.org/officeDocument/2006/customXml" ds:itemID="{C0EF368C-F53B-43C5-AA54-041D20DAB7A6}">
  <ds:schemaRefs>
    <ds:schemaRef ds:uri="http://schemas.openxmlformats.org/officeDocument/2006/bibliography"/>
  </ds:schemaRefs>
</ds:datastoreItem>
</file>

<file path=customXml/itemProps4.xml><?xml version="1.0" encoding="utf-8"?>
<ds:datastoreItem xmlns:ds="http://schemas.openxmlformats.org/officeDocument/2006/customXml" ds:itemID="{E32254E1-CAFB-432A-BB5C-FC0CE5A74A84}">
  <ds:schemaRefs>
    <ds:schemaRef ds:uri="http://schemas.microsoft.com/office/2006/metadata/longProperties"/>
  </ds:schemaRefs>
</ds:datastoreItem>
</file>

<file path=customXml/itemProps5.xml><?xml version="1.0" encoding="utf-8"?>
<ds:datastoreItem xmlns:ds="http://schemas.openxmlformats.org/officeDocument/2006/customXml" ds:itemID="{F8951557-15C7-42FF-B459-926B53A87D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Links>
    <vt:vector size="12" baseType="variant">
      <vt:variant>
        <vt:i4>327716</vt:i4>
      </vt:variant>
      <vt:variant>
        <vt:i4>3</vt:i4>
      </vt:variant>
      <vt:variant>
        <vt:i4>0</vt:i4>
      </vt:variant>
      <vt:variant>
        <vt:i4>5</vt:i4>
      </vt:variant>
      <vt:variant>
        <vt:lpwstr>mailto:initiativecomments@caiso.com</vt:lpwstr>
      </vt:variant>
      <vt:variant>
        <vt:lpwstr/>
      </vt:variant>
      <vt:variant>
        <vt:i4>4784195</vt:i4>
      </vt:variant>
      <vt:variant>
        <vt:i4>0</vt:i4>
      </vt:variant>
      <vt:variant>
        <vt:i4>0</vt:i4>
      </vt:variant>
      <vt:variant>
        <vt:i4>5</vt:i4>
      </vt:variant>
      <vt:variant>
        <vt:lpwstr>http://www.caiso.com/informed/Pages/StakeholderProcesses/TransmissionAccessChargeOptions.aspx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Template - Transmission Access Charge Options - Aug 11, 2016 Working Group</dc:title>
  <dc:subject/>
  <dc:creator/>
  <cp:keywords/>
  <cp:lastModifiedBy/>
  <cp:revision>1</cp:revision>
  <dcterms:created xsi:type="dcterms:W3CDTF">2025-06-25T20:12:00Z</dcterms:created>
  <dcterms:modified xsi:type="dcterms:W3CDTF">2025-06-25T20:12:00Z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ISOKeywords">
    <vt:lpwstr/>
  </property>
  <property fmtid="{D5CDD505-2E9C-101B-9397-08002B2CF9AE}" pid="4" name="Order">
    <vt:lpwstr>29206700.0000000</vt:lpwstr>
  </property>
  <property fmtid="{D5CDD505-2E9C-101B-9397-08002B2CF9AE}" pid="5" name="display_urn:schemas-microsoft-com:office:office#Content_x0020_Administrator">
    <vt:lpwstr>Perez, Kimberli</vt:lpwstr>
  </property>
  <property fmtid="{D5CDD505-2E9C-101B-9397-08002B2CF9AE}" pid="6" name="ISOGroup">
    <vt:lpwstr/>
  </property>
  <property fmtid="{D5CDD505-2E9C-101B-9397-08002B2CF9AE}" pid="7" name="ISOArchive">
    <vt:lpwstr/>
  </property>
  <property fmtid="{D5CDD505-2E9C-101B-9397-08002B2CF9AE}" pid="8" name="ISOTopic">
    <vt:lpwstr>7;#Stakeholder processes|71659ab1-dac7-419e-9529-abc47c232b66</vt:lpwstr>
  </property>
  <property fmtid="{D5CDD505-2E9C-101B-9397-08002B2CF9AE}" pid="9" name="xd_ProgID">
    <vt:lpwstr/>
  </property>
  <property fmtid="{D5CDD505-2E9C-101B-9397-08002B2CF9AE}" pid="10" name="display_urn:schemas-microsoft-com:office:office#Content_x0020_Owner">
    <vt:lpwstr>Almeida, Keoni</vt:lpwstr>
  </property>
  <property fmtid="{D5CDD505-2E9C-101B-9397-08002B2CF9AE}" pid="11" name="display_urn:schemas-microsoft-com:office:office#ISOContributor">
    <vt:lpwstr>Perez, Kimberli</vt:lpwstr>
  </property>
  <property fmtid="{D5CDD505-2E9C-101B-9397-08002B2CF9AE}" pid="12" name="_SourceUrl">
    <vt:lpwstr/>
  </property>
  <property fmtid="{D5CDD505-2E9C-101B-9397-08002B2CF9AE}" pid="13" name="_SharedFileIndex">
    <vt:lpwstr/>
  </property>
  <property fmtid="{D5CDD505-2E9C-101B-9397-08002B2CF9AE}" pid="14" name="ContentTypeId">
    <vt:lpwstr>0x010100776092249CC62C48AA17033F357BFB4B</vt:lpwstr>
  </property>
</Properties>
</file>