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ED7" w14:textId="77777777" w:rsidR="005E7E4A" w:rsidRDefault="005E7E4A" w:rsidP="005E7E4A">
      <w:pPr>
        <w:jc w:val="center"/>
        <w:rPr>
          <w:b/>
          <w:sz w:val="40"/>
          <w:szCs w:val="40"/>
        </w:rPr>
      </w:pPr>
      <w:r w:rsidRPr="005E7E4A">
        <w:rPr>
          <w:b/>
          <w:sz w:val="40"/>
          <w:szCs w:val="40"/>
        </w:rPr>
        <w:t xml:space="preserve">Stakeholder </w:t>
      </w:r>
      <w:r w:rsidR="005D6A75">
        <w:rPr>
          <w:b/>
          <w:sz w:val="40"/>
          <w:szCs w:val="40"/>
        </w:rPr>
        <w:t>Comment</w:t>
      </w:r>
      <w:r w:rsidR="00C4611D">
        <w:rPr>
          <w:b/>
          <w:sz w:val="40"/>
          <w:szCs w:val="40"/>
        </w:rPr>
        <w:t>s</w:t>
      </w:r>
      <w:r w:rsidR="005D6A75">
        <w:rPr>
          <w:b/>
          <w:sz w:val="40"/>
          <w:szCs w:val="40"/>
        </w:rPr>
        <w:t xml:space="preserve"> Template</w:t>
      </w:r>
    </w:p>
    <w:p w14:paraId="06FC5571" w14:textId="77777777" w:rsidR="00C4611D" w:rsidRDefault="00C4611D" w:rsidP="005E7E4A">
      <w:pPr>
        <w:jc w:val="center"/>
        <w:rPr>
          <w:b/>
          <w:sz w:val="40"/>
          <w:szCs w:val="40"/>
        </w:rPr>
      </w:pPr>
    </w:p>
    <w:p w14:paraId="19668088" w14:textId="77777777" w:rsidR="00C4611D" w:rsidRDefault="00C22671" w:rsidP="00B0485F">
      <w:pPr>
        <w:jc w:val="center"/>
        <w:rPr>
          <w:b/>
          <w:sz w:val="40"/>
          <w:szCs w:val="40"/>
        </w:rPr>
      </w:pPr>
      <w:r>
        <w:rPr>
          <w:b/>
          <w:sz w:val="40"/>
          <w:szCs w:val="40"/>
        </w:rPr>
        <w:t>Transmission Access Charge Options</w:t>
      </w:r>
    </w:p>
    <w:p w14:paraId="0C5DA8E4" w14:textId="77777777" w:rsidR="00475BC2" w:rsidRDefault="00475BC2" w:rsidP="00B0485F">
      <w:pPr>
        <w:jc w:val="center"/>
        <w:rPr>
          <w:b/>
          <w:sz w:val="40"/>
          <w:szCs w:val="40"/>
        </w:rPr>
      </w:pPr>
      <w:r>
        <w:rPr>
          <w:b/>
          <w:sz w:val="40"/>
          <w:szCs w:val="40"/>
        </w:rPr>
        <w:t>Issue Paper</w:t>
      </w:r>
    </w:p>
    <w:p w14:paraId="0024F13F" w14:textId="77777777" w:rsidR="005E7E4A" w:rsidRPr="00C4611D" w:rsidRDefault="005E7E4A" w:rsidP="00C4611D"/>
    <w:p w14:paraId="2447BD21" w14:textId="77777777" w:rsidR="00C4611D" w:rsidRDefault="00C4611D"/>
    <w:tbl>
      <w:tblPr>
        <w:tblpPr w:leftFromText="180" w:rightFromText="180" w:vertAnchor="page" w:horzAnchor="margin" w:tblpY="3781"/>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4248"/>
        <w:gridCol w:w="2880"/>
        <w:gridCol w:w="2340"/>
      </w:tblGrid>
      <w:tr w:rsidR="00C4611D" w14:paraId="6ED1C64D" w14:textId="77777777" w:rsidTr="00605A43">
        <w:trPr>
          <w:trHeight w:val="541"/>
        </w:trPr>
        <w:tc>
          <w:tcPr>
            <w:tcW w:w="4248" w:type="dxa"/>
            <w:shd w:val="clear" w:color="auto" w:fill="C0C0C0"/>
          </w:tcPr>
          <w:p w14:paraId="6F2F5A27" w14:textId="77777777" w:rsidR="00C4611D" w:rsidRPr="00605A43" w:rsidRDefault="00C4611D" w:rsidP="00605A43">
            <w:pPr>
              <w:rPr>
                <w:b/>
              </w:rPr>
            </w:pPr>
            <w:r w:rsidRPr="00605A43">
              <w:rPr>
                <w:b/>
              </w:rPr>
              <w:t xml:space="preserve">Submitted by </w:t>
            </w:r>
          </w:p>
        </w:tc>
        <w:tc>
          <w:tcPr>
            <w:tcW w:w="2880" w:type="dxa"/>
            <w:shd w:val="clear" w:color="auto" w:fill="C0C0C0"/>
          </w:tcPr>
          <w:p w14:paraId="06A2771E" w14:textId="77777777" w:rsidR="00C4611D" w:rsidRPr="00605A43" w:rsidRDefault="00C4611D" w:rsidP="00605A43">
            <w:pPr>
              <w:rPr>
                <w:b/>
              </w:rPr>
            </w:pPr>
            <w:r w:rsidRPr="00605A43">
              <w:rPr>
                <w:b/>
              </w:rPr>
              <w:t>Company</w:t>
            </w:r>
          </w:p>
        </w:tc>
        <w:tc>
          <w:tcPr>
            <w:tcW w:w="2340" w:type="dxa"/>
            <w:shd w:val="clear" w:color="auto" w:fill="C0C0C0"/>
          </w:tcPr>
          <w:p w14:paraId="21C07193" w14:textId="77777777" w:rsidR="00C4611D" w:rsidRPr="00605A43" w:rsidRDefault="00C4611D" w:rsidP="00605A43">
            <w:pPr>
              <w:rPr>
                <w:b/>
              </w:rPr>
            </w:pPr>
            <w:r w:rsidRPr="00605A43">
              <w:rPr>
                <w:b/>
              </w:rPr>
              <w:t>Date Submitted</w:t>
            </w:r>
          </w:p>
        </w:tc>
      </w:tr>
      <w:tr w:rsidR="00C4611D" w14:paraId="68B8CF08" w14:textId="77777777" w:rsidTr="00605A43">
        <w:tblPrEx>
          <w:shd w:val="clear" w:color="auto" w:fill="auto"/>
        </w:tblPrEx>
        <w:trPr>
          <w:trHeight w:val="1083"/>
        </w:trPr>
        <w:tc>
          <w:tcPr>
            <w:tcW w:w="4248" w:type="dxa"/>
          </w:tcPr>
          <w:p w14:paraId="00B17721" w14:textId="77777777" w:rsidR="00C4611D" w:rsidRPr="00605A43" w:rsidRDefault="00B0485F" w:rsidP="00605A43">
            <w:pPr>
              <w:rPr>
                <w:i/>
              </w:rPr>
            </w:pPr>
            <w:r w:rsidRPr="00605A43">
              <w:rPr>
                <w:i/>
              </w:rPr>
              <w:t>(submitter name</w:t>
            </w:r>
            <w:r w:rsidR="004F3593">
              <w:rPr>
                <w:i/>
              </w:rPr>
              <w:t xml:space="preserve"> and phone number</w:t>
            </w:r>
            <w:r w:rsidRPr="00605A43">
              <w:rPr>
                <w:i/>
              </w:rPr>
              <w:t>)</w:t>
            </w:r>
          </w:p>
        </w:tc>
        <w:tc>
          <w:tcPr>
            <w:tcW w:w="2880" w:type="dxa"/>
          </w:tcPr>
          <w:p w14:paraId="3333E9E8" w14:textId="77777777" w:rsidR="00C4611D" w:rsidRPr="00605A43" w:rsidRDefault="00B0485F" w:rsidP="00605A43">
            <w:pPr>
              <w:rPr>
                <w:i/>
              </w:rPr>
            </w:pPr>
            <w:r w:rsidRPr="00605A43">
              <w:rPr>
                <w:i/>
              </w:rPr>
              <w:t>(company name)</w:t>
            </w:r>
          </w:p>
        </w:tc>
        <w:tc>
          <w:tcPr>
            <w:tcW w:w="2340" w:type="dxa"/>
          </w:tcPr>
          <w:p w14:paraId="69A1369B" w14:textId="77777777" w:rsidR="00C4611D" w:rsidRPr="00605A43" w:rsidRDefault="00B0485F" w:rsidP="00605A43">
            <w:pPr>
              <w:rPr>
                <w:i/>
              </w:rPr>
            </w:pPr>
            <w:r w:rsidRPr="00605A43">
              <w:rPr>
                <w:i/>
              </w:rPr>
              <w:t>(date)</w:t>
            </w:r>
          </w:p>
        </w:tc>
      </w:tr>
    </w:tbl>
    <w:p w14:paraId="14EB4BA9" w14:textId="77777777" w:rsidR="00C4611D" w:rsidRDefault="00C4611D"/>
    <w:p w14:paraId="21C25F7F" w14:textId="77777777" w:rsidR="00B0485F" w:rsidRDefault="00B0485F"/>
    <w:p w14:paraId="38D66174" w14:textId="77777777" w:rsidR="00C22671" w:rsidRDefault="005E7E4A">
      <w:r>
        <w:t>T</w:t>
      </w:r>
      <w:r w:rsidR="009062C7">
        <w:t>his temp</w:t>
      </w:r>
      <w:r w:rsidR="002721BC">
        <w:t>late has been created for submission of</w:t>
      </w:r>
      <w:r w:rsidR="009062C7">
        <w:t xml:space="preserve"> </w:t>
      </w:r>
      <w:r w:rsidR="002721BC">
        <w:t>stakeholder</w:t>
      </w:r>
      <w:r w:rsidR="009062C7">
        <w:t xml:space="preserve"> comments </w:t>
      </w:r>
      <w:r w:rsidR="00AB4F06">
        <w:t>on</w:t>
      </w:r>
      <w:r>
        <w:t xml:space="preserve"> </w:t>
      </w:r>
      <w:r w:rsidR="009062C7">
        <w:t xml:space="preserve">the </w:t>
      </w:r>
      <w:r w:rsidR="00C54D57">
        <w:t>issue paper</w:t>
      </w:r>
      <w:r w:rsidR="00724F6A">
        <w:t xml:space="preserve"> for the </w:t>
      </w:r>
      <w:r w:rsidR="00C54D57">
        <w:t>Transmission Access Charge Options</w:t>
      </w:r>
      <w:r w:rsidR="00F610DA" w:rsidRPr="00F610DA">
        <w:rPr>
          <w:rFonts w:ascii="\" w:hAnsi="\"/>
        </w:rPr>
        <w:t xml:space="preserve"> initiative</w:t>
      </w:r>
      <w:r w:rsidR="00F610DA">
        <w:rPr>
          <w:rFonts w:ascii="\" w:hAnsi="\"/>
          <w:b/>
        </w:rPr>
        <w:t xml:space="preserve"> </w:t>
      </w:r>
      <w:r w:rsidR="00C86E58">
        <w:rPr>
          <w:rFonts w:ascii="\" w:hAnsi="\"/>
        </w:rPr>
        <w:t xml:space="preserve">that was posted on </w:t>
      </w:r>
      <w:r w:rsidR="00C54D57">
        <w:rPr>
          <w:rFonts w:ascii="\" w:hAnsi="\"/>
        </w:rPr>
        <w:t>October 23,</w:t>
      </w:r>
      <w:r w:rsidR="00F610DA" w:rsidRPr="00F610DA">
        <w:rPr>
          <w:rFonts w:ascii="\" w:hAnsi="\"/>
          <w:vertAlign w:val="superscript"/>
        </w:rPr>
        <w:t xml:space="preserve"> </w:t>
      </w:r>
      <w:r w:rsidR="00C54D57">
        <w:t>2015</w:t>
      </w:r>
      <w:r w:rsidR="002721BC" w:rsidRPr="00F12347">
        <w:rPr>
          <w:i/>
        </w:rPr>
        <w:t>.</w:t>
      </w:r>
      <w:r w:rsidR="002721BC" w:rsidRPr="00C86E58">
        <w:t xml:space="preserve"> </w:t>
      </w:r>
      <w:r w:rsidR="00C22671">
        <w:t xml:space="preserve">The issue paper and other information related to this initiative may be found at: </w:t>
      </w:r>
      <w:hyperlink r:id="rId12" w:history="1">
        <w:r w:rsidR="00C22671" w:rsidRPr="00F03496">
          <w:rPr>
            <w:rStyle w:val="Hyperlink"/>
          </w:rPr>
          <w:t>http://www.caiso.com/informed/Pages/StakeholderProcesses/TransmissionAccessChargeOptions.aspx</w:t>
        </w:r>
      </w:hyperlink>
      <w:r w:rsidR="00C22671">
        <w:t xml:space="preserve"> </w:t>
      </w:r>
      <w:r w:rsidR="00C86E58">
        <w:t xml:space="preserve"> </w:t>
      </w:r>
    </w:p>
    <w:p w14:paraId="13658293" w14:textId="77777777" w:rsidR="00C22671" w:rsidRDefault="00C22671"/>
    <w:p w14:paraId="384EF64D" w14:textId="77777777" w:rsidR="005E7E4A" w:rsidRDefault="002721BC">
      <w:r w:rsidRPr="003148CD">
        <w:t xml:space="preserve">Upon completion of this template please submit </w:t>
      </w:r>
      <w:r w:rsidR="00F610DA">
        <w:t xml:space="preserve">it </w:t>
      </w:r>
      <w:r w:rsidRPr="003148CD">
        <w:t xml:space="preserve">to </w:t>
      </w:r>
      <w:hyperlink r:id="rId13" w:history="1">
        <w:r w:rsidR="00BB2E03" w:rsidRPr="00E26B11">
          <w:rPr>
            <w:rStyle w:val="Hyperlink"/>
          </w:rPr>
          <w:t>initiativecomments@caiso.com</w:t>
        </w:r>
      </w:hyperlink>
      <w:r w:rsidR="00BB2E03">
        <w:t xml:space="preserve">. </w:t>
      </w:r>
      <w:r w:rsidR="00C86E58">
        <w:t xml:space="preserve"> </w:t>
      </w:r>
      <w:r>
        <w:t>Submissions are requested by cl</w:t>
      </w:r>
      <w:r w:rsidR="00931D27">
        <w:t xml:space="preserve">ose of business on </w:t>
      </w:r>
      <w:r w:rsidR="00C22671">
        <w:rPr>
          <w:b/>
        </w:rPr>
        <w:t xml:space="preserve">November </w:t>
      </w:r>
      <w:r w:rsidR="009A7291">
        <w:rPr>
          <w:b/>
        </w:rPr>
        <w:t>20</w:t>
      </w:r>
      <w:r w:rsidR="004F3593">
        <w:rPr>
          <w:b/>
        </w:rPr>
        <w:t>, 2015.</w:t>
      </w:r>
      <w:r w:rsidR="00EB6BE4">
        <w:t xml:space="preserve">  </w:t>
      </w:r>
    </w:p>
    <w:p w14:paraId="484BCAF4" w14:textId="77777777" w:rsidR="00F610DA" w:rsidRDefault="00F610DA"/>
    <w:p w14:paraId="1EB5CA75" w14:textId="77777777" w:rsidR="00F610DA" w:rsidRDefault="00F610DA"/>
    <w:p w14:paraId="3F24BFD9" w14:textId="77777777" w:rsidR="002C5028" w:rsidRPr="002C5028" w:rsidRDefault="002C5028" w:rsidP="002C5028">
      <w:pPr>
        <w:pStyle w:val="ColorfulList-Accent1"/>
        <w:numPr>
          <w:ilvl w:val="0"/>
          <w:numId w:val="7"/>
        </w:numPr>
        <w:spacing w:after="120"/>
        <w:contextualSpacing w:val="0"/>
        <w:rPr>
          <w:u w:val="single"/>
        </w:rPr>
      </w:pPr>
      <w:r w:rsidRPr="002C5028">
        <w:rPr>
          <w:u w:val="single"/>
        </w:rPr>
        <w:t>One theme emphasized in the issue paper and in FERC orders is the importance of aligning transmission cost allocation with the distribution of benefits. Please offer your suggestions for how best to achieve good cost-benefit alignment and explain the reasoning for your suggestions.</w:t>
      </w:r>
    </w:p>
    <w:p w14:paraId="7FE0BD66" w14:textId="77777777" w:rsidR="002C5028" w:rsidRPr="002C5028" w:rsidRDefault="002C5028" w:rsidP="002C5028"/>
    <w:p w14:paraId="6BCEDC87" w14:textId="77777777" w:rsidR="002C5028" w:rsidRDefault="002C5028"/>
    <w:p w14:paraId="79EF053A" w14:textId="77777777" w:rsidR="002C5028" w:rsidRDefault="002C5028"/>
    <w:p w14:paraId="61A86859" w14:textId="77777777" w:rsidR="002C5028" w:rsidRDefault="002C5028"/>
    <w:p w14:paraId="14B7F5ED" w14:textId="77777777" w:rsidR="002C5028" w:rsidRDefault="002C5028"/>
    <w:p w14:paraId="70624589" w14:textId="77777777" w:rsidR="002C5028" w:rsidRDefault="002C5028"/>
    <w:p w14:paraId="05127AB4" w14:textId="77777777" w:rsidR="00724F6A" w:rsidRPr="00741D0C" w:rsidRDefault="00475BC2" w:rsidP="009F25EB">
      <w:pPr>
        <w:pStyle w:val="ColorfulList-Accent1"/>
        <w:numPr>
          <w:ilvl w:val="0"/>
          <w:numId w:val="7"/>
        </w:numPr>
        <w:spacing w:after="120"/>
        <w:contextualSpacing w:val="0"/>
        <w:rPr>
          <w:u w:val="single"/>
        </w:rPr>
      </w:pPr>
      <w:r>
        <w:rPr>
          <w:u w:val="single"/>
        </w:rPr>
        <w:t xml:space="preserve">Please comment on the factors the ISO has identified in section 5 of the issue paper as considerations for possible changes to the high-voltage TAC structure. </w:t>
      </w:r>
      <w:r w:rsidR="008F519E">
        <w:rPr>
          <w:u w:val="single"/>
        </w:rPr>
        <w:t>W</w:t>
      </w:r>
      <w:r>
        <w:rPr>
          <w:u w:val="single"/>
        </w:rPr>
        <w:t>hich factors do you consider most important and why? Identify any other fa</w:t>
      </w:r>
      <w:r w:rsidR="00DE02E5">
        <w:rPr>
          <w:u w:val="single"/>
        </w:rPr>
        <w:t>ctors you think should be consider</w:t>
      </w:r>
      <w:r>
        <w:rPr>
          <w:u w:val="single"/>
        </w:rPr>
        <w:t xml:space="preserve">ed and explain why. </w:t>
      </w:r>
    </w:p>
    <w:p w14:paraId="30FA0E74" w14:textId="77777777" w:rsidR="00724F6A" w:rsidRDefault="00724F6A" w:rsidP="00475BC2">
      <w:pPr>
        <w:pStyle w:val="ColorfulList-Accent1"/>
        <w:ind w:left="0"/>
      </w:pPr>
    </w:p>
    <w:p w14:paraId="0409416D" w14:textId="77777777" w:rsidR="00475BC2" w:rsidRDefault="00475BC2" w:rsidP="00475BC2">
      <w:pPr>
        <w:pStyle w:val="ColorfulList-Accent1"/>
        <w:ind w:left="0"/>
      </w:pPr>
    </w:p>
    <w:p w14:paraId="721F986F" w14:textId="77777777" w:rsidR="002C5028" w:rsidRDefault="002C5028" w:rsidP="00475BC2">
      <w:pPr>
        <w:pStyle w:val="ColorfulList-Accent1"/>
        <w:ind w:left="0"/>
      </w:pPr>
    </w:p>
    <w:p w14:paraId="4127D01D" w14:textId="77777777" w:rsidR="002C5028" w:rsidRDefault="002C5028" w:rsidP="00475BC2">
      <w:pPr>
        <w:pStyle w:val="ColorfulList-Accent1"/>
        <w:ind w:left="0"/>
      </w:pPr>
    </w:p>
    <w:p w14:paraId="2F67B0B1" w14:textId="77777777" w:rsidR="002C5028" w:rsidRDefault="002C5028" w:rsidP="00475BC2">
      <w:pPr>
        <w:pStyle w:val="ColorfulList-Accent1"/>
        <w:ind w:left="0"/>
      </w:pPr>
    </w:p>
    <w:p w14:paraId="37F24D12" w14:textId="77777777" w:rsidR="002C5028" w:rsidRDefault="002C5028" w:rsidP="00475BC2">
      <w:pPr>
        <w:pStyle w:val="ColorfulList-Accent1"/>
        <w:ind w:left="0"/>
      </w:pPr>
    </w:p>
    <w:p w14:paraId="65836C0D" w14:textId="77777777" w:rsidR="004212BD" w:rsidRPr="00F67898" w:rsidRDefault="004212BD" w:rsidP="004212BD">
      <w:pPr>
        <w:pStyle w:val="ColorfulList-Accent1"/>
        <w:numPr>
          <w:ilvl w:val="0"/>
          <w:numId w:val="7"/>
        </w:numPr>
        <w:spacing w:after="120"/>
        <w:contextualSpacing w:val="0"/>
        <w:rPr>
          <w:u w:val="single"/>
        </w:rPr>
      </w:pPr>
      <w:r w:rsidRPr="00F67898">
        <w:rPr>
          <w:u w:val="single"/>
        </w:rPr>
        <w:t>T</w:t>
      </w:r>
      <w:r>
        <w:rPr>
          <w:u w:val="single"/>
        </w:rPr>
        <w:t>he examples in section 7</w:t>
      </w:r>
      <w:r w:rsidRPr="00F67898">
        <w:rPr>
          <w:u w:val="single"/>
        </w:rPr>
        <w:t xml:space="preserve"> illustrate the idea of using a simple voltage-level criterion for deciding which facilities would be paid for by which sub-regions of the combined BAA. Plea</w:t>
      </w:r>
      <w:r w:rsidR="00D5007A">
        <w:rPr>
          <w:u w:val="single"/>
        </w:rPr>
        <w:t>se comment on the merits of the voltage-based</w:t>
      </w:r>
      <w:r w:rsidRPr="00F67898">
        <w:rPr>
          <w:u w:val="single"/>
        </w:rPr>
        <w:t xml:space="preserve"> approach and explain </w:t>
      </w:r>
      <w:r>
        <w:rPr>
          <w:u w:val="single"/>
        </w:rPr>
        <w:t>the reasoning for your comments.</w:t>
      </w:r>
    </w:p>
    <w:p w14:paraId="7DD5179E" w14:textId="77777777" w:rsidR="004212BD" w:rsidRDefault="004212BD" w:rsidP="00475BC2">
      <w:pPr>
        <w:pStyle w:val="ColorfulList-Accent1"/>
        <w:ind w:left="0"/>
      </w:pPr>
    </w:p>
    <w:p w14:paraId="72F813FD" w14:textId="77777777" w:rsidR="004212BD" w:rsidRDefault="004212BD" w:rsidP="00475BC2">
      <w:pPr>
        <w:pStyle w:val="ColorfulList-Accent1"/>
        <w:ind w:left="0"/>
      </w:pPr>
    </w:p>
    <w:p w14:paraId="3223BA09" w14:textId="77777777" w:rsidR="004212BD" w:rsidRDefault="004212BD" w:rsidP="00475BC2">
      <w:pPr>
        <w:pStyle w:val="ColorfulList-Accent1"/>
        <w:ind w:left="0"/>
      </w:pPr>
    </w:p>
    <w:p w14:paraId="1FA4BF1E" w14:textId="77777777" w:rsidR="004212BD" w:rsidRDefault="004212BD" w:rsidP="00475BC2">
      <w:pPr>
        <w:pStyle w:val="ColorfulList-Accent1"/>
        <w:ind w:left="0"/>
      </w:pPr>
    </w:p>
    <w:p w14:paraId="0E449F31" w14:textId="77777777" w:rsidR="00A10D02" w:rsidRDefault="00A10D02" w:rsidP="00475BC2">
      <w:pPr>
        <w:pStyle w:val="ColorfulList-Accent1"/>
        <w:ind w:left="0"/>
      </w:pPr>
    </w:p>
    <w:p w14:paraId="799BE49A" w14:textId="77777777" w:rsidR="00A10D02" w:rsidRDefault="00A10D02" w:rsidP="00475BC2">
      <w:pPr>
        <w:pStyle w:val="ColorfulList-Accent1"/>
        <w:ind w:left="0"/>
      </w:pPr>
    </w:p>
    <w:p w14:paraId="6C9DE4EC" w14:textId="77777777" w:rsidR="00475BC2" w:rsidRPr="002C5028" w:rsidRDefault="002C5028" w:rsidP="002C5028">
      <w:pPr>
        <w:pStyle w:val="ColorfulList-Accent1"/>
        <w:numPr>
          <w:ilvl w:val="0"/>
          <w:numId w:val="7"/>
        </w:numPr>
        <w:spacing w:after="120"/>
        <w:contextualSpacing w:val="0"/>
        <w:rPr>
          <w:u w:val="single"/>
        </w:rPr>
      </w:pPr>
      <w:r w:rsidRPr="002C5028">
        <w:rPr>
          <w:u w:val="single"/>
        </w:rPr>
        <w:t xml:space="preserve">Please comment on </w:t>
      </w:r>
      <w:r w:rsidR="00BE7F4A">
        <w:rPr>
          <w:u w:val="single"/>
        </w:rPr>
        <w:t xml:space="preserve">the merits of </w:t>
      </w:r>
      <w:r w:rsidRPr="002C5028">
        <w:rPr>
          <w:u w:val="single"/>
        </w:rPr>
        <w:t>using the type of transmission facility – reliability, economic, or public policy</w:t>
      </w:r>
      <w:r w:rsidR="00BE7F4A">
        <w:rPr>
          <w:u w:val="single"/>
        </w:rPr>
        <w:t xml:space="preserve"> </w:t>
      </w:r>
      <w:r w:rsidR="004212BD">
        <w:rPr>
          <w:u w:val="single"/>
        </w:rPr>
        <w:t>–</w:t>
      </w:r>
      <w:r w:rsidRPr="002C5028">
        <w:rPr>
          <w:u w:val="single"/>
        </w:rPr>
        <w:t xml:space="preserve"> as a criterion for cost allocation</w:t>
      </w:r>
      <w:r w:rsidR="00D5007A">
        <w:rPr>
          <w:u w:val="single"/>
        </w:rPr>
        <w:t>,</w:t>
      </w:r>
      <w:r w:rsidR="00A10D02">
        <w:rPr>
          <w:u w:val="single"/>
        </w:rPr>
        <w:t xml:space="preserve"> and explain the reasoning for your comments</w:t>
      </w:r>
      <w:r w:rsidRPr="002C5028">
        <w:rPr>
          <w:u w:val="single"/>
        </w:rPr>
        <w:t xml:space="preserve">. </w:t>
      </w:r>
    </w:p>
    <w:p w14:paraId="0064310B" w14:textId="77777777" w:rsidR="002C5028" w:rsidRDefault="002C5028" w:rsidP="00475BC2">
      <w:pPr>
        <w:pStyle w:val="ColorfulList-Accent1"/>
        <w:ind w:left="0"/>
      </w:pPr>
    </w:p>
    <w:p w14:paraId="1EBA177D" w14:textId="77777777" w:rsidR="008F519E" w:rsidRDefault="008F519E" w:rsidP="00475BC2">
      <w:pPr>
        <w:pStyle w:val="ColorfulList-Accent1"/>
        <w:ind w:left="0"/>
      </w:pPr>
    </w:p>
    <w:p w14:paraId="6423DB7E" w14:textId="77777777" w:rsidR="008F519E" w:rsidRDefault="008F519E" w:rsidP="00475BC2">
      <w:pPr>
        <w:pStyle w:val="ColorfulList-Accent1"/>
        <w:ind w:left="0"/>
      </w:pPr>
    </w:p>
    <w:p w14:paraId="4EA86B21" w14:textId="77777777" w:rsidR="008F519E" w:rsidRDefault="008F519E" w:rsidP="00475BC2">
      <w:pPr>
        <w:pStyle w:val="ColorfulList-Accent1"/>
        <w:ind w:left="0"/>
      </w:pPr>
    </w:p>
    <w:p w14:paraId="2E22C295" w14:textId="77777777" w:rsidR="002C5028" w:rsidRDefault="002C5028" w:rsidP="00475BC2">
      <w:pPr>
        <w:pStyle w:val="ColorfulList-Accent1"/>
        <w:ind w:left="0"/>
      </w:pPr>
    </w:p>
    <w:p w14:paraId="068F8FB2" w14:textId="77777777" w:rsidR="002C5028" w:rsidRDefault="002C5028" w:rsidP="00475BC2">
      <w:pPr>
        <w:pStyle w:val="ColorfulList-Accent1"/>
        <w:ind w:left="0"/>
      </w:pPr>
    </w:p>
    <w:p w14:paraId="4C8850AB" w14:textId="77777777" w:rsidR="002C5028" w:rsidRDefault="002C5028" w:rsidP="002C5028">
      <w:pPr>
        <w:pStyle w:val="ColorfulList-Accent1"/>
        <w:numPr>
          <w:ilvl w:val="0"/>
          <w:numId w:val="7"/>
        </w:numPr>
        <w:spacing w:after="120"/>
        <w:contextualSpacing w:val="0"/>
        <w:rPr>
          <w:u w:val="single"/>
        </w:rPr>
      </w:pPr>
      <w:r w:rsidRPr="002C5028">
        <w:rPr>
          <w:u w:val="single"/>
        </w:rPr>
        <w:t xml:space="preserve">Please comment on </w:t>
      </w:r>
      <w:r w:rsidR="00BE7F4A">
        <w:rPr>
          <w:u w:val="single"/>
        </w:rPr>
        <w:t xml:space="preserve">the merits of </w:t>
      </w:r>
      <w:r w:rsidRPr="002C5028">
        <w:rPr>
          <w:u w:val="single"/>
        </w:rPr>
        <w:t xml:space="preserve">using </w:t>
      </w:r>
      <w:r w:rsidR="00BE7F4A">
        <w:rPr>
          <w:u w:val="single"/>
        </w:rPr>
        <w:t xml:space="preserve">the </w:t>
      </w:r>
      <w:r w:rsidRPr="002C5028">
        <w:rPr>
          <w:u w:val="single"/>
        </w:rPr>
        <w:t xml:space="preserve">in-service date as a criterion for cost </w:t>
      </w:r>
      <w:proofErr w:type="gramStart"/>
      <w:r w:rsidRPr="002C5028">
        <w:rPr>
          <w:u w:val="single"/>
        </w:rPr>
        <w:t>allocation</w:t>
      </w:r>
      <w:r>
        <w:rPr>
          <w:u w:val="single"/>
        </w:rPr>
        <w:t>;</w:t>
      </w:r>
      <w:proofErr w:type="gramEnd"/>
      <w:r>
        <w:rPr>
          <w:u w:val="single"/>
        </w:rPr>
        <w:t xml:space="preserve"> e.g., </w:t>
      </w:r>
      <w:r w:rsidRPr="002C5028">
        <w:rPr>
          <w:u w:val="single"/>
        </w:rPr>
        <w:t xml:space="preserve">whether and how cost allocation should differ for transmission facilities that are in service at the time </w:t>
      </w:r>
      <w:r w:rsidR="00BE7F4A">
        <w:rPr>
          <w:u w:val="single"/>
        </w:rPr>
        <w:t>a</w:t>
      </w:r>
      <w:r w:rsidR="00BE7F4A" w:rsidRPr="002C5028">
        <w:rPr>
          <w:u w:val="single"/>
        </w:rPr>
        <w:t xml:space="preserve"> </w:t>
      </w:r>
      <w:r w:rsidRPr="002C5028">
        <w:rPr>
          <w:u w:val="single"/>
        </w:rPr>
        <w:t>new PTO joins</w:t>
      </w:r>
      <w:r>
        <w:rPr>
          <w:u w:val="single"/>
        </w:rPr>
        <w:t xml:space="preserve"> versus transmission facilities that are energized after </w:t>
      </w:r>
      <w:r w:rsidR="00BE7F4A">
        <w:rPr>
          <w:u w:val="single"/>
        </w:rPr>
        <w:t xml:space="preserve">a </w:t>
      </w:r>
      <w:r>
        <w:rPr>
          <w:u w:val="single"/>
        </w:rPr>
        <w:t xml:space="preserve">new PTO joins. </w:t>
      </w:r>
    </w:p>
    <w:p w14:paraId="248B8205" w14:textId="77777777" w:rsidR="002C5028" w:rsidRPr="002C5028" w:rsidRDefault="002C5028" w:rsidP="002C5028">
      <w:pPr>
        <w:pStyle w:val="ColorfulList-Accent1"/>
        <w:ind w:left="0"/>
      </w:pPr>
    </w:p>
    <w:p w14:paraId="1707C1C0" w14:textId="77777777" w:rsidR="002C5028" w:rsidRPr="002C5028" w:rsidRDefault="002C5028" w:rsidP="002C5028">
      <w:pPr>
        <w:pStyle w:val="ColorfulList-Accent1"/>
        <w:ind w:left="0"/>
      </w:pPr>
    </w:p>
    <w:p w14:paraId="1FA0A49D" w14:textId="77777777" w:rsidR="002C5028" w:rsidRPr="002C5028" w:rsidRDefault="002C5028" w:rsidP="002C5028">
      <w:pPr>
        <w:pStyle w:val="ColorfulList-Accent1"/>
        <w:ind w:left="0"/>
      </w:pPr>
    </w:p>
    <w:p w14:paraId="70D7E7E9" w14:textId="77777777" w:rsidR="002C5028" w:rsidRDefault="002C5028" w:rsidP="00475BC2">
      <w:pPr>
        <w:pStyle w:val="ColorfulList-Accent1"/>
        <w:ind w:left="0"/>
      </w:pPr>
    </w:p>
    <w:p w14:paraId="25E8BD6C" w14:textId="77777777" w:rsidR="002C5028" w:rsidRDefault="002C5028" w:rsidP="00475BC2">
      <w:pPr>
        <w:pStyle w:val="ColorfulList-Accent1"/>
        <w:ind w:left="0"/>
      </w:pPr>
    </w:p>
    <w:p w14:paraId="6CB7A1BD" w14:textId="77777777" w:rsidR="002C5028" w:rsidRDefault="002C5028" w:rsidP="00475BC2">
      <w:pPr>
        <w:pStyle w:val="ColorfulList-Accent1"/>
        <w:ind w:left="0"/>
      </w:pPr>
    </w:p>
    <w:p w14:paraId="5BC4B0C4" w14:textId="77777777" w:rsidR="002C5028" w:rsidRPr="00622337" w:rsidRDefault="00622337" w:rsidP="00622337">
      <w:pPr>
        <w:pStyle w:val="ColorfulList-Accent1"/>
        <w:numPr>
          <w:ilvl w:val="0"/>
          <w:numId w:val="7"/>
        </w:numPr>
        <w:spacing w:after="120"/>
        <w:contextualSpacing w:val="0"/>
        <w:rPr>
          <w:u w:val="single"/>
        </w:rPr>
      </w:pPr>
      <w:r w:rsidRPr="00622337">
        <w:rPr>
          <w:u w:val="single"/>
        </w:rPr>
        <w:t xml:space="preserve">Please comment on using the planning process as a criterion for cost </w:t>
      </w:r>
      <w:proofErr w:type="gramStart"/>
      <w:r w:rsidRPr="00622337">
        <w:rPr>
          <w:u w:val="single"/>
        </w:rPr>
        <w:t>allocation;</w:t>
      </w:r>
      <w:proofErr w:type="gramEnd"/>
      <w:r w:rsidRPr="00622337">
        <w:rPr>
          <w:u w:val="single"/>
        </w:rPr>
        <w:t xml:space="preserve"> i.e., whether and how cost allocation should differ for transmission facilities that are approved under a comprehensive planning process that includes the existing ISO PTOs as well as </w:t>
      </w:r>
      <w:r w:rsidR="00BE7F4A">
        <w:rPr>
          <w:u w:val="single"/>
        </w:rPr>
        <w:t>a</w:t>
      </w:r>
      <w:r w:rsidR="00BE7F4A" w:rsidRPr="00622337">
        <w:rPr>
          <w:u w:val="single"/>
        </w:rPr>
        <w:t xml:space="preserve"> </w:t>
      </w:r>
      <w:r w:rsidRPr="00622337">
        <w:rPr>
          <w:u w:val="single"/>
        </w:rPr>
        <w:t>new PTO, versus transmission facilities that were approved under separate planning processes.</w:t>
      </w:r>
    </w:p>
    <w:p w14:paraId="23BE38A1" w14:textId="77777777" w:rsidR="00622337" w:rsidRDefault="00622337" w:rsidP="00475BC2">
      <w:pPr>
        <w:pStyle w:val="ColorfulList-Accent1"/>
        <w:ind w:left="0"/>
      </w:pPr>
    </w:p>
    <w:p w14:paraId="538F41C4" w14:textId="77777777" w:rsidR="00622337" w:rsidRDefault="00622337" w:rsidP="00475BC2">
      <w:pPr>
        <w:pStyle w:val="ColorfulList-Accent1"/>
        <w:ind w:left="0"/>
      </w:pPr>
    </w:p>
    <w:p w14:paraId="39DAEEC5" w14:textId="77777777" w:rsidR="00622337" w:rsidRDefault="00622337" w:rsidP="00475BC2">
      <w:pPr>
        <w:pStyle w:val="ColorfulList-Accent1"/>
        <w:ind w:left="0"/>
      </w:pPr>
    </w:p>
    <w:p w14:paraId="1F06CAFE" w14:textId="77777777" w:rsidR="00622337" w:rsidRDefault="00622337" w:rsidP="00475BC2">
      <w:pPr>
        <w:pStyle w:val="ColorfulList-Accent1"/>
        <w:ind w:left="0"/>
      </w:pPr>
    </w:p>
    <w:p w14:paraId="62A63A6D" w14:textId="77777777" w:rsidR="00622337" w:rsidRDefault="00622337" w:rsidP="00475BC2">
      <w:pPr>
        <w:pStyle w:val="ColorfulList-Accent1"/>
        <w:ind w:left="0"/>
      </w:pPr>
    </w:p>
    <w:p w14:paraId="1E1C64BB" w14:textId="77777777" w:rsidR="00622337" w:rsidRDefault="00622337" w:rsidP="00475BC2">
      <w:pPr>
        <w:pStyle w:val="ColorfulList-Accent1"/>
        <w:ind w:left="0"/>
      </w:pPr>
    </w:p>
    <w:p w14:paraId="42511A72" w14:textId="77777777" w:rsidR="00F67898" w:rsidRDefault="00475BC2" w:rsidP="009F25EB">
      <w:pPr>
        <w:pStyle w:val="ColorfulList-Accent1"/>
        <w:numPr>
          <w:ilvl w:val="0"/>
          <w:numId w:val="7"/>
        </w:numPr>
        <w:spacing w:after="120"/>
        <w:contextualSpacing w:val="0"/>
        <w:rPr>
          <w:u w:val="single"/>
        </w:rPr>
      </w:pPr>
      <w:r>
        <w:rPr>
          <w:u w:val="single"/>
        </w:rPr>
        <w:t xml:space="preserve">The examples </w:t>
      </w:r>
      <w:r w:rsidR="00F67898">
        <w:rPr>
          <w:u w:val="single"/>
        </w:rPr>
        <w:t xml:space="preserve">in section 7 </w:t>
      </w:r>
      <w:r>
        <w:rPr>
          <w:u w:val="single"/>
        </w:rPr>
        <w:t>ill</w:t>
      </w:r>
      <w:r w:rsidR="00F67898">
        <w:rPr>
          <w:u w:val="single"/>
        </w:rPr>
        <w:t>ustrate the idea</w:t>
      </w:r>
      <w:r>
        <w:rPr>
          <w:u w:val="single"/>
        </w:rPr>
        <w:t xml:space="preserve"> of using two “sub-regional”</w:t>
      </w:r>
      <w:r w:rsidR="00F67898">
        <w:rPr>
          <w:u w:val="single"/>
        </w:rPr>
        <w:t xml:space="preserve"> TAC rates that </w:t>
      </w:r>
      <w:r>
        <w:rPr>
          <w:u w:val="single"/>
        </w:rPr>
        <w:t xml:space="preserve">apply, respectively, to the existing ISO BAA and to </w:t>
      </w:r>
      <w:r w:rsidR="00BE7F4A">
        <w:rPr>
          <w:u w:val="single"/>
        </w:rPr>
        <w:t xml:space="preserve">a </w:t>
      </w:r>
      <w:r>
        <w:rPr>
          <w:u w:val="single"/>
        </w:rPr>
        <w:t>new PTO’s service</w:t>
      </w:r>
      <w:r w:rsidR="00724F6A" w:rsidRPr="00091D77">
        <w:rPr>
          <w:u w:val="single"/>
        </w:rPr>
        <w:t xml:space="preserve"> </w:t>
      </w:r>
      <w:r>
        <w:rPr>
          <w:u w:val="single"/>
        </w:rPr>
        <w:t xml:space="preserve">territory. Please comment </w:t>
      </w:r>
      <w:r w:rsidR="00F67898">
        <w:rPr>
          <w:u w:val="single"/>
        </w:rPr>
        <w:t xml:space="preserve">on the merits of this approach and explain </w:t>
      </w:r>
      <w:r w:rsidR="00BE7F4A">
        <w:rPr>
          <w:u w:val="single"/>
        </w:rPr>
        <w:t>the reasoning for your comments</w:t>
      </w:r>
      <w:r w:rsidR="00F67898">
        <w:rPr>
          <w:u w:val="single"/>
        </w:rPr>
        <w:t xml:space="preserve">. </w:t>
      </w:r>
    </w:p>
    <w:p w14:paraId="3C707050" w14:textId="77777777" w:rsidR="00F67898" w:rsidRPr="00F67898" w:rsidRDefault="00F67898" w:rsidP="00F67898">
      <w:pPr>
        <w:pStyle w:val="ColorfulList-Accent1"/>
        <w:ind w:left="0"/>
      </w:pPr>
    </w:p>
    <w:p w14:paraId="4091924A" w14:textId="77777777" w:rsidR="00F67898" w:rsidRPr="00F67898" w:rsidRDefault="00F67898" w:rsidP="00F67898">
      <w:pPr>
        <w:pStyle w:val="ColorfulList-Accent1"/>
        <w:ind w:left="0"/>
      </w:pPr>
    </w:p>
    <w:p w14:paraId="2BA609EF" w14:textId="77777777" w:rsidR="00F67898" w:rsidRPr="00F67898" w:rsidRDefault="00F67898" w:rsidP="00F67898">
      <w:pPr>
        <w:pStyle w:val="ColorfulList-Accent1"/>
        <w:ind w:left="0"/>
      </w:pPr>
    </w:p>
    <w:p w14:paraId="1BD7E2A1" w14:textId="77777777" w:rsidR="00724F6A" w:rsidRPr="00F67898" w:rsidRDefault="00724F6A" w:rsidP="00F67898">
      <w:pPr>
        <w:pStyle w:val="ColorfulList-Accent1"/>
        <w:ind w:left="0"/>
      </w:pPr>
    </w:p>
    <w:p w14:paraId="441DF4EF" w14:textId="77777777" w:rsidR="00723264" w:rsidRDefault="00723264" w:rsidP="00F67898">
      <w:pPr>
        <w:pStyle w:val="ColorfulList-Accent1"/>
        <w:ind w:left="0"/>
      </w:pPr>
    </w:p>
    <w:p w14:paraId="4C4A4260" w14:textId="77777777" w:rsidR="00622337" w:rsidRPr="00F67898" w:rsidRDefault="00622337" w:rsidP="00F67898">
      <w:pPr>
        <w:pStyle w:val="ColorfulList-Accent1"/>
        <w:ind w:left="0"/>
      </w:pPr>
    </w:p>
    <w:p w14:paraId="57E136A3" w14:textId="77777777" w:rsidR="00F67898" w:rsidRPr="00622337" w:rsidRDefault="00622337" w:rsidP="00622337">
      <w:pPr>
        <w:pStyle w:val="ColorfulList-Accent1"/>
        <w:numPr>
          <w:ilvl w:val="0"/>
          <w:numId w:val="7"/>
        </w:numPr>
        <w:spacing w:after="120"/>
        <w:contextualSpacing w:val="0"/>
        <w:rPr>
          <w:u w:val="single"/>
        </w:rPr>
      </w:pPr>
      <w:r w:rsidRPr="00622337">
        <w:rPr>
          <w:u w:val="single"/>
        </w:rPr>
        <w:t xml:space="preserve">Please offer any other comments or suggestions </w:t>
      </w:r>
      <w:r w:rsidR="00BE7F4A">
        <w:rPr>
          <w:u w:val="single"/>
        </w:rPr>
        <w:t>on</w:t>
      </w:r>
      <w:r w:rsidRPr="00622337">
        <w:rPr>
          <w:u w:val="single"/>
        </w:rPr>
        <w:t xml:space="preserve"> this initiative. </w:t>
      </w:r>
    </w:p>
    <w:p w14:paraId="75F9FC47" w14:textId="77777777" w:rsidR="00622337" w:rsidRDefault="00622337" w:rsidP="00F67898">
      <w:pPr>
        <w:pStyle w:val="ColorfulList-Accent1"/>
        <w:ind w:left="0"/>
      </w:pPr>
    </w:p>
    <w:p w14:paraId="125033AB" w14:textId="77777777" w:rsidR="00622337" w:rsidRDefault="00622337" w:rsidP="00F67898">
      <w:pPr>
        <w:pStyle w:val="ColorfulList-Accent1"/>
        <w:ind w:left="0"/>
      </w:pPr>
    </w:p>
    <w:p w14:paraId="29DAF4F9" w14:textId="77777777" w:rsidR="00622337" w:rsidRDefault="00622337" w:rsidP="00F67898">
      <w:pPr>
        <w:pStyle w:val="ColorfulList-Accent1"/>
        <w:ind w:left="0"/>
      </w:pPr>
    </w:p>
    <w:p w14:paraId="4FF4C3BB" w14:textId="77777777" w:rsidR="00622337" w:rsidRDefault="00622337" w:rsidP="00F67898">
      <w:pPr>
        <w:pStyle w:val="ColorfulList-Accent1"/>
        <w:ind w:left="0"/>
      </w:pPr>
    </w:p>
    <w:p w14:paraId="7C05BD83" w14:textId="77777777" w:rsidR="00622337" w:rsidRDefault="00622337" w:rsidP="00F67898">
      <w:pPr>
        <w:pStyle w:val="ColorfulList-Accent1"/>
        <w:ind w:left="0"/>
      </w:pPr>
    </w:p>
    <w:p w14:paraId="03444FF7" w14:textId="77777777" w:rsidR="00622337" w:rsidRDefault="00622337" w:rsidP="00F67898">
      <w:pPr>
        <w:pStyle w:val="ColorfulList-Accent1"/>
        <w:ind w:left="0"/>
      </w:pPr>
    </w:p>
    <w:p w14:paraId="6EBC767E" w14:textId="77777777" w:rsidR="00622337" w:rsidRDefault="00622337" w:rsidP="00F67898">
      <w:pPr>
        <w:pStyle w:val="ColorfulList-Accent1"/>
        <w:ind w:left="0"/>
      </w:pPr>
    </w:p>
    <w:p w14:paraId="4F1AAFB8" w14:textId="77777777" w:rsidR="00622337" w:rsidRPr="00F67898" w:rsidRDefault="00622337" w:rsidP="00F67898">
      <w:pPr>
        <w:pStyle w:val="ColorfulList-Accent1"/>
        <w:ind w:left="0"/>
      </w:pPr>
    </w:p>
    <w:sectPr w:rsidR="00622337" w:rsidRPr="00F67898" w:rsidSect="005D6A75">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DAE2D" w14:textId="77777777" w:rsidR="003D750A" w:rsidRDefault="003D750A">
      <w:r>
        <w:separator/>
      </w:r>
    </w:p>
  </w:endnote>
  <w:endnote w:type="continuationSeparator" w:id="0">
    <w:p w14:paraId="7FDCA84F" w14:textId="77777777" w:rsidR="003D750A" w:rsidRDefault="003D7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E6CB0" w14:textId="77777777" w:rsidR="004F3593" w:rsidRDefault="00771602">
    <w:pPr>
      <w:pStyle w:val="Footer"/>
    </w:pPr>
    <w:r>
      <w:t>Issue Paper Comments</w:t>
    </w:r>
    <w:r w:rsidR="004F3593">
      <w:tab/>
    </w:r>
    <w:r w:rsidR="004F3593">
      <w:tab/>
      <w:t xml:space="preserve">Page </w:t>
    </w:r>
    <w:r w:rsidR="004F3593">
      <w:rPr>
        <w:rStyle w:val="PageNumber"/>
      </w:rPr>
      <w:fldChar w:fldCharType="begin"/>
    </w:r>
    <w:r w:rsidR="004F3593">
      <w:rPr>
        <w:rStyle w:val="PageNumber"/>
      </w:rPr>
      <w:instrText xml:space="preserve"> PAGE </w:instrText>
    </w:r>
    <w:r w:rsidR="004F3593">
      <w:rPr>
        <w:rStyle w:val="PageNumber"/>
      </w:rPr>
      <w:fldChar w:fldCharType="separate"/>
    </w:r>
    <w:r w:rsidR="009A7291">
      <w:rPr>
        <w:rStyle w:val="PageNumber"/>
        <w:noProof/>
      </w:rPr>
      <w:t>2</w:t>
    </w:r>
    <w:r w:rsidR="004F3593">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3B5CF" w14:textId="77777777" w:rsidR="003D750A" w:rsidRDefault="003D750A">
      <w:r>
        <w:separator/>
      </w:r>
    </w:p>
  </w:footnote>
  <w:footnote w:type="continuationSeparator" w:id="0">
    <w:p w14:paraId="4EDBAE67" w14:textId="77777777" w:rsidR="003D750A" w:rsidRDefault="003D7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64879" w14:textId="77777777" w:rsidR="004F3593" w:rsidRPr="00C4611D" w:rsidRDefault="004F3593" w:rsidP="00C4611D">
    <w:pPr>
      <w:pStyle w:val="Header"/>
      <w:tabs>
        <w:tab w:val="clear" w:pos="4320"/>
        <w:tab w:val="clear" w:pos="8640"/>
        <w:tab w:val="right" w:pos="9360"/>
      </w:tabs>
      <w:rPr>
        <w:b/>
        <w:sz w:val="22"/>
        <w:szCs w:val="22"/>
      </w:rPr>
    </w:pPr>
    <w:r w:rsidRPr="00C4611D">
      <w:rPr>
        <w:b/>
        <w:sz w:val="22"/>
        <w:szCs w:val="22"/>
      </w:rPr>
      <w:t>CAISO</w:t>
    </w:r>
    <w:r w:rsidRPr="00C4611D">
      <w:rPr>
        <w:b/>
        <w:sz w:val="22"/>
        <w:szCs w:val="22"/>
      </w:rPr>
      <w:tab/>
    </w:r>
    <w:r w:rsidR="00C54D57">
      <w:rPr>
        <w:b/>
        <w:sz w:val="22"/>
        <w:szCs w:val="22"/>
      </w:rPr>
      <w:t>Transmission Access Charge Options</w:t>
    </w:r>
    <w:r>
      <w:rPr>
        <w:b/>
        <w:sz w:val="22"/>
        <w:szCs w:val="22"/>
      </w:rPr>
      <w:t xml:space="preserve"> Initiative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10411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0F3E17"/>
    <w:multiLevelType w:val="hybridMultilevel"/>
    <w:tmpl w:val="F1528B94"/>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12861BD8">
      <w:start w:val="4"/>
      <w:numFmt w:val="decimal"/>
      <w:lvlText w:val="%3."/>
      <w:lvlJc w:val="left"/>
      <w:pPr>
        <w:tabs>
          <w:tab w:val="num" w:pos="2340"/>
        </w:tabs>
        <w:ind w:left="2340" w:hanging="360"/>
      </w:pPr>
      <w:rPr>
        <w:rFonts w:ascii="Arial" w:hAnsi="Arial" w:cs="Arial" w:hint="default"/>
        <w:color w:val="0000FF"/>
        <w:sz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76273A"/>
    <w:multiLevelType w:val="hybridMultilevel"/>
    <w:tmpl w:val="F7784016"/>
    <w:lvl w:ilvl="0" w:tplc="96222B64">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5432C02"/>
    <w:multiLevelType w:val="hybridMultilevel"/>
    <w:tmpl w:val="6D0CD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693A5F"/>
    <w:multiLevelType w:val="hybridMultilevel"/>
    <w:tmpl w:val="00A290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C81A49"/>
    <w:multiLevelType w:val="hybridMultilevel"/>
    <w:tmpl w:val="B826225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9891694"/>
    <w:multiLevelType w:val="hybridMultilevel"/>
    <w:tmpl w:val="BECC09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515D33"/>
    <w:multiLevelType w:val="hybridMultilevel"/>
    <w:tmpl w:val="7C4CD7D6"/>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6657949">
    <w:abstractNumId w:val="5"/>
  </w:num>
  <w:num w:numId="2" w16cid:durableId="1632859573">
    <w:abstractNumId w:val="1"/>
  </w:num>
  <w:num w:numId="3" w16cid:durableId="25565801">
    <w:abstractNumId w:val="2"/>
  </w:num>
  <w:num w:numId="4" w16cid:durableId="1909152456">
    <w:abstractNumId w:val="6"/>
  </w:num>
  <w:num w:numId="5" w16cid:durableId="2018800689">
    <w:abstractNumId w:val="7"/>
  </w:num>
  <w:num w:numId="6" w16cid:durableId="1523517128">
    <w:abstractNumId w:val="3"/>
  </w:num>
  <w:num w:numId="7" w16cid:durableId="1172642202">
    <w:abstractNumId w:val="4"/>
  </w:num>
  <w:num w:numId="8" w16cid:durableId="1909724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9062C7"/>
    <w:rsid w:val="00036F0B"/>
    <w:rsid w:val="00091D77"/>
    <w:rsid w:val="000B4729"/>
    <w:rsid w:val="000B670C"/>
    <w:rsid w:val="000C35C3"/>
    <w:rsid w:val="000F756F"/>
    <w:rsid w:val="00101B5A"/>
    <w:rsid w:val="00145ED5"/>
    <w:rsid w:val="0014798F"/>
    <w:rsid w:val="001A5FAF"/>
    <w:rsid w:val="001E3E66"/>
    <w:rsid w:val="002205D0"/>
    <w:rsid w:val="002428B1"/>
    <w:rsid w:val="00267050"/>
    <w:rsid w:val="002721BC"/>
    <w:rsid w:val="002A242C"/>
    <w:rsid w:val="002A5193"/>
    <w:rsid w:val="002C5028"/>
    <w:rsid w:val="003017E7"/>
    <w:rsid w:val="003148CD"/>
    <w:rsid w:val="00314E03"/>
    <w:rsid w:val="00354286"/>
    <w:rsid w:val="003C266F"/>
    <w:rsid w:val="003D750A"/>
    <w:rsid w:val="00413F8D"/>
    <w:rsid w:val="004212BD"/>
    <w:rsid w:val="00475BC2"/>
    <w:rsid w:val="004B7419"/>
    <w:rsid w:val="004D0EC3"/>
    <w:rsid w:val="004E57CD"/>
    <w:rsid w:val="004F3593"/>
    <w:rsid w:val="005067DB"/>
    <w:rsid w:val="00516949"/>
    <w:rsid w:val="005201E7"/>
    <w:rsid w:val="00531AB0"/>
    <w:rsid w:val="005330C2"/>
    <w:rsid w:val="00565E9E"/>
    <w:rsid w:val="005D3287"/>
    <w:rsid w:val="005D6A75"/>
    <w:rsid w:val="005E7E4A"/>
    <w:rsid w:val="00605A43"/>
    <w:rsid w:val="00622337"/>
    <w:rsid w:val="00644345"/>
    <w:rsid w:val="00693D81"/>
    <w:rsid w:val="006A6D72"/>
    <w:rsid w:val="006C779F"/>
    <w:rsid w:val="00723264"/>
    <w:rsid w:val="00724F6A"/>
    <w:rsid w:val="00733909"/>
    <w:rsid w:val="00741D0C"/>
    <w:rsid w:val="007536D5"/>
    <w:rsid w:val="00762C18"/>
    <w:rsid w:val="00771602"/>
    <w:rsid w:val="00783271"/>
    <w:rsid w:val="00783F2D"/>
    <w:rsid w:val="007C5248"/>
    <w:rsid w:val="007E3286"/>
    <w:rsid w:val="007F5797"/>
    <w:rsid w:val="00820AD2"/>
    <w:rsid w:val="00836750"/>
    <w:rsid w:val="00846C54"/>
    <w:rsid w:val="0088120E"/>
    <w:rsid w:val="008C412A"/>
    <w:rsid w:val="008F519E"/>
    <w:rsid w:val="009062C7"/>
    <w:rsid w:val="00931D27"/>
    <w:rsid w:val="009821D5"/>
    <w:rsid w:val="009A7291"/>
    <w:rsid w:val="009B259F"/>
    <w:rsid w:val="009B5132"/>
    <w:rsid w:val="009D39BE"/>
    <w:rsid w:val="009F25EB"/>
    <w:rsid w:val="009F2C0A"/>
    <w:rsid w:val="009F6A25"/>
    <w:rsid w:val="00A034A8"/>
    <w:rsid w:val="00A10D02"/>
    <w:rsid w:val="00A63C08"/>
    <w:rsid w:val="00A67657"/>
    <w:rsid w:val="00A71363"/>
    <w:rsid w:val="00A925DA"/>
    <w:rsid w:val="00AA0449"/>
    <w:rsid w:val="00AB4F06"/>
    <w:rsid w:val="00AC734E"/>
    <w:rsid w:val="00AE6BF1"/>
    <w:rsid w:val="00B0485F"/>
    <w:rsid w:val="00B06A2E"/>
    <w:rsid w:val="00B30F13"/>
    <w:rsid w:val="00B51B78"/>
    <w:rsid w:val="00B6535E"/>
    <w:rsid w:val="00BB1351"/>
    <w:rsid w:val="00BB2E03"/>
    <w:rsid w:val="00BC3638"/>
    <w:rsid w:val="00BC629D"/>
    <w:rsid w:val="00BD58F9"/>
    <w:rsid w:val="00BE7F4A"/>
    <w:rsid w:val="00BF250B"/>
    <w:rsid w:val="00C22671"/>
    <w:rsid w:val="00C4611D"/>
    <w:rsid w:val="00C532C8"/>
    <w:rsid w:val="00C54D57"/>
    <w:rsid w:val="00C86E58"/>
    <w:rsid w:val="00CB6FB5"/>
    <w:rsid w:val="00CD1422"/>
    <w:rsid w:val="00CF677A"/>
    <w:rsid w:val="00D26FCC"/>
    <w:rsid w:val="00D42A15"/>
    <w:rsid w:val="00D5007A"/>
    <w:rsid w:val="00D6132C"/>
    <w:rsid w:val="00D679E3"/>
    <w:rsid w:val="00DB32FF"/>
    <w:rsid w:val="00DE02E5"/>
    <w:rsid w:val="00DE52BB"/>
    <w:rsid w:val="00E30AAF"/>
    <w:rsid w:val="00E62229"/>
    <w:rsid w:val="00E961FC"/>
    <w:rsid w:val="00EB6BE4"/>
    <w:rsid w:val="00F12347"/>
    <w:rsid w:val="00F46DD5"/>
    <w:rsid w:val="00F500D4"/>
    <w:rsid w:val="00F569D0"/>
    <w:rsid w:val="00F56FCA"/>
    <w:rsid w:val="00F610DA"/>
    <w:rsid w:val="00F67898"/>
    <w:rsid w:val="00FA5FF1"/>
    <w:rsid w:val="00FD1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62381E5"/>
  <w15:chartTrackingRefBased/>
  <w15:docId w15:val="{022584F1-A385-495F-9472-54CEE014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1B7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06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67657"/>
    <w:rPr>
      <w:color w:val="0000FF"/>
      <w:u w:val="single"/>
    </w:rPr>
  </w:style>
  <w:style w:type="paragraph" w:styleId="Header">
    <w:name w:val="header"/>
    <w:basedOn w:val="Normal"/>
    <w:rsid w:val="00C4611D"/>
    <w:pPr>
      <w:tabs>
        <w:tab w:val="center" w:pos="4320"/>
        <w:tab w:val="right" w:pos="8640"/>
      </w:tabs>
    </w:pPr>
  </w:style>
  <w:style w:type="paragraph" w:styleId="Footer">
    <w:name w:val="footer"/>
    <w:basedOn w:val="Normal"/>
    <w:rsid w:val="00C4611D"/>
    <w:pPr>
      <w:tabs>
        <w:tab w:val="center" w:pos="4320"/>
        <w:tab w:val="right" w:pos="8640"/>
      </w:tabs>
    </w:pPr>
  </w:style>
  <w:style w:type="character" w:styleId="PageNumber">
    <w:name w:val="page number"/>
    <w:basedOn w:val="DefaultParagraphFont"/>
    <w:rsid w:val="00C4611D"/>
  </w:style>
  <w:style w:type="paragraph" w:styleId="ColorfulList-Accent1">
    <w:name w:val="Colorful List Accent 1"/>
    <w:basedOn w:val="Normal"/>
    <w:uiPriority w:val="34"/>
    <w:qFormat/>
    <w:rsid w:val="00EB6BE4"/>
    <w:pPr>
      <w:ind w:left="720"/>
      <w:contextualSpacing/>
    </w:pPr>
  </w:style>
  <w:style w:type="character" w:styleId="CommentReference">
    <w:name w:val="annotation reference"/>
    <w:rsid w:val="004F3593"/>
    <w:rPr>
      <w:sz w:val="16"/>
      <w:szCs w:val="16"/>
    </w:rPr>
  </w:style>
  <w:style w:type="paragraph" w:styleId="CommentText">
    <w:name w:val="annotation text"/>
    <w:basedOn w:val="Normal"/>
    <w:link w:val="CommentTextChar"/>
    <w:rsid w:val="004F3593"/>
    <w:rPr>
      <w:sz w:val="20"/>
      <w:szCs w:val="20"/>
    </w:rPr>
  </w:style>
  <w:style w:type="character" w:customStyle="1" w:styleId="CommentTextChar">
    <w:name w:val="Comment Text Char"/>
    <w:basedOn w:val="DefaultParagraphFont"/>
    <w:link w:val="CommentText"/>
    <w:rsid w:val="004F3593"/>
  </w:style>
  <w:style w:type="paragraph" w:styleId="CommentSubject">
    <w:name w:val="annotation subject"/>
    <w:basedOn w:val="CommentText"/>
    <w:next w:val="CommentText"/>
    <w:link w:val="CommentSubjectChar"/>
    <w:rsid w:val="004F3593"/>
    <w:rPr>
      <w:b/>
      <w:bCs/>
    </w:rPr>
  </w:style>
  <w:style w:type="character" w:customStyle="1" w:styleId="CommentSubjectChar">
    <w:name w:val="Comment Subject Char"/>
    <w:link w:val="CommentSubject"/>
    <w:rsid w:val="004F3593"/>
    <w:rPr>
      <w:b/>
      <w:bCs/>
    </w:rPr>
  </w:style>
  <w:style w:type="paragraph" w:styleId="BalloonText">
    <w:name w:val="Balloon Text"/>
    <w:basedOn w:val="Normal"/>
    <w:link w:val="BalloonTextChar"/>
    <w:rsid w:val="004F3593"/>
    <w:rPr>
      <w:rFonts w:ascii="Tahoma" w:hAnsi="Tahoma" w:cs="Tahoma"/>
      <w:sz w:val="16"/>
      <w:szCs w:val="16"/>
    </w:rPr>
  </w:style>
  <w:style w:type="character" w:customStyle="1" w:styleId="BalloonTextChar">
    <w:name w:val="Balloon Text Char"/>
    <w:link w:val="BalloonText"/>
    <w:rsid w:val="004F35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6834766">
      <w:bodyDiv w:val="1"/>
      <w:marLeft w:val="0"/>
      <w:marRight w:val="0"/>
      <w:marTop w:val="0"/>
      <w:marBottom w:val="0"/>
      <w:divBdr>
        <w:top w:val="none" w:sz="0" w:space="0" w:color="auto"/>
        <w:left w:val="none" w:sz="0" w:space="0" w:color="auto"/>
        <w:bottom w:val="none" w:sz="0" w:space="0" w:color="auto"/>
        <w:right w:val="none" w:sz="0" w:space="0" w:color="auto"/>
      </w:divBdr>
      <w:divsChild>
        <w:div w:id="37903970">
          <w:marLeft w:val="0"/>
          <w:marRight w:val="0"/>
          <w:marTop w:val="0"/>
          <w:marBottom w:val="0"/>
          <w:divBdr>
            <w:top w:val="none" w:sz="0" w:space="0" w:color="auto"/>
            <w:left w:val="none" w:sz="0" w:space="0" w:color="auto"/>
            <w:bottom w:val="none" w:sz="0" w:space="0" w:color="auto"/>
            <w:right w:val="none" w:sz="0" w:space="0" w:color="auto"/>
          </w:divBdr>
        </w:div>
        <w:div w:id="55664796">
          <w:marLeft w:val="0"/>
          <w:marRight w:val="0"/>
          <w:marTop w:val="0"/>
          <w:marBottom w:val="0"/>
          <w:divBdr>
            <w:top w:val="none" w:sz="0" w:space="0" w:color="auto"/>
            <w:left w:val="none" w:sz="0" w:space="0" w:color="auto"/>
            <w:bottom w:val="none" w:sz="0" w:space="0" w:color="auto"/>
            <w:right w:val="none" w:sz="0" w:space="0" w:color="auto"/>
          </w:divBdr>
        </w:div>
        <w:div w:id="207230145">
          <w:marLeft w:val="0"/>
          <w:marRight w:val="0"/>
          <w:marTop w:val="0"/>
          <w:marBottom w:val="0"/>
          <w:divBdr>
            <w:top w:val="none" w:sz="0" w:space="0" w:color="auto"/>
            <w:left w:val="none" w:sz="0" w:space="0" w:color="auto"/>
            <w:bottom w:val="none" w:sz="0" w:space="0" w:color="auto"/>
            <w:right w:val="none" w:sz="0" w:space="0" w:color="auto"/>
          </w:divBdr>
        </w:div>
        <w:div w:id="408574799">
          <w:marLeft w:val="0"/>
          <w:marRight w:val="0"/>
          <w:marTop w:val="0"/>
          <w:marBottom w:val="0"/>
          <w:divBdr>
            <w:top w:val="none" w:sz="0" w:space="0" w:color="auto"/>
            <w:left w:val="none" w:sz="0" w:space="0" w:color="auto"/>
            <w:bottom w:val="none" w:sz="0" w:space="0" w:color="auto"/>
            <w:right w:val="none" w:sz="0" w:space="0" w:color="auto"/>
          </w:divBdr>
        </w:div>
        <w:div w:id="544299198">
          <w:marLeft w:val="0"/>
          <w:marRight w:val="0"/>
          <w:marTop w:val="0"/>
          <w:marBottom w:val="0"/>
          <w:divBdr>
            <w:top w:val="none" w:sz="0" w:space="0" w:color="auto"/>
            <w:left w:val="none" w:sz="0" w:space="0" w:color="auto"/>
            <w:bottom w:val="none" w:sz="0" w:space="0" w:color="auto"/>
            <w:right w:val="none" w:sz="0" w:space="0" w:color="auto"/>
          </w:divBdr>
        </w:div>
        <w:div w:id="1168442795">
          <w:marLeft w:val="0"/>
          <w:marRight w:val="0"/>
          <w:marTop w:val="0"/>
          <w:marBottom w:val="0"/>
          <w:divBdr>
            <w:top w:val="none" w:sz="0" w:space="0" w:color="auto"/>
            <w:left w:val="none" w:sz="0" w:space="0" w:color="auto"/>
            <w:bottom w:val="none" w:sz="0" w:space="0" w:color="auto"/>
            <w:right w:val="none" w:sz="0" w:space="0" w:color="auto"/>
          </w:divBdr>
        </w:div>
        <w:div w:id="1824151709">
          <w:marLeft w:val="0"/>
          <w:marRight w:val="0"/>
          <w:marTop w:val="0"/>
          <w:marBottom w:val="0"/>
          <w:divBdr>
            <w:top w:val="none" w:sz="0" w:space="0" w:color="auto"/>
            <w:left w:val="none" w:sz="0" w:space="0" w:color="auto"/>
            <w:bottom w:val="none" w:sz="0" w:space="0" w:color="auto"/>
            <w:right w:val="none" w:sz="0" w:space="0" w:color="auto"/>
          </w:divBdr>
        </w:div>
        <w:div w:id="2017345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itiativecomments@caiso.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aiso.com/informed/Pages/StakeholderProcesses/TransmissionAccessChargeOptions.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6D2275-34E3-40D4-B8D4-D9AEA80AEC13}">
  <ds:schemaRefs>
    <ds:schemaRef ds:uri="http://schemas.microsoft.com/office/2006/metadata/longProperties"/>
  </ds:schemaRefs>
</ds:datastoreItem>
</file>

<file path=customXml/itemProps2.xml><?xml version="1.0" encoding="utf-8"?>
<ds:datastoreItem xmlns:ds="http://schemas.openxmlformats.org/officeDocument/2006/customXml" ds:itemID="{3B99E6EF-B22E-47A5-849D-599ACE828EEC}"/>
</file>

<file path=customXml/itemProps3.xml><?xml version="1.0" encoding="utf-8"?>
<ds:datastoreItem xmlns:ds="http://schemas.openxmlformats.org/officeDocument/2006/customXml" ds:itemID="{7F01F392-0A7B-42C6-840F-64B5B46F78D4}"/>
</file>

<file path=customXml/itemProps4.xml><?xml version="1.0" encoding="utf-8"?>
<ds:datastoreItem xmlns:ds="http://schemas.openxmlformats.org/officeDocument/2006/customXml" ds:itemID="{0AF97CD6-9F6A-40BF-8D83-396A4562D97F}">
  <ds:schemaRefs>
    <ds:schemaRef ds:uri="http://schemas.openxmlformats.org/officeDocument/2006/bibliography"/>
  </ds:schemaRefs>
</ds:datastoreItem>
</file>

<file path=customXml/itemProps5.xml><?xml version="1.0" encoding="utf-8"?>
<ds:datastoreItem xmlns:ds="http://schemas.openxmlformats.org/officeDocument/2006/customXml" ds:itemID="{D1D8FEA8-9647-480D-8F2B-F97D275644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CommentsTemplate - Transmission Access Charge Options - Issue Paper</vt:lpstr>
    </vt:vector>
  </TitlesOfParts>
  <Company>CAISO</Company>
  <LinksUpToDate>false</LinksUpToDate>
  <CharactersWithSpaces>2941</CharactersWithSpaces>
  <SharedDoc>false</SharedDoc>
  <HLinks>
    <vt:vector size="12" baseType="variant">
      <vt:variant>
        <vt:i4>327716</vt:i4>
      </vt:variant>
      <vt:variant>
        <vt:i4>3</vt:i4>
      </vt:variant>
      <vt:variant>
        <vt:i4>0</vt:i4>
      </vt:variant>
      <vt:variant>
        <vt:i4>5</vt:i4>
      </vt:variant>
      <vt:variant>
        <vt:lpwstr>mailto:initiativecomments@caiso.com</vt:lpwstr>
      </vt:variant>
      <vt:variant>
        <vt:lpwstr/>
      </vt:variant>
      <vt:variant>
        <vt:i4>4784195</vt:i4>
      </vt:variant>
      <vt:variant>
        <vt:i4>0</vt:i4>
      </vt:variant>
      <vt:variant>
        <vt:i4>0</vt:i4>
      </vt:variant>
      <vt:variant>
        <vt:i4>5</vt:i4>
      </vt:variant>
      <vt:variant>
        <vt:lpwstr>http://www.caiso.com/informed/Pages/StakeholderProcesses/TransmissionAccessChargeOptions.aspx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Template - Transmission Access Charge Options - Issue Paper</dc:title>
  <dc:subject/>
  <dc:creator>James Blatchford</dc:creator>
  <cp:keywords/>
  <cp:lastModifiedBy>Pearson, Hannah</cp:lastModifiedBy>
  <cp:revision>2</cp:revision>
  <cp:lastPrinted>2015-11-06T02:37:00Z</cp:lastPrinted>
  <dcterms:created xsi:type="dcterms:W3CDTF">2025-06-25T20:14:00Z</dcterms:created>
  <dcterms:modified xsi:type="dcterms:W3CDTF">2025-06-25T20:14:00Z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Date">
    <vt:lpwstr>2010-12-17T13:15:16Z</vt:lpwstr>
  </property>
  <property fmtid="{D5CDD505-2E9C-101B-9397-08002B2CF9AE}" pid="3" name="ISOKeywords">
    <vt:lpwstr>5721;#Comments Template|95765058-23d2-4753-b1f6-b33426667b1f;#1221;#reliability|0d3859f1-a60f-4563-a605-33c55d637adc</vt:lpwstr>
  </property>
  <property fmtid="{D5CDD505-2E9C-101B-9397-08002B2CF9AE}" pid="4" name="ISOGroup">
    <vt:lpwstr/>
  </property>
  <property fmtid="{D5CDD505-2E9C-101B-9397-08002B2CF9AE}" pid="5" name="ISOTopic">
    <vt:lpwstr>7;#Stakeholder processes|71659ab1-dac7-419e-9529-abc47c232b66</vt:lpwstr>
  </property>
  <property fmtid="{D5CDD505-2E9C-101B-9397-08002B2CF9AE}" pid="6" name="Order">
    <vt:lpwstr>28763100.0000000</vt:lpwstr>
  </property>
  <property fmtid="{D5CDD505-2E9C-101B-9397-08002B2CF9AE}" pid="7" name="ISOArchive">
    <vt:lpwstr>1;#Not Archived|d4ac4999-fa66-470b-a400-7ab6671d1fab</vt:lpwstr>
  </property>
  <property fmtid="{D5CDD505-2E9C-101B-9397-08002B2CF9AE}" pid="8" name="OriginalUriCopy">
    <vt:lpwstr>http://fwebp03.oa.caiso.com:21083/286f/286fba641f050.doc, http://www.caiso.com/286f/286fba641f050.doc</vt:lpwstr>
  </property>
  <property fmtid="{D5CDD505-2E9C-101B-9397-08002B2CF9AE}" pid="9" name="PageLink">
    <vt:lpwstr/>
  </property>
  <property fmtid="{D5CDD505-2E9C-101B-9397-08002B2CF9AE}" pid="10" name="Archived">
    <vt:lpwstr>0</vt:lpwstr>
  </property>
  <property fmtid="{D5CDD505-2E9C-101B-9397-08002B2CF9AE}" pid="11" name="OriginalURIBackup">
    <vt:lpwstr>http://fwebp03.oa.caiso.com:21083/286f/286fba641f050.doc, /286f/286fba641f050.doc</vt:lpwstr>
  </property>
  <property fmtid="{D5CDD505-2E9C-101B-9397-08002B2CF9AE}" pid="12" name="display_urn:schemas-microsoft-com:office:office#Content_x0020_Owner">
    <vt:lpwstr>Almeida, Keoni</vt:lpwstr>
  </property>
  <property fmtid="{D5CDD505-2E9C-101B-9397-08002B2CF9AE}" pid="13" name="display_urn:schemas-microsoft-com:office:office#ISOContributor">
    <vt:lpwstr>Cuccia, Thomas</vt:lpwstr>
  </property>
  <property fmtid="{D5CDD505-2E9C-101B-9397-08002B2CF9AE}" pid="14" name="display_urn:schemas-microsoft-com:office:office#Content_x0020_Administrator">
    <vt:lpwstr>Cuccia, Thomas</vt:lpwstr>
  </property>
  <property fmtid="{D5CDD505-2E9C-101B-9397-08002B2CF9AE}" pid="15" name="TemplateUrl">
    <vt:lpwstr/>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ContentTypeId">
    <vt:lpwstr>0x010100776092249CC62C48AA17033F357BFB4B</vt:lpwstr>
  </property>
</Properties>
</file>