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CBF6" w14:textId="582CBC04" w:rsidR="00665145" w:rsidRDefault="00665145">
      <w:pPr>
        <w:pStyle w:val="Heading1"/>
      </w:pPr>
      <w:r>
        <w:rPr>
          <w:noProof/>
        </w:rPr>
        <w:drawing>
          <wp:inline distT="0" distB="0" distL="0" distR="0" wp14:anchorId="49D0025F" wp14:editId="47385BF6">
            <wp:extent cx="28575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inline>
        </w:drawing>
      </w:r>
    </w:p>
    <w:p w14:paraId="2D349022" w14:textId="77777777" w:rsidR="00665145" w:rsidRDefault="00665145">
      <w:pPr>
        <w:pStyle w:val="Heading1"/>
      </w:pPr>
      <w:r>
        <w:t>Template for Submission of Comments on 5-Year Market Initiatives Roadmap</w:t>
      </w:r>
    </w:p>
    <w:p w14:paraId="548A3441" w14:textId="77777777" w:rsidR="00665145" w:rsidRDefault="00665145">
      <w:pPr>
        <w:rPr>
          <w:rFonts w:ascii="Arial" w:hAnsi="Arial" w:cs="Arial"/>
          <w:sz w:val="22"/>
          <w:szCs w:val="22"/>
        </w:rPr>
      </w:pPr>
    </w:p>
    <w:p w14:paraId="55037B87" w14:textId="77777777" w:rsidR="00665145" w:rsidRDefault="00665145">
      <w:pPr>
        <w:rPr>
          <w:rFonts w:ascii="Arial" w:hAnsi="Arial"/>
          <w:sz w:val="22"/>
        </w:rPr>
      </w:pPr>
      <w:r>
        <w:rPr>
          <w:rFonts w:ascii="Arial" w:hAnsi="Arial"/>
          <w:sz w:val="22"/>
        </w:rPr>
        <w:t xml:space="preserve">The CAISO is requesting written comments to the </w:t>
      </w:r>
      <w:r>
        <w:rPr>
          <w:rFonts w:ascii="Arial" w:hAnsi="Arial"/>
          <w:i/>
          <w:sz w:val="22"/>
        </w:rPr>
        <w:t>Preliminary Results of the High Level Prioritization of Market Enhancements</w:t>
      </w:r>
      <w:r>
        <w:rPr>
          <w:rFonts w:ascii="Arial" w:hAnsi="Arial"/>
          <w:sz w:val="22"/>
        </w:rPr>
        <w:t xml:space="preserve"> that was discussed at the April 30</w:t>
      </w:r>
      <w:r>
        <w:rPr>
          <w:rFonts w:ascii="Arial" w:hAnsi="Arial"/>
          <w:sz w:val="22"/>
          <w:vertAlign w:val="superscript"/>
        </w:rPr>
        <w:t>th</w:t>
      </w:r>
      <w:r>
        <w:rPr>
          <w:rFonts w:ascii="Arial" w:hAnsi="Arial"/>
          <w:sz w:val="22"/>
        </w:rPr>
        <w:t xml:space="preserve"> Market Initiatives Roadmap Stakeholder meeting. This template is offered as an optional guide for entities to submit comments; however participants are encouraged to submit comments in any form.  </w:t>
      </w:r>
    </w:p>
    <w:p w14:paraId="01A6C2B0" w14:textId="77777777" w:rsidR="00665145" w:rsidRDefault="00665145">
      <w:pPr>
        <w:rPr>
          <w:rFonts w:ascii="Arial" w:hAnsi="Arial" w:cs="Arial"/>
          <w:sz w:val="22"/>
          <w:szCs w:val="22"/>
        </w:rPr>
      </w:pPr>
    </w:p>
    <w:p w14:paraId="758788D7" w14:textId="77777777" w:rsidR="00665145" w:rsidRDefault="00665145">
      <w:pPr>
        <w:rPr>
          <w:rFonts w:ascii="Arial" w:hAnsi="Arial" w:cs="Arial"/>
          <w:sz w:val="22"/>
          <w:szCs w:val="22"/>
        </w:rPr>
      </w:pPr>
      <w:r>
        <w:rPr>
          <w:rFonts w:ascii="Arial" w:hAnsi="Arial" w:cs="Arial"/>
          <w:sz w:val="22"/>
          <w:szCs w:val="22"/>
        </w:rPr>
        <w:t xml:space="preserve">Comments are requested by close of business Friday, May 9, 2008 and should be submitted to mmiller@caiso.com. </w:t>
      </w:r>
    </w:p>
    <w:p w14:paraId="6B999511" w14:textId="77777777" w:rsidR="00665145" w:rsidRDefault="00665145">
      <w:pPr>
        <w:rPr>
          <w:rFonts w:ascii="Arial" w:hAnsi="Arial" w:cs="Arial"/>
          <w:sz w:val="22"/>
          <w:szCs w:val="22"/>
        </w:rPr>
      </w:pPr>
      <w:r>
        <w:rPr>
          <w:rFonts w:ascii="Arial" w:hAnsi="Arial" w:cs="Arial"/>
          <w:sz w:val="22"/>
          <w:szCs w:val="22"/>
        </w:rPr>
        <w:t xml:space="preserve">Please contact Margaret Miller at mmiller@caiso.com or 916 608-7028 with any questions. </w:t>
      </w:r>
    </w:p>
    <w:p w14:paraId="7DF8A761" w14:textId="77777777" w:rsidR="00665145" w:rsidRDefault="00665145">
      <w:pPr>
        <w:rPr>
          <w:rFonts w:ascii="Arial" w:hAnsi="Arial" w:cs="Arial"/>
          <w:sz w:val="22"/>
          <w:szCs w:val="22"/>
        </w:rPr>
      </w:pPr>
    </w:p>
    <w:p w14:paraId="473A3E55" w14:textId="77777777" w:rsidR="00665145" w:rsidRDefault="00665145">
      <w:pPr>
        <w:rPr>
          <w:rFonts w:ascii="Arial" w:hAnsi="Arial" w:cs="Arial"/>
          <w:sz w:val="22"/>
          <w:szCs w:val="22"/>
        </w:rPr>
      </w:pPr>
    </w:p>
    <w:p w14:paraId="207613BB" w14:textId="77777777" w:rsidR="00665145" w:rsidRDefault="00665145">
      <w:pPr>
        <w:rPr>
          <w:rFonts w:ascii="Arial" w:hAnsi="Arial" w:cs="Arial"/>
          <w:sz w:val="22"/>
          <w:szCs w:val="22"/>
        </w:rPr>
      </w:pPr>
      <w:r>
        <w:rPr>
          <w:rFonts w:ascii="Arial" w:hAnsi="Arial" w:cs="Arial"/>
          <w:sz w:val="22"/>
          <w:szCs w:val="22"/>
        </w:rPr>
        <w:t>All documents related to the Market Initiatives Roadmap effort are posted on the CAISO Website at the following link:</w:t>
      </w:r>
    </w:p>
    <w:p w14:paraId="6CDFA008" w14:textId="77777777" w:rsidR="00665145" w:rsidRDefault="00665145">
      <w:pPr>
        <w:rPr>
          <w:rFonts w:ascii="Arial" w:hAnsi="Arial" w:cs="Arial"/>
          <w:sz w:val="22"/>
          <w:szCs w:val="22"/>
        </w:rPr>
      </w:pPr>
    </w:p>
    <w:p w14:paraId="5A0B4E76" w14:textId="77777777" w:rsidR="00665145" w:rsidRDefault="00665145">
      <w:pPr>
        <w:rPr>
          <w:rFonts w:ascii="Arial" w:hAnsi="Arial" w:cs="Arial"/>
          <w:sz w:val="22"/>
          <w:szCs w:val="22"/>
        </w:rPr>
      </w:pPr>
      <w:hyperlink r:id="rId12" w:history="1">
        <w:r>
          <w:rPr>
            <w:rStyle w:val="Hyperlink"/>
            <w:rFonts w:ascii="Arial" w:hAnsi="Arial" w:cs="Arial"/>
            <w:sz w:val="22"/>
            <w:szCs w:val="22"/>
          </w:rPr>
          <w:t>http://www.caiso.com/1fb1/1fb1856366d60.html</w:t>
        </w:r>
      </w:hyperlink>
    </w:p>
    <w:p w14:paraId="7ECDF2EF" w14:textId="77777777" w:rsidR="00665145" w:rsidRDefault="00665145">
      <w:pPr>
        <w:rPr>
          <w:rFonts w:ascii="Arial" w:hAnsi="Arial" w:cs="Arial"/>
          <w:sz w:val="22"/>
          <w:szCs w:val="22"/>
        </w:rPr>
      </w:pPr>
    </w:p>
    <w:p w14:paraId="3DEDB482" w14:textId="77777777" w:rsidR="00665145" w:rsidRDefault="00665145">
      <w:pPr>
        <w:rPr>
          <w:rFonts w:ascii="Arial" w:hAnsi="Arial" w:cs="Arial"/>
          <w:sz w:val="22"/>
          <w:szCs w:val="22"/>
        </w:rPr>
      </w:pPr>
    </w:p>
    <w:p w14:paraId="6332B877" w14:textId="77777777" w:rsidR="00665145" w:rsidRDefault="00665145">
      <w:pPr>
        <w:rPr>
          <w:rFonts w:ascii="Arial" w:hAnsi="Arial" w:cs="Arial"/>
          <w:sz w:val="22"/>
          <w:szCs w:val="22"/>
        </w:rPr>
      </w:pPr>
      <w:r>
        <w:rPr>
          <w:rFonts w:ascii="Arial" w:hAnsi="Arial" w:cs="Arial"/>
          <w:sz w:val="22"/>
          <w:szCs w:val="22"/>
        </w:rPr>
        <w:t>Please provide responses to the following questions:</w:t>
      </w:r>
    </w:p>
    <w:p w14:paraId="2BDB93E2" w14:textId="77777777" w:rsidR="00665145" w:rsidRDefault="00665145">
      <w:pPr>
        <w:rPr>
          <w:rFonts w:ascii="Arial" w:hAnsi="Arial" w:cs="Arial"/>
          <w:sz w:val="22"/>
          <w:szCs w:val="22"/>
        </w:rPr>
      </w:pPr>
    </w:p>
    <w:p w14:paraId="21C51919" w14:textId="77777777" w:rsidR="00665145" w:rsidRDefault="00665145">
      <w:pPr>
        <w:rPr>
          <w:rFonts w:ascii="Arial" w:hAnsi="Arial" w:cs="Arial"/>
          <w:sz w:val="22"/>
          <w:szCs w:val="22"/>
        </w:rPr>
      </w:pPr>
    </w:p>
    <w:p w14:paraId="21609F50" w14:textId="77777777" w:rsidR="00665145" w:rsidRDefault="00665145">
      <w:pPr>
        <w:ind w:left="360"/>
        <w:rPr>
          <w:rFonts w:ascii="Arial" w:hAnsi="Arial" w:cs="Arial"/>
          <w:sz w:val="22"/>
          <w:szCs w:val="22"/>
        </w:rPr>
      </w:pPr>
    </w:p>
    <w:p w14:paraId="12CC81A1" w14:textId="77777777" w:rsidR="00665145" w:rsidRDefault="00665145">
      <w:pPr>
        <w:numPr>
          <w:ilvl w:val="0"/>
          <w:numId w:val="19"/>
        </w:numPr>
        <w:rPr>
          <w:rFonts w:ascii="Arial" w:hAnsi="Arial" w:cs="Arial"/>
          <w:sz w:val="22"/>
          <w:szCs w:val="22"/>
        </w:rPr>
      </w:pPr>
      <w:r>
        <w:rPr>
          <w:rFonts w:ascii="Arial" w:hAnsi="Arial" w:cs="Arial"/>
          <w:sz w:val="22"/>
          <w:szCs w:val="22"/>
        </w:rPr>
        <w:t>The market enhancements listed below were raised as high priority by market participants that presented at the April 30</w:t>
      </w:r>
      <w:r>
        <w:rPr>
          <w:rFonts w:ascii="Arial" w:hAnsi="Arial" w:cs="Arial"/>
          <w:sz w:val="22"/>
          <w:szCs w:val="22"/>
          <w:vertAlign w:val="superscript"/>
        </w:rPr>
        <w:t>th</w:t>
      </w:r>
      <w:r>
        <w:rPr>
          <w:rFonts w:ascii="Arial" w:hAnsi="Arial" w:cs="Arial"/>
          <w:sz w:val="22"/>
          <w:szCs w:val="22"/>
        </w:rPr>
        <w:t xml:space="preserve"> stakeholder meeting. The reference to the section of the Roadmap where these initiatives are located is provided for your reference. Do you agree these should be considered high priority initiatives and if so why?</w:t>
      </w:r>
    </w:p>
    <w:p w14:paraId="4A95AE7E" w14:textId="77777777" w:rsidR="00665145" w:rsidRDefault="00665145">
      <w:pPr>
        <w:rPr>
          <w:rFonts w:ascii="Arial" w:hAnsi="Arial" w:cs="Arial"/>
          <w:sz w:val="22"/>
          <w:szCs w:val="22"/>
        </w:rPr>
      </w:pPr>
    </w:p>
    <w:p w14:paraId="6B53E9AB" w14:textId="77777777" w:rsidR="00665145" w:rsidRDefault="00665145">
      <w:pPr>
        <w:numPr>
          <w:ilvl w:val="0"/>
          <w:numId w:val="2"/>
        </w:numPr>
        <w:rPr>
          <w:rFonts w:ascii="Arial" w:hAnsi="Arial" w:cs="Arial"/>
          <w:sz w:val="22"/>
          <w:szCs w:val="22"/>
          <w:lang w:val="fr-FR"/>
        </w:rPr>
      </w:pPr>
      <w:r>
        <w:rPr>
          <w:rFonts w:ascii="Arial" w:hAnsi="Arial" w:cs="Arial"/>
          <w:sz w:val="22"/>
          <w:szCs w:val="22"/>
          <w:lang w:val="fr-FR"/>
        </w:rPr>
        <w:t>Voltage Support Procurement – 2.5.1</w:t>
      </w:r>
    </w:p>
    <w:p w14:paraId="0D38336B" w14:textId="77777777" w:rsidR="00665145" w:rsidRDefault="00665145">
      <w:pPr>
        <w:rPr>
          <w:rFonts w:ascii="Arial" w:hAnsi="Arial" w:cs="Arial"/>
          <w:sz w:val="22"/>
          <w:szCs w:val="22"/>
          <w:lang w:val="fr-FR"/>
        </w:rPr>
      </w:pPr>
    </w:p>
    <w:p w14:paraId="401951BC" w14:textId="77777777" w:rsidR="00665145" w:rsidRDefault="00665145">
      <w:pPr>
        <w:pStyle w:val="BodyTextIndent"/>
      </w:pPr>
      <w:r>
        <w:t>Coral supports market based procurement for ancillary services and energy products, and agrees that the CAISO should procure voltage support services from a market as opposed to previous mechanisms such as RMR agreements.  However, presently there are other items which are more urgent, and suggests that the CAISO defer development of this product at this time.</w:t>
      </w:r>
    </w:p>
    <w:p w14:paraId="2661662D" w14:textId="77777777" w:rsidR="00665145" w:rsidRDefault="00665145">
      <w:pPr>
        <w:ind w:left="1080"/>
        <w:rPr>
          <w:rFonts w:ascii="Arial" w:hAnsi="Arial" w:cs="Arial"/>
          <w:sz w:val="22"/>
          <w:szCs w:val="22"/>
        </w:rPr>
      </w:pPr>
    </w:p>
    <w:p w14:paraId="01998DC4" w14:textId="77777777" w:rsidR="00665145" w:rsidRDefault="00665145">
      <w:pPr>
        <w:numPr>
          <w:ilvl w:val="0"/>
          <w:numId w:val="2"/>
        </w:numPr>
        <w:rPr>
          <w:rFonts w:ascii="Arial" w:hAnsi="Arial" w:cs="Arial"/>
          <w:sz w:val="22"/>
          <w:szCs w:val="22"/>
        </w:rPr>
      </w:pPr>
      <w:r>
        <w:rPr>
          <w:rFonts w:ascii="Arial" w:hAnsi="Arial" w:cs="Arial"/>
          <w:sz w:val="22"/>
          <w:szCs w:val="22"/>
        </w:rPr>
        <w:t>Economic Methodology for Transmission Outages 2.2.3.30</w:t>
      </w:r>
    </w:p>
    <w:p w14:paraId="7AE03B44" w14:textId="77777777" w:rsidR="00665145" w:rsidRDefault="00665145">
      <w:pPr>
        <w:pStyle w:val="BodyTextIndent"/>
      </w:pPr>
      <w:r>
        <w:lastRenderedPageBreak/>
        <w:t>No comments at this time.</w:t>
      </w:r>
    </w:p>
    <w:p w14:paraId="074EA036" w14:textId="77777777" w:rsidR="00665145" w:rsidRDefault="00665145">
      <w:pPr>
        <w:rPr>
          <w:rFonts w:ascii="Arial" w:hAnsi="Arial" w:cs="Arial"/>
          <w:sz w:val="22"/>
          <w:szCs w:val="22"/>
        </w:rPr>
      </w:pPr>
    </w:p>
    <w:p w14:paraId="6E64E40C" w14:textId="77777777" w:rsidR="00665145" w:rsidRDefault="00665145">
      <w:pPr>
        <w:rPr>
          <w:rFonts w:ascii="Arial" w:hAnsi="Arial" w:cs="Arial"/>
          <w:sz w:val="22"/>
          <w:szCs w:val="22"/>
        </w:rPr>
      </w:pPr>
    </w:p>
    <w:p w14:paraId="2F8D958C" w14:textId="77777777" w:rsidR="00665145" w:rsidRDefault="00665145">
      <w:pPr>
        <w:numPr>
          <w:ilvl w:val="0"/>
          <w:numId w:val="2"/>
        </w:numPr>
        <w:rPr>
          <w:rFonts w:ascii="Arial" w:hAnsi="Arial" w:cs="Arial"/>
          <w:sz w:val="22"/>
          <w:szCs w:val="22"/>
        </w:rPr>
      </w:pPr>
      <w:r>
        <w:rPr>
          <w:rFonts w:ascii="Arial" w:hAnsi="Arial" w:cs="Arial"/>
          <w:sz w:val="22"/>
          <w:szCs w:val="22"/>
        </w:rPr>
        <w:t>Strengthening General Market Power Provisions - 2.2.3.26</w:t>
      </w:r>
    </w:p>
    <w:p w14:paraId="65AEF8FE" w14:textId="77777777" w:rsidR="00665145" w:rsidRDefault="00665145">
      <w:pPr>
        <w:rPr>
          <w:rFonts w:ascii="Arial" w:hAnsi="Arial" w:cs="Arial"/>
          <w:sz w:val="22"/>
          <w:szCs w:val="22"/>
        </w:rPr>
      </w:pPr>
    </w:p>
    <w:p w14:paraId="04932003" w14:textId="77777777" w:rsidR="00665145" w:rsidRDefault="00665145">
      <w:pPr>
        <w:pStyle w:val="BodyTextIndent"/>
      </w:pPr>
      <w:r>
        <w:t>Coral recognizes the need for appropriate market power provisions, but encourages the CAISO to periodically review its proposed market power mechanisms relative to the need to provide an appropriate price signal to encourage new generation and price responsive demand.  Currently, it would appear that the stringent market power provisions significantly dampen price signals, and that instead of focusing on additional market power provisions, the CAISO could look at mechanisms to refine market power mitigation</w:t>
      </w:r>
      <w:r>
        <w:t>, such as seasonal determinations of competitive paths and use of a dynamic pivotal supplier test.</w:t>
      </w:r>
    </w:p>
    <w:p w14:paraId="1B3FD09C" w14:textId="77777777" w:rsidR="00665145" w:rsidRDefault="00665145">
      <w:pPr>
        <w:ind w:left="1080"/>
        <w:rPr>
          <w:rFonts w:ascii="Arial" w:hAnsi="Arial" w:cs="Arial"/>
          <w:sz w:val="22"/>
          <w:szCs w:val="22"/>
        </w:rPr>
      </w:pPr>
    </w:p>
    <w:p w14:paraId="7A32A904" w14:textId="77777777" w:rsidR="00665145" w:rsidRDefault="00665145">
      <w:pPr>
        <w:numPr>
          <w:ilvl w:val="0"/>
          <w:numId w:val="2"/>
        </w:numPr>
        <w:rPr>
          <w:rFonts w:ascii="Arial" w:hAnsi="Arial" w:cs="Arial"/>
          <w:sz w:val="22"/>
          <w:szCs w:val="22"/>
        </w:rPr>
      </w:pPr>
      <w:r>
        <w:rPr>
          <w:rFonts w:ascii="Arial" w:hAnsi="Arial" w:cs="Arial"/>
          <w:sz w:val="22"/>
          <w:szCs w:val="22"/>
        </w:rPr>
        <w:t>Dynamic Pivotal Supplier Test – 2.2.2.5</w:t>
      </w:r>
    </w:p>
    <w:p w14:paraId="048AEF13" w14:textId="77777777" w:rsidR="00665145" w:rsidRDefault="00665145">
      <w:pPr>
        <w:ind w:left="720"/>
        <w:rPr>
          <w:rFonts w:ascii="Arial" w:hAnsi="Arial" w:cs="Arial"/>
          <w:sz w:val="22"/>
          <w:szCs w:val="22"/>
        </w:rPr>
      </w:pPr>
    </w:p>
    <w:p w14:paraId="61025FAD" w14:textId="77777777" w:rsidR="00665145" w:rsidRDefault="00665145">
      <w:pPr>
        <w:pStyle w:val="BodyTextIndent"/>
        <w:tabs>
          <w:tab w:val="left" w:pos="8820"/>
        </w:tabs>
      </w:pPr>
      <w:r>
        <w:t>Coral supports use of a dynamic pivotal supplier test for market power as a high priority, which will improve price signals and which will be another step towards encouraging construction of additional generation units in appropriate areas within its control area.</w:t>
      </w:r>
    </w:p>
    <w:p w14:paraId="331D5D65" w14:textId="77777777" w:rsidR="00665145" w:rsidRDefault="00665145">
      <w:pPr>
        <w:rPr>
          <w:rFonts w:ascii="Arial" w:hAnsi="Arial" w:cs="Arial"/>
          <w:sz w:val="22"/>
          <w:szCs w:val="22"/>
        </w:rPr>
      </w:pPr>
    </w:p>
    <w:p w14:paraId="0894B49A" w14:textId="77777777" w:rsidR="00665145" w:rsidRDefault="00665145">
      <w:pPr>
        <w:numPr>
          <w:ilvl w:val="0"/>
          <w:numId w:val="19"/>
        </w:numPr>
        <w:rPr>
          <w:rFonts w:ascii="Arial" w:hAnsi="Arial" w:cs="Arial"/>
          <w:sz w:val="22"/>
          <w:szCs w:val="22"/>
        </w:rPr>
      </w:pPr>
      <w:r>
        <w:rPr>
          <w:rFonts w:ascii="Arial" w:hAnsi="Arial" w:cs="Arial"/>
          <w:sz w:val="22"/>
          <w:szCs w:val="22"/>
        </w:rPr>
        <w:t>Are there other initiatives that you believe the CAISO should further consider as high priority going into the detailed ranking process? The chart below can be used to rank and provide detail on the proposed items using the high prioritization criteria. In providing your justification for a proposed market enhancement, the specific business needs of your company are extremely important and should be described as clearly and fully as possible</w:t>
      </w:r>
    </w:p>
    <w:p w14:paraId="4BE1214E" w14:textId="77777777" w:rsidR="00665145" w:rsidRDefault="00665145">
      <w:pPr>
        <w:rPr>
          <w:rFonts w:ascii="Arial" w:hAnsi="Arial" w:cs="Arial"/>
          <w:sz w:val="22"/>
          <w:szCs w:val="22"/>
        </w:rPr>
      </w:pPr>
    </w:p>
    <w:p w14:paraId="16C7915E" w14:textId="77777777" w:rsidR="00665145" w:rsidRDefault="00665145">
      <w:pPr>
        <w:rPr>
          <w:rFonts w:ascii="Arial" w:hAnsi="Arial" w:cs="Arial"/>
          <w:sz w:val="22"/>
          <w:szCs w:val="22"/>
        </w:rPr>
      </w:pPr>
    </w:p>
    <w:p w14:paraId="0120896F" w14:textId="77777777" w:rsidR="00665145" w:rsidRDefault="00665145">
      <w:pPr>
        <w:rPr>
          <w:rFonts w:ascii="Arial" w:hAnsi="Arial" w:cs="Arial"/>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000000" w14:paraId="3E47501C" w14:textId="77777777">
        <w:tc>
          <w:tcPr>
            <w:tcW w:w="1548" w:type="dxa"/>
          </w:tcPr>
          <w:p w14:paraId="58452956" w14:textId="77777777" w:rsidR="00665145" w:rsidRDefault="00665145">
            <w:pPr>
              <w:jc w:val="center"/>
              <w:rPr>
                <w:rFonts w:ascii="Arial" w:hAnsi="Arial" w:cs="Arial"/>
                <w:b/>
                <w:sz w:val="20"/>
                <w:szCs w:val="22"/>
              </w:rPr>
            </w:pPr>
            <w:r>
              <w:rPr>
                <w:rFonts w:ascii="Arial" w:hAnsi="Arial" w:cs="Arial"/>
                <w:b/>
                <w:sz w:val="20"/>
                <w:szCs w:val="22"/>
              </w:rPr>
              <w:t>Roadmap section number</w:t>
            </w:r>
          </w:p>
          <w:p w14:paraId="704FA30E" w14:textId="77777777" w:rsidR="00665145" w:rsidRDefault="00665145">
            <w:pPr>
              <w:jc w:val="center"/>
              <w:rPr>
                <w:rFonts w:ascii="Arial" w:hAnsi="Arial" w:cs="Arial"/>
                <w:b/>
                <w:sz w:val="20"/>
                <w:szCs w:val="22"/>
              </w:rPr>
            </w:pPr>
          </w:p>
        </w:tc>
        <w:tc>
          <w:tcPr>
            <w:tcW w:w="2425" w:type="dxa"/>
          </w:tcPr>
          <w:p w14:paraId="3A2F3B16" w14:textId="77777777" w:rsidR="00665145" w:rsidRDefault="00665145">
            <w:pPr>
              <w:jc w:val="center"/>
              <w:rPr>
                <w:rFonts w:ascii="Arial" w:hAnsi="Arial" w:cs="Arial"/>
                <w:b/>
                <w:sz w:val="20"/>
                <w:szCs w:val="22"/>
              </w:rPr>
            </w:pPr>
            <w:r>
              <w:rPr>
                <w:rFonts w:ascii="Arial" w:hAnsi="Arial" w:cs="Arial"/>
                <w:b/>
                <w:sz w:val="20"/>
                <w:szCs w:val="22"/>
              </w:rPr>
              <w:t>Title and description of proposed enhancement</w:t>
            </w:r>
          </w:p>
        </w:tc>
        <w:tc>
          <w:tcPr>
            <w:tcW w:w="2284" w:type="dxa"/>
          </w:tcPr>
          <w:p w14:paraId="40FA7D27" w14:textId="77777777" w:rsidR="00665145" w:rsidRDefault="00665145">
            <w:pPr>
              <w:rPr>
                <w:rFonts w:ascii="Arial" w:hAnsi="Arial" w:cs="Arial"/>
                <w:b/>
                <w:sz w:val="20"/>
                <w:szCs w:val="22"/>
              </w:rPr>
            </w:pPr>
            <w:r>
              <w:rPr>
                <w:rFonts w:ascii="Arial" w:hAnsi="Arial" w:cs="Arial"/>
                <w:b/>
                <w:sz w:val="20"/>
                <w:szCs w:val="22"/>
              </w:rPr>
              <w:t>Does this market enhancement have a High, Medium or Low impact on improving Grid Reliability and why?</w:t>
            </w:r>
          </w:p>
        </w:tc>
        <w:tc>
          <w:tcPr>
            <w:tcW w:w="2284" w:type="dxa"/>
          </w:tcPr>
          <w:p w14:paraId="64A029EA" w14:textId="77777777" w:rsidR="00665145" w:rsidRDefault="00665145">
            <w:pPr>
              <w:rPr>
                <w:rFonts w:ascii="Arial" w:hAnsi="Arial" w:cs="Arial"/>
                <w:b/>
                <w:sz w:val="20"/>
                <w:szCs w:val="22"/>
              </w:rPr>
            </w:pPr>
            <w:r>
              <w:rPr>
                <w:rFonts w:ascii="Arial" w:hAnsi="Arial" w:cs="Arial"/>
                <w:b/>
                <w:sz w:val="20"/>
                <w:szCs w:val="22"/>
              </w:rPr>
              <w:t>Does this market enhancement have a High, Medium or Low effect on improving market efficiency and why?</w:t>
            </w:r>
          </w:p>
        </w:tc>
        <w:tc>
          <w:tcPr>
            <w:tcW w:w="2187" w:type="dxa"/>
          </w:tcPr>
          <w:p w14:paraId="6F74F3A9" w14:textId="77777777" w:rsidR="00665145" w:rsidRDefault="00665145">
            <w:pPr>
              <w:rPr>
                <w:rFonts w:ascii="Arial" w:hAnsi="Arial" w:cs="Arial"/>
                <w:b/>
                <w:sz w:val="20"/>
                <w:szCs w:val="22"/>
              </w:rPr>
            </w:pPr>
            <w:r>
              <w:rPr>
                <w:rFonts w:ascii="Arial" w:hAnsi="Arial" w:cs="Arial"/>
                <w:b/>
                <w:sz w:val="20"/>
                <w:szCs w:val="22"/>
              </w:rPr>
              <w:t xml:space="preserve">Estimated Implementation /Cost Impact to CAISO Please specify </w:t>
            </w:r>
          </w:p>
          <w:p w14:paraId="74B48BAF" w14:textId="77777777" w:rsidR="00665145" w:rsidRDefault="00665145">
            <w:pPr>
              <w:rPr>
                <w:rFonts w:ascii="Arial" w:hAnsi="Arial" w:cs="Arial"/>
                <w:b/>
                <w:sz w:val="20"/>
                <w:szCs w:val="22"/>
              </w:rPr>
            </w:pPr>
            <w:r>
              <w:rPr>
                <w:rFonts w:ascii="Arial" w:hAnsi="Arial" w:cs="Arial"/>
                <w:b/>
                <w:sz w:val="20"/>
                <w:szCs w:val="22"/>
              </w:rPr>
              <w:t>(High, Medium or Low)</w:t>
            </w:r>
          </w:p>
        </w:tc>
        <w:tc>
          <w:tcPr>
            <w:tcW w:w="2340" w:type="dxa"/>
          </w:tcPr>
          <w:p w14:paraId="4D5FAAFD" w14:textId="77777777" w:rsidR="00665145" w:rsidRDefault="00665145">
            <w:pPr>
              <w:rPr>
                <w:rFonts w:ascii="Arial" w:hAnsi="Arial" w:cs="Arial"/>
                <w:b/>
                <w:sz w:val="20"/>
                <w:szCs w:val="22"/>
              </w:rPr>
            </w:pPr>
            <w:r>
              <w:rPr>
                <w:rFonts w:ascii="Arial" w:hAnsi="Arial" w:cs="Arial"/>
                <w:b/>
                <w:sz w:val="20"/>
                <w:szCs w:val="22"/>
              </w:rPr>
              <w:t>Estimated Implementation/Cost Impact to Market Participants Please specify</w:t>
            </w:r>
          </w:p>
          <w:p w14:paraId="6A2F93D5" w14:textId="77777777" w:rsidR="00665145" w:rsidRDefault="00665145">
            <w:pPr>
              <w:rPr>
                <w:rFonts w:ascii="Arial" w:hAnsi="Arial" w:cs="Arial"/>
                <w:b/>
                <w:sz w:val="20"/>
                <w:szCs w:val="22"/>
              </w:rPr>
            </w:pPr>
            <w:r>
              <w:rPr>
                <w:rFonts w:ascii="Arial" w:hAnsi="Arial" w:cs="Arial"/>
                <w:b/>
                <w:sz w:val="20"/>
                <w:szCs w:val="22"/>
              </w:rPr>
              <w:t>(High, Medium or Low)</w:t>
            </w:r>
          </w:p>
        </w:tc>
      </w:tr>
      <w:tr w:rsidR="00000000" w14:paraId="72C0A42A" w14:textId="77777777">
        <w:tc>
          <w:tcPr>
            <w:tcW w:w="1548" w:type="dxa"/>
          </w:tcPr>
          <w:p w14:paraId="50D91411" w14:textId="77777777" w:rsidR="00665145" w:rsidRDefault="00665145">
            <w:pPr>
              <w:rPr>
                <w:rFonts w:ascii="Arial" w:hAnsi="Arial" w:cs="Arial"/>
                <w:sz w:val="22"/>
                <w:szCs w:val="22"/>
              </w:rPr>
            </w:pPr>
          </w:p>
        </w:tc>
        <w:tc>
          <w:tcPr>
            <w:tcW w:w="2425" w:type="dxa"/>
          </w:tcPr>
          <w:p w14:paraId="32E3BE79" w14:textId="77777777" w:rsidR="00665145" w:rsidRDefault="00665145">
            <w:pPr>
              <w:rPr>
                <w:rFonts w:ascii="Arial" w:hAnsi="Arial" w:cs="Arial"/>
                <w:sz w:val="22"/>
                <w:szCs w:val="22"/>
              </w:rPr>
            </w:pPr>
          </w:p>
        </w:tc>
        <w:tc>
          <w:tcPr>
            <w:tcW w:w="2284" w:type="dxa"/>
          </w:tcPr>
          <w:p w14:paraId="660EE9D1" w14:textId="77777777" w:rsidR="00665145" w:rsidRDefault="00665145">
            <w:pPr>
              <w:rPr>
                <w:rFonts w:ascii="Arial" w:hAnsi="Arial" w:cs="Arial"/>
                <w:sz w:val="22"/>
                <w:szCs w:val="22"/>
              </w:rPr>
            </w:pPr>
          </w:p>
        </w:tc>
        <w:tc>
          <w:tcPr>
            <w:tcW w:w="2284" w:type="dxa"/>
          </w:tcPr>
          <w:p w14:paraId="652CEA2A" w14:textId="77777777" w:rsidR="00665145" w:rsidRDefault="00665145">
            <w:pPr>
              <w:rPr>
                <w:rFonts w:ascii="Arial" w:hAnsi="Arial" w:cs="Arial"/>
                <w:sz w:val="22"/>
                <w:szCs w:val="22"/>
              </w:rPr>
            </w:pPr>
          </w:p>
        </w:tc>
        <w:tc>
          <w:tcPr>
            <w:tcW w:w="2187" w:type="dxa"/>
          </w:tcPr>
          <w:p w14:paraId="0720350A" w14:textId="77777777" w:rsidR="00665145" w:rsidRDefault="00665145">
            <w:pPr>
              <w:rPr>
                <w:rFonts w:ascii="Arial" w:hAnsi="Arial" w:cs="Arial"/>
                <w:sz w:val="22"/>
                <w:szCs w:val="22"/>
              </w:rPr>
            </w:pPr>
          </w:p>
        </w:tc>
        <w:tc>
          <w:tcPr>
            <w:tcW w:w="2340" w:type="dxa"/>
          </w:tcPr>
          <w:p w14:paraId="799F63B2" w14:textId="77777777" w:rsidR="00665145" w:rsidRDefault="00665145">
            <w:pPr>
              <w:rPr>
                <w:rFonts w:ascii="Arial" w:hAnsi="Arial" w:cs="Arial"/>
                <w:sz w:val="22"/>
                <w:szCs w:val="22"/>
              </w:rPr>
            </w:pPr>
          </w:p>
        </w:tc>
      </w:tr>
    </w:tbl>
    <w:p w14:paraId="6366CCE0" w14:textId="77777777" w:rsidR="00665145" w:rsidRDefault="00665145">
      <w:pPr>
        <w:rPr>
          <w:rFonts w:ascii="Arial" w:hAnsi="Arial" w:cs="Arial"/>
          <w:sz w:val="22"/>
          <w:szCs w:val="22"/>
        </w:rPr>
      </w:pPr>
    </w:p>
    <w:p w14:paraId="79CEA3AF" w14:textId="77777777" w:rsidR="00665145" w:rsidRDefault="00665145">
      <w:pPr>
        <w:rPr>
          <w:rFonts w:ascii="Arial" w:hAnsi="Arial" w:cs="Arial"/>
          <w:sz w:val="22"/>
          <w:szCs w:val="22"/>
        </w:rPr>
      </w:pPr>
    </w:p>
    <w:p w14:paraId="076A6983" w14:textId="77777777" w:rsidR="00665145" w:rsidRDefault="00665145">
      <w:pPr>
        <w:numPr>
          <w:ilvl w:val="0"/>
          <w:numId w:val="19"/>
        </w:numPr>
        <w:rPr>
          <w:rFonts w:ascii="Arial" w:hAnsi="Arial" w:cs="Arial"/>
          <w:sz w:val="22"/>
          <w:szCs w:val="22"/>
        </w:rPr>
      </w:pPr>
      <w:r>
        <w:rPr>
          <w:rFonts w:ascii="Arial" w:hAnsi="Arial" w:cs="Arial"/>
          <w:sz w:val="22"/>
          <w:szCs w:val="22"/>
        </w:rPr>
        <w:t>Were the initiatives the CAISO determined to be high priority out of the high level prioritization ranked correctly? If not how should the results be adjusted?</w:t>
      </w:r>
    </w:p>
    <w:p w14:paraId="185E80A9" w14:textId="77777777" w:rsidR="00665145" w:rsidRDefault="00665145">
      <w:pPr>
        <w:ind w:left="360"/>
        <w:rPr>
          <w:rFonts w:ascii="Arial" w:hAnsi="Arial" w:cs="Arial"/>
        </w:rPr>
      </w:pPr>
    </w:p>
    <w:p w14:paraId="7C7AA477" w14:textId="77777777" w:rsidR="00665145" w:rsidRDefault="00665145">
      <w:pPr>
        <w:ind w:left="360"/>
        <w:rPr>
          <w:rFonts w:ascii="Arial" w:hAnsi="Arial" w:cs="Arial"/>
          <w:color w:val="0000FF"/>
          <w:sz w:val="22"/>
          <w:szCs w:val="22"/>
        </w:rPr>
      </w:pPr>
      <w:r>
        <w:rPr>
          <w:rFonts w:ascii="Arial" w:hAnsi="Arial" w:cs="Arial"/>
          <w:color w:val="0000FF"/>
          <w:sz w:val="22"/>
          <w:szCs w:val="22"/>
        </w:rPr>
        <w:lastRenderedPageBreak/>
        <w:t>In general, yes for the stakeholder initiatives, and no for the CAISO suggested initiatives.</w:t>
      </w:r>
    </w:p>
    <w:p w14:paraId="0804579B" w14:textId="77777777" w:rsidR="00665145" w:rsidRDefault="00665145">
      <w:pPr>
        <w:ind w:left="360"/>
        <w:rPr>
          <w:rFonts w:ascii="Arial" w:hAnsi="Arial" w:cs="Arial"/>
          <w:color w:val="0000FF"/>
          <w:sz w:val="22"/>
          <w:szCs w:val="22"/>
        </w:rPr>
      </w:pPr>
    </w:p>
    <w:p w14:paraId="29A177DA" w14:textId="77777777" w:rsidR="00665145" w:rsidRDefault="00665145">
      <w:pPr>
        <w:ind w:left="360"/>
        <w:rPr>
          <w:rFonts w:ascii="Arial" w:hAnsi="Arial" w:cs="Arial"/>
          <w:color w:val="0000FF"/>
          <w:sz w:val="22"/>
          <w:szCs w:val="22"/>
        </w:rPr>
      </w:pPr>
      <w:r>
        <w:rPr>
          <w:rFonts w:ascii="Arial" w:hAnsi="Arial" w:cs="Arial"/>
          <w:color w:val="0000FF"/>
          <w:sz w:val="22"/>
          <w:szCs w:val="22"/>
        </w:rPr>
        <w:t xml:space="preserve">Coral generally agrees with the high level prioritization ranking.  It appears that multi day unit commitment in IFM will be infrequently used, as it applies to fewer units, and thus other market features should have higher prioritization.  We encourage the CAISO to pursue a Standardized RA Capacity Product as its highest priority, as this can provide near term benefits to consumers, and is compatible with both future capacity market designs.  </w:t>
      </w:r>
    </w:p>
    <w:p w14:paraId="327FB5EC" w14:textId="77777777" w:rsidR="00665145" w:rsidRDefault="00665145">
      <w:pPr>
        <w:ind w:left="360"/>
        <w:rPr>
          <w:rFonts w:ascii="Arial" w:hAnsi="Arial" w:cs="Arial"/>
          <w:color w:val="0000FF"/>
          <w:sz w:val="22"/>
          <w:szCs w:val="22"/>
        </w:rPr>
      </w:pPr>
    </w:p>
    <w:p w14:paraId="6872DC66" w14:textId="77777777" w:rsidR="00665145" w:rsidRDefault="00665145">
      <w:pPr>
        <w:ind w:left="360"/>
        <w:rPr>
          <w:rFonts w:ascii="Arial" w:hAnsi="Arial" w:cs="Arial"/>
          <w:color w:val="0000FF"/>
          <w:sz w:val="22"/>
          <w:szCs w:val="22"/>
        </w:rPr>
      </w:pPr>
      <w:r>
        <w:rPr>
          <w:rFonts w:ascii="Arial" w:hAnsi="Arial" w:cs="Arial"/>
          <w:color w:val="0000FF"/>
          <w:sz w:val="22"/>
          <w:szCs w:val="22"/>
        </w:rPr>
        <w:t>The CAISO provided its own suggested “high priority” items as:  improve tagging procedures, exchange of DA scheduling info and AS regional procurement and cost allocation.  While these are worthy items, again we are faced with a prioritization dilemma.  Coral suggests that the CAISO retain its prioritization of:  Std. RA Capacity Product, 30 minute operating reserves, multi settlement for AS, import and export of AS; simultaneous RIC and IFM.</w:t>
      </w:r>
    </w:p>
    <w:p w14:paraId="197E21B4" w14:textId="77777777" w:rsidR="00665145" w:rsidRDefault="00665145">
      <w:pPr>
        <w:ind w:left="360"/>
        <w:rPr>
          <w:rFonts w:ascii="Arial" w:hAnsi="Arial" w:cs="Arial"/>
          <w:color w:val="0000FF"/>
          <w:sz w:val="22"/>
          <w:szCs w:val="22"/>
        </w:rPr>
      </w:pPr>
    </w:p>
    <w:p w14:paraId="16DFB868" w14:textId="77777777" w:rsidR="00665145" w:rsidRDefault="00665145">
      <w:pPr>
        <w:ind w:left="360"/>
        <w:rPr>
          <w:rFonts w:ascii="Arial" w:hAnsi="Arial" w:cs="Arial"/>
          <w:color w:val="0000FF"/>
          <w:sz w:val="22"/>
          <w:szCs w:val="22"/>
        </w:rPr>
      </w:pPr>
      <w:r>
        <w:rPr>
          <w:rFonts w:ascii="Arial" w:hAnsi="Arial" w:cs="Arial"/>
          <w:color w:val="0000FF"/>
          <w:sz w:val="22"/>
          <w:szCs w:val="22"/>
          <w:u w:val="single"/>
        </w:rPr>
        <w:t>Standard RA Capacity Product</w:t>
      </w:r>
      <w:r>
        <w:rPr>
          <w:rFonts w:ascii="Arial" w:hAnsi="Arial" w:cs="Arial"/>
          <w:color w:val="0000FF"/>
          <w:sz w:val="22"/>
          <w:szCs w:val="22"/>
        </w:rPr>
        <w:t xml:space="preserve"> – Coral strongly supports the current ranking.  There was some discussion regarding changing the grid reliability score.  Facilitation of a standard product which can be traded forward in multiple years, with an expected outcome that market participants would see long term procurement capacity prices likely lower than short term prices, would provide an incentive for market participants to invest in new generation resources, and thus both improve grid reliability and result in lower costs to consumers.  Fu</w:t>
      </w:r>
      <w:r>
        <w:rPr>
          <w:rFonts w:ascii="Arial" w:hAnsi="Arial" w:cs="Arial"/>
          <w:color w:val="0000FF"/>
          <w:sz w:val="22"/>
          <w:szCs w:val="22"/>
        </w:rPr>
        <w:t>rther, the ability to trade a standard product as load changes between LSEs should allow LSEs to more easily transact RA who end up in long or short positions, and therefore should reduce LSE concerns regarding entering into longer term RA procurements.  Thus we also support the current ranking for “Improving Market Efficiency”.  We believe that the “ISO Implementation Impact” at “3” is artificially low.  In fact, the ISO currently tests units for their master file data, including Pmin and Pmax values and d</w:t>
      </w:r>
      <w:r>
        <w:rPr>
          <w:rFonts w:ascii="Arial" w:hAnsi="Arial" w:cs="Arial"/>
          <w:color w:val="0000FF"/>
          <w:sz w:val="22"/>
          <w:szCs w:val="22"/>
        </w:rPr>
        <w:t xml:space="preserve">oes spot checks on unit performance.  The ISO also monitors outages through its SLIC system, and is in the appropriate position to ensure that annual planned generation unit maintenance outages align with annual RA planned outages.  Further, the ISO has performed in the past, spot checks on generation facilities, and is in an appropriate position to monitor performance of generation units.  Thus we support a higher score for “ISO Implementation Impact”.   A considerable amount of work has already been done </w:t>
      </w:r>
      <w:r>
        <w:rPr>
          <w:rFonts w:ascii="Arial" w:hAnsi="Arial" w:cs="Arial"/>
          <w:color w:val="0000FF"/>
          <w:sz w:val="22"/>
          <w:szCs w:val="22"/>
        </w:rPr>
        <w:t xml:space="preserve">on this project, and we encourage the CAISO to target a fall 2008 FERC filing for this effort.  </w:t>
      </w:r>
    </w:p>
    <w:p w14:paraId="1FB2223C" w14:textId="77777777" w:rsidR="00665145" w:rsidRDefault="00665145">
      <w:pPr>
        <w:ind w:left="360"/>
        <w:rPr>
          <w:rFonts w:ascii="Arial" w:hAnsi="Arial" w:cs="Arial"/>
          <w:color w:val="0000FF"/>
          <w:sz w:val="22"/>
          <w:szCs w:val="22"/>
        </w:rPr>
      </w:pPr>
    </w:p>
    <w:p w14:paraId="0FD810F8" w14:textId="77777777" w:rsidR="00665145" w:rsidRDefault="00665145">
      <w:pPr>
        <w:ind w:left="360"/>
        <w:rPr>
          <w:rFonts w:ascii="Arial" w:hAnsi="Arial" w:cs="Arial"/>
          <w:color w:val="0000FF"/>
          <w:sz w:val="22"/>
          <w:szCs w:val="22"/>
        </w:rPr>
      </w:pPr>
      <w:r>
        <w:rPr>
          <w:rFonts w:ascii="Arial" w:hAnsi="Arial" w:cs="Arial"/>
          <w:color w:val="0000FF"/>
          <w:sz w:val="22"/>
          <w:szCs w:val="22"/>
          <w:u w:val="single"/>
        </w:rPr>
        <w:t>Multi-Settlement System for Ancillary Services</w:t>
      </w:r>
      <w:r>
        <w:rPr>
          <w:rFonts w:ascii="Arial" w:hAnsi="Arial" w:cs="Arial"/>
          <w:color w:val="0000FF"/>
          <w:sz w:val="22"/>
          <w:szCs w:val="22"/>
        </w:rPr>
        <w:t xml:space="preserve"> – Coral supports the rankings associated with the April 30 presentation.</w:t>
      </w:r>
    </w:p>
    <w:p w14:paraId="6F0FC445" w14:textId="77777777" w:rsidR="00665145" w:rsidRDefault="00665145">
      <w:pPr>
        <w:ind w:left="360"/>
        <w:rPr>
          <w:rFonts w:ascii="Arial" w:hAnsi="Arial" w:cs="Arial"/>
          <w:color w:val="0000FF"/>
          <w:sz w:val="22"/>
          <w:szCs w:val="22"/>
        </w:rPr>
      </w:pPr>
    </w:p>
    <w:p w14:paraId="4AE98486" w14:textId="77777777" w:rsidR="00665145" w:rsidRDefault="00665145">
      <w:pPr>
        <w:ind w:left="360"/>
        <w:rPr>
          <w:rFonts w:ascii="Arial" w:hAnsi="Arial" w:cs="Arial"/>
          <w:color w:val="0000FF"/>
          <w:sz w:val="22"/>
          <w:szCs w:val="22"/>
        </w:rPr>
      </w:pPr>
      <w:r>
        <w:rPr>
          <w:rFonts w:ascii="Arial" w:hAnsi="Arial" w:cs="Arial"/>
          <w:color w:val="0000FF"/>
          <w:sz w:val="22"/>
          <w:szCs w:val="22"/>
          <w:u w:val="single"/>
        </w:rPr>
        <w:t>30 Minute Ancillary Services</w:t>
      </w:r>
      <w:r>
        <w:rPr>
          <w:rFonts w:ascii="Arial" w:hAnsi="Arial" w:cs="Arial"/>
          <w:color w:val="0000FF"/>
          <w:sz w:val="22"/>
          <w:szCs w:val="22"/>
        </w:rPr>
        <w:t xml:space="preserve"> – Coral strongly supports this product especially as the ISO must integrate additional intermittent renewable resources into its balancing authority.  </w:t>
      </w:r>
    </w:p>
    <w:p w14:paraId="7B8DF373" w14:textId="77777777" w:rsidR="00665145" w:rsidRDefault="00665145">
      <w:pPr>
        <w:ind w:left="360"/>
        <w:rPr>
          <w:rFonts w:ascii="Arial" w:hAnsi="Arial" w:cs="Arial"/>
          <w:color w:val="0000FF"/>
          <w:sz w:val="22"/>
          <w:szCs w:val="22"/>
        </w:rPr>
      </w:pPr>
    </w:p>
    <w:p w14:paraId="0FC17CC4" w14:textId="77777777" w:rsidR="00665145" w:rsidRDefault="00665145">
      <w:pPr>
        <w:ind w:left="360"/>
        <w:rPr>
          <w:rFonts w:ascii="Arial" w:hAnsi="Arial" w:cs="Arial"/>
          <w:color w:val="0000FF"/>
          <w:sz w:val="22"/>
          <w:szCs w:val="22"/>
        </w:rPr>
      </w:pPr>
      <w:r>
        <w:rPr>
          <w:rFonts w:ascii="Arial" w:hAnsi="Arial" w:cs="Arial"/>
          <w:color w:val="0000FF"/>
          <w:sz w:val="22"/>
          <w:szCs w:val="22"/>
          <w:u w:val="single"/>
        </w:rPr>
        <w:t>Transition to ARR</w:t>
      </w:r>
      <w:r>
        <w:rPr>
          <w:rFonts w:ascii="Arial" w:hAnsi="Arial" w:cs="Arial"/>
          <w:color w:val="0000FF"/>
          <w:sz w:val="22"/>
          <w:szCs w:val="22"/>
        </w:rPr>
        <w:t xml:space="preserve"> – Coral suggests that the grid reliability ranking is too low at “0”.  ARRs provide a visible indication of the value of the grid to market participants, and thus provides a visible indication of areas of the transmission grid which have high value, and thus are likely candidates for improvements.  An ARR mechanism may actually be the best mechanism of identification of needed and economic transmission system upgrades, as the market price mitigation measures as proposed under MRTU will </w:t>
      </w:r>
      <w:r>
        <w:rPr>
          <w:rFonts w:ascii="Arial" w:hAnsi="Arial" w:cs="Arial"/>
          <w:color w:val="0000FF"/>
          <w:sz w:val="22"/>
          <w:szCs w:val="22"/>
        </w:rPr>
        <w:lastRenderedPageBreak/>
        <w:t>likely suppress pric</w:t>
      </w:r>
      <w:r>
        <w:rPr>
          <w:rFonts w:ascii="Arial" w:hAnsi="Arial" w:cs="Arial"/>
          <w:color w:val="0000FF"/>
          <w:sz w:val="22"/>
          <w:szCs w:val="22"/>
        </w:rPr>
        <w:t>e signals to variable cost and mute necessary price signals to indicate those economic grid upgrades.  Coral also suggests that market participant implementation impact is too low at “3”, as LSEs currently participate in an auction process now, albeit a very limited auction process due to the current allocation process, and thus are already set up to participate in the auction process.  Coral supports the market efficiency ranking of “10” as appropriate with both the simplification (i.e. elimination) of the</w:t>
      </w:r>
      <w:r>
        <w:rPr>
          <w:rFonts w:ascii="Arial" w:hAnsi="Arial" w:cs="Arial"/>
          <w:color w:val="0000FF"/>
          <w:sz w:val="22"/>
          <w:szCs w:val="22"/>
        </w:rPr>
        <w:t xml:space="preserve"> complex CRR process, and the ability to better value the transmission system.  A system that gives resources away will be inherently inefficient.</w:t>
      </w:r>
    </w:p>
    <w:p w14:paraId="0CDC1398" w14:textId="77777777" w:rsidR="00665145" w:rsidRDefault="00665145">
      <w:pPr>
        <w:ind w:left="360"/>
        <w:rPr>
          <w:rFonts w:ascii="Arial" w:hAnsi="Arial" w:cs="Arial"/>
          <w:color w:val="0000FF"/>
          <w:sz w:val="22"/>
          <w:szCs w:val="22"/>
        </w:rPr>
      </w:pPr>
    </w:p>
    <w:p w14:paraId="71E85E05" w14:textId="77777777" w:rsidR="00665145" w:rsidRDefault="00665145">
      <w:pPr>
        <w:ind w:left="360"/>
        <w:rPr>
          <w:rFonts w:ascii="Arial" w:hAnsi="Arial" w:cs="Arial"/>
          <w:color w:val="0000FF"/>
          <w:sz w:val="22"/>
          <w:szCs w:val="22"/>
        </w:rPr>
      </w:pPr>
      <w:r>
        <w:rPr>
          <w:rFonts w:ascii="Arial" w:hAnsi="Arial" w:cs="Arial"/>
          <w:color w:val="0000FF"/>
          <w:sz w:val="22"/>
          <w:szCs w:val="22"/>
          <w:u w:val="single"/>
        </w:rPr>
        <w:t>Improved Tagging Procedures and Functionality</w:t>
      </w:r>
      <w:r>
        <w:rPr>
          <w:rFonts w:ascii="Arial" w:hAnsi="Arial" w:cs="Arial"/>
          <w:color w:val="0000FF"/>
          <w:sz w:val="22"/>
          <w:szCs w:val="22"/>
        </w:rPr>
        <w:t xml:space="preserve"> – While Coral supports increased information to allow the ISO to operate better, there are other higher priority items which will benefit the market and result in reduced costs to consumers that the ISO should focus on first.  The ISO can use state estimators and historical data to identify where energy is sourced and to estimate loop flow.  Implementation of this effort will require significant data from other BAs which will take a long time to develop.  When this initiative is developed, we encourage the</w:t>
      </w:r>
      <w:r>
        <w:rPr>
          <w:rFonts w:ascii="Arial" w:hAnsi="Arial" w:cs="Arial"/>
          <w:color w:val="0000FF"/>
          <w:sz w:val="22"/>
          <w:szCs w:val="22"/>
        </w:rPr>
        <w:t xml:space="preserve"> ISO to ensure that this information is made transparent to the market and can be used to improve market efficiency.  We encourage the ISO to pursue this, but place it as a lower priority.  </w:t>
      </w:r>
    </w:p>
    <w:p w14:paraId="7A6BE1AB" w14:textId="77777777" w:rsidR="00665145" w:rsidRDefault="00665145">
      <w:pPr>
        <w:ind w:left="360"/>
        <w:rPr>
          <w:rFonts w:ascii="Arial" w:hAnsi="Arial" w:cs="Arial"/>
          <w:color w:val="0000FF"/>
          <w:sz w:val="22"/>
          <w:szCs w:val="22"/>
        </w:rPr>
      </w:pPr>
    </w:p>
    <w:p w14:paraId="17BD6711" w14:textId="77777777" w:rsidR="00665145" w:rsidRDefault="00665145">
      <w:pPr>
        <w:ind w:left="360"/>
        <w:rPr>
          <w:rFonts w:ascii="Arial" w:hAnsi="Arial" w:cs="Arial"/>
          <w:color w:val="0000FF"/>
          <w:sz w:val="22"/>
          <w:szCs w:val="22"/>
        </w:rPr>
      </w:pPr>
      <w:r>
        <w:rPr>
          <w:rFonts w:ascii="Arial" w:hAnsi="Arial" w:cs="Arial"/>
          <w:color w:val="0000FF"/>
          <w:sz w:val="22"/>
          <w:szCs w:val="22"/>
          <w:u w:val="single"/>
        </w:rPr>
        <w:t>Improved Market Power Mitigation</w:t>
      </w:r>
      <w:r>
        <w:rPr>
          <w:rFonts w:ascii="Arial" w:hAnsi="Arial" w:cs="Arial"/>
          <w:color w:val="0000FF"/>
          <w:sz w:val="22"/>
          <w:szCs w:val="22"/>
        </w:rPr>
        <w:t xml:space="preserve"> – Coral supports well functioning markets and appropriate rules and oversight, including FERC and DMM involvement, with appropriate measurements of a well functioning market, including evidence of locational pricing, some volatility (and hopefully demand response), and new merchant generation with revenues coming from competitive markets, not captive bundled customers.  We do not see a need for additional initiatives to perform oversight and monitoring functions already being performed.</w:t>
      </w:r>
    </w:p>
    <w:p w14:paraId="5827BA16" w14:textId="77777777" w:rsidR="00665145" w:rsidRDefault="00665145">
      <w:pPr>
        <w:ind w:left="360"/>
        <w:rPr>
          <w:rFonts w:ascii="Arial" w:hAnsi="Arial" w:cs="Arial"/>
          <w:color w:val="0000FF"/>
          <w:sz w:val="22"/>
          <w:szCs w:val="22"/>
        </w:rPr>
      </w:pPr>
    </w:p>
    <w:p w14:paraId="071ABFB4" w14:textId="77777777" w:rsidR="00665145" w:rsidRDefault="00665145">
      <w:pPr>
        <w:rPr>
          <w:rFonts w:ascii="Arial" w:hAnsi="Arial" w:cs="Arial"/>
          <w:color w:val="0000FF"/>
          <w:sz w:val="22"/>
          <w:szCs w:val="22"/>
        </w:rPr>
      </w:pPr>
    </w:p>
    <w:p w14:paraId="28390A79" w14:textId="77777777" w:rsidR="00665145" w:rsidRDefault="00665145">
      <w:pPr>
        <w:ind w:left="360"/>
        <w:rPr>
          <w:rFonts w:ascii="Arial" w:hAnsi="Arial" w:cs="Arial"/>
        </w:rPr>
      </w:pPr>
      <w:r>
        <w:rPr>
          <w:rFonts w:ascii="Arial" w:hAnsi="Arial" w:cs="Arial"/>
        </w:rPr>
        <w:t xml:space="preserve"> </w:t>
      </w:r>
    </w:p>
    <w:p w14:paraId="2F5392A2" w14:textId="77777777" w:rsidR="00665145" w:rsidRDefault="00665145">
      <w:pPr>
        <w:ind w:left="360"/>
        <w:rPr>
          <w:rFonts w:ascii="Arial" w:hAnsi="Arial" w:cs="Arial"/>
        </w:rPr>
      </w:pPr>
    </w:p>
    <w:p w14:paraId="342D200D" w14:textId="77777777" w:rsidR="00665145" w:rsidRDefault="00665145">
      <w:pPr>
        <w:ind w:left="360"/>
        <w:rPr>
          <w:rFonts w:ascii="Arial" w:hAnsi="Arial" w:cs="Arial"/>
        </w:rPr>
      </w:pPr>
    </w:p>
    <w:p w14:paraId="42336C56" w14:textId="77777777" w:rsidR="00665145" w:rsidRDefault="00665145">
      <w:pPr>
        <w:rPr>
          <w:rFonts w:ascii="Arial" w:hAnsi="Arial" w:cs="Arial"/>
        </w:rPr>
      </w:pPr>
    </w:p>
    <w:sectPr w:rsidR="00000000">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9955" w14:textId="77777777" w:rsidR="00665145" w:rsidRDefault="00665145">
      <w:r>
        <w:separator/>
      </w:r>
    </w:p>
  </w:endnote>
  <w:endnote w:type="continuationSeparator" w:id="0">
    <w:p w14:paraId="4A461749" w14:textId="77777777" w:rsidR="00665145" w:rsidRDefault="0066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B017" w14:textId="77777777" w:rsidR="00665145" w:rsidRDefault="00665145">
    <w:pPr>
      <w:pStyle w:val="Footer"/>
      <w:tabs>
        <w:tab w:val="clear" w:pos="4320"/>
        <w:tab w:val="clear" w:pos="8640"/>
        <w:tab w:val="center" w:pos="6480"/>
        <w:tab w:val="right" w:pos="12960"/>
      </w:tabs>
      <w:rPr>
        <w:sz w:val="22"/>
        <w:szCs w:val="22"/>
      </w:rPr>
    </w:pPr>
    <w:r>
      <w:rPr>
        <w:sz w:val="22"/>
        <w:szCs w:val="22"/>
      </w:rPr>
      <w:t>CAISO / MPD / mm</w:t>
    </w:r>
    <w:r>
      <w:rPr>
        <w:sz w:val="22"/>
        <w:szCs w:val="22"/>
      </w:rPr>
      <w:tab/>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4</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5A28" w14:textId="77777777" w:rsidR="00665145" w:rsidRDefault="00665145">
      <w:r>
        <w:separator/>
      </w:r>
    </w:p>
  </w:footnote>
  <w:footnote w:type="continuationSeparator" w:id="0">
    <w:p w14:paraId="209F61D9" w14:textId="77777777" w:rsidR="00665145" w:rsidRDefault="0066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FB8A" w14:textId="77777777" w:rsidR="00665145" w:rsidRDefault="00665145">
    <w:pPr>
      <w:pStyle w:val="Header"/>
      <w:tabs>
        <w:tab w:val="clear" w:pos="4320"/>
        <w:tab w:val="clear" w:pos="8640"/>
        <w:tab w:val="center" w:pos="6480"/>
        <w:tab w:val="right" w:pos="12960"/>
      </w:tabs>
    </w:pPr>
    <w:r>
      <w:t xml:space="preserve">CAISO Market Initiatives Roadmap </w:t>
    </w:r>
    <w:r>
      <w:tab/>
    </w:r>
    <w:r>
      <w:tab/>
      <w:t>5/1/2008 Template for Stakeholder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D245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1848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3274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A5F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F6B4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D618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DEAB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54DD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52B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65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5D8D"/>
    <w:multiLevelType w:val="hybridMultilevel"/>
    <w:tmpl w:val="856CFD1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2D0DE3"/>
    <w:multiLevelType w:val="hybridMultilevel"/>
    <w:tmpl w:val="DD7EE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735D8D"/>
    <w:multiLevelType w:val="hybridMultilevel"/>
    <w:tmpl w:val="503C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5A5B0D"/>
    <w:multiLevelType w:val="multilevel"/>
    <w:tmpl w:val="3EBC061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D06E2B"/>
    <w:multiLevelType w:val="hybridMultilevel"/>
    <w:tmpl w:val="656C7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A5388"/>
    <w:multiLevelType w:val="hybridMultilevel"/>
    <w:tmpl w:val="6FA0B82C"/>
    <w:lvl w:ilvl="0" w:tplc="225CA66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E6277"/>
    <w:multiLevelType w:val="multilevel"/>
    <w:tmpl w:val="FFF85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87689A"/>
    <w:multiLevelType w:val="hybridMultilevel"/>
    <w:tmpl w:val="E9169A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1C07D8"/>
    <w:multiLevelType w:val="hybridMultilevel"/>
    <w:tmpl w:val="9514B6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63CE8"/>
    <w:multiLevelType w:val="hybridMultilevel"/>
    <w:tmpl w:val="A4BC3EAA"/>
    <w:lvl w:ilvl="0" w:tplc="225CA6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76723198">
    <w:abstractNumId w:val="18"/>
  </w:num>
  <w:num w:numId="2" w16cid:durableId="270012778">
    <w:abstractNumId w:val="15"/>
  </w:num>
  <w:num w:numId="3" w16cid:durableId="1434280551">
    <w:abstractNumId w:val="9"/>
  </w:num>
  <w:num w:numId="4" w16cid:durableId="1572156805">
    <w:abstractNumId w:val="7"/>
  </w:num>
  <w:num w:numId="5" w16cid:durableId="1644508507">
    <w:abstractNumId w:val="6"/>
  </w:num>
  <w:num w:numId="6" w16cid:durableId="506210240">
    <w:abstractNumId w:val="5"/>
  </w:num>
  <w:num w:numId="7" w16cid:durableId="575096074">
    <w:abstractNumId w:val="4"/>
  </w:num>
  <w:num w:numId="8" w16cid:durableId="1213813848">
    <w:abstractNumId w:val="8"/>
  </w:num>
  <w:num w:numId="9" w16cid:durableId="1876850981">
    <w:abstractNumId w:val="3"/>
  </w:num>
  <w:num w:numId="10" w16cid:durableId="1457943977">
    <w:abstractNumId w:val="2"/>
  </w:num>
  <w:num w:numId="11" w16cid:durableId="693463962">
    <w:abstractNumId w:val="1"/>
  </w:num>
  <w:num w:numId="12" w16cid:durableId="1273439110">
    <w:abstractNumId w:val="0"/>
  </w:num>
  <w:num w:numId="13" w16cid:durableId="351537660">
    <w:abstractNumId w:val="10"/>
  </w:num>
  <w:num w:numId="14" w16cid:durableId="823935914">
    <w:abstractNumId w:val="11"/>
  </w:num>
  <w:num w:numId="15" w16cid:durableId="243996522">
    <w:abstractNumId w:val="12"/>
  </w:num>
  <w:num w:numId="16" w16cid:durableId="1732581015">
    <w:abstractNumId w:val="14"/>
  </w:num>
  <w:num w:numId="17" w16cid:durableId="1488672905">
    <w:abstractNumId w:val="16"/>
  </w:num>
  <w:num w:numId="18" w16cid:durableId="1447120662">
    <w:abstractNumId w:val="19"/>
  </w:num>
  <w:num w:numId="19" w16cid:durableId="1357541509">
    <w:abstractNumId w:val="17"/>
  </w:num>
  <w:num w:numId="20" w16cid:durableId="1812749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0E"/>
    <w:rsid w:val="00665145"/>
    <w:rsid w:val="0085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70C94C"/>
  <w15:chartTrackingRefBased/>
  <w15:docId w15:val="{55CEDDDD-CA39-429E-9486-8DD9489F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 w:val="20"/>
      <w:szCs w:val="20"/>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PageNumber">
    <w:name w:val="page number"/>
    <w:basedOn w:val="DefaultParagraphFont"/>
    <w:semiHidden/>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360"/>
    </w:pPr>
    <w:rPr>
      <w:rFonts w:ascii="Arial" w:hAnsi="Arial" w:cs="Arial"/>
      <w:color w:val="0000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so.com/1fb1/1fb1856366d6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346;#stakeholder initiatives|51bd5195-d58a-4dcb-a3eb-37fc3cecacef;#7;#Stakeholder processes|71659ab1-dac7-419e-9529-abc47c232b66;#3;#Archived|0019c6e1-8c5e-460c-a653-a944372c5015;#665;#Stakeholder Comments on Preliminary Results of High Level Prioritization of Market Initiatives 09-May 2008|6c60f719-4649-4c93-be9a-9d02e98b5c3f]]></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861DE-AD8D-4B47-881E-FB19AFBA7887}"/>
</file>

<file path=customXml/itemProps2.xml><?xml version="1.0" encoding="utf-8"?>
<ds:datastoreItem xmlns:ds="http://schemas.openxmlformats.org/officeDocument/2006/customXml" ds:itemID="{8739BA9B-6C94-4948-BEE1-04DA438D470E}">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B3169E3-0743-4B05-9E19-17EE9621791C}"/>
</file>

<file path=customXml/itemProps4.xml><?xml version="1.0" encoding="utf-8"?>
<ds:datastoreItem xmlns:ds="http://schemas.openxmlformats.org/officeDocument/2006/customXml" ds:itemID="{9AA85997-2E29-41F5-AD01-6BDFF85FB7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Attachment – A </vt:lpstr>
    </vt:vector>
  </TitlesOfParts>
  <Company>CALISO</Company>
  <LinksUpToDate>false</LinksUpToDate>
  <CharactersWithSpaces>9205</CharactersWithSpaces>
  <SharedDoc>false</SharedDoc>
  <HLinks>
    <vt:vector size="12" baseType="variant">
      <vt:variant>
        <vt:i4>5963841</vt:i4>
      </vt:variant>
      <vt:variant>
        <vt:i4>3</vt:i4>
      </vt:variant>
      <vt:variant>
        <vt:i4>0</vt:i4>
      </vt:variant>
      <vt:variant>
        <vt:i4>5</vt:i4>
      </vt:variant>
      <vt:variant>
        <vt:lpwstr>http://www.caiso.com/1fb1/1fb1856366d60.html</vt:lpwstr>
      </vt:variant>
      <vt:variant>
        <vt:lpwstr/>
      </vt:variant>
      <vt:variant>
        <vt:i4>6553682</vt:i4>
      </vt:variant>
      <vt:variant>
        <vt:i4>1255</vt:i4>
      </vt:variant>
      <vt:variant>
        <vt:i4>1025</vt:i4>
      </vt:variant>
      <vt:variant>
        <vt:i4>1</vt:i4>
      </vt:variant>
      <vt:variant>
        <vt:lpwstr>ISO gif logo_small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Coral Comments on High Level Prioritization</dc:title>
  <dc:subject/>
  <dc:creator>Margaret Miller</dc:creator>
  <cp:keywords/>
  <dc:description/>
  <cp:lastModifiedBy>Valladares, Angela</cp:lastModifiedBy>
  <cp:revision>2</cp:revision>
  <cp:lastPrinted>2008-04-29T04:02:00Z</cp:lastPrinted>
  <dcterms:created xsi:type="dcterms:W3CDTF">2025-10-22T15:52:00Z</dcterms:created>
  <dcterms:modified xsi:type="dcterms:W3CDTF">2025-10-22T15:52:00Z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2008-05-14T10:25:49Z</vt:lpwstr>
  </property>
  <property fmtid="{D5CDD505-2E9C-101B-9397-08002B2CF9AE}" pid="3" name="ISOKeywords">
    <vt:lpwstr>346;#stakeholder initiatives|51bd5195-d58a-4dcb-a3eb-37fc3cecacef</vt:lpwstr>
  </property>
  <property fmtid="{D5CDD505-2E9C-101B-9397-08002B2CF9AE}" pid="4" name="ISOGroup">
    <vt:lpwstr>665;#Stakeholder Comments on Preliminary Results of High Level Prioritization of Market Initiatives 09-May 2008|6c60f719-4649-4c93-be9a-9d02e98b5c3f</vt:lpwstr>
  </property>
  <property fmtid="{D5CDD505-2E9C-101B-9397-08002B2CF9AE}" pid="5" name="ISOTopic">
    <vt:lpwstr>7;#Stakeholder processes|71659ab1-dac7-419e-9529-abc47c232b66</vt:lpwstr>
  </property>
  <property fmtid="{D5CDD505-2E9C-101B-9397-08002B2CF9AE}" pid="6" name="Order">
    <vt:lpwstr>25766200.0000000</vt:lpwstr>
  </property>
  <property fmtid="{D5CDD505-2E9C-101B-9397-08002B2CF9AE}" pid="7" name="ISOArchive">
    <vt:lpwstr>3;#Archived|0019c6e1-8c5e-460c-a653-a944372c5015</vt:lpwstr>
  </property>
  <property fmtid="{D5CDD505-2E9C-101B-9397-08002B2CF9AE}" pid="8" name="OriginalUriCopy">
    <vt:lpwstr>http://www.caiso.com/1fc7/1fc792ad5a030.doc, http://www.caiso.com/1fc7/1fc792ad5a030.doc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http://www.caiso.com/1fc7/1fc792ad5a030.doc, /1fc7/1fc792ad5a030.doc</vt:lpwstr>
  </property>
  <property fmtid="{D5CDD505-2E9C-101B-9397-08002B2CF9AE}" pid="12" name="ContentTypeId">
    <vt:lpwstr>0x010100776092249CC62C48AA17033F357BFB4B</vt:lpwstr>
  </property>
</Properties>
</file>