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846E" w14:textId="77777777" w:rsidR="00463947" w:rsidRPr="00111A75" w:rsidRDefault="00463947" w:rsidP="00BE20D6">
      <w:pPr>
        <w:jc w:val="center"/>
        <w:rPr>
          <w:rFonts w:ascii="Arial" w:hAnsi="Arial" w:cs="Arial"/>
        </w:rPr>
      </w:pPr>
    </w:p>
    <w:p w14:paraId="6F434441" w14:textId="77777777" w:rsidR="0055608E" w:rsidRPr="00111A75" w:rsidRDefault="0055608E">
      <w:pPr>
        <w:rPr>
          <w:rFonts w:ascii="Arial" w:hAnsi="Arial" w:cs="Arial"/>
        </w:rPr>
      </w:pPr>
    </w:p>
    <w:p w14:paraId="029E58B8" w14:textId="77777777" w:rsidR="0055608E" w:rsidRPr="00111A75" w:rsidRDefault="0055608E">
      <w:pPr>
        <w:rPr>
          <w:rFonts w:ascii="Arial" w:hAnsi="Arial" w:cs="Arial"/>
        </w:rPr>
      </w:pPr>
    </w:p>
    <w:p w14:paraId="0FBE3BED" w14:textId="1ABC82A6" w:rsidR="0055608E" w:rsidRPr="00111A75" w:rsidRDefault="00303E57" w:rsidP="00BE20D6">
      <w:pPr>
        <w:jc w:val="center"/>
        <w:rPr>
          <w:rFonts w:ascii="Arial" w:hAnsi="Arial" w:cs="Arial"/>
        </w:rPr>
      </w:pPr>
      <w:r w:rsidRPr="005C4F88">
        <w:rPr>
          <w:rFonts w:ascii="Arial" w:hAnsi="Arial" w:cs="Arial"/>
          <w:noProof/>
        </w:rPr>
        <w:drawing>
          <wp:inline distT="0" distB="0" distL="0" distR="0" wp14:anchorId="32976196" wp14:editId="2BBA0773">
            <wp:extent cx="35718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895350"/>
                    </a:xfrm>
                    <a:prstGeom prst="rect">
                      <a:avLst/>
                    </a:prstGeom>
                    <a:noFill/>
                    <a:ln>
                      <a:noFill/>
                    </a:ln>
                  </pic:spPr>
                </pic:pic>
              </a:graphicData>
            </a:graphic>
          </wp:inline>
        </w:drawing>
      </w:r>
    </w:p>
    <w:p w14:paraId="100DA59B" w14:textId="77777777" w:rsidR="0055608E" w:rsidRPr="00111A75" w:rsidRDefault="0055608E">
      <w:pPr>
        <w:rPr>
          <w:rFonts w:ascii="Arial" w:hAnsi="Arial" w:cs="Arial"/>
        </w:rPr>
      </w:pPr>
    </w:p>
    <w:p w14:paraId="7696DFC1" w14:textId="77777777" w:rsidR="0055608E" w:rsidRPr="00111A75" w:rsidRDefault="0055608E">
      <w:pPr>
        <w:rPr>
          <w:rFonts w:ascii="Arial" w:hAnsi="Arial" w:cs="Arial"/>
        </w:rPr>
      </w:pPr>
    </w:p>
    <w:p w14:paraId="1512F503" w14:textId="77777777" w:rsidR="00EF6D32" w:rsidRDefault="00EF6D32" w:rsidP="00BE20D6">
      <w:pPr>
        <w:jc w:val="center"/>
        <w:rPr>
          <w:rFonts w:ascii="Arial" w:hAnsi="Arial" w:cs="Arial"/>
          <w:b/>
          <w:sz w:val="36"/>
          <w:szCs w:val="36"/>
        </w:rPr>
      </w:pPr>
      <w:r>
        <w:rPr>
          <w:rFonts w:ascii="Arial" w:hAnsi="Arial" w:cs="Arial"/>
          <w:b/>
          <w:sz w:val="36"/>
          <w:szCs w:val="36"/>
        </w:rPr>
        <w:t xml:space="preserve">Draft Final </w:t>
      </w:r>
      <w:r w:rsidR="0063052A">
        <w:rPr>
          <w:rFonts w:ascii="Arial" w:hAnsi="Arial" w:cs="Arial"/>
          <w:b/>
          <w:sz w:val="36"/>
          <w:szCs w:val="36"/>
        </w:rPr>
        <w:t xml:space="preserve">Proposal for </w:t>
      </w:r>
    </w:p>
    <w:p w14:paraId="134E3E59" w14:textId="77777777" w:rsidR="00A14601" w:rsidRDefault="0063052A" w:rsidP="00BE20D6">
      <w:pPr>
        <w:jc w:val="center"/>
        <w:rPr>
          <w:rFonts w:ascii="Arial" w:hAnsi="Arial" w:cs="Arial"/>
          <w:b/>
          <w:sz w:val="36"/>
          <w:szCs w:val="36"/>
        </w:rPr>
      </w:pPr>
      <w:r>
        <w:rPr>
          <w:rFonts w:ascii="Arial" w:hAnsi="Arial" w:cs="Arial"/>
          <w:b/>
          <w:sz w:val="36"/>
          <w:szCs w:val="36"/>
        </w:rPr>
        <w:t>Interim, Manual Process</w:t>
      </w:r>
      <w:r w:rsidR="00A14601">
        <w:rPr>
          <w:rFonts w:ascii="Arial" w:hAnsi="Arial" w:cs="Arial"/>
          <w:b/>
          <w:sz w:val="36"/>
          <w:szCs w:val="36"/>
        </w:rPr>
        <w:t xml:space="preserve"> </w:t>
      </w:r>
      <w:r>
        <w:rPr>
          <w:rFonts w:ascii="Arial" w:hAnsi="Arial" w:cs="Arial"/>
          <w:b/>
          <w:sz w:val="36"/>
          <w:szCs w:val="36"/>
        </w:rPr>
        <w:t xml:space="preserve">to </w:t>
      </w:r>
    </w:p>
    <w:p w14:paraId="3BBA9008" w14:textId="77777777" w:rsidR="00A14601" w:rsidRDefault="0063052A" w:rsidP="00BE20D6">
      <w:pPr>
        <w:jc w:val="center"/>
        <w:rPr>
          <w:rFonts w:ascii="Arial" w:hAnsi="Arial" w:cs="Arial"/>
          <w:b/>
          <w:sz w:val="36"/>
          <w:szCs w:val="36"/>
        </w:rPr>
      </w:pPr>
      <w:r>
        <w:rPr>
          <w:rFonts w:ascii="Arial" w:hAnsi="Arial" w:cs="Arial"/>
          <w:b/>
          <w:sz w:val="36"/>
          <w:szCs w:val="36"/>
        </w:rPr>
        <w:t xml:space="preserve">Allow One-for-Many Substitution of </w:t>
      </w:r>
    </w:p>
    <w:p w14:paraId="7F34697B" w14:textId="77777777" w:rsidR="0055608E" w:rsidRPr="00111A75" w:rsidRDefault="0063052A" w:rsidP="00BE20D6">
      <w:pPr>
        <w:jc w:val="center"/>
        <w:rPr>
          <w:rFonts w:ascii="Arial" w:hAnsi="Arial" w:cs="Arial"/>
          <w:b/>
          <w:sz w:val="36"/>
          <w:szCs w:val="36"/>
        </w:rPr>
      </w:pPr>
      <w:r>
        <w:rPr>
          <w:rFonts w:ascii="Arial" w:hAnsi="Arial" w:cs="Arial"/>
          <w:b/>
          <w:sz w:val="36"/>
          <w:szCs w:val="36"/>
        </w:rPr>
        <w:t>RA Resources</w:t>
      </w:r>
    </w:p>
    <w:p w14:paraId="18BF8713" w14:textId="77777777" w:rsidR="0055608E" w:rsidRPr="00111A75" w:rsidRDefault="0055608E">
      <w:pPr>
        <w:rPr>
          <w:rFonts w:ascii="Arial" w:hAnsi="Arial" w:cs="Arial"/>
        </w:rPr>
      </w:pPr>
    </w:p>
    <w:p w14:paraId="06ADB341" w14:textId="77777777" w:rsidR="00BE20D6" w:rsidRDefault="00BE20D6">
      <w:pPr>
        <w:rPr>
          <w:rFonts w:ascii="Arial" w:hAnsi="Arial" w:cs="Arial"/>
        </w:rPr>
      </w:pPr>
    </w:p>
    <w:p w14:paraId="50C285CD" w14:textId="77777777" w:rsidR="00EF6D32" w:rsidRDefault="00EF6D32">
      <w:pPr>
        <w:rPr>
          <w:rFonts w:ascii="Arial" w:hAnsi="Arial" w:cs="Arial"/>
        </w:rPr>
      </w:pPr>
    </w:p>
    <w:p w14:paraId="5193E45C" w14:textId="77777777" w:rsidR="00EF6D32" w:rsidRDefault="00EF6D32">
      <w:pPr>
        <w:rPr>
          <w:rFonts w:ascii="Arial" w:hAnsi="Arial" w:cs="Arial"/>
        </w:rPr>
      </w:pPr>
    </w:p>
    <w:p w14:paraId="31AC83ED" w14:textId="77777777" w:rsidR="00EF6D32" w:rsidRDefault="00EF6D32">
      <w:pPr>
        <w:rPr>
          <w:rFonts w:ascii="Arial" w:hAnsi="Arial" w:cs="Arial"/>
        </w:rPr>
      </w:pPr>
    </w:p>
    <w:p w14:paraId="424DE128" w14:textId="77777777" w:rsidR="00EF6D32" w:rsidRDefault="00EF6D32">
      <w:pPr>
        <w:rPr>
          <w:rFonts w:ascii="Arial" w:hAnsi="Arial" w:cs="Arial"/>
        </w:rPr>
      </w:pPr>
    </w:p>
    <w:p w14:paraId="40C38F00" w14:textId="77777777" w:rsidR="00EF6D32" w:rsidRDefault="00EF6D32">
      <w:pPr>
        <w:rPr>
          <w:rFonts w:ascii="Arial" w:hAnsi="Arial" w:cs="Arial"/>
        </w:rPr>
      </w:pPr>
    </w:p>
    <w:p w14:paraId="2951DA2E" w14:textId="77777777" w:rsidR="0055608E" w:rsidRPr="00EF6D32" w:rsidRDefault="00EF6D32" w:rsidP="00D269FC">
      <w:pPr>
        <w:jc w:val="center"/>
        <w:rPr>
          <w:rFonts w:ascii="Arial" w:hAnsi="Arial" w:cs="Arial"/>
          <w:b/>
          <w:sz w:val="36"/>
          <w:szCs w:val="36"/>
        </w:rPr>
      </w:pPr>
      <w:r>
        <w:rPr>
          <w:rFonts w:ascii="Arial" w:hAnsi="Arial" w:cs="Arial"/>
          <w:b/>
          <w:sz w:val="36"/>
          <w:szCs w:val="36"/>
        </w:rPr>
        <w:t>December 23, 2013</w:t>
      </w:r>
    </w:p>
    <w:p w14:paraId="442BCEC2" w14:textId="77777777" w:rsidR="0055608E" w:rsidRPr="00111A75" w:rsidRDefault="0055608E">
      <w:pPr>
        <w:rPr>
          <w:rFonts w:ascii="Arial" w:hAnsi="Arial" w:cs="Arial"/>
        </w:rPr>
        <w:sectPr w:rsidR="0055608E" w:rsidRPr="00111A75" w:rsidSect="001210B1">
          <w:footerReference w:type="default" r:id="rId13"/>
          <w:pgSz w:w="12240" w:h="15840"/>
          <w:pgMar w:top="1440" w:right="1440" w:bottom="1440" w:left="1440" w:header="720" w:footer="720" w:gutter="0"/>
          <w:cols w:space="720"/>
          <w:docGrid w:linePitch="360"/>
        </w:sectPr>
      </w:pPr>
    </w:p>
    <w:p w14:paraId="5FA7BD38" w14:textId="77777777" w:rsidR="0055608E" w:rsidRPr="00111A75" w:rsidRDefault="0055608E">
      <w:pPr>
        <w:rPr>
          <w:rFonts w:ascii="Arial" w:hAnsi="Arial" w:cs="Arial"/>
          <w:b/>
        </w:rPr>
      </w:pPr>
    </w:p>
    <w:p w14:paraId="4112F7E4" w14:textId="77777777" w:rsidR="00111A75" w:rsidRDefault="00111A75">
      <w:pPr>
        <w:pStyle w:val="TOCHeading"/>
        <w:rPr>
          <w:rFonts w:ascii="Arial" w:hAnsi="Arial" w:cs="Arial"/>
        </w:rPr>
      </w:pPr>
      <w:r w:rsidRPr="00111A75">
        <w:rPr>
          <w:rFonts w:ascii="Arial" w:hAnsi="Arial" w:cs="Arial"/>
        </w:rPr>
        <w:t>Table of Contents</w:t>
      </w:r>
    </w:p>
    <w:p w14:paraId="0FBCCAE9" w14:textId="77777777" w:rsidR="00A14601" w:rsidRPr="00A14601" w:rsidRDefault="00A14601" w:rsidP="00A14601">
      <w:pPr>
        <w:rPr>
          <w:lang w:eastAsia="ja-JP"/>
        </w:rPr>
      </w:pPr>
    </w:p>
    <w:p w14:paraId="58C10165" w14:textId="77777777" w:rsidR="00EF6D32" w:rsidRPr="005C4F88" w:rsidRDefault="00A1210F">
      <w:pPr>
        <w:pStyle w:val="TOC1"/>
        <w:tabs>
          <w:tab w:val="left" w:pos="440"/>
          <w:tab w:val="right" w:leader="dot" w:pos="9350"/>
        </w:tabs>
        <w:rPr>
          <w:rFonts w:eastAsia="Times New Roman"/>
          <w:noProof/>
        </w:rPr>
      </w:pPr>
      <w:r w:rsidRPr="00111A75">
        <w:rPr>
          <w:rFonts w:ascii="Arial" w:hAnsi="Arial" w:cs="Arial"/>
        </w:rPr>
        <w:fldChar w:fldCharType="begin"/>
      </w:r>
      <w:r w:rsidR="00111A75" w:rsidRPr="00111A75">
        <w:rPr>
          <w:rFonts w:ascii="Arial" w:hAnsi="Arial" w:cs="Arial"/>
        </w:rPr>
        <w:instrText xml:space="preserve"> TOC \o "1-3" \h \z \u </w:instrText>
      </w:r>
      <w:r w:rsidRPr="00111A75">
        <w:rPr>
          <w:rFonts w:ascii="Arial" w:hAnsi="Arial" w:cs="Arial"/>
        </w:rPr>
        <w:fldChar w:fldCharType="separate"/>
      </w:r>
      <w:hyperlink w:anchor="_Toc375566484" w:history="1">
        <w:r w:rsidR="00EF6D32" w:rsidRPr="00E9606A">
          <w:rPr>
            <w:rStyle w:val="Hyperlink"/>
            <w:rFonts w:ascii="Arial" w:hAnsi="Arial" w:cs="Arial"/>
            <w:noProof/>
          </w:rPr>
          <w:t>I.</w:t>
        </w:r>
        <w:r w:rsidR="00EF6D32" w:rsidRPr="005C4F88">
          <w:rPr>
            <w:rFonts w:eastAsia="Times New Roman"/>
            <w:noProof/>
          </w:rPr>
          <w:tab/>
          <w:t xml:space="preserve">     </w:t>
        </w:r>
        <w:r w:rsidR="00EF6D32" w:rsidRPr="00E9606A">
          <w:rPr>
            <w:rStyle w:val="Hyperlink"/>
            <w:rFonts w:ascii="Arial" w:hAnsi="Arial" w:cs="Arial"/>
            <w:noProof/>
          </w:rPr>
          <w:t>Introduction</w:t>
        </w:r>
        <w:r w:rsidR="00EF6D32">
          <w:rPr>
            <w:noProof/>
            <w:webHidden/>
          </w:rPr>
          <w:tab/>
        </w:r>
        <w:r>
          <w:rPr>
            <w:noProof/>
            <w:webHidden/>
          </w:rPr>
          <w:fldChar w:fldCharType="begin"/>
        </w:r>
        <w:r w:rsidR="00EF6D32">
          <w:rPr>
            <w:noProof/>
            <w:webHidden/>
          </w:rPr>
          <w:instrText xml:space="preserve"> PAGEREF _Toc375566484 \h </w:instrText>
        </w:r>
        <w:r>
          <w:rPr>
            <w:noProof/>
            <w:webHidden/>
          </w:rPr>
        </w:r>
        <w:r>
          <w:rPr>
            <w:noProof/>
            <w:webHidden/>
          </w:rPr>
          <w:fldChar w:fldCharType="separate"/>
        </w:r>
        <w:r w:rsidR="00EF6D32">
          <w:rPr>
            <w:noProof/>
            <w:webHidden/>
          </w:rPr>
          <w:t>3</w:t>
        </w:r>
        <w:r>
          <w:rPr>
            <w:noProof/>
            <w:webHidden/>
          </w:rPr>
          <w:fldChar w:fldCharType="end"/>
        </w:r>
      </w:hyperlink>
    </w:p>
    <w:p w14:paraId="7F5F54BB" w14:textId="77777777" w:rsidR="00EF6D32" w:rsidRPr="005C4F88" w:rsidRDefault="0016522A">
      <w:pPr>
        <w:pStyle w:val="TOC1"/>
        <w:tabs>
          <w:tab w:val="left" w:pos="440"/>
          <w:tab w:val="right" w:leader="dot" w:pos="9350"/>
        </w:tabs>
        <w:rPr>
          <w:rFonts w:eastAsia="Times New Roman"/>
          <w:noProof/>
        </w:rPr>
      </w:pPr>
      <w:hyperlink w:anchor="_Toc375566485" w:history="1">
        <w:r w:rsidR="00EF6D32" w:rsidRPr="00E9606A">
          <w:rPr>
            <w:rStyle w:val="Hyperlink"/>
            <w:rFonts w:ascii="Arial" w:hAnsi="Arial" w:cs="Arial"/>
            <w:noProof/>
          </w:rPr>
          <w:t>II.</w:t>
        </w:r>
        <w:r w:rsidR="00EF6D32" w:rsidRPr="005C4F88">
          <w:rPr>
            <w:rFonts w:eastAsia="Times New Roman"/>
            <w:noProof/>
          </w:rPr>
          <w:tab/>
          <w:t xml:space="preserve">     </w:t>
        </w:r>
        <w:r w:rsidR="00EF6D32" w:rsidRPr="00E9606A">
          <w:rPr>
            <w:rStyle w:val="Hyperlink"/>
            <w:rFonts w:ascii="Arial" w:hAnsi="Arial" w:cs="Arial"/>
            <w:noProof/>
          </w:rPr>
          <w:t>Background</w:t>
        </w:r>
        <w:r w:rsidR="00EF6D32">
          <w:rPr>
            <w:noProof/>
            <w:webHidden/>
          </w:rPr>
          <w:tab/>
        </w:r>
        <w:r w:rsidR="00A1210F">
          <w:rPr>
            <w:noProof/>
            <w:webHidden/>
          </w:rPr>
          <w:fldChar w:fldCharType="begin"/>
        </w:r>
        <w:r w:rsidR="00EF6D32">
          <w:rPr>
            <w:noProof/>
            <w:webHidden/>
          </w:rPr>
          <w:instrText xml:space="preserve"> PAGEREF _Toc375566485 \h </w:instrText>
        </w:r>
        <w:r w:rsidR="00A1210F">
          <w:rPr>
            <w:noProof/>
            <w:webHidden/>
          </w:rPr>
        </w:r>
        <w:r w:rsidR="00A1210F">
          <w:rPr>
            <w:noProof/>
            <w:webHidden/>
          </w:rPr>
          <w:fldChar w:fldCharType="separate"/>
        </w:r>
        <w:r w:rsidR="00EF6D32">
          <w:rPr>
            <w:noProof/>
            <w:webHidden/>
          </w:rPr>
          <w:t>3</w:t>
        </w:r>
        <w:r w:rsidR="00A1210F">
          <w:rPr>
            <w:noProof/>
            <w:webHidden/>
          </w:rPr>
          <w:fldChar w:fldCharType="end"/>
        </w:r>
      </w:hyperlink>
    </w:p>
    <w:p w14:paraId="0742905C" w14:textId="77777777" w:rsidR="00EF6D32" w:rsidRPr="005C4F88" w:rsidRDefault="0016522A">
      <w:pPr>
        <w:pStyle w:val="TOC1"/>
        <w:tabs>
          <w:tab w:val="left" w:pos="660"/>
          <w:tab w:val="right" w:leader="dot" w:pos="9350"/>
        </w:tabs>
        <w:rPr>
          <w:rFonts w:eastAsia="Times New Roman"/>
          <w:noProof/>
        </w:rPr>
      </w:pPr>
      <w:hyperlink w:anchor="_Toc375566486" w:history="1">
        <w:r w:rsidR="00EF6D32" w:rsidRPr="00E9606A">
          <w:rPr>
            <w:rStyle w:val="Hyperlink"/>
            <w:rFonts w:ascii="Arial" w:hAnsi="Arial" w:cs="Arial"/>
            <w:noProof/>
          </w:rPr>
          <w:t>III.</w:t>
        </w:r>
        <w:r w:rsidR="00EF6D32" w:rsidRPr="005C4F88">
          <w:rPr>
            <w:rFonts w:eastAsia="Times New Roman"/>
            <w:noProof/>
          </w:rPr>
          <w:tab/>
        </w:r>
        <w:r w:rsidR="00EF6D32" w:rsidRPr="00E9606A">
          <w:rPr>
            <w:rStyle w:val="Hyperlink"/>
            <w:rFonts w:ascii="Arial" w:hAnsi="Arial" w:cs="Arial"/>
            <w:noProof/>
          </w:rPr>
          <w:t>Scope of Initiative and Plan for Stakeholder Engagement</w:t>
        </w:r>
        <w:r w:rsidR="00EF6D32">
          <w:rPr>
            <w:noProof/>
            <w:webHidden/>
          </w:rPr>
          <w:tab/>
        </w:r>
        <w:r w:rsidR="00A1210F">
          <w:rPr>
            <w:noProof/>
            <w:webHidden/>
          </w:rPr>
          <w:fldChar w:fldCharType="begin"/>
        </w:r>
        <w:r w:rsidR="00EF6D32">
          <w:rPr>
            <w:noProof/>
            <w:webHidden/>
          </w:rPr>
          <w:instrText xml:space="preserve"> PAGEREF _Toc375566486 \h </w:instrText>
        </w:r>
        <w:r w:rsidR="00A1210F">
          <w:rPr>
            <w:noProof/>
            <w:webHidden/>
          </w:rPr>
        </w:r>
        <w:r w:rsidR="00A1210F">
          <w:rPr>
            <w:noProof/>
            <w:webHidden/>
          </w:rPr>
          <w:fldChar w:fldCharType="separate"/>
        </w:r>
        <w:r w:rsidR="00EF6D32">
          <w:rPr>
            <w:noProof/>
            <w:webHidden/>
          </w:rPr>
          <w:t>4</w:t>
        </w:r>
        <w:r w:rsidR="00A1210F">
          <w:rPr>
            <w:noProof/>
            <w:webHidden/>
          </w:rPr>
          <w:fldChar w:fldCharType="end"/>
        </w:r>
      </w:hyperlink>
    </w:p>
    <w:p w14:paraId="1FA8C7CE" w14:textId="77777777" w:rsidR="00EF6D32" w:rsidRPr="005C4F88" w:rsidRDefault="0016522A">
      <w:pPr>
        <w:pStyle w:val="TOC1"/>
        <w:tabs>
          <w:tab w:val="left" w:pos="660"/>
          <w:tab w:val="right" w:leader="dot" w:pos="9350"/>
        </w:tabs>
        <w:rPr>
          <w:rFonts w:eastAsia="Times New Roman"/>
          <w:noProof/>
        </w:rPr>
      </w:pPr>
      <w:hyperlink w:anchor="_Toc375566487" w:history="1">
        <w:r w:rsidR="00EF6D32" w:rsidRPr="00E9606A">
          <w:rPr>
            <w:rStyle w:val="Hyperlink"/>
            <w:rFonts w:ascii="Arial" w:hAnsi="Arial" w:cs="Arial"/>
            <w:noProof/>
          </w:rPr>
          <w:t>IV.</w:t>
        </w:r>
        <w:r w:rsidR="00EF6D32" w:rsidRPr="005C4F88">
          <w:rPr>
            <w:rFonts w:eastAsia="Times New Roman"/>
            <w:noProof/>
          </w:rPr>
          <w:tab/>
        </w:r>
        <w:r w:rsidR="00EF6D32" w:rsidRPr="00E9606A">
          <w:rPr>
            <w:rStyle w:val="Hyperlink"/>
            <w:rFonts w:ascii="Arial" w:hAnsi="Arial" w:cs="Arial"/>
            <w:noProof/>
          </w:rPr>
          <w:t>ISO’s Manual Process Proposal</w:t>
        </w:r>
        <w:r w:rsidR="00EF6D32">
          <w:rPr>
            <w:noProof/>
            <w:webHidden/>
          </w:rPr>
          <w:tab/>
        </w:r>
        <w:r w:rsidR="00A1210F">
          <w:rPr>
            <w:noProof/>
            <w:webHidden/>
          </w:rPr>
          <w:fldChar w:fldCharType="begin"/>
        </w:r>
        <w:r w:rsidR="00EF6D32">
          <w:rPr>
            <w:noProof/>
            <w:webHidden/>
          </w:rPr>
          <w:instrText xml:space="preserve"> PAGEREF _Toc375566487 \h </w:instrText>
        </w:r>
        <w:r w:rsidR="00A1210F">
          <w:rPr>
            <w:noProof/>
            <w:webHidden/>
          </w:rPr>
        </w:r>
        <w:r w:rsidR="00A1210F">
          <w:rPr>
            <w:noProof/>
            <w:webHidden/>
          </w:rPr>
          <w:fldChar w:fldCharType="separate"/>
        </w:r>
        <w:r w:rsidR="00EF6D32">
          <w:rPr>
            <w:noProof/>
            <w:webHidden/>
          </w:rPr>
          <w:t>5</w:t>
        </w:r>
        <w:r w:rsidR="00A1210F">
          <w:rPr>
            <w:noProof/>
            <w:webHidden/>
          </w:rPr>
          <w:fldChar w:fldCharType="end"/>
        </w:r>
      </w:hyperlink>
    </w:p>
    <w:p w14:paraId="2905EE06" w14:textId="77777777" w:rsidR="00EF6D32" w:rsidRPr="005C4F88" w:rsidRDefault="0016522A">
      <w:pPr>
        <w:pStyle w:val="TOC1"/>
        <w:tabs>
          <w:tab w:val="left" w:pos="440"/>
          <w:tab w:val="right" w:leader="dot" w:pos="9350"/>
        </w:tabs>
        <w:rPr>
          <w:rFonts w:eastAsia="Times New Roman"/>
          <w:noProof/>
        </w:rPr>
      </w:pPr>
      <w:hyperlink w:anchor="_Toc375566488" w:history="1">
        <w:r w:rsidR="00EF6D32" w:rsidRPr="00E9606A">
          <w:rPr>
            <w:rStyle w:val="Hyperlink"/>
            <w:rFonts w:ascii="Arial" w:hAnsi="Arial" w:cs="Arial"/>
            <w:noProof/>
          </w:rPr>
          <w:t>V.</w:t>
        </w:r>
        <w:r w:rsidR="00EF6D32" w:rsidRPr="005C4F88">
          <w:rPr>
            <w:rFonts w:eastAsia="Times New Roman"/>
            <w:noProof/>
          </w:rPr>
          <w:tab/>
          <w:t xml:space="preserve">     </w:t>
        </w:r>
        <w:r w:rsidR="00EF6D32" w:rsidRPr="00E9606A">
          <w:rPr>
            <w:rStyle w:val="Hyperlink"/>
            <w:rFonts w:ascii="Arial" w:hAnsi="Arial" w:cs="Arial"/>
            <w:noProof/>
          </w:rPr>
          <w:t>Next Steps</w:t>
        </w:r>
        <w:r w:rsidR="00EF6D32">
          <w:rPr>
            <w:noProof/>
            <w:webHidden/>
          </w:rPr>
          <w:tab/>
        </w:r>
        <w:r w:rsidR="00A1210F">
          <w:rPr>
            <w:noProof/>
            <w:webHidden/>
          </w:rPr>
          <w:fldChar w:fldCharType="begin"/>
        </w:r>
        <w:r w:rsidR="00EF6D32">
          <w:rPr>
            <w:noProof/>
            <w:webHidden/>
          </w:rPr>
          <w:instrText xml:space="preserve"> PAGEREF _Toc375566488 \h </w:instrText>
        </w:r>
        <w:r w:rsidR="00A1210F">
          <w:rPr>
            <w:noProof/>
            <w:webHidden/>
          </w:rPr>
        </w:r>
        <w:r w:rsidR="00A1210F">
          <w:rPr>
            <w:noProof/>
            <w:webHidden/>
          </w:rPr>
          <w:fldChar w:fldCharType="separate"/>
        </w:r>
        <w:r w:rsidR="00EF6D32">
          <w:rPr>
            <w:noProof/>
            <w:webHidden/>
          </w:rPr>
          <w:t>6</w:t>
        </w:r>
        <w:r w:rsidR="00A1210F">
          <w:rPr>
            <w:noProof/>
            <w:webHidden/>
          </w:rPr>
          <w:fldChar w:fldCharType="end"/>
        </w:r>
      </w:hyperlink>
    </w:p>
    <w:p w14:paraId="63891AE5" w14:textId="77777777" w:rsidR="00111A75" w:rsidRPr="00111A75" w:rsidRDefault="00A1210F" w:rsidP="00CD43F9">
      <w:pPr>
        <w:tabs>
          <w:tab w:val="left" w:pos="720"/>
        </w:tabs>
        <w:rPr>
          <w:rFonts w:ascii="Arial" w:hAnsi="Arial" w:cs="Arial"/>
        </w:rPr>
      </w:pPr>
      <w:r w:rsidRPr="00111A75">
        <w:rPr>
          <w:rFonts w:ascii="Arial" w:hAnsi="Arial" w:cs="Arial"/>
          <w:b/>
          <w:bCs/>
          <w:noProof/>
        </w:rPr>
        <w:fldChar w:fldCharType="end"/>
      </w:r>
    </w:p>
    <w:p w14:paraId="1DD99E4E" w14:textId="77777777" w:rsidR="0055608E" w:rsidRPr="00111A75" w:rsidRDefault="0055608E" w:rsidP="0055608E">
      <w:pPr>
        <w:rPr>
          <w:rFonts w:ascii="Arial" w:hAnsi="Arial" w:cs="Arial"/>
        </w:rPr>
      </w:pPr>
    </w:p>
    <w:p w14:paraId="409AEB61" w14:textId="77777777" w:rsidR="0055608E" w:rsidRPr="00111A75" w:rsidRDefault="0055608E" w:rsidP="0055608E">
      <w:pPr>
        <w:rPr>
          <w:rFonts w:ascii="Arial" w:hAnsi="Arial" w:cs="Arial"/>
        </w:rPr>
      </w:pPr>
    </w:p>
    <w:p w14:paraId="1244C84D" w14:textId="77777777" w:rsidR="0055608E" w:rsidRPr="00111A75" w:rsidRDefault="0055608E">
      <w:pPr>
        <w:rPr>
          <w:rFonts w:ascii="Arial" w:hAnsi="Arial" w:cs="Arial"/>
        </w:rPr>
      </w:pPr>
      <w:r w:rsidRPr="00111A75">
        <w:rPr>
          <w:rFonts w:ascii="Arial" w:hAnsi="Arial" w:cs="Arial"/>
        </w:rPr>
        <w:br w:type="page"/>
      </w:r>
    </w:p>
    <w:p w14:paraId="73C4E033" w14:textId="77777777" w:rsidR="0055608E" w:rsidRDefault="0063052A" w:rsidP="00E94695">
      <w:pPr>
        <w:pStyle w:val="Heading1"/>
        <w:numPr>
          <w:ilvl w:val="0"/>
          <w:numId w:val="4"/>
        </w:numPr>
        <w:spacing w:after="200"/>
        <w:rPr>
          <w:rFonts w:ascii="Arial" w:hAnsi="Arial" w:cs="Arial"/>
        </w:rPr>
      </w:pPr>
      <w:bookmarkStart w:id="0" w:name="_Toc375566484"/>
      <w:r>
        <w:rPr>
          <w:rFonts w:ascii="Arial" w:hAnsi="Arial" w:cs="Arial"/>
        </w:rPr>
        <w:t>Introduction</w:t>
      </w:r>
      <w:bookmarkEnd w:id="0"/>
    </w:p>
    <w:p w14:paraId="62DA0780" w14:textId="77777777" w:rsidR="00DB744A" w:rsidRDefault="0063052A" w:rsidP="007D10F8">
      <w:r>
        <w:t xml:space="preserve">Section 40.9 of the ISO tariff contains availability standards </w:t>
      </w:r>
      <w:r w:rsidR="00A14601">
        <w:t xml:space="preserve">for </w:t>
      </w:r>
      <w:r w:rsidR="002C31ED">
        <w:t xml:space="preserve">resource adequacy </w:t>
      </w:r>
      <w:r w:rsidR="006F4F54">
        <w:t xml:space="preserve">(“RA”) </w:t>
      </w:r>
      <w:r w:rsidR="00A14601">
        <w:t xml:space="preserve">resources </w:t>
      </w:r>
      <w:r>
        <w:t xml:space="preserve">and </w:t>
      </w:r>
      <w:r w:rsidR="00A14601">
        <w:t xml:space="preserve">provides for </w:t>
      </w:r>
      <w:r>
        <w:t xml:space="preserve">potential </w:t>
      </w:r>
      <w:r w:rsidR="00EB0570">
        <w:t xml:space="preserve">non-availability </w:t>
      </w:r>
      <w:r w:rsidR="002F6506">
        <w:t>charges and</w:t>
      </w:r>
      <w:r w:rsidR="00EB0570">
        <w:t xml:space="preserve"> availability incentive </w:t>
      </w:r>
      <w:r>
        <w:t xml:space="preserve">payments </w:t>
      </w:r>
      <w:r w:rsidR="00A14601">
        <w:t>to</w:t>
      </w:r>
      <w:r>
        <w:t xml:space="preserve"> </w:t>
      </w:r>
      <w:r w:rsidR="00A14601">
        <w:t xml:space="preserve">those </w:t>
      </w:r>
      <w:r>
        <w:t>resources</w:t>
      </w:r>
      <w:r w:rsidR="00A14601">
        <w:t xml:space="preserve"> based on their availability relative to the standards</w:t>
      </w:r>
      <w:r>
        <w:t xml:space="preserve">.  </w:t>
      </w:r>
      <w:r w:rsidR="00DB744A">
        <w:t xml:space="preserve"> </w:t>
      </w:r>
      <w:r w:rsidR="002C31ED">
        <w:t>S</w:t>
      </w:r>
      <w:r w:rsidR="00DB744A">
        <w:t xml:space="preserve">cheduling coordinators for RA resources on forced outages </w:t>
      </w:r>
      <w:r w:rsidR="002C31ED">
        <w:t xml:space="preserve">may provide substitute capacity for the unavailable </w:t>
      </w:r>
      <w:r w:rsidR="002F6506">
        <w:t>capacity in</w:t>
      </w:r>
      <w:r w:rsidR="002C31ED">
        <w:t xml:space="preserve"> order to </w:t>
      </w:r>
      <w:r w:rsidR="00DB744A">
        <w:t xml:space="preserve">avoid a potential availability shortfall resulting from the forced outage.  </w:t>
      </w:r>
      <w:r w:rsidR="00A427E1">
        <w:t>S</w:t>
      </w:r>
      <w:r w:rsidR="00DB744A">
        <w:t>ystem limitations</w:t>
      </w:r>
      <w:r w:rsidR="00A427E1">
        <w:t xml:space="preserve"> prohibit </w:t>
      </w:r>
      <w:r w:rsidR="00DB744A">
        <w:t xml:space="preserve">scheduling coordinators </w:t>
      </w:r>
      <w:r w:rsidR="00A427E1">
        <w:t xml:space="preserve">from using </w:t>
      </w:r>
      <w:r w:rsidR="00DB744A">
        <w:t xml:space="preserve">a single resource to substitute for more than one RA resource on outage. </w:t>
      </w:r>
      <w:r w:rsidR="00A427E1">
        <w:t xml:space="preserve">  The ISO tariff also does not specify the conditions under which such scheduling coordinators may substitute for more than one resource RA resource outage.  </w:t>
      </w:r>
      <w:r w:rsidR="00DB744A">
        <w:t xml:space="preserve">Stakeholders have requested that this ability be provided.  </w:t>
      </w:r>
      <w:r>
        <w:t xml:space="preserve"> </w:t>
      </w:r>
      <w:r w:rsidR="00A427E1">
        <w:t>The ISO tariff also does not specify the conditions under which resources may use several resources to substitute for a single resource outage, but because the system permitted such flexibility, scheduling coordinators are currently able to do so.</w:t>
      </w:r>
    </w:p>
    <w:p w14:paraId="615EA6D2" w14:textId="77777777" w:rsidR="0063052A" w:rsidRPr="0063052A" w:rsidRDefault="00DB744A" w:rsidP="007D10F8">
      <w:r>
        <w:t xml:space="preserve">The ISO does not object to allowing stakeholders to use a single resource to substitute for multiple RA </w:t>
      </w:r>
      <w:r w:rsidR="002C31ED">
        <w:t>resources</w:t>
      </w:r>
      <w:r>
        <w:t xml:space="preserve"> on outage, as long as this can be done in a manner that ensures the ISO </w:t>
      </w:r>
      <w:r w:rsidR="002C31ED">
        <w:t xml:space="preserve">will </w:t>
      </w:r>
      <w:r>
        <w:t xml:space="preserve">continue to have RA </w:t>
      </w:r>
      <w:r w:rsidR="002C31ED">
        <w:t xml:space="preserve">capacity </w:t>
      </w:r>
      <w:r>
        <w:t>available so reliability is not compromised.  T</w:t>
      </w:r>
      <w:r w:rsidR="0063052A" w:rsidRPr="0063052A">
        <w:t xml:space="preserve">he ISO intends to </w:t>
      </w:r>
      <w:r w:rsidR="002C31ED">
        <w:t>implement</w:t>
      </w:r>
      <w:r w:rsidR="0063052A" w:rsidRPr="0063052A">
        <w:t xml:space="preserve"> an automated process </w:t>
      </w:r>
      <w:r>
        <w:t>in the Fall of 2014</w:t>
      </w:r>
      <w:r w:rsidR="0063052A" w:rsidRPr="0063052A">
        <w:t xml:space="preserve"> </w:t>
      </w:r>
      <w:r w:rsidR="002C31ED">
        <w:t xml:space="preserve">through which </w:t>
      </w:r>
      <w:r w:rsidR="0063052A" w:rsidRPr="0063052A">
        <w:t xml:space="preserve">scheduling coordinators </w:t>
      </w:r>
      <w:r w:rsidR="002C31ED">
        <w:t>can substitute</w:t>
      </w:r>
      <w:r w:rsidR="0063052A" w:rsidRPr="0063052A">
        <w:t xml:space="preserve"> non-RA capacity </w:t>
      </w:r>
      <w:r w:rsidR="006F4F54">
        <w:t xml:space="preserve">from one </w:t>
      </w:r>
      <w:r w:rsidR="0063052A" w:rsidRPr="0063052A">
        <w:t>resource for multiple RA resources</w:t>
      </w:r>
      <w:r w:rsidR="006F4F54">
        <w:t xml:space="preserve"> on a</w:t>
      </w:r>
      <w:r w:rsidR="0063052A" w:rsidRPr="0063052A">
        <w:t xml:space="preserve"> forced outage or de</w:t>
      </w:r>
      <w:r w:rsidR="00EF6D32">
        <w:t>-</w:t>
      </w:r>
      <w:r w:rsidR="0063052A" w:rsidRPr="0063052A">
        <w:t>rate.</w:t>
      </w:r>
    </w:p>
    <w:p w14:paraId="0732A0A8" w14:textId="77777777" w:rsidR="0063052A" w:rsidRPr="0063052A" w:rsidRDefault="0063052A" w:rsidP="007D10F8">
      <w:r w:rsidRPr="0063052A">
        <w:t xml:space="preserve">Based on stakeholder requests, the ISO is developing a manual </w:t>
      </w:r>
      <w:r w:rsidRPr="0063052A">
        <w:rPr>
          <w:i/>
        </w:rPr>
        <w:t>one-for-many</w:t>
      </w:r>
      <w:r w:rsidRPr="0063052A">
        <w:t xml:space="preserve"> substitution process as an interim measure until the automated functionality is deployed</w:t>
      </w:r>
      <w:r w:rsidR="006F4F54">
        <w:t xml:space="preserve">.  The manual process </w:t>
      </w:r>
      <w:r w:rsidR="00A427E1">
        <w:t>will include the ability to use one resource to substitute for multiple RA resource outages</w:t>
      </w:r>
      <w:r w:rsidRPr="0063052A">
        <w:t xml:space="preserve">. </w:t>
      </w:r>
      <w:r w:rsidR="00695AD5">
        <w:t xml:space="preserve"> As discussed further below, t</w:t>
      </w:r>
      <w:r w:rsidRPr="0063052A">
        <w:t xml:space="preserve">he interim manual process will </w:t>
      </w:r>
      <w:r w:rsidR="00695AD5">
        <w:t xml:space="preserve">include </w:t>
      </w:r>
      <w:r w:rsidR="00A427E1">
        <w:t xml:space="preserve">certain </w:t>
      </w:r>
      <w:r w:rsidR="00695AD5">
        <w:t xml:space="preserve">limiting </w:t>
      </w:r>
      <w:r w:rsidR="002F6506">
        <w:t>conditions to</w:t>
      </w:r>
      <w:r w:rsidRPr="0063052A">
        <w:t xml:space="preserve"> ensure that the workload is feasible for the ISO to perform on a manual basis</w:t>
      </w:r>
      <w:r w:rsidR="00A427E1">
        <w:t xml:space="preserve"> without compromising the </w:t>
      </w:r>
      <w:r w:rsidR="00CD41DC">
        <w:t>ability to account for resource adequacy capacity reliably</w:t>
      </w:r>
      <w:r w:rsidR="00A427E1">
        <w:t>.</w:t>
      </w:r>
      <w:r w:rsidR="00695AD5">
        <w:t xml:space="preserve">  These conditions may not apply with the adoption of the automated functionality later in 2014.</w:t>
      </w:r>
    </w:p>
    <w:p w14:paraId="3C4A02C1" w14:textId="77777777" w:rsidR="0063052A" w:rsidRPr="0063052A" w:rsidRDefault="00C41574" w:rsidP="007D10F8">
      <w:r>
        <w:t>After posting this</w:t>
      </w:r>
      <w:r w:rsidR="0063052A" w:rsidRPr="0063052A">
        <w:t xml:space="preserve"> </w:t>
      </w:r>
      <w:r w:rsidR="006F4F54">
        <w:t>draft</w:t>
      </w:r>
      <w:r w:rsidR="0063052A" w:rsidRPr="0063052A">
        <w:t xml:space="preserve"> </w:t>
      </w:r>
      <w:r w:rsidR="00EF6D32">
        <w:t xml:space="preserve">final </w:t>
      </w:r>
      <w:r w:rsidR="0063052A" w:rsidRPr="0063052A">
        <w:t>proposal</w:t>
      </w:r>
      <w:r>
        <w:t xml:space="preserve"> and </w:t>
      </w:r>
      <w:r w:rsidR="006F4F54">
        <w:t xml:space="preserve">draft </w:t>
      </w:r>
      <w:r>
        <w:t xml:space="preserve">tariff language, the ISO will conduct </w:t>
      </w:r>
      <w:r w:rsidR="0063052A" w:rsidRPr="0063052A">
        <w:t>a stakeholder conference call</w:t>
      </w:r>
      <w:r>
        <w:t xml:space="preserve"> </w:t>
      </w:r>
      <w:r w:rsidR="00B9755C">
        <w:t xml:space="preserve">on </w:t>
      </w:r>
      <w:r w:rsidR="0063052A" w:rsidRPr="0063052A">
        <w:t xml:space="preserve">January </w:t>
      </w:r>
      <w:r w:rsidR="00B9755C">
        <w:t xml:space="preserve">10, </w:t>
      </w:r>
      <w:r w:rsidR="0063052A" w:rsidRPr="0063052A">
        <w:t>2014 to discuss the proposal</w:t>
      </w:r>
      <w:r>
        <w:t xml:space="preserve"> and answer stakeholder questions.  Stakeholders may submit comments by </w:t>
      </w:r>
      <w:r w:rsidR="00FE49E3">
        <w:t xml:space="preserve">January </w:t>
      </w:r>
      <w:r w:rsidR="006F4F54">
        <w:t>3</w:t>
      </w:r>
      <w:r w:rsidR="00017A20">
        <w:t>, 201</w:t>
      </w:r>
      <w:r w:rsidR="00FE49E3">
        <w:t>4</w:t>
      </w:r>
      <w:r w:rsidR="006F4F54">
        <w:t xml:space="preserve"> and further comments on January 17, 2014</w:t>
      </w:r>
      <w:r w:rsidR="00017A20">
        <w:t xml:space="preserve">.  Since this </w:t>
      </w:r>
      <w:r w:rsidR="006F4F54">
        <w:t xml:space="preserve">proposal </w:t>
      </w:r>
      <w:r w:rsidR="00017A20">
        <w:t>is not a change in policy, the ISO does not need to seek ISO board approval for this initiative.  The ISO plans to file the tariff changes at FERC by the end of January, and i</w:t>
      </w:r>
      <w:r w:rsidR="0063052A" w:rsidRPr="0063052A">
        <w:t>mplementation of the manual process is intended to begin on trading day April 1, 2014.</w:t>
      </w:r>
    </w:p>
    <w:p w14:paraId="7E588904" w14:textId="77777777" w:rsidR="0055608E" w:rsidRDefault="0055608E" w:rsidP="00EF6D32">
      <w:pPr>
        <w:pStyle w:val="Heading1"/>
        <w:numPr>
          <w:ilvl w:val="0"/>
          <w:numId w:val="4"/>
        </w:numPr>
        <w:spacing w:before="240" w:after="200"/>
        <w:rPr>
          <w:rFonts w:ascii="Arial" w:hAnsi="Arial" w:cs="Arial"/>
        </w:rPr>
      </w:pPr>
      <w:bookmarkStart w:id="1" w:name="_Ref354560245"/>
      <w:bookmarkStart w:id="2" w:name="_Ref354560251"/>
      <w:bookmarkStart w:id="3" w:name="_Ref354560259"/>
      <w:bookmarkStart w:id="4" w:name="_Toc375566485"/>
      <w:r w:rsidRPr="00111A75">
        <w:rPr>
          <w:rFonts w:ascii="Arial" w:hAnsi="Arial" w:cs="Arial"/>
        </w:rPr>
        <w:t>Background</w:t>
      </w:r>
      <w:bookmarkEnd w:id="1"/>
      <w:bookmarkEnd w:id="2"/>
      <w:bookmarkEnd w:id="3"/>
      <w:bookmarkEnd w:id="4"/>
    </w:p>
    <w:p w14:paraId="258D55AA" w14:textId="77777777" w:rsidR="002B25B4" w:rsidRDefault="009D3FFC" w:rsidP="007D10F8">
      <w:r>
        <w:t xml:space="preserve">The ISO implemented the </w:t>
      </w:r>
      <w:r w:rsidR="006F4F54">
        <w:t>s</w:t>
      </w:r>
      <w:r>
        <w:t xml:space="preserve">tandard </w:t>
      </w:r>
      <w:r w:rsidR="006F4F54">
        <w:t>c</w:t>
      </w:r>
      <w:r>
        <w:t xml:space="preserve">apacity </w:t>
      </w:r>
      <w:r w:rsidR="006F4F54">
        <w:t>p</w:t>
      </w:r>
      <w:r>
        <w:t xml:space="preserve">roduct </w:t>
      </w:r>
      <w:r w:rsidR="00C07BFD">
        <w:t xml:space="preserve">availability calculation in 2010.  The availability calculation was designed to </w:t>
      </w:r>
      <w:r w:rsidR="006F4F54">
        <w:t>charge</w:t>
      </w:r>
      <w:r w:rsidR="00C07BFD">
        <w:t xml:space="preserve"> RA resources available less than </w:t>
      </w:r>
      <w:r w:rsidR="006F4F54">
        <w:t xml:space="preserve">the </w:t>
      </w:r>
      <w:r w:rsidR="00C07BFD">
        <w:t xml:space="preserve">availability benchmark, </w:t>
      </w:r>
      <w:r w:rsidR="006F4F54">
        <w:t xml:space="preserve">and to pay </w:t>
      </w:r>
      <w:r w:rsidR="00BB12C8">
        <w:t xml:space="preserve">those funds to </w:t>
      </w:r>
      <w:r w:rsidR="00C07BFD">
        <w:t xml:space="preserve">RA resources </w:t>
      </w:r>
      <w:r w:rsidR="00BB12C8">
        <w:t xml:space="preserve">with availability </w:t>
      </w:r>
      <w:r w:rsidR="002F6506">
        <w:t>above the</w:t>
      </w:r>
      <w:r w:rsidR="00C07BFD">
        <w:t xml:space="preserve"> benchmark.  </w:t>
      </w:r>
      <w:r w:rsidR="00093183">
        <w:t xml:space="preserve">Tariff Section 40.9.4.2.2 affords </w:t>
      </w:r>
      <w:r w:rsidR="00C07BFD">
        <w:t xml:space="preserve">RA resources </w:t>
      </w:r>
      <w:r w:rsidR="00093183">
        <w:t xml:space="preserve">the opportunity </w:t>
      </w:r>
      <w:r w:rsidR="00C07BFD">
        <w:t xml:space="preserve">to avoid the potential </w:t>
      </w:r>
      <w:r w:rsidR="00093183">
        <w:t>non-availability charges</w:t>
      </w:r>
      <w:r w:rsidR="00C07BFD">
        <w:t xml:space="preserve"> when they experience </w:t>
      </w:r>
      <w:r w:rsidR="00C07BFD">
        <w:lastRenderedPageBreak/>
        <w:t xml:space="preserve">forced outages that would impact their availability calculation, </w:t>
      </w:r>
      <w:r w:rsidR="00093183">
        <w:t xml:space="preserve">by </w:t>
      </w:r>
      <w:r w:rsidR="00C07BFD">
        <w:t>provid</w:t>
      </w:r>
      <w:r w:rsidR="00093183">
        <w:t>ing</w:t>
      </w:r>
      <w:r w:rsidR="00C07BFD">
        <w:t xml:space="preserve"> substitute capacity under specific conditions.   The tariff and Business Process Manual allow s</w:t>
      </w:r>
      <w:r w:rsidR="00C07BFD" w:rsidRPr="00C07BFD">
        <w:t xml:space="preserve">cheduling coordinators </w:t>
      </w:r>
      <w:r w:rsidR="00C07BFD">
        <w:t>to</w:t>
      </w:r>
      <w:r w:rsidR="00C07BFD" w:rsidRPr="00C07BFD">
        <w:t xml:space="preserve"> use several resources to substitute for a single resource on outage, but because </w:t>
      </w:r>
      <w:r w:rsidR="00093183">
        <w:t>o</w:t>
      </w:r>
      <w:r w:rsidR="00FE49E3">
        <w:t>f limitation</w:t>
      </w:r>
      <w:r w:rsidR="00093183">
        <w:t>s</w:t>
      </w:r>
      <w:r w:rsidR="00FE49E3">
        <w:t xml:space="preserve"> in the </w:t>
      </w:r>
      <w:r w:rsidR="00C07BFD" w:rsidRPr="00C07BFD">
        <w:t>system</w:t>
      </w:r>
      <w:r w:rsidR="00FE49E3">
        <w:t>s</w:t>
      </w:r>
      <w:r w:rsidR="00C07BFD" w:rsidRPr="00C07BFD">
        <w:t xml:space="preserve"> </w:t>
      </w:r>
      <w:r w:rsidR="00C07BFD">
        <w:t xml:space="preserve">used by market participants to report outages and substitutions, </w:t>
      </w:r>
      <w:r w:rsidR="00C07BFD" w:rsidRPr="00C07BFD">
        <w:t xml:space="preserve">scheduling coordinators </w:t>
      </w:r>
      <w:r w:rsidR="00EB0570">
        <w:t xml:space="preserve">have not been able </w:t>
      </w:r>
      <w:r w:rsidR="00C07BFD" w:rsidRPr="00C07BFD">
        <w:t>to use a single resource to substitute for more than one RA resource on outage.</w:t>
      </w:r>
      <w:r w:rsidR="00480B23">
        <w:t xml:space="preserve">  Moreover, the ISO tariff does not contain the conditions under which this flexibility can be provided reliably.</w:t>
      </w:r>
      <w:r w:rsidR="00EB0570">
        <w:t xml:space="preserve">  </w:t>
      </w:r>
      <w:r w:rsidR="002B25B4">
        <w:t xml:space="preserve">Market participants have indicated </w:t>
      </w:r>
      <w:r w:rsidR="00EB0570">
        <w:t xml:space="preserve">to the ISO </w:t>
      </w:r>
      <w:r w:rsidR="002B25B4">
        <w:t>that the ability to use a single resource to substitute for multiple RA resources on outages would be useful.</w:t>
      </w:r>
    </w:p>
    <w:p w14:paraId="3A1C344C" w14:textId="77777777" w:rsidR="00C07BFD" w:rsidRPr="009D3FFC" w:rsidRDefault="00FE49E3" w:rsidP="007D10F8">
      <w:r>
        <w:t>T</w:t>
      </w:r>
      <w:r w:rsidR="002B25B4">
        <w:t xml:space="preserve">he purpose and intent of the RA program is to ensure that the ISO has available sufficient resources </w:t>
      </w:r>
      <w:r w:rsidR="00EB0570">
        <w:t xml:space="preserve">where and when needed </w:t>
      </w:r>
      <w:r w:rsidR="002B25B4">
        <w:t>to meet the operational and reliability needs of the grid.  RA resources have a must</w:t>
      </w:r>
      <w:r w:rsidR="00EB0570">
        <w:t xml:space="preserve"> </w:t>
      </w:r>
      <w:r w:rsidR="002B25B4">
        <w:t>offer obligation</w:t>
      </w:r>
      <w:r w:rsidR="00EB0570">
        <w:t>,</w:t>
      </w:r>
      <w:r w:rsidR="002B25B4">
        <w:t xml:space="preserve"> which ensures that there are sufficient resources in the day-ahead and real-time markets to reliably operate the grid.  </w:t>
      </w:r>
      <w:r w:rsidR="00B7459F">
        <w:t>The RA requirements include both system and local capacity requirements.    Because of the importance of</w:t>
      </w:r>
      <w:r w:rsidR="00EB0570">
        <w:t>, and need for,</w:t>
      </w:r>
      <w:r w:rsidR="00B7459F">
        <w:t xml:space="preserve"> RA</w:t>
      </w:r>
      <w:r w:rsidR="00EB0570">
        <w:t xml:space="preserve"> capacity</w:t>
      </w:r>
      <w:r w:rsidR="00B7459F">
        <w:t xml:space="preserve">, the tariff </w:t>
      </w:r>
      <w:r w:rsidR="002F6506">
        <w:t>allows for</w:t>
      </w:r>
      <w:r w:rsidR="00B7459F">
        <w:t xml:space="preserve"> the substitution of non-RA capacity for an RA resource on a forced outage</w:t>
      </w:r>
      <w:r>
        <w:t xml:space="preserve"> to mitigate the impact of the forced outage</w:t>
      </w:r>
      <w:r w:rsidR="00EB0570">
        <w:t xml:space="preserve">. </w:t>
      </w:r>
      <w:r w:rsidR="00792452">
        <w:t xml:space="preserve"> </w:t>
      </w:r>
      <w:r w:rsidR="0049342A">
        <w:t xml:space="preserve">The substitutions must be approved </w:t>
      </w:r>
      <w:r w:rsidR="00B7459F">
        <w:t xml:space="preserve">by the CAISO in its reasonable discretion.   </w:t>
      </w:r>
    </w:p>
    <w:p w14:paraId="670F23C5" w14:textId="77777777" w:rsidR="00017A20" w:rsidRDefault="00792452" w:rsidP="007D10F8">
      <w:r>
        <w:t xml:space="preserve">In addition to ensuring that the substitute resources meet the minimum conditions described in the tariff, the ISO must also ensure that the capacity being requested to be used for substitution has not already been </w:t>
      </w:r>
      <w:r w:rsidR="00EE60B2">
        <w:t>designated</w:t>
      </w:r>
      <w:r>
        <w:t xml:space="preserve"> as RA capacity, </w:t>
      </w:r>
      <w:r w:rsidR="00EE60B2">
        <w:t xml:space="preserve">RA </w:t>
      </w:r>
      <w:r>
        <w:t xml:space="preserve">substitute capacity , </w:t>
      </w:r>
      <w:r w:rsidR="00EE60B2">
        <w:t xml:space="preserve">regulatory must run capacity </w:t>
      </w:r>
      <w:r>
        <w:t xml:space="preserve">or </w:t>
      </w:r>
      <w:r w:rsidR="00EE60B2">
        <w:t>capacity procurement mechanism capacity</w:t>
      </w:r>
      <w:r>
        <w:t>.  The systems that the ISO has had in place to process RA information and outage requests has not been able to automate all of this process</w:t>
      </w:r>
      <w:r w:rsidR="0049342A">
        <w:t>.</w:t>
      </w:r>
    </w:p>
    <w:p w14:paraId="4ADC2671" w14:textId="77777777" w:rsidR="00BA2922" w:rsidRPr="00017A20" w:rsidRDefault="00BA2922" w:rsidP="007D10F8">
      <w:r>
        <w:t xml:space="preserve">In response to stakeholder requests, the ISO has begun work on the changes required to allow the automated processing of one-for-many substitution requests.  The ISO currently anticipates that this functionality can be implemented in </w:t>
      </w:r>
      <w:r w:rsidR="00EE60B2">
        <w:t>F</w:t>
      </w:r>
      <w:r w:rsidR="007D10F8">
        <w:t>all</w:t>
      </w:r>
      <w:r>
        <w:t xml:space="preserve"> 2014.  This will address the stakeholder concerns at that time, but stakeholders have indicated that they will potentially experience significant costs until the automated solution is available.  In this initiative</w:t>
      </w:r>
      <w:r w:rsidR="00FE49E3">
        <w:t>,</w:t>
      </w:r>
      <w:r>
        <w:t xml:space="preserve"> the ISO is proposing to institute an interim manual process to allow non-RA resources, under specific conditions, to substitute for </w:t>
      </w:r>
      <w:r w:rsidR="00EE60B2">
        <w:t xml:space="preserve">one or </w:t>
      </w:r>
      <w:r>
        <w:t>two RA resources on outages.  The ISO believes that with appropriate limits</w:t>
      </w:r>
      <w:r w:rsidR="00EE60B2">
        <w:t>,</w:t>
      </w:r>
      <w:r>
        <w:t xml:space="preserve"> </w:t>
      </w:r>
      <w:r w:rsidR="00EE60B2">
        <w:t xml:space="preserve">necessary </w:t>
      </w:r>
      <w:r>
        <w:t>because of the manual process</w:t>
      </w:r>
      <w:r w:rsidR="007D10F8">
        <w:t>,</w:t>
      </w:r>
      <w:r>
        <w:t xml:space="preserve"> it can offer </w:t>
      </w:r>
      <w:r w:rsidR="007D10F8">
        <w:t>market participants this improved functionality, and that this should significantly reduce the potential cost exposure about which market participants are concerned.</w:t>
      </w:r>
      <w:r>
        <w:t xml:space="preserve"> </w:t>
      </w:r>
    </w:p>
    <w:p w14:paraId="7ABB89C6" w14:textId="77777777" w:rsidR="0055608E" w:rsidRPr="00111A75" w:rsidRDefault="0055608E" w:rsidP="00EF6D32">
      <w:pPr>
        <w:pStyle w:val="Heading1"/>
        <w:numPr>
          <w:ilvl w:val="0"/>
          <w:numId w:val="4"/>
        </w:numPr>
        <w:spacing w:before="240" w:after="200"/>
        <w:rPr>
          <w:rFonts w:ascii="Arial" w:hAnsi="Arial" w:cs="Arial"/>
        </w:rPr>
      </w:pPr>
      <w:bookmarkStart w:id="5" w:name="_Ref354560382"/>
      <w:bookmarkStart w:id="6" w:name="_Ref354560391"/>
      <w:bookmarkStart w:id="7" w:name="_Toc375566486"/>
      <w:r w:rsidRPr="00111A75">
        <w:rPr>
          <w:rFonts w:ascii="Arial" w:hAnsi="Arial" w:cs="Arial"/>
        </w:rPr>
        <w:t xml:space="preserve">Scope of </w:t>
      </w:r>
      <w:r w:rsidR="00EE60B2">
        <w:rPr>
          <w:rFonts w:ascii="Arial" w:hAnsi="Arial" w:cs="Arial"/>
        </w:rPr>
        <w:t>I</w:t>
      </w:r>
      <w:r w:rsidRPr="00111A75">
        <w:rPr>
          <w:rFonts w:ascii="Arial" w:hAnsi="Arial" w:cs="Arial"/>
        </w:rPr>
        <w:t>nitiative</w:t>
      </w:r>
      <w:r w:rsidR="009C2B3A">
        <w:rPr>
          <w:rFonts w:ascii="Arial" w:hAnsi="Arial" w:cs="Arial"/>
        </w:rPr>
        <w:t xml:space="preserve"> and </w:t>
      </w:r>
      <w:r w:rsidR="00EE60B2">
        <w:rPr>
          <w:rFonts w:ascii="Arial" w:hAnsi="Arial" w:cs="Arial"/>
        </w:rPr>
        <w:t>P</w:t>
      </w:r>
      <w:r w:rsidR="009C2B3A">
        <w:rPr>
          <w:rFonts w:ascii="Arial" w:hAnsi="Arial" w:cs="Arial"/>
        </w:rPr>
        <w:t xml:space="preserve">lan for </w:t>
      </w:r>
      <w:r w:rsidR="00EE60B2">
        <w:rPr>
          <w:rFonts w:ascii="Arial" w:hAnsi="Arial" w:cs="Arial"/>
        </w:rPr>
        <w:t>S</w:t>
      </w:r>
      <w:r w:rsidR="009C2B3A">
        <w:rPr>
          <w:rFonts w:ascii="Arial" w:hAnsi="Arial" w:cs="Arial"/>
        </w:rPr>
        <w:t xml:space="preserve">takeholder </w:t>
      </w:r>
      <w:r w:rsidR="00EE60B2">
        <w:rPr>
          <w:rFonts w:ascii="Arial" w:hAnsi="Arial" w:cs="Arial"/>
        </w:rPr>
        <w:t>E</w:t>
      </w:r>
      <w:r w:rsidR="009C2B3A">
        <w:rPr>
          <w:rFonts w:ascii="Arial" w:hAnsi="Arial" w:cs="Arial"/>
        </w:rPr>
        <w:t>ngagement</w:t>
      </w:r>
      <w:bookmarkEnd w:id="5"/>
      <w:bookmarkEnd w:id="6"/>
      <w:bookmarkEnd w:id="7"/>
    </w:p>
    <w:p w14:paraId="07A17123" w14:textId="77777777" w:rsidR="009C2B3A" w:rsidRDefault="009C2B3A" w:rsidP="007D10F8">
      <w:r>
        <w:t xml:space="preserve">The proposed schedule for stakeholder engagement </w:t>
      </w:r>
      <w:r w:rsidR="009D3FFC">
        <w:t xml:space="preserve">and implementation </w:t>
      </w:r>
      <w:r>
        <w:t xml:space="preserve">is listed below.   </w:t>
      </w:r>
    </w:p>
    <w:tbl>
      <w:tblPr>
        <w:tblW w:w="0" w:type="auto"/>
        <w:jc w:val="center"/>
        <w:tblCellMar>
          <w:left w:w="0" w:type="dxa"/>
          <w:right w:w="0" w:type="dxa"/>
        </w:tblCellMar>
        <w:tblLook w:val="04A0" w:firstRow="1" w:lastRow="0" w:firstColumn="1" w:lastColumn="0" w:noHBand="0" w:noVBand="1"/>
      </w:tblPr>
      <w:tblGrid>
        <w:gridCol w:w="2291"/>
        <w:gridCol w:w="5580"/>
      </w:tblGrid>
      <w:tr w:rsidR="009C2B3A" w:rsidRPr="005C4F88" w14:paraId="62036B27" w14:textId="77777777" w:rsidTr="009D3FFC">
        <w:trPr>
          <w:jc w:val="center"/>
        </w:trPr>
        <w:tc>
          <w:tcPr>
            <w:tcW w:w="2291" w:type="dxa"/>
            <w:tcBorders>
              <w:top w:val="single" w:sz="8" w:space="0" w:color="B1BBCC"/>
              <w:left w:val="single" w:sz="8" w:space="0" w:color="B1BBCC"/>
              <w:bottom w:val="single" w:sz="8" w:space="0" w:color="B1BBCC"/>
              <w:right w:val="single" w:sz="8" w:space="0" w:color="B1BBCC"/>
            </w:tcBorders>
            <w:shd w:val="clear" w:color="auto" w:fill="BFBFBF"/>
            <w:tcMar>
              <w:top w:w="15" w:type="dxa"/>
              <w:left w:w="15" w:type="dxa"/>
              <w:bottom w:w="15" w:type="dxa"/>
              <w:right w:w="15" w:type="dxa"/>
            </w:tcMar>
            <w:vAlign w:val="center"/>
            <w:hideMark/>
          </w:tcPr>
          <w:p w14:paraId="577DF719" w14:textId="77777777" w:rsidR="009C2B3A" w:rsidRPr="005C4F88" w:rsidRDefault="009C2B3A" w:rsidP="009C2B3A">
            <w:pPr>
              <w:spacing w:after="40"/>
              <w:rPr>
                <w:rFonts w:ascii="Arial" w:hAnsi="Arial" w:cs="Arial"/>
                <w:b/>
                <w:bCs/>
                <w:color w:val="000000"/>
                <w:sz w:val="20"/>
                <w:szCs w:val="20"/>
              </w:rPr>
            </w:pPr>
            <w:r w:rsidRPr="005C4F88">
              <w:rPr>
                <w:rFonts w:ascii="Arial" w:hAnsi="Arial" w:cs="Arial"/>
                <w:b/>
                <w:bCs/>
                <w:color w:val="000000"/>
                <w:sz w:val="20"/>
                <w:szCs w:val="20"/>
              </w:rPr>
              <w:t>Date</w:t>
            </w:r>
          </w:p>
        </w:tc>
        <w:tc>
          <w:tcPr>
            <w:tcW w:w="5580" w:type="dxa"/>
            <w:tcBorders>
              <w:top w:val="single" w:sz="8" w:space="0" w:color="B1BBCC"/>
              <w:left w:val="nil"/>
              <w:bottom w:val="single" w:sz="8" w:space="0" w:color="B1BBCC"/>
              <w:right w:val="single" w:sz="8" w:space="0" w:color="B1BBCC"/>
            </w:tcBorders>
            <w:shd w:val="clear" w:color="auto" w:fill="BFBFBF"/>
            <w:tcMar>
              <w:top w:w="15" w:type="dxa"/>
              <w:left w:w="15" w:type="dxa"/>
              <w:bottom w:w="15" w:type="dxa"/>
              <w:right w:w="15" w:type="dxa"/>
            </w:tcMar>
            <w:vAlign w:val="center"/>
            <w:hideMark/>
          </w:tcPr>
          <w:p w14:paraId="167D5A71" w14:textId="77777777" w:rsidR="009C2B3A" w:rsidRPr="005C4F88" w:rsidRDefault="009C2B3A" w:rsidP="009C2B3A">
            <w:pPr>
              <w:spacing w:after="40"/>
              <w:rPr>
                <w:rFonts w:ascii="Arial" w:hAnsi="Arial" w:cs="Arial"/>
                <w:b/>
                <w:bCs/>
                <w:color w:val="000000"/>
                <w:sz w:val="20"/>
                <w:szCs w:val="20"/>
              </w:rPr>
            </w:pPr>
            <w:r w:rsidRPr="005C4F88">
              <w:rPr>
                <w:rFonts w:ascii="Arial" w:hAnsi="Arial" w:cs="Arial"/>
                <w:b/>
                <w:bCs/>
                <w:color w:val="000000"/>
                <w:sz w:val="20"/>
                <w:szCs w:val="20"/>
              </w:rPr>
              <w:t>Event</w:t>
            </w:r>
          </w:p>
        </w:tc>
      </w:tr>
      <w:tr w:rsidR="009C2B3A" w:rsidRPr="005C4F88" w14:paraId="3D92F779"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3832A9A9" w14:textId="77777777" w:rsidR="009C2B3A" w:rsidRPr="005C4F88" w:rsidRDefault="009D3FFC" w:rsidP="00EE60B2">
            <w:pPr>
              <w:spacing w:after="40"/>
              <w:rPr>
                <w:rFonts w:ascii="Arial" w:hAnsi="Arial" w:cs="Arial"/>
                <w:sz w:val="20"/>
                <w:szCs w:val="20"/>
              </w:rPr>
            </w:pPr>
            <w:r w:rsidRPr="005C4F88">
              <w:rPr>
                <w:rFonts w:ascii="Arial" w:hAnsi="Arial" w:cs="Arial"/>
                <w:sz w:val="20"/>
                <w:szCs w:val="20"/>
              </w:rPr>
              <w:t>December 2</w:t>
            </w:r>
            <w:r w:rsidR="00EE60B2" w:rsidRPr="005C4F88">
              <w:rPr>
                <w:rFonts w:ascii="Arial" w:hAnsi="Arial" w:cs="Arial"/>
                <w:sz w:val="20"/>
                <w:szCs w:val="20"/>
              </w:rPr>
              <w:t>3</w:t>
            </w:r>
            <w:r w:rsidRPr="005C4F88">
              <w:rPr>
                <w:rFonts w:ascii="Arial" w:hAnsi="Arial" w:cs="Arial"/>
                <w:sz w:val="20"/>
                <w:szCs w:val="20"/>
              </w:rPr>
              <w:t>, 2013</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0AA380DB" w14:textId="77777777" w:rsidR="009C2B3A" w:rsidRPr="005C4F88" w:rsidRDefault="00EE60B2" w:rsidP="00EE60B2">
            <w:pPr>
              <w:spacing w:after="40"/>
              <w:rPr>
                <w:rFonts w:ascii="Arial" w:hAnsi="Arial" w:cs="Arial"/>
                <w:sz w:val="20"/>
                <w:szCs w:val="20"/>
              </w:rPr>
            </w:pPr>
            <w:r w:rsidRPr="005C4F88">
              <w:rPr>
                <w:rFonts w:ascii="Arial" w:hAnsi="Arial" w:cs="Arial"/>
                <w:sz w:val="20"/>
                <w:szCs w:val="20"/>
              </w:rPr>
              <w:t xml:space="preserve">Draft </w:t>
            </w:r>
            <w:r w:rsidR="009D3FFC" w:rsidRPr="005C4F88">
              <w:rPr>
                <w:rFonts w:ascii="Arial" w:hAnsi="Arial" w:cs="Arial"/>
                <w:sz w:val="20"/>
                <w:szCs w:val="20"/>
              </w:rPr>
              <w:t>Proposal/Tariff Language</w:t>
            </w:r>
            <w:r w:rsidR="009C2B3A" w:rsidRPr="005C4F88">
              <w:rPr>
                <w:rFonts w:ascii="Arial" w:hAnsi="Arial" w:cs="Arial"/>
                <w:sz w:val="20"/>
                <w:szCs w:val="20"/>
              </w:rPr>
              <w:t xml:space="preserve"> Posted</w:t>
            </w:r>
          </w:p>
        </w:tc>
      </w:tr>
      <w:tr w:rsidR="00EE60B2" w:rsidRPr="005C4F88" w14:paraId="2371A814"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tcPr>
          <w:p w14:paraId="4A2CB359" w14:textId="77777777" w:rsidR="00EE60B2" w:rsidRPr="005C4F88" w:rsidRDefault="00EE60B2" w:rsidP="00EE60B2">
            <w:pPr>
              <w:spacing w:after="40"/>
              <w:rPr>
                <w:rFonts w:ascii="Arial" w:hAnsi="Arial" w:cs="Arial"/>
                <w:sz w:val="20"/>
                <w:szCs w:val="20"/>
              </w:rPr>
            </w:pPr>
            <w:r w:rsidRPr="005C4F88">
              <w:rPr>
                <w:rFonts w:ascii="Arial" w:hAnsi="Arial" w:cs="Arial"/>
                <w:sz w:val="20"/>
                <w:szCs w:val="20"/>
              </w:rPr>
              <w:t>January 3, 2014</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tcPr>
          <w:p w14:paraId="2FE947BB" w14:textId="77777777" w:rsidR="00EE60B2" w:rsidRPr="005C4F88" w:rsidRDefault="00EE60B2" w:rsidP="00EE60B2">
            <w:pPr>
              <w:spacing w:after="40"/>
              <w:rPr>
                <w:rFonts w:ascii="Arial" w:hAnsi="Arial" w:cs="Arial"/>
                <w:sz w:val="20"/>
                <w:szCs w:val="20"/>
              </w:rPr>
            </w:pPr>
            <w:r w:rsidRPr="005C4F88">
              <w:rPr>
                <w:rFonts w:ascii="Arial" w:hAnsi="Arial" w:cs="Arial"/>
                <w:sz w:val="20"/>
                <w:szCs w:val="20"/>
              </w:rPr>
              <w:t>Stakeholder Comments Due</w:t>
            </w:r>
          </w:p>
        </w:tc>
      </w:tr>
      <w:tr w:rsidR="009C2B3A" w:rsidRPr="005C4F88" w14:paraId="6746FA2A"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tcPr>
          <w:p w14:paraId="5A49C442" w14:textId="77777777" w:rsidR="009C2B3A" w:rsidRPr="005C4F88" w:rsidRDefault="009D3FFC" w:rsidP="00EE60B2">
            <w:pPr>
              <w:spacing w:after="40"/>
              <w:rPr>
                <w:rFonts w:ascii="Arial" w:hAnsi="Arial" w:cs="Arial"/>
                <w:sz w:val="20"/>
                <w:szCs w:val="20"/>
              </w:rPr>
            </w:pPr>
            <w:r w:rsidRPr="005C4F88">
              <w:rPr>
                <w:rFonts w:ascii="Arial" w:hAnsi="Arial" w:cs="Arial"/>
                <w:sz w:val="20"/>
                <w:szCs w:val="20"/>
              </w:rPr>
              <w:t>January  10, 2014</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5AFAEC45" w14:textId="77777777" w:rsidR="009C2B3A" w:rsidRPr="005C4F88" w:rsidRDefault="009C2B3A" w:rsidP="009C2B3A">
            <w:pPr>
              <w:spacing w:after="40"/>
              <w:rPr>
                <w:rFonts w:ascii="Arial" w:hAnsi="Arial" w:cs="Arial"/>
                <w:sz w:val="20"/>
                <w:szCs w:val="20"/>
              </w:rPr>
            </w:pPr>
            <w:r w:rsidRPr="005C4F88">
              <w:rPr>
                <w:rFonts w:ascii="Arial" w:hAnsi="Arial" w:cs="Arial"/>
                <w:sz w:val="20"/>
                <w:szCs w:val="20"/>
              </w:rPr>
              <w:t>Stakeholder Call  </w:t>
            </w:r>
          </w:p>
        </w:tc>
      </w:tr>
      <w:tr w:rsidR="009C2B3A" w:rsidRPr="005C4F88" w14:paraId="2EA09006"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28F81B10" w14:textId="77777777" w:rsidR="009C2B3A" w:rsidRPr="005C4F88" w:rsidRDefault="009D3FFC" w:rsidP="009C2B3A">
            <w:pPr>
              <w:spacing w:after="40"/>
              <w:rPr>
                <w:rFonts w:ascii="Arial" w:hAnsi="Arial" w:cs="Arial"/>
                <w:sz w:val="20"/>
                <w:szCs w:val="20"/>
              </w:rPr>
            </w:pPr>
            <w:r w:rsidRPr="005C4F88">
              <w:rPr>
                <w:rFonts w:ascii="Arial" w:hAnsi="Arial" w:cs="Arial"/>
                <w:sz w:val="20"/>
                <w:szCs w:val="20"/>
              </w:rPr>
              <w:t>January 17, 2014</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51330DAD" w14:textId="77777777" w:rsidR="009C2B3A" w:rsidRPr="005C4F88" w:rsidRDefault="009C2B3A" w:rsidP="009C2B3A">
            <w:pPr>
              <w:spacing w:after="40"/>
              <w:rPr>
                <w:rFonts w:ascii="Arial" w:hAnsi="Arial" w:cs="Arial"/>
                <w:sz w:val="20"/>
                <w:szCs w:val="20"/>
              </w:rPr>
            </w:pPr>
            <w:r w:rsidRPr="005C4F88">
              <w:rPr>
                <w:rFonts w:ascii="Arial" w:hAnsi="Arial" w:cs="Arial"/>
                <w:sz w:val="20"/>
                <w:szCs w:val="20"/>
              </w:rPr>
              <w:t>Stakeholder Comments Due</w:t>
            </w:r>
          </w:p>
        </w:tc>
      </w:tr>
      <w:tr w:rsidR="009C2B3A" w:rsidRPr="005C4F88" w14:paraId="701D863D"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60C1F86A" w14:textId="77777777" w:rsidR="009C2B3A" w:rsidRPr="005C4F88" w:rsidRDefault="009D3FFC" w:rsidP="00EF6D32">
            <w:pPr>
              <w:spacing w:after="40"/>
              <w:rPr>
                <w:rFonts w:ascii="Arial" w:hAnsi="Arial" w:cs="Arial"/>
                <w:color w:val="000000"/>
                <w:sz w:val="20"/>
                <w:szCs w:val="20"/>
              </w:rPr>
            </w:pPr>
            <w:r w:rsidRPr="005C4F88">
              <w:rPr>
                <w:rFonts w:ascii="Arial" w:hAnsi="Arial" w:cs="Arial"/>
                <w:color w:val="000000"/>
                <w:sz w:val="20"/>
                <w:szCs w:val="20"/>
              </w:rPr>
              <w:t xml:space="preserve">End of </w:t>
            </w:r>
            <w:r w:rsidR="00802FEA" w:rsidRPr="005C4F88">
              <w:rPr>
                <w:rFonts w:ascii="Arial" w:hAnsi="Arial" w:cs="Arial"/>
                <w:color w:val="000000"/>
                <w:sz w:val="20"/>
                <w:szCs w:val="20"/>
              </w:rPr>
              <w:t>January</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0C63EA3B" w14:textId="77777777" w:rsidR="009C2B3A" w:rsidRPr="005C4F88" w:rsidRDefault="009D3FFC" w:rsidP="009C2B3A">
            <w:pPr>
              <w:spacing w:after="40"/>
              <w:rPr>
                <w:rFonts w:ascii="Arial" w:hAnsi="Arial" w:cs="Arial"/>
                <w:color w:val="000000"/>
                <w:sz w:val="20"/>
                <w:szCs w:val="20"/>
              </w:rPr>
            </w:pPr>
            <w:r w:rsidRPr="005C4F88">
              <w:rPr>
                <w:rFonts w:ascii="Arial" w:hAnsi="Arial" w:cs="Arial"/>
                <w:color w:val="000000"/>
                <w:sz w:val="20"/>
                <w:szCs w:val="20"/>
              </w:rPr>
              <w:t>FERC Filing</w:t>
            </w:r>
            <w:r w:rsidR="009C2B3A" w:rsidRPr="005C4F88">
              <w:rPr>
                <w:rFonts w:ascii="Arial" w:hAnsi="Arial" w:cs="Arial"/>
                <w:color w:val="000000"/>
                <w:sz w:val="20"/>
                <w:szCs w:val="20"/>
              </w:rPr>
              <w:t xml:space="preserve"> </w:t>
            </w:r>
          </w:p>
        </w:tc>
      </w:tr>
      <w:tr w:rsidR="009C2B3A" w:rsidRPr="005C4F88" w14:paraId="075D01FB" w14:textId="77777777" w:rsidTr="009D3FFC">
        <w:trPr>
          <w:jc w:val="center"/>
        </w:trPr>
        <w:tc>
          <w:tcPr>
            <w:tcW w:w="2291" w:type="dxa"/>
            <w:tcBorders>
              <w:top w:val="nil"/>
              <w:left w:val="single" w:sz="8" w:space="0" w:color="B1BBCC"/>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37B3C3D4" w14:textId="77777777" w:rsidR="009C2B3A" w:rsidRPr="005C4F88" w:rsidRDefault="009D3FFC" w:rsidP="009C2B3A">
            <w:pPr>
              <w:spacing w:after="40"/>
              <w:rPr>
                <w:rFonts w:ascii="Arial" w:hAnsi="Arial" w:cs="Arial"/>
                <w:color w:val="000000"/>
                <w:sz w:val="20"/>
                <w:szCs w:val="20"/>
              </w:rPr>
            </w:pPr>
            <w:r w:rsidRPr="005C4F88">
              <w:rPr>
                <w:rFonts w:ascii="Arial" w:hAnsi="Arial" w:cs="Arial"/>
                <w:color w:val="000000"/>
                <w:sz w:val="20"/>
                <w:szCs w:val="20"/>
              </w:rPr>
              <w:lastRenderedPageBreak/>
              <w:t>April1, 2014 Trade Day</w:t>
            </w:r>
          </w:p>
        </w:tc>
        <w:tc>
          <w:tcPr>
            <w:tcW w:w="5580" w:type="dxa"/>
            <w:tcBorders>
              <w:top w:val="nil"/>
              <w:left w:val="nil"/>
              <w:bottom w:val="single" w:sz="8" w:space="0" w:color="B1BBCC"/>
              <w:right w:val="single" w:sz="8" w:space="0" w:color="B1BBCC"/>
            </w:tcBorders>
            <w:shd w:val="clear" w:color="auto" w:fill="FFFFFF"/>
            <w:tcMar>
              <w:top w:w="15" w:type="dxa"/>
              <w:left w:w="15" w:type="dxa"/>
              <w:bottom w:w="15" w:type="dxa"/>
              <w:right w:w="15" w:type="dxa"/>
            </w:tcMar>
            <w:vAlign w:val="center"/>
            <w:hideMark/>
          </w:tcPr>
          <w:p w14:paraId="066C64A0" w14:textId="77777777" w:rsidR="009C2B3A" w:rsidRPr="005C4F88" w:rsidRDefault="009D3FFC" w:rsidP="009C2B3A">
            <w:pPr>
              <w:spacing w:after="40"/>
              <w:rPr>
                <w:rFonts w:ascii="Arial" w:hAnsi="Arial" w:cs="Arial"/>
                <w:color w:val="000000"/>
                <w:sz w:val="20"/>
                <w:szCs w:val="20"/>
              </w:rPr>
            </w:pPr>
            <w:r w:rsidRPr="005C4F88">
              <w:rPr>
                <w:rFonts w:ascii="Arial" w:hAnsi="Arial" w:cs="Arial"/>
                <w:color w:val="000000"/>
                <w:sz w:val="20"/>
                <w:szCs w:val="20"/>
              </w:rPr>
              <w:t>Impleme</w:t>
            </w:r>
            <w:r w:rsidR="00EE60B2" w:rsidRPr="005C4F88">
              <w:rPr>
                <w:rFonts w:ascii="Arial" w:hAnsi="Arial" w:cs="Arial"/>
                <w:color w:val="000000"/>
                <w:sz w:val="20"/>
                <w:szCs w:val="20"/>
              </w:rPr>
              <w:t>n</w:t>
            </w:r>
            <w:r w:rsidRPr="005C4F88">
              <w:rPr>
                <w:rFonts w:ascii="Arial" w:hAnsi="Arial" w:cs="Arial"/>
                <w:color w:val="000000"/>
                <w:sz w:val="20"/>
                <w:szCs w:val="20"/>
              </w:rPr>
              <w:t>tation</w:t>
            </w:r>
            <w:r w:rsidR="009C2B3A" w:rsidRPr="005C4F88">
              <w:rPr>
                <w:rFonts w:ascii="Arial" w:hAnsi="Arial" w:cs="Arial"/>
                <w:color w:val="1F497D"/>
                <w:sz w:val="20"/>
                <w:szCs w:val="20"/>
              </w:rPr>
              <w:t xml:space="preserve"> </w:t>
            </w:r>
            <w:r w:rsidR="009C2B3A" w:rsidRPr="005C4F88">
              <w:rPr>
                <w:rFonts w:ascii="Arial" w:hAnsi="Arial" w:cs="Arial"/>
                <w:color w:val="FF0000"/>
                <w:sz w:val="20"/>
                <w:szCs w:val="20"/>
              </w:rPr>
              <w:t> </w:t>
            </w:r>
          </w:p>
        </w:tc>
      </w:tr>
    </w:tbl>
    <w:p w14:paraId="1621A1F9" w14:textId="77777777" w:rsidR="00C41574" w:rsidRDefault="00C41574" w:rsidP="00157CED">
      <w:pPr>
        <w:pStyle w:val="Heading1"/>
        <w:numPr>
          <w:ilvl w:val="0"/>
          <w:numId w:val="4"/>
        </w:numPr>
        <w:spacing w:after="200"/>
        <w:rPr>
          <w:rFonts w:ascii="Arial" w:hAnsi="Arial" w:cs="Arial"/>
        </w:rPr>
      </w:pPr>
      <w:bookmarkStart w:id="8" w:name="_Toc375566487"/>
      <w:r>
        <w:rPr>
          <w:rFonts w:ascii="Arial" w:hAnsi="Arial" w:cs="Arial"/>
        </w:rPr>
        <w:t>ISO’s Manual Process Proposal</w:t>
      </w:r>
      <w:bookmarkEnd w:id="8"/>
    </w:p>
    <w:p w14:paraId="234F923E" w14:textId="77777777" w:rsidR="00950172" w:rsidRDefault="007D10F8" w:rsidP="007D10F8">
      <w:r>
        <w:t>The ISO is responsible for the reliable operation of the electric grid.  The RA program contributes to the reliability of the grid by ensuring that sufficient resources are available to the ISO’s day-ahead and real-time markets, and through the local RA capacity requirements, that sufficient resources are available in constrained areas.</w:t>
      </w:r>
      <w:r w:rsidR="00950172">
        <w:t xml:space="preserve"> </w:t>
      </w:r>
    </w:p>
    <w:p w14:paraId="3EAA249F" w14:textId="77777777" w:rsidR="00E702A9" w:rsidRDefault="00950172" w:rsidP="007D10F8">
      <w:r>
        <w:t xml:space="preserve">The standard capacity product availability calculation is designed to provide an incentive for resources to make sure their capacity is available to ISO markets.  Providing substitute capacity for an RA resource on a forced outage allows market participants to avoid any potential penalties from the availability mechanism, while ensuring that the RA operational functionality available to the ISO is not compromised.  However, since forced outages </w:t>
      </w:r>
      <w:r w:rsidR="00EE60B2">
        <w:t>occur with no more than</w:t>
      </w:r>
      <w:r>
        <w:t xml:space="preserve"> three days</w:t>
      </w:r>
      <w:r w:rsidR="00EE60B2">
        <w:t xml:space="preserve"> of advance notice</w:t>
      </w:r>
      <w:r>
        <w:t xml:space="preserve">, the ISO does not </w:t>
      </w:r>
      <w:r w:rsidR="00FE49E3">
        <w:t xml:space="preserve">have </w:t>
      </w:r>
      <w:r w:rsidR="00480B23">
        <w:t xml:space="preserve">sufficient </w:t>
      </w:r>
      <w:r>
        <w:t xml:space="preserve">time to consider </w:t>
      </w:r>
      <w:r w:rsidR="002F6506">
        <w:t>how proposed</w:t>
      </w:r>
      <w:r w:rsidR="00563C39">
        <w:t xml:space="preserve"> </w:t>
      </w:r>
      <w:r>
        <w:t xml:space="preserve">substitute capacity meets the reliability needs of the ISO.  Often, it is the </w:t>
      </w:r>
      <w:r w:rsidR="00563C39">
        <w:t xml:space="preserve">ISO’s </w:t>
      </w:r>
      <w:r w:rsidR="00762F9C">
        <w:t xml:space="preserve">real time </w:t>
      </w:r>
      <w:r>
        <w:t xml:space="preserve">operators who must </w:t>
      </w:r>
      <w:r w:rsidR="00E702A9">
        <w:t xml:space="preserve">decide </w:t>
      </w:r>
      <w:r w:rsidR="00563C39">
        <w:t xml:space="preserve">whether </w:t>
      </w:r>
      <w:r w:rsidR="00E702A9">
        <w:t>to approve the substitution</w:t>
      </w:r>
      <w:r w:rsidR="00762F9C">
        <w:t>.</w:t>
      </w:r>
      <w:r w:rsidR="00E702A9">
        <w:t xml:space="preserve">  </w:t>
      </w:r>
    </w:p>
    <w:p w14:paraId="204BC846" w14:textId="77777777" w:rsidR="00E702A9" w:rsidRDefault="00563C39" w:rsidP="007D10F8">
      <w:r>
        <w:t>As an enhancement to the existing process</w:t>
      </w:r>
      <w:r w:rsidR="00E702A9">
        <w:t xml:space="preserve">, the ISO </w:t>
      </w:r>
      <w:r>
        <w:t>is developing</w:t>
      </w:r>
      <w:r w:rsidR="00E702A9">
        <w:t xml:space="preserve"> a manual process to allow market participants to use a single resource to substitute for more than one RA resource on outage.  In order to ensure that this manual process does not create potential reliability risks, the manual process must include specific rules and limitations.  These rules will allow the ISO to make sure that resources that are used as substitute capacity are not allowed to substitute more than their available non-RA capacity, and that this process does not impose burdens on the real time operators of the grid.</w:t>
      </w:r>
    </w:p>
    <w:p w14:paraId="164ED71C" w14:textId="77777777" w:rsidR="007D10F8" w:rsidRPr="007D10F8" w:rsidRDefault="00EF52F4" w:rsidP="007D10F8">
      <w:r>
        <w:t>The process that the ISO is proposing is:</w:t>
      </w:r>
      <w:r w:rsidR="00E702A9">
        <w:t xml:space="preserve"> </w:t>
      </w:r>
      <w:r w:rsidR="007D10F8">
        <w:t xml:space="preserve"> </w:t>
      </w:r>
    </w:p>
    <w:p w14:paraId="699F110E" w14:textId="77777777" w:rsidR="00227C9C" w:rsidRDefault="00227C9C" w:rsidP="00227C9C">
      <w:pPr>
        <w:pStyle w:val="ListParagraph"/>
        <w:numPr>
          <w:ilvl w:val="0"/>
          <w:numId w:val="23"/>
        </w:numPr>
      </w:pPr>
      <w:r>
        <w:t xml:space="preserve">The first substitution </w:t>
      </w:r>
      <w:r w:rsidR="00563C39">
        <w:t>by</w:t>
      </w:r>
      <w:r>
        <w:t xml:space="preserve"> a resource will continue to be handled through the existing automated systems.</w:t>
      </w:r>
      <w:r w:rsidR="00563C39">
        <w:t xml:space="preserve">  </w:t>
      </w:r>
    </w:p>
    <w:p w14:paraId="165E35A8" w14:textId="77777777" w:rsidR="00227C9C" w:rsidRDefault="00227C9C" w:rsidP="00227C9C">
      <w:r>
        <w:t>For situations where a substitute resource has not already been used to substitute for an RA resource the process would be exactly as it is today.  Market participants would use the existing systems to submit their requests, and these would be processed just as today.</w:t>
      </w:r>
    </w:p>
    <w:p w14:paraId="373D3344" w14:textId="77777777" w:rsidR="00227C9C" w:rsidRDefault="00227C9C" w:rsidP="00227C9C">
      <w:pPr>
        <w:pStyle w:val="ListParagraph"/>
        <w:numPr>
          <w:ilvl w:val="0"/>
          <w:numId w:val="23"/>
        </w:numPr>
      </w:pPr>
      <w:r>
        <w:t>The manual process will be limited to a second substitution from the same resource.</w:t>
      </w:r>
    </w:p>
    <w:p w14:paraId="41E48B40" w14:textId="77777777" w:rsidR="00227C9C" w:rsidRDefault="00227C9C" w:rsidP="00227C9C">
      <w:r>
        <w:t xml:space="preserve">The manual process </w:t>
      </w:r>
      <w:r w:rsidR="00FE49E3">
        <w:t>will ensure the resource</w:t>
      </w:r>
      <w:r>
        <w:t xml:space="preserve"> has non-RA capacity available and that this capacity has not already been used in a prior substitution.  In order to make this a manageable task, the ISO proposes that a substitute resource can substitute for to a maximum of two </w:t>
      </w:r>
      <w:r w:rsidR="00563C39">
        <w:t xml:space="preserve">RA resources on forced outage </w:t>
      </w:r>
      <w:r>
        <w:t xml:space="preserve">for this interim manual process. </w:t>
      </w:r>
    </w:p>
    <w:p w14:paraId="77BEDE07" w14:textId="77777777" w:rsidR="00227C9C" w:rsidRDefault="00227C9C" w:rsidP="00227C9C">
      <w:pPr>
        <w:pStyle w:val="ListParagraph"/>
        <w:numPr>
          <w:ilvl w:val="0"/>
          <w:numId w:val="23"/>
        </w:numPr>
      </w:pPr>
      <w:r>
        <w:t>The second substitution must be</w:t>
      </w:r>
      <w:r w:rsidR="00EA269E">
        <w:t xml:space="preserve"> pre-registered with</w:t>
      </w:r>
      <w:r>
        <w:t xml:space="preserve"> the ISO </w:t>
      </w:r>
    </w:p>
    <w:p w14:paraId="7058B331" w14:textId="77777777" w:rsidR="00227C9C" w:rsidRDefault="00227C9C" w:rsidP="00227C9C">
      <w:r>
        <w:lastRenderedPageBreak/>
        <w:t>In order to limit the amount of manual processing work that must be done when a second substitution request is received by the ISO, any potential second substitution must be pre-</w:t>
      </w:r>
      <w:r w:rsidR="00EA269E">
        <w:t>registered with</w:t>
      </w:r>
      <w:r>
        <w:t xml:space="preserve"> the ISO.  </w:t>
      </w:r>
      <w:r w:rsidR="00EA269E">
        <w:t xml:space="preserve">This pre-registration is in addition to </w:t>
      </w:r>
      <w:r w:rsidR="00563C39">
        <w:t>the</w:t>
      </w:r>
      <w:r w:rsidR="00EA269E">
        <w:t xml:space="preserve"> pre-qualification </w:t>
      </w:r>
      <w:r w:rsidR="00563C39">
        <w:t xml:space="preserve">requirement in the tariff </w:t>
      </w:r>
      <w:r w:rsidR="00EA269E">
        <w:t xml:space="preserve">for </w:t>
      </w:r>
      <w:r w:rsidR="00563C39">
        <w:t xml:space="preserve">the substitution of </w:t>
      </w:r>
      <w:r w:rsidR="00EA269E">
        <w:t xml:space="preserve">local </w:t>
      </w:r>
      <w:r w:rsidR="00563C39">
        <w:t xml:space="preserve">RA </w:t>
      </w:r>
      <w:r w:rsidR="00EA269E">
        <w:t xml:space="preserve">resources.  </w:t>
      </w:r>
      <w:r>
        <w:t xml:space="preserve">This will require that the scheduling coordinators for both </w:t>
      </w:r>
      <w:r w:rsidR="00FC7EFF">
        <w:t>the RA resource on a forced outage and its</w:t>
      </w:r>
      <w:r>
        <w:t xml:space="preserve"> substitute resource provide sufficient information for the ISO to determine that the substitution meets the requirements for substitution </w:t>
      </w:r>
      <w:r w:rsidR="00FC7EFF">
        <w:t xml:space="preserve">in the </w:t>
      </w:r>
      <w:r>
        <w:t xml:space="preserve">tariff.  The ISO will </w:t>
      </w:r>
      <w:r w:rsidR="00FE49E3">
        <w:t xml:space="preserve">issue a market notice </w:t>
      </w:r>
      <w:r w:rsidR="00FC7EFF">
        <w:t>to advise</w:t>
      </w:r>
      <w:r w:rsidR="00FE49E3">
        <w:t xml:space="preserve"> </w:t>
      </w:r>
      <w:r>
        <w:t xml:space="preserve">market participants </w:t>
      </w:r>
      <w:r w:rsidR="00FC7EFF">
        <w:t xml:space="preserve">of the timeline </w:t>
      </w:r>
      <w:r>
        <w:t>to submit their requests for pre-</w:t>
      </w:r>
      <w:r w:rsidR="00FC7EFF">
        <w:t>registration</w:t>
      </w:r>
      <w:r>
        <w:t>, and will provide an opportunity to update or request additional pre-</w:t>
      </w:r>
      <w:r w:rsidR="00FC7EFF">
        <w:t>registration</w:t>
      </w:r>
      <w:r>
        <w:t xml:space="preserve"> on a quarterly basis.</w:t>
      </w:r>
    </w:p>
    <w:p w14:paraId="15DF5A5C" w14:textId="77777777" w:rsidR="00227C9C" w:rsidRDefault="00227C9C" w:rsidP="00227C9C">
      <w:pPr>
        <w:pStyle w:val="ListParagraph"/>
        <w:numPr>
          <w:ilvl w:val="0"/>
          <w:numId w:val="23"/>
        </w:numPr>
      </w:pPr>
      <w:r>
        <w:t>Any second substitution would require additional time for the ISO to manually process.</w:t>
      </w:r>
    </w:p>
    <w:p w14:paraId="349A4321" w14:textId="77777777" w:rsidR="00227C9C" w:rsidRDefault="00227C9C" w:rsidP="00227C9C">
      <w:r w:rsidRPr="00FC7EFF">
        <w:t xml:space="preserve">Because of the manual nature of the approval process for second substitution requests, these requests will require additional time for the ISO to process.  Second substitution requests </w:t>
      </w:r>
      <w:r w:rsidR="00FC7EFF">
        <w:t>should</w:t>
      </w:r>
      <w:r w:rsidRPr="00FC7EFF">
        <w:t xml:space="preserve"> be requested by an email to the ISO.  The ISO will verify the</w:t>
      </w:r>
      <w:r w:rsidR="00FE49E3" w:rsidRPr="00FC7EFF">
        <w:t xml:space="preserve"> eligibility of the</w:t>
      </w:r>
      <w:r w:rsidRPr="00FC7EFF">
        <w:t xml:space="preserve"> </w:t>
      </w:r>
      <w:r w:rsidR="00FE49E3" w:rsidRPr="00FC7EFF">
        <w:t xml:space="preserve">substitution </w:t>
      </w:r>
      <w:r w:rsidR="00FC7EFF">
        <w:t xml:space="preserve">and reflect it in ISO systems </w:t>
      </w:r>
      <w:r w:rsidR="00FE49E3" w:rsidRPr="00FC7EFF">
        <w:t xml:space="preserve">within </w:t>
      </w:r>
      <w:r w:rsidR="00FC7EFF">
        <w:t>five business</w:t>
      </w:r>
      <w:r w:rsidRPr="00FC7EFF">
        <w:t xml:space="preserve"> days.  </w:t>
      </w:r>
      <w:r w:rsidR="00FC7EFF">
        <w:t xml:space="preserve">If the substitution period begins before verification is received, </w:t>
      </w:r>
      <w:r w:rsidR="002F6506" w:rsidRPr="00FC7EFF">
        <w:t>the substitute</w:t>
      </w:r>
      <w:r w:rsidR="00EF6D32">
        <w:t xml:space="preserve"> </w:t>
      </w:r>
      <w:r w:rsidRPr="00FC7EFF">
        <w:t xml:space="preserve">resource may begin bidding into the ISO markets before the response is received </w:t>
      </w:r>
      <w:r w:rsidR="006E4117">
        <w:t>so that its</w:t>
      </w:r>
      <w:r w:rsidRPr="00FC7EFF">
        <w:t xml:space="preserve"> availability </w:t>
      </w:r>
      <w:r w:rsidR="006E4117">
        <w:t xml:space="preserve">can be taken into account in </w:t>
      </w:r>
      <w:r w:rsidRPr="00FC7EFF">
        <w:t xml:space="preserve">the availability calculations </w:t>
      </w:r>
      <w:r w:rsidR="006E4117">
        <w:t>for the RA resource on outage</w:t>
      </w:r>
      <w:r w:rsidRPr="00FC7EFF">
        <w:t>, assuming the substitution is approved.</w:t>
      </w:r>
      <w:r>
        <w:t xml:space="preserve">  </w:t>
      </w:r>
    </w:p>
    <w:p w14:paraId="1D0E1C50" w14:textId="77777777" w:rsidR="006E4117" w:rsidRDefault="00384BB3" w:rsidP="00C41574">
      <w:r>
        <w:t xml:space="preserve">The ISO </w:t>
      </w:r>
      <w:r w:rsidR="006E4117">
        <w:t>will</w:t>
      </w:r>
      <w:r>
        <w:t xml:space="preserve"> </w:t>
      </w:r>
      <w:r w:rsidR="00075AAC">
        <w:t xml:space="preserve">include these conditions in the </w:t>
      </w:r>
      <w:r>
        <w:t xml:space="preserve">tariff to </w:t>
      </w:r>
      <w:r w:rsidR="006E4117">
        <w:t>establish</w:t>
      </w:r>
      <w:r w:rsidR="00075AAC">
        <w:t xml:space="preserve"> clear terms and conditions under which </w:t>
      </w:r>
      <w:r w:rsidR="00FE49E3">
        <w:t>o</w:t>
      </w:r>
      <w:r w:rsidR="00EA269E">
        <w:t>ne-for</w:t>
      </w:r>
      <w:r w:rsidR="00FE49E3">
        <w:t>-many substitutions</w:t>
      </w:r>
      <w:r w:rsidR="00075AAC">
        <w:t xml:space="preserve"> </w:t>
      </w:r>
      <w:r w:rsidR="006E4117">
        <w:t>will be</w:t>
      </w:r>
      <w:r w:rsidR="00075AAC">
        <w:t xml:space="preserve"> permitted</w:t>
      </w:r>
      <w:r>
        <w:t>.  Draft tariff language</w:t>
      </w:r>
      <w:r w:rsidR="006E4117">
        <w:t xml:space="preserve"> </w:t>
      </w:r>
      <w:r w:rsidR="00EA269E">
        <w:t>is posted</w:t>
      </w:r>
      <w:r w:rsidR="006E4117">
        <w:t xml:space="preserve"> in </w:t>
      </w:r>
      <w:r w:rsidR="002F6506">
        <w:t>conjunction</w:t>
      </w:r>
      <w:r w:rsidR="006E4117">
        <w:t xml:space="preserve"> with this proposal</w:t>
      </w:r>
      <w:r>
        <w:t xml:space="preserve">.  </w:t>
      </w:r>
    </w:p>
    <w:p w14:paraId="4160DBF0" w14:textId="77777777" w:rsidR="00C41574" w:rsidRDefault="00384BB3" w:rsidP="00C41574">
      <w:r>
        <w:t xml:space="preserve">Further details </w:t>
      </w:r>
      <w:r w:rsidR="006E4117">
        <w:t>about</w:t>
      </w:r>
      <w:r>
        <w:t xml:space="preserve"> the</w:t>
      </w:r>
      <w:r w:rsidR="006E4117">
        <w:t xml:space="preserve"> approval process for</w:t>
      </w:r>
      <w:r>
        <w:t xml:space="preserve"> second </w:t>
      </w:r>
      <w:r w:rsidR="00FE49E3">
        <w:t xml:space="preserve">substitution </w:t>
      </w:r>
      <w:r w:rsidR="002F6506">
        <w:t>requests will</w:t>
      </w:r>
      <w:r w:rsidR="00D17086">
        <w:t xml:space="preserve"> be developed and </w:t>
      </w:r>
      <w:r>
        <w:t>provided in an update</w:t>
      </w:r>
      <w:r w:rsidR="00D17086">
        <w:t xml:space="preserve"> to the</w:t>
      </w:r>
      <w:r>
        <w:t xml:space="preserve"> business </w:t>
      </w:r>
      <w:r w:rsidR="00D17086">
        <w:t>practice</w:t>
      </w:r>
      <w:r>
        <w:t xml:space="preserve"> manual.</w:t>
      </w:r>
    </w:p>
    <w:p w14:paraId="3BE26CD7" w14:textId="77777777" w:rsidR="0055608E" w:rsidRPr="00312556" w:rsidRDefault="0055608E" w:rsidP="001A4974">
      <w:pPr>
        <w:pStyle w:val="Heading1"/>
        <w:numPr>
          <w:ilvl w:val="0"/>
          <w:numId w:val="4"/>
        </w:numPr>
        <w:spacing w:after="200"/>
        <w:rPr>
          <w:rFonts w:ascii="Arial" w:hAnsi="Arial" w:cs="Arial"/>
        </w:rPr>
      </w:pPr>
      <w:bookmarkStart w:id="9" w:name="_Ref354560869"/>
      <w:bookmarkStart w:id="10" w:name="_Ref354560896"/>
      <w:bookmarkStart w:id="11" w:name="_Ref354560906"/>
      <w:bookmarkStart w:id="12" w:name="_Toc375566488"/>
      <w:r w:rsidRPr="00312556">
        <w:rPr>
          <w:rFonts w:ascii="Arial" w:hAnsi="Arial" w:cs="Arial"/>
        </w:rPr>
        <w:t>Next Steps</w:t>
      </w:r>
      <w:bookmarkEnd w:id="9"/>
      <w:bookmarkEnd w:id="10"/>
      <w:bookmarkEnd w:id="11"/>
      <w:bookmarkEnd w:id="12"/>
    </w:p>
    <w:p w14:paraId="78764819" w14:textId="77777777" w:rsidR="0055608E" w:rsidRPr="00111A75" w:rsidRDefault="0055608E" w:rsidP="007D10F8">
      <w:r w:rsidRPr="00111A75">
        <w:t>The ISO will discuss th</w:t>
      </w:r>
      <w:r w:rsidR="002A53FD">
        <w:t xml:space="preserve">is </w:t>
      </w:r>
      <w:r w:rsidR="002A53FD" w:rsidRPr="009D3FFC">
        <w:t>proposal</w:t>
      </w:r>
      <w:r w:rsidR="009D3FFC">
        <w:t>/tariff language</w:t>
      </w:r>
      <w:r w:rsidR="002A53FD">
        <w:t xml:space="preserve"> </w:t>
      </w:r>
      <w:r w:rsidRPr="00111A75">
        <w:t xml:space="preserve">with stakeholders during a </w:t>
      </w:r>
      <w:r w:rsidR="00EF6D32">
        <w:t>conference call</w:t>
      </w:r>
      <w:r w:rsidRPr="00111A75">
        <w:t xml:space="preserve"> to be held on </w:t>
      </w:r>
      <w:r w:rsidR="009D3FFC">
        <w:t>January 10, 2014</w:t>
      </w:r>
      <w:r w:rsidRPr="00650E7A">
        <w:t>.</w:t>
      </w:r>
      <w:r w:rsidRPr="00111A75">
        <w:t xml:space="preserve"> Stakeholders should submit written comments </w:t>
      </w:r>
      <w:r w:rsidRPr="00650E7A">
        <w:t xml:space="preserve">by </w:t>
      </w:r>
      <w:r w:rsidR="009D3FFC" w:rsidRPr="009D3FFC">
        <w:t xml:space="preserve">January </w:t>
      </w:r>
      <w:r w:rsidR="00EF6D32">
        <w:t>6</w:t>
      </w:r>
      <w:r w:rsidR="009D3FFC" w:rsidRPr="009D3FFC">
        <w:t xml:space="preserve">, 2014 </w:t>
      </w:r>
      <w:r w:rsidR="006E4117">
        <w:t xml:space="preserve">and submit them </w:t>
      </w:r>
      <w:r w:rsidR="002F6506" w:rsidRPr="009D3FFC">
        <w:t>t</w:t>
      </w:r>
      <w:r w:rsidR="002F6506">
        <w:t xml:space="preserve">o </w:t>
      </w:r>
      <w:hyperlink r:id="rId14" w:history="1">
        <w:r w:rsidR="006E4117">
          <w:rPr>
            <w:rStyle w:val="Hyperlink"/>
            <w:rFonts w:ascii="Arial" w:hAnsi="Arial" w:cs="Arial"/>
            <w:sz w:val="20"/>
            <w:szCs w:val="20"/>
          </w:rPr>
          <w:t>One-for-Many@caiso.com</w:t>
        </w:r>
      </w:hyperlink>
      <w:r w:rsidR="006E4117">
        <w:rPr>
          <w:rFonts w:ascii="Arial" w:hAnsi="Arial" w:cs="Arial"/>
          <w:sz w:val="20"/>
          <w:szCs w:val="20"/>
        </w:rPr>
        <w:t>.</w:t>
      </w:r>
      <w:r w:rsidR="004D43C6">
        <w:rPr>
          <w:rFonts w:ascii="Arial" w:hAnsi="Arial" w:cs="Arial"/>
          <w:sz w:val="20"/>
          <w:szCs w:val="20"/>
        </w:rPr>
        <w:t xml:space="preserve">  Additional comments, after the stakeholder meeting, will also be accepted by January 17, 2014.</w:t>
      </w:r>
    </w:p>
    <w:p w14:paraId="6CB8D8AC" w14:textId="77777777" w:rsidR="0055608E" w:rsidRPr="00111A75" w:rsidRDefault="0055608E" w:rsidP="0055608E">
      <w:pPr>
        <w:rPr>
          <w:rFonts w:ascii="Arial" w:hAnsi="Arial" w:cs="Arial"/>
        </w:rPr>
      </w:pPr>
    </w:p>
    <w:p w14:paraId="0A5D266A" w14:textId="77777777" w:rsidR="0055608E" w:rsidRPr="00111A75" w:rsidRDefault="0055608E" w:rsidP="0055608E">
      <w:pPr>
        <w:tabs>
          <w:tab w:val="left" w:pos="2294"/>
        </w:tabs>
        <w:rPr>
          <w:rFonts w:ascii="Arial" w:hAnsi="Arial" w:cs="Arial"/>
        </w:rPr>
      </w:pPr>
    </w:p>
    <w:sectPr w:rsidR="0055608E" w:rsidRPr="00111A75" w:rsidSect="001210B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15EE9" w14:textId="77777777" w:rsidR="0016522A" w:rsidRDefault="0016522A" w:rsidP="0055608E">
      <w:pPr>
        <w:spacing w:after="0" w:line="240" w:lineRule="auto"/>
      </w:pPr>
      <w:r>
        <w:separator/>
      </w:r>
    </w:p>
  </w:endnote>
  <w:endnote w:type="continuationSeparator" w:id="0">
    <w:p w14:paraId="29D70321" w14:textId="77777777" w:rsidR="0016522A" w:rsidRDefault="0016522A" w:rsidP="0055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3FB0" w14:textId="77777777" w:rsidR="00FC7EFF" w:rsidRDefault="00FC7EFF">
    <w:pPr>
      <w:pStyle w:val="Footer"/>
      <w:jc w:val="center"/>
    </w:pPr>
  </w:p>
  <w:p w14:paraId="3E182E03" w14:textId="77777777" w:rsidR="00FC7EFF" w:rsidRDefault="00FC7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5D09" w14:textId="77777777" w:rsidR="00FC7EFF" w:rsidRPr="0055608E" w:rsidRDefault="00FC7EFF" w:rsidP="0055608E">
    <w:pPr>
      <w:pStyle w:val="Footer"/>
      <w:rPr>
        <w:rFonts w:ascii="Arial" w:hAnsi="Arial" w:cs="Arial"/>
      </w:rPr>
    </w:pPr>
    <w:r>
      <w:rPr>
        <w:rFonts w:ascii="Arial" w:hAnsi="Arial" w:cs="Arial"/>
      </w:rPr>
      <w:t>CAISO</w:t>
    </w:r>
    <w:r w:rsidRPr="0055608E">
      <w:rPr>
        <w:rFonts w:ascii="Arial" w:hAnsi="Arial" w:cs="Arial"/>
      </w:rPr>
      <w:tab/>
    </w:r>
    <w:r w:rsidR="00A1210F" w:rsidRPr="0055608E">
      <w:rPr>
        <w:rFonts w:ascii="Arial" w:hAnsi="Arial" w:cs="Arial"/>
      </w:rPr>
      <w:fldChar w:fldCharType="begin"/>
    </w:r>
    <w:r w:rsidRPr="0055608E">
      <w:rPr>
        <w:rFonts w:ascii="Arial" w:hAnsi="Arial" w:cs="Arial"/>
      </w:rPr>
      <w:instrText xml:space="preserve"> PAGE   \* MERGEFORMAT </w:instrText>
    </w:r>
    <w:r w:rsidR="00A1210F" w:rsidRPr="0055608E">
      <w:rPr>
        <w:rFonts w:ascii="Arial" w:hAnsi="Arial" w:cs="Arial"/>
      </w:rPr>
      <w:fldChar w:fldCharType="separate"/>
    </w:r>
    <w:r w:rsidR="005C4F88">
      <w:rPr>
        <w:rFonts w:ascii="Arial" w:hAnsi="Arial" w:cs="Arial"/>
        <w:noProof/>
      </w:rPr>
      <w:t>6</w:t>
    </w:r>
    <w:r w:rsidR="00A1210F" w:rsidRPr="0055608E">
      <w:rPr>
        <w:rFonts w:ascii="Arial" w:hAnsi="Arial" w:cs="Arial"/>
        <w:noProof/>
      </w:rPr>
      <w:fldChar w:fldCharType="end"/>
    </w:r>
    <w:r>
      <w:rPr>
        <w:rFonts w:ascii="Arial" w:hAnsi="Arial" w:cs="Arial"/>
        <w:noProof/>
      </w:rPr>
      <w:tab/>
      <w:t>December 23, 2013</w:t>
    </w:r>
  </w:p>
  <w:p w14:paraId="30F2D9B8" w14:textId="77777777" w:rsidR="00FC7EFF" w:rsidRDefault="00FC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091B" w14:textId="77777777" w:rsidR="0016522A" w:rsidRDefault="0016522A" w:rsidP="0055608E">
      <w:pPr>
        <w:spacing w:after="0" w:line="240" w:lineRule="auto"/>
      </w:pPr>
      <w:r>
        <w:separator/>
      </w:r>
    </w:p>
  </w:footnote>
  <w:footnote w:type="continuationSeparator" w:id="0">
    <w:p w14:paraId="33B6A230" w14:textId="77777777" w:rsidR="0016522A" w:rsidRDefault="0016522A" w:rsidP="0055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32F9" w14:textId="77777777" w:rsidR="00FC7EFF" w:rsidRPr="0055608E" w:rsidRDefault="00FC7EFF" w:rsidP="00D269FC">
    <w:pPr>
      <w:pStyle w:val="Header"/>
      <w:rPr>
        <w:rFonts w:ascii="Arial" w:hAnsi="Arial" w:cs="Arial"/>
        <w:b/>
        <w:i/>
      </w:rPr>
    </w:pPr>
    <w:r w:rsidRPr="0055608E">
      <w:rPr>
        <w:rFonts w:ascii="Arial" w:hAnsi="Arial" w:cs="Arial"/>
        <w:b/>
        <w:i/>
      </w:rPr>
      <w:t>California ISO</w:t>
    </w:r>
    <w:r>
      <w:rPr>
        <w:rFonts w:ascii="Arial" w:hAnsi="Arial" w:cs="Arial"/>
        <w:b/>
        <w:i/>
      </w:rPr>
      <w:tab/>
    </w:r>
    <w:r>
      <w:rPr>
        <w:rFonts w:ascii="Arial" w:hAnsi="Arial" w:cs="Arial"/>
        <w:b/>
        <w:i/>
      </w:rPr>
      <w:tab/>
      <w:t xml:space="preserve">Draft </w:t>
    </w:r>
    <w:r w:rsidR="00EF6D32">
      <w:rPr>
        <w:rFonts w:ascii="Arial" w:hAnsi="Arial" w:cs="Arial"/>
        <w:b/>
        <w:i/>
      </w:rPr>
      <w:t xml:space="preserve">Final </w:t>
    </w:r>
    <w:r>
      <w:rPr>
        <w:rFonts w:ascii="Arial" w:hAnsi="Arial" w:cs="Arial"/>
        <w:b/>
        <w:i/>
      </w:rPr>
      <w:t>Proposal RA One-For-Many Substitution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137"/>
    <w:multiLevelType w:val="hybridMultilevel"/>
    <w:tmpl w:val="007A8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0349A"/>
    <w:multiLevelType w:val="hybridMultilevel"/>
    <w:tmpl w:val="717AC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55F6"/>
    <w:multiLevelType w:val="hybridMultilevel"/>
    <w:tmpl w:val="EE16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57BA9"/>
    <w:multiLevelType w:val="hybridMultilevel"/>
    <w:tmpl w:val="A60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D375B"/>
    <w:multiLevelType w:val="hybridMultilevel"/>
    <w:tmpl w:val="AF5030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C63676"/>
    <w:multiLevelType w:val="hybridMultilevel"/>
    <w:tmpl w:val="1DF4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0B23"/>
    <w:multiLevelType w:val="hybridMultilevel"/>
    <w:tmpl w:val="3550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66CC7"/>
    <w:multiLevelType w:val="hybridMultilevel"/>
    <w:tmpl w:val="0DE0A21A"/>
    <w:lvl w:ilvl="0" w:tplc="15B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B39F7"/>
    <w:multiLevelType w:val="hybridMultilevel"/>
    <w:tmpl w:val="2E70ED4E"/>
    <w:lvl w:ilvl="0" w:tplc="15B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429EC"/>
    <w:multiLevelType w:val="hybridMultilevel"/>
    <w:tmpl w:val="CD68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F3F33"/>
    <w:multiLevelType w:val="hybridMultilevel"/>
    <w:tmpl w:val="1D96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E784B"/>
    <w:multiLevelType w:val="hybridMultilevel"/>
    <w:tmpl w:val="47444AF8"/>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2" w15:restartNumberingAfterBreak="0">
    <w:nsid w:val="53F3528E"/>
    <w:multiLevelType w:val="hybridMultilevel"/>
    <w:tmpl w:val="A60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02B1B"/>
    <w:multiLevelType w:val="hybridMultilevel"/>
    <w:tmpl w:val="E16A48AE"/>
    <w:lvl w:ilvl="0" w:tplc="15B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822DF"/>
    <w:multiLevelType w:val="hybridMultilevel"/>
    <w:tmpl w:val="EB2CB630"/>
    <w:lvl w:ilvl="0" w:tplc="15B2B3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D6A8F"/>
    <w:multiLevelType w:val="hybridMultilevel"/>
    <w:tmpl w:val="A60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240BA"/>
    <w:multiLevelType w:val="hybridMultilevel"/>
    <w:tmpl w:val="D2603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D16E7"/>
    <w:multiLevelType w:val="hybridMultilevel"/>
    <w:tmpl w:val="2E70ED4E"/>
    <w:lvl w:ilvl="0" w:tplc="15B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B7D6E"/>
    <w:multiLevelType w:val="hybridMultilevel"/>
    <w:tmpl w:val="BED21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B7C73"/>
    <w:multiLevelType w:val="hybridMultilevel"/>
    <w:tmpl w:val="F704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212148"/>
    <w:multiLevelType w:val="hybridMultilevel"/>
    <w:tmpl w:val="FD8ED9FC"/>
    <w:lvl w:ilvl="0" w:tplc="407C4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772CC"/>
    <w:multiLevelType w:val="hybridMultilevel"/>
    <w:tmpl w:val="91001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D73D1"/>
    <w:multiLevelType w:val="hybridMultilevel"/>
    <w:tmpl w:val="C01A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501121">
    <w:abstractNumId w:val="9"/>
  </w:num>
  <w:num w:numId="2" w16cid:durableId="904216831">
    <w:abstractNumId w:val="15"/>
  </w:num>
  <w:num w:numId="3" w16cid:durableId="824317702">
    <w:abstractNumId w:val="20"/>
  </w:num>
  <w:num w:numId="4" w16cid:durableId="2002810961">
    <w:abstractNumId w:val="14"/>
  </w:num>
  <w:num w:numId="5" w16cid:durableId="2058509837">
    <w:abstractNumId w:val="3"/>
  </w:num>
  <w:num w:numId="6" w16cid:durableId="1422096184">
    <w:abstractNumId w:val="12"/>
  </w:num>
  <w:num w:numId="7" w16cid:durableId="69693027">
    <w:abstractNumId w:val="18"/>
  </w:num>
  <w:num w:numId="8" w16cid:durableId="576402574">
    <w:abstractNumId w:val="2"/>
  </w:num>
  <w:num w:numId="9" w16cid:durableId="2062703022">
    <w:abstractNumId w:val="17"/>
  </w:num>
  <w:num w:numId="10" w16cid:durableId="764347633">
    <w:abstractNumId w:val="10"/>
  </w:num>
  <w:num w:numId="11" w16cid:durableId="1207446550">
    <w:abstractNumId w:val="8"/>
  </w:num>
  <w:num w:numId="12" w16cid:durableId="2004315992">
    <w:abstractNumId w:val="7"/>
  </w:num>
  <w:num w:numId="13" w16cid:durableId="1338314093">
    <w:abstractNumId w:val="13"/>
  </w:num>
  <w:num w:numId="14" w16cid:durableId="1172331923">
    <w:abstractNumId w:val="16"/>
  </w:num>
  <w:num w:numId="15" w16cid:durableId="459228140">
    <w:abstractNumId w:val="4"/>
  </w:num>
  <w:num w:numId="16" w16cid:durableId="80686348">
    <w:abstractNumId w:val="0"/>
  </w:num>
  <w:num w:numId="17" w16cid:durableId="1377775274">
    <w:abstractNumId w:val="5"/>
  </w:num>
  <w:num w:numId="18" w16cid:durableId="1698844445">
    <w:abstractNumId w:val="19"/>
  </w:num>
  <w:num w:numId="19" w16cid:durableId="1049500423">
    <w:abstractNumId w:val="1"/>
  </w:num>
  <w:num w:numId="20" w16cid:durableId="172647112">
    <w:abstractNumId w:val="22"/>
  </w:num>
  <w:num w:numId="21" w16cid:durableId="1475636039">
    <w:abstractNumId w:val="21"/>
  </w:num>
  <w:num w:numId="22" w16cid:durableId="1596210374">
    <w:abstractNumId w:val="11"/>
  </w:num>
  <w:num w:numId="23" w16cid:durableId="12240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E"/>
    <w:rsid w:val="00003133"/>
    <w:rsid w:val="000109A0"/>
    <w:rsid w:val="00017A20"/>
    <w:rsid w:val="00021542"/>
    <w:rsid w:val="000263BB"/>
    <w:rsid w:val="000358E2"/>
    <w:rsid w:val="00041574"/>
    <w:rsid w:val="00075AAC"/>
    <w:rsid w:val="0008139E"/>
    <w:rsid w:val="00085722"/>
    <w:rsid w:val="0008695D"/>
    <w:rsid w:val="00087E67"/>
    <w:rsid w:val="00093183"/>
    <w:rsid w:val="00094909"/>
    <w:rsid w:val="00095AAB"/>
    <w:rsid w:val="00096D49"/>
    <w:rsid w:val="000A1C68"/>
    <w:rsid w:val="000B3D77"/>
    <w:rsid w:val="000B4324"/>
    <w:rsid w:val="000C1F3D"/>
    <w:rsid w:val="000C60C1"/>
    <w:rsid w:val="000C7D78"/>
    <w:rsid w:val="000D0B99"/>
    <w:rsid w:val="000E244A"/>
    <w:rsid w:val="000E7FDE"/>
    <w:rsid w:val="000F036E"/>
    <w:rsid w:val="00105EA5"/>
    <w:rsid w:val="00111A75"/>
    <w:rsid w:val="0011405C"/>
    <w:rsid w:val="001177E2"/>
    <w:rsid w:val="001210B1"/>
    <w:rsid w:val="00157CED"/>
    <w:rsid w:val="00160996"/>
    <w:rsid w:val="0016522A"/>
    <w:rsid w:val="00167C3E"/>
    <w:rsid w:val="001863E4"/>
    <w:rsid w:val="001A4974"/>
    <w:rsid w:val="001C0EDF"/>
    <w:rsid w:val="001C34FD"/>
    <w:rsid w:val="001D28F3"/>
    <w:rsid w:val="001E5480"/>
    <w:rsid w:val="001F3858"/>
    <w:rsid w:val="00201B68"/>
    <w:rsid w:val="002203F9"/>
    <w:rsid w:val="00227C9C"/>
    <w:rsid w:val="00242C54"/>
    <w:rsid w:val="0025138C"/>
    <w:rsid w:val="00251D18"/>
    <w:rsid w:val="00253AB4"/>
    <w:rsid w:val="00261D08"/>
    <w:rsid w:val="0026464C"/>
    <w:rsid w:val="00280970"/>
    <w:rsid w:val="00281433"/>
    <w:rsid w:val="0028494F"/>
    <w:rsid w:val="002867E5"/>
    <w:rsid w:val="00287C9C"/>
    <w:rsid w:val="002A2067"/>
    <w:rsid w:val="002A3EFD"/>
    <w:rsid w:val="002A53FD"/>
    <w:rsid w:val="002B25B4"/>
    <w:rsid w:val="002C31ED"/>
    <w:rsid w:val="002C3776"/>
    <w:rsid w:val="002D7CDF"/>
    <w:rsid w:val="002E0700"/>
    <w:rsid w:val="002F6506"/>
    <w:rsid w:val="00303E57"/>
    <w:rsid w:val="00304574"/>
    <w:rsid w:val="00312556"/>
    <w:rsid w:val="00315AED"/>
    <w:rsid w:val="0031692F"/>
    <w:rsid w:val="00342597"/>
    <w:rsid w:val="003429DB"/>
    <w:rsid w:val="0035737B"/>
    <w:rsid w:val="00376551"/>
    <w:rsid w:val="00384BB3"/>
    <w:rsid w:val="003A7ACA"/>
    <w:rsid w:val="003A7FE6"/>
    <w:rsid w:val="003C2534"/>
    <w:rsid w:val="003F0FBE"/>
    <w:rsid w:val="00412A04"/>
    <w:rsid w:val="00417844"/>
    <w:rsid w:val="00423916"/>
    <w:rsid w:val="00434316"/>
    <w:rsid w:val="00436D08"/>
    <w:rsid w:val="0044232F"/>
    <w:rsid w:val="0045463B"/>
    <w:rsid w:val="00455E37"/>
    <w:rsid w:val="00463947"/>
    <w:rsid w:val="00480B23"/>
    <w:rsid w:val="00490919"/>
    <w:rsid w:val="0049198A"/>
    <w:rsid w:val="0049342A"/>
    <w:rsid w:val="004C235B"/>
    <w:rsid w:val="004C6F0E"/>
    <w:rsid w:val="004D43C6"/>
    <w:rsid w:val="004D651A"/>
    <w:rsid w:val="004E66A4"/>
    <w:rsid w:val="004F6078"/>
    <w:rsid w:val="00510923"/>
    <w:rsid w:val="00517D3B"/>
    <w:rsid w:val="0053709A"/>
    <w:rsid w:val="005465B9"/>
    <w:rsid w:val="00546B12"/>
    <w:rsid w:val="005543C4"/>
    <w:rsid w:val="00555A33"/>
    <w:rsid w:val="0055608E"/>
    <w:rsid w:val="00563C39"/>
    <w:rsid w:val="005653EA"/>
    <w:rsid w:val="00570E47"/>
    <w:rsid w:val="00572AF3"/>
    <w:rsid w:val="00582BA3"/>
    <w:rsid w:val="0059156F"/>
    <w:rsid w:val="005A57AA"/>
    <w:rsid w:val="005B188B"/>
    <w:rsid w:val="005C0A3E"/>
    <w:rsid w:val="005C4F88"/>
    <w:rsid w:val="005D6C55"/>
    <w:rsid w:val="005E757B"/>
    <w:rsid w:val="006029BC"/>
    <w:rsid w:val="00606EF7"/>
    <w:rsid w:val="006138D9"/>
    <w:rsid w:val="006167F5"/>
    <w:rsid w:val="00617D39"/>
    <w:rsid w:val="0063052A"/>
    <w:rsid w:val="0064623D"/>
    <w:rsid w:val="00650E7A"/>
    <w:rsid w:val="00671B54"/>
    <w:rsid w:val="0067502E"/>
    <w:rsid w:val="006761D6"/>
    <w:rsid w:val="006767B9"/>
    <w:rsid w:val="0068440C"/>
    <w:rsid w:val="00685DC1"/>
    <w:rsid w:val="0069032B"/>
    <w:rsid w:val="00695AD5"/>
    <w:rsid w:val="0069712A"/>
    <w:rsid w:val="006A0A09"/>
    <w:rsid w:val="006A7C42"/>
    <w:rsid w:val="006C4200"/>
    <w:rsid w:val="006C49C8"/>
    <w:rsid w:val="006C5C5A"/>
    <w:rsid w:val="006D1317"/>
    <w:rsid w:val="006E4117"/>
    <w:rsid w:val="006F4C57"/>
    <w:rsid w:val="006F4F54"/>
    <w:rsid w:val="00704B9C"/>
    <w:rsid w:val="00707C37"/>
    <w:rsid w:val="007131F1"/>
    <w:rsid w:val="00731B57"/>
    <w:rsid w:val="00737ED3"/>
    <w:rsid w:val="00753976"/>
    <w:rsid w:val="00762F9C"/>
    <w:rsid w:val="00784ADD"/>
    <w:rsid w:val="0078725F"/>
    <w:rsid w:val="00792452"/>
    <w:rsid w:val="007B2288"/>
    <w:rsid w:val="007C12B8"/>
    <w:rsid w:val="007C283F"/>
    <w:rsid w:val="007D10F8"/>
    <w:rsid w:val="007D2234"/>
    <w:rsid w:val="007D553C"/>
    <w:rsid w:val="007E2109"/>
    <w:rsid w:val="007E46C7"/>
    <w:rsid w:val="00802FEA"/>
    <w:rsid w:val="00805770"/>
    <w:rsid w:val="00805D83"/>
    <w:rsid w:val="00807DF4"/>
    <w:rsid w:val="00822461"/>
    <w:rsid w:val="0082345A"/>
    <w:rsid w:val="00827B54"/>
    <w:rsid w:val="00827D8D"/>
    <w:rsid w:val="008348F9"/>
    <w:rsid w:val="008369F4"/>
    <w:rsid w:val="00846B5A"/>
    <w:rsid w:val="00850ACA"/>
    <w:rsid w:val="00854404"/>
    <w:rsid w:val="00855EFC"/>
    <w:rsid w:val="00857F30"/>
    <w:rsid w:val="00873930"/>
    <w:rsid w:val="008861A1"/>
    <w:rsid w:val="0088743E"/>
    <w:rsid w:val="00893739"/>
    <w:rsid w:val="008A7EB4"/>
    <w:rsid w:val="008B5E45"/>
    <w:rsid w:val="008C7E76"/>
    <w:rsid w:val="008D4FE6"/>
    <w:rsid w:val="008E1BB8"/>
    <w:rsid w:val="008F01E3"/>
    <w:rsid w:val="008F2B3E"/>
    <w:rsid w:val="008F6C03"/>
    <w:rsid w:val="00921F2B"/>
    <w:rsid w:val="00932E18"/>
    <w:rsid w:val="00935331"/>
    <w:rsid w:val="009353DC"/>
    <w:rsid w:val="009359B5"/>
    <w:rsid w:val="00935BAE"/>
    <w:rsid w:val="0094501E"/>
    <w:rsid w:val="009475E9"/>
    <w:rsid w:val="00950172"/>
    <w:rsid w:val="00962FB7"/>
    <w:rsid w:val="009644D8"/>
    <w:rsid w:val="00964DC1"/>
    <w:rsid w:val="00965CA1"/>
    <w:rsid w:val="00967E69"/>
    <w:rsid w:val="00972B39"/>
    <w:rsid w:val="00975D94"/>
    <w:rsid w:val="00996A96"/>
    <w:rsid w:val="00996D54"/>
    <w:rsid w:val="00996DAB"/>
    <w:rsid w:val="009B48E2"/>
    <w:rsid w:val="009B5E9C"/>
    <w:rsid w:val="009C0A8D"/>
    <w:rsid w:val="009C2B3A"/>
    <w:rsid w:val="009C4CC8"/>
    <w:rsid w:val="009D3FFC"/>
    <w:rsid w:val="009F4336"/>
    <w:rsid w:val="00A0226E"/>
    <w:rsid w:val="00A04957"/>
    <w:rsid w:val="00A1210F"/>
    <w:rsid w:val="00A14601"/>
    <w:rsid w:val="00A427E1"/>
    <w:rsid w:val="00A478C3"/>
    <w:rsid w:val="00A60355"/>
    <w:rsid w:val="00A81A91"/>
    <w:rsid w:val="00AA5D92"/>
    <w:rsid w:val="00AC2B87"/>
    <w:rsid w:val="00AC4D1C"/>
    <w:rsid w:val="00AE7940"/>
    <w:rsid w:val="00AF3417"/>
    <w:rsid w:val="00AF517F"/>
    <w:rsid w:val="00B057D7"/>
    <w:rsid w:val="00B16DA3"/>
    <w:rsid w:val="00B32F59"/>
    <w:rsid w:val="00B5460E"/>
    <w:rsid w:val="00B5746A"/>
    <w:rsid w:val="00B675FE"/>
    <w:rsid w:val="00B7459F"/>
    <w:rsid w:val="00B77276"/>
    <w:rsid w:val="00B81FA9"/>
    <w:rsid w:val="00B8591C"/>
    <w:rsid w:val="00B9755C"/>
    <w:rsid w:val="00BA2922"/>
    <w:rsid w:val="00BB12C8"/>
    <w:rsid w:val="00BC1EC6"/>
    <w:rsid w:val="00BC75FF"/>
    <w:rsid w:val="00BD588F"/>
    <w:rsid w:val="00BD71CD"/>
    <w:rsid w:val="00BE18A6"/>
    <w:rsid w:val="00BE20D6"/>
    <w:rsid w:val="00BE7708"/>
    <w:rsid w:val="00BF19F5"/>
    <w:rsid w:val="00BF6167"/>
    <w:rsid w:val="00C07BFD"/>
    <w:rsid w:val="00C11AD2"/>
    <w:rsid w:val="00C1244C"/>
    <w:rsid w:val="00C13DC6"/>
    <w:rsid w:val="00C13F51"/>
    <w:rsid w:val="00C41574"/>
    <w:rsid w:val="00C4730A"/>
    <w:rsid w:val="00C5085B"/>
    <w:rsid w:val="00C643EE"/>
    <w:rsid w:val="00C75661"/>
    <w:rsid w:val="00C84205"/>
    <w:rsid w:val="00CD41DC"/>
    <w:rsid w:val="00CD43F9"/>
    <w:rsid w:val="00CD51D2"/>
    <w:rsid w:val="00CE2489"/>
    <w:rsid w:val="00CE517F"/>
    <w:rsid w:val="00CE76A7"/>
    <w:rsid w:val="00CF40EC"/>
    <w:rsid w:val="00D1006A"/>
    <w:rsid w:val="00D17086"/>
    <w:rsid w:val="00D173EA"/>
    <w:rsid w:val="00D269FC"/>
    <w:rsid w:val="00D5102D"/>
    <w:rsid w:val="00D81444"/>
    <w:rsid w:val="00D81DDE"/>
    <w:rsid w:val="00D9217F"/>
    <w:rsid w:val="00D94A7F"/>
    <w:rsid w:val="00DB744A"/>
    <w:rsid w:val="00DC005C"/>
    <w:rsid w:val="00DD4F3C"/>
    <w:rsid w:val="00DD7823"/>
    <w:rsid w:val="00DE3DD6"/>
    <w:rsid w:val="00DF07F2"/>
    <w:rsid w:val="00E0692C"/>
    <w:rsid w:val="00E262AE"/>
    <w:rsid w:val="00E31E75"/>
    <w:rsid w:val="00E4132B"/>
    <w:rsid w:val="00E602D5"/>
    <w:rsid w:val="00E652DD"/>
    <w:rsid w:val="00E702A9"/>
    <w:rsid w:val="00E714F5"/>
    <w:rsid w:val="00E764B3"/>
    <w:rsid w:val="00E84822"/>
    <w:rsid w:val="00E94324"/>
    <w:rsid w:val="00E94695"/>
    <w:rsid w:val="00E95731"/>
    <w:rsid w:val="00EA269E"/>
    <w:rsid w:val="00EB0570"/>
    <w:rsid w:val="00ED04B8"/>
    <w:rsid w:val="00EE60B2"/>
    <w:rsid w:val="00EE773A"/>
    <w:rsid w:val="00EF52F4"/>
    <w:rsid w:val="00EF6D32"/>
    <w:rsid w:val="00F14A56"/>
    <w:rsid w:val="00F2674E"/>
    <w:rsid w:val="00F37CB8"/>
    <w:rsid w:val="00F50A43"/>
    <w:rsid w:val="00F562D9"/>
    <w:rsid w:val="00F57BDC"/>
    <w:rsid w:val="00F677AF"/>
    <w:rsid w:val="00F8631A"/>
    <w:rsid w:val="00F95F06"/>
    <w:rsid w:val="00FA2AFE"/>
    <w:rsid w:val="00FA7FCD"/>
    <w:rsid w:val="00FB7033"/>
    <w:rsid w:val="00FC7EFF"/>
    <w:rsid w:val="00FD3A6C"/>
    <w:rsid w:val="00FE04FC"/>
    <w:rsid w:val="00FE25C7"/>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AEC8A7"/>
  <w15:chartTrackingRefBased/>
  <w15:docId w15:val="{9B6D1949-BE80-4F83-BA20-9E774F6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0F"/>
    <w:pPr>
      <w:spacing w:after="200" w:line="276" w:lineRule="auto"/>
    </w:pPr>
    <w:rPr>
      <w:sz w:val="22"/>
      <w:szCs w:val="22"/>
    </w:rPr>
  </w:style>
  <w:style w:type="paragraph" w:styleId="Heading1">
    <w:name w:val="heading 1"/>
    <w:basedOn w:val="Normal"/>
    <w:next w:val="Normal"/>
    <w:link w:val="Heading1Char"/>
    <w:uiPriority w:val="9"/>
    <w:qFormat/>
    <w:rsid w:val="00111A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8E"/>
  </w:style>
  <w:style w:type="paragraph" w:styleId="Footer">
    <w:name w:val="footer"/>
    <w:basedOn w:val="Normal"/>
    <w:link w:val="FooterChar"/>
    <w:uiPriority w:val="99"/>
    <w:unhideWhenUsed/>
    <w:rsid w:val="0055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8E"/>
  </w:style>
  <w:style w:type="paragraph" w:styleId="ListParagraph">
    <w:name w:val="List Paragraph"/>
    <w:basedOn w:val="Normal"/>
    <w:uiPriority w:val="34"/>
    <w:qFormat/>
    <w:rsid w:val="0055608E"/>
    <w:pPr>
      <w:ind w:left="720"/>
      <w:contextualSpacing/>
    </w:pPr>
  </w:style>
  <w:style w:type="paragraph" w:styleId="BalloonText">
    <w:name w:val="Balloon Text"/>
    <w:basedOn w:val="Normal"/>
    <w:link w:val="BalloonTextChar"/>
    <w:uiPriority w:val="99"/>
    <w:semiHidden/>
    <w:unhideWhenUsed/>
    <w:rsid w:val="00BE20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20D6"/>
    <w:rPr>
      <w:rFonts w:ascii="Tahoma" w:hAnsi="Tahoma" w:cs="Tahoma"/>
      <w:sz w:val="16"/>
      <w:szCs w:val="16"/>
    </w:rPr>
  </w:style>
  <w:style w:type="paragraph" w:styleId="FootnoteText">
    <w:name w:val="footnote text"/>
    <w:basedOn w:val="Normal"/>
    <w:link w:val="FootnoteTextChar"/>
    <w:uiPriority w:val="99"/>
    <w:semiHidden/>
    <w:unhideWhenUsed/>
    <w:rsid w:val="00BE20D6"/>
    <w:pPr>
      <w:spacing w:after="0" w:line="240" w:lineRule="auto"/>
    </w:pPr>
    <w:rPr>
      <w:sz w:val="20"/>
      <w:szCs w:val="20"/>
    </w:rPr>
  </w:style>
  <w:style w:type="character" w:customStyle="1" w:styleId="FootnoteTextChar">
    <w:name w:val="Footnote Text Char"/>
    <w:link w:val="FootnoteText"/>
    <w:uiPriority w:val="99"/>
    <w:semiHidden/>
    <w:rsid w:val="00BE20D6"/>
    <w:rPr>
      <w:sz w:val="20"/>
      <w:szCs w:val="20"/>
    </w:rPr>
  </w:style>
  <w:style w:type="character" w:styleId="FootnoteReference">
    <w:name w:val="footnote reference"/>
    <w:uiPriority w:val="99"/>
    <w:semiHidden/>
    <w:unhideWhenUsed/>
    <w:rsid w:val="00BE20D6"/>
    <w:rPr>
      <w:vertAlign w:val="superscript"/>
    </w:rPr>
  </w:style>
  <w:style w:type="character" w:customStyle="1" w:styleId="Heading1Char">
    <w:name w:val="Heading 1 Char"/>
    <w:link w:val="Heading1"/>
    <w:uiPriority w:val="9"/>
    <w:rsid w:val="00111A75"/>
    <w:rPr>
      <w:rFonts w:ascii="Cambria" w:eastAsia="Times New Roman" w:hAnsi="Cambria" w:cs="Times New Roman"/>
      <w:b/>
      <w:bCs/>
      <w:color w:val="365F91"/>
      <w:sz w:val="28"/>
      <w:szCs w:val="28"/>
    </w:rPr>
  </w:style>
  <w:style w:type="table" w:styleId="TableGrid">
    <w:name w:val="Table Grid"/>
    <w:basedOn w:val="TableNormal"/>
    <w:uiPriority w:val="59"/>
    <w:rsid w:val="0011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11A75"/>
    <w:pPr>
      <w:outlineLvl w:val="9"/>
    </w:pPr>
    <w:rPr>
      <w:lang w:eastAsia="ja-JP"/>
    </w:rPr>
  </w:style>
  <w:style w:type="paragraph" w:styleId="TOC1">
    <w:name w:val="toc 1"/>
    <w:basedOn w:val="Normal"/>
    <w:next w:val="Normal"/>
    <w:autoRedefine/>
    <w:uiPriority w:val="39"/>
    <w:unhideWhenUsed/>
    <w:rsid w:val="00111A75"/>
    <w:pPr>
      <w:spacing w:after="100"/>
    </w:pPr>
  </w:style>
  <w:style w:type="character" w:styleId="Hyperlink">
    <w:name w:val="Hyperlink"/>
    <w:uiPriority w:val="99"/>
    <w:unhideWhenUsed/>
    <w:rsid w:val="00111A75"/>
    <w:rPr>
      <w:color w:val="0000FF"/>
      <w:u w:val="single"/>
    </w:rPr>
  </w:style>
  <w:style w:type="character" w:styleId="CommentReference">
    <w:name w:val="annotation reference"/>
    <w:uiPriority w:val="99"/>
    <w:semiHidden/>
    <w:unhideWhenUsed/>
    <w:rsid w:val="00B32F59"/>
    <w:rPr>
      <w:sz w:val="16"/>
      <w:szCs w:val="16"/>
    </w:rPr>
  </w:style>
  <w:style w:type="paragraph" w:styleId="CommentText">
    <w:name w:val="annotation text"/>
    <w:basedOn w:val="Normal"/>
    <w:link w:val="CommentTextChar"/>
    <w:uiPriority w:val="99"/>
    <w:semiHidden/>
    <w:unhideWhenUsed/>
    <w:rsid w:val="00B32F59"/>
    <w:pPr>
      <w:spacing w:line="240" w:lineRule="auto"/>
    </w:pPr>
    <w:rPr>
      <w:sz w:val="20"/>
      <w:szCs w:val="20"/>
    </w:rPr>
  </w:style>
  <w:style w:type="character" w:customStyle="1" w:styleId="CommentTextChar">
    <w:name w:val="Comment Text Char"/>
    <w:link w:val="CommentText"/>
    <w:uiPriority w:val="99"/>
    <w:semiHidden/>
    <w:rsid w:val="00B32F59"/>
    <w:rPr>
      <w:sz w:val="20"/>
      <w:szCs w:val="20"/>
    </w:rPr>
  </w:style>
  <w:style w:type="paragraph" w:styleId="CommentSubject">
    <w:name w:val="annotation subject"/>
    <w:basedOn w:val="CommentText"/>
    <w:next w:val="CommentText"/>
    <w:link w:val="CommentSubjectChar"/>
    <w:uiPriority w:val="99"/>
    <w:semiHidden/>
    <w:unhideWhenUsed/>
    <w:rsid w:val="00B32F59"/>
    <w:rPr>
      <w:b/>
      <w:bCs/>
    </w:rPr>
  </w:style>
  <w:style w:type="character" w:customStyle="1" w:styleId="CommentSubjectChar">
    <w:name w:val="Comment Subject Char"/>
    <w:link w:val="CommentSubject"/>
    <w:uiPriority w:val="99"/>
    <w:semiHidden/>
    <w:rsid w:val="00B32F59"/>
    <w:rPr>
      <w:b/>
      <w:bCs/>
      <w:sz w:val="20"/>
      <w:szCs w:val="20"/>
    </w:rPr>
  </w:style>
  <w:style w:type="paragraph" w:styleId="Revision">
    <w:name w:val="Revision"/>
    <w:hidden/>
    <w:uiPriority w:val="99"/>
    <w:semiHidden/>
    <w:rsid w:val="00EB05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08088">
      <w:bodyDiv w:val="1"/>
      <w:marLeft w:val="0"/>
      <w:marRight w:val="0"/>
      <w:marTop w:val="0"/>
      <w:marBottom w:val="0"/>
      <w:divBdr>
        <w:top w:val="none" w:sz="0" w:space="0" w:color="auto"/>
        <w:left w:val="none" w:sz="0" w:space="0" w:color="auto"/>
        <w:bottom w:val="none" w:sz="0" w:space="0" w:color="auto"/>
        <w:right w:val="none" w:sz="0" w:space="0" w:color="auto"/>
      </w:divBdr>
    </w:div>
    <w:div w:id="602151615">
      <w:bodyDiv w:val="1"/>
      <w:marLeft w:val="0"/>
      <w:marRight w:val="0"/>
      <w:marTop w:val="0"/>
      <w:marBottom w:val="0"/>
      <w:divBdr>
        <w:top w:val="none" w:sz="0" w:space="0" w:color="auto"/>
        <w:left w:val="none" w:sz="0" w:space="0" w:color="auto"/>
        <w:bottom w:val="none" w:sz="0" w:space="0" w:color="auto"/>
        <w:right w:val="none" w:sz="0" w:space="0" w:color="auto"/>
      </w:divBdr>
    </w:div>
    <w:div w:id="1000501756">
      <w:bodyDiv w:val="1"/>
      <w:marLeft w:val="0"/>
      <w:marRight w:val="0"/>
      <w:marTop w:val="0"/>
      <w:marBottom w:val="0"/>
      <w:divBdr>
        <w:top w:val="none" w:sz="0" w:space="0" w:color="auto"/>
        <w:left w:val="none" w:sz="0" w:space="0" w:color="auto"/>
        <w:bottom w:val="none" w:sz="0" w:space="0" w:color="auto"/>
        <w:right w:val="none" w:sz="0" w:space="0" w:color="auto"/>
      </w:divBdr>
    </w:div>
    <w:div w:id="1273168651">
      <w:bodyDiv w:val="1"/>
      <w:marLeft w:val="0"/>
      <w:marRight w:val="0"/>
      <w:marTop w:val="0"/>
      <w:marBottom w:val="0"/>
      <w:divBdr>
        <w:top w:val="none" w:sz="0" w:space="0" w:color="auto"/>
        <w:left w:val="none" w:sz="0" w:space="0" w:color="auto"/>
        <w:bottom w:val="none" w:sz="0" w:space="0" w:color="auto"/>
        <w:right w:val="none" w:sz="0" w:space="0" w:color="auto"/>
      </w:divBdr>
    </w:div>
    <w:div w:id="1462772113">
      <w:bodyDiv w:val="1"/>
      <w:marLeft w:val="0"/>
      <w:marRight w:val="0"/>
      <w:marTop w:val="0"/>
      <w:marBottom w:val="0"/>
      <w:divBdr>
        <w:top w:val="none" w:sz="0" w:space="0" w:color="auto"/>
        <w:left w:val="none" w:sz="0" w:space="0" w:color="auto"/>
        <w:bottom w:val="none" w:sz="0" w:space="0" w:color="auto"/>
        <w:right w:val="none" w:sz="0" w:space="0" w:color="auto"/>
      </w:divBdr>
    </w:div>
    <w:div w:id="1813789129">
      <w:bodyDiv w:val="1"/>
      <w:marLeft w:val="0"/>
      <w:marRight w:val="0"/>
      <w:marTop w:val="0"/>
      <w:marBottom w:val="0"/>
      <w:divBdr>
        <w:top w:val="none" w:sz="0" w:space="0" w:color="auto"/>
        <w:left w:val="none" w:sz="0" w:space="0" w:color="auto"/>
        <w:bottom w:val="none" w:sz="0" w:space="0" w:color="auto"/>
        <w:right w:val="none" w:sz="0" w:space="0" w:color="auto"/>
      </w:divBdr>
    </w:div>
    <w:div w:id="20588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ne-for-Many@cai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152;#resource adequacy|dcaf2603-2ef1-4631-9ca8-b2dc8b9d97e6;#433;#proposal|ca3a04e7-c4b1-4c1a-9940-f266f8d73ffa;#7;#Stakeholder processes|71659ab1-dac7-419e-9529-abc47c232b66;#141;#RA|4f318c73-1982-4238-9d0d-239e45e7abf2;#3013;#substitute|9b778004-689e-47ad-b699-9503f3e901f7;#3;#Archived|0019c6e1-8c5e-460c-a653-a944372c5015]]></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EDD74-1216-450D-99F7-D22D5E333CE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E01AD58-0B33-4B0E-B15E-91AD92A6983F}"/>
</file>

<file path=customXml/itemProps3.xml><?xml version="1.0" encoding="utf-8"?>
<ds:datastoreItem xmlns:ds="http://schemas.openxmlformats.org/officeDocument/2006/customXml" ds:itemID="{2784BD76-613D-4EC2-8EBD-902DFA13C24C}"/>
</file>

<file path=customXml/itemProps4.xml><?xml version="1.0" encoding="utf-8"?>
<ds:datastoreItem xmlns:ds="http://schemas.openxmlformats.org/officeDocument/2006/customXml" ds:itemID="{942462B0-52F1-407E-A199-ABD371314D9C}">
  <ds:schemaRefs>
    <ds:schemaRef ds:uri="http://schemas.openxmlformats.org/officeDocument/2006/bibliography"/>
  </ds:schemaRefs>
</ds:datastoreItem>
</file>

<file path=customXml/itemProps5.xml><?xml version="1.0" encoding="utf-8"?>
<ds:datastoreItem xmlns:ds="http://schemas.openxmlformats.org/officeDocument/2006/customXml" ds:itemID="{51ACC5B6-DC00-4D47-BD80-9DC73E478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 Final Proposal – Resource Adequacy One-For-Many Manual Substitution</vt:lpstr>
    </vt:vector>
  </TitlesOfParts>
  <Company>CAISO</Company>
  <LinksUpToDate>false</LinksUpToDate>
  <CharactersWithSpaces>12025</CharactersWithSpaces>
  <SharedDoc>false</SharedDoc>
  <HLinks>
    <vt:vector size="36" baseType="variant">
      <vt:variant>
        <vt:i4>7077973</vt:i4>
      </vt:variant>
      <vt:variant>
        <vt:i4>33</vt:i4>
      </vt:variant>
      <vt:variant>
        <vt:i4>0</vt:i4>
      </vt:variant>
      <vt:variant>
        <vt:i4>5</vt:i4>
      </vt:variant>
      <vt:variant>
        <vt:lpwstr>mailto:One-for-Many@caiso.com</vt:lpwstr>
      </vt:variant>
      <vt:variant>
        <vt:lpwstr/>
      </vt:variant>
      <vt:variant>
        <vt:i4>1769524</vt:i4>
      </vt:variant>
      <vt:variant>
        <vt:i4>26</vt:i4>
      </vt:variant>
      <vt:variant>
        <vt:i4>0</vt:i4>
      </vt:variant>
      <vt:variant>
        <vt:i4>5</vt:i4>
      </vt:variant>
      <vt:variant>
        <vt:lpwstr/>
      </vt:variant>
      <vt:variant>
        <vt:lpwstr>_Toc375566488</vt:lpwstr>
      </vt:variant>
      <vt:variant>
        <vt:i4>1769524</vt:i4>
      </vt:variant>
      <vt:variant>
        <vt:i4>20</vt:i4>
      </vt:variant>
      <vt:variant>
        <vt:i4>0</vt:i4>
      </vt:variant>
      <vt:variant>
        <vt:i4>5</vt:i4>
      </vt:variant>
      <vt:variant>
        <vt:lpwstr/>
      </vt:variant>
      <vt:variant>
        <vt:lpwstr>_Toc375566487</vt:lpwstr>
      </vt:variant>
      <vt:variant>
        <vt:i4>1769524</vt:i4>
      </vt:variant>
      <vt:variant>
        <vt:i4>14</vt:i4>
      </vt:variant>
      <vt:variant>
        <vt:i4>0</vt:i4>
      </vt:variant>
      <vt:variant>
        <vt:i4>5</vt:i4>
      </vt:variant>
      <vt:variant>
        <vt:lpwstr/>
      </vt:variant>
      <vt:variant>
        <vt:lpwstr>_Toc375566486</vt:lpwstr>
      </vt:variant>
      <vt:variant>
        <vt:i4>1769524</vt:i4>
      </vt:variant>
      <vt:variant>
        <vt:i4>8</vt:i4>
      </vt:variant>
      <vt:variant>
        <vt:i4>0</vt:i4>
      </vt:variant>
      <vt:variant>
        <vt:i4>5</vt:i4>
      </vt:variant>
      <vt:variant>
        <vt:lpwstr/>
      </vt:variant>
      <vt:variant>
        <vt:lpwstr>_Toc375566485</vt:lpwstr>
      </vt:variant>
      <vt:variant>
        <vt:i4>1769524</vt:i4>
      </vt:variant>
      <vt:variant>
        <vt:i4>2</vt:i4>
      </vt:variant>
      <vt:variant>
        <vt:i4>0</vt:i4>
      </vt:variant>
      <vt:variant>
        <vt:i4>5</vt:i4>
      </vt:variant>
      <vt:variant>
        <vt:lpwstr/>
      </vt:variant>
      <vt:variant>
        <vt:lpwstr>_Toc375566484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Proposal - Resource Adequacy One-For-Many Manual Substitution</dc:title>
  <dc:subject/>
  <dc:creator>Hou, Delphine</dc:creator>
  <cp:keywords/>
  <cp:lastModifiedBy>Pearson, Hannah</cp:lastModifiedBy>
  <cp:revision>2</cp:revision>
  <cp:lastPrinted>2013-12-20T19:32:00Z</cp:lastPrinted>
  <dcterms:created xsi:type="dcterms:W3CDTF">2025-07-07T22:37:00Z</dcterms:created>
  <dcterms:modified xsi:type="dcterms:W3CDTF">2025-07-07T22:37:00Z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_dlc_DocIdItemGuid">
    <vt:lpwstr>95046467-bdec-4e2d-aeec-858944a65cd4</vt:lpwstr>
  </property>
  <property fmtid="{D5CDD505-2E9C-101B-9397-08002B2CF9AE}" pid="4" name="_dlc_policyId">
    <vt:lpwstr>/sites/GCA/legal/Records</vt:lpwstr>
  </property>
  <property fmtid="{D5CDD505-2E9C-101B-9397-08002B2CF9AE}" pid="5" name="ItemRetentionFormula">
    <vt:lpwstr/>
  </property>
  <property fmtid="{D5CDD505-2E9C-101B-9397-08002B2CF9AE}" pid="6" name="_dlc_DocIdPersistId">
    <vt:lpwstr/>
  </property>
  <property fmtid="{D5CDD505-2E9C-101B-9397-08002B2CF9AE}" pid="7" name="_dlc_DocId">
    <vt:lpwstr>3NFDMFEUU6AB-59-27321</vt:lpwstr>
  </property>
  <property fmtid="{D5CDD505-2E9C-101B-9397-08002B2CF9AE}" pid="8" name="_dlc_DocIdUrl">
    <vt:lpwstr>https://records.oa.caiso.com/sites/GCA/legal/_layouts/DocIdRedir.aspx?ID=3NFDMFEUU6AB-59-27321, 3NFDMFEUU6AB-59-27321</vt:lpwstr>
  </property>
  <property fmtid="{D5CDD505-2E9C-101B-9397-08002B2CF9AE}" pid="9" name="Doc Owner">
    <vt:lpwstr>173;#Cullo, Dawn</vt:lpwstr>
  </property>
  <property fmtid="{D5CDD505-2E9C-101B-9397-08002B2CF9AE}" pid="10" name="Doc Status">
    <vt:lpwstr>Draft</vt:lpwstr>
  </property>
  <property fmtid="{D5CDD505-2E9C-101B-9397-08002B2CF9AE}" pid="11" name="Division">
    <vt:lpwstr>Market and Infrastructure Development</vt:lpwstr>
  </property>
  <property fmtid="{D5CDD505-2E9C-101B-9397-08002B2CF9AE}" pid="12" name="Date Became Record">
    <vt:lpwstr>2013-07-23T10:03:32Z</vt:lpwstr>
  </property>
  <property fmtid="{D5CDD505-2E9C-101B-9397-08002B2CF9AE}" pid="13" name="InfoSec Classification">
    <vt:lpwstr>California ISO INTERNAL USE. For use by all authorized California ISO personnel. Do not release or disclose outside the California ISO.</vt:lpwstr>
  </property>
  <property fmtid="{D5CDD505-2E9C-101B-9397-08002B2CF9AE}" pid="14" name="ISO Department">
    <vt:lpwstr>Market &amp; Infrastructure Policy</vt:lpwstr>
  </property>
  <property fmtid="{D5CDD505-2E9C-101B-9397-08002B2CF9AE}" pid="15" name="Intellectual Property Type">
    <vt:lpwstr/>
  </property>
  <property fmtid="{D5CDD505-2E9C-101B-9397-08002B2CF9AE}" pid="16" name="ISOArchive">
    <vt:lpwstr>3;#Archived|0019c6e1-8c5e-460c-a653-a944372c5015</vt:lpwstr>
  </property>
  <property fmtid="{D5CDD505-2E9C-101B-9397-08002B2CF9AE}" pid="17" name="display_urn:schemas-microsoft-com:office:office#Content_x0020_Owner">
    <vt:lpwstr>Sedgley, Martha</vt:lpwstr>
  </property>
  <property fmtid="{D5CDD505-2E9C-101B-9397-08002B2CF9AE}" pid="18" name="display_urn:schemas-microsoft-com:office:office#ISOContributor">
    <vt:lpwstr>Garcia, Sarah</vt:lpwstr>
  </property>
  <property fmtid="{D5CDD505-2E9C-101B-9397-08002B2CF9AE}" pid="19" name="display_urn:schemas-microsoft-com:office:office#Content_x0020_Administrator">
    <vt:lpwstr>Sarubbi, Diana</vt:lpwstr>
  </property>
  <property fmtid="{D5CDD505-2E9C-101B-9397-08002B2CF9AE}" pid="20" name="ISOKeywords">
    <vt:lpwstr>152;#resource adequacy|dcaf2603-2ef1-4631-9ca8-b2dc8b9d97e6;#141;#RA|4f318c73-1982-4238-9d0d-239e45e7abf2;#3013;#substitute|9b778004-689e-47ad-b699-9503f3e901f7;#433;#proposal|ca3a04e7-c4b1-4c1a-9940-f266f8d73ffa</vt:lpwstr>
  </property>
  <property fmtid="{D5CDD505-2E9C-101B-9397-08002B2CF9AE}" pid="21" name="ISOGroup">
    <vt:lpwstr/>
  </property>
  <property fmtid="{D5CDD505-2E9C-101B-9397-08002B2CF9AE}" pid="22" name="ISOTopic">
    <vt:lpwstr>7;#Stakeholder processes|71659ab1-dac7-419e-9529-abc47c232b66</vt:lpwstr>
  </property>
</Properties>
</file>