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BF58" w14:textId="77777777" w:rsidR="00891758" w:rsidRPr="00891758" w:rsidRDefault="00891758" w:rsidP="00891758">
      <w:pPr>
        <w:spacing w:after="0"/>
        <w:jc w:val="center"/>
        <w:rPr>
          <w:rFonts w:ascii="Arial" w:hAnsi="Arial" w:cs="Arial"/>
          <w:b/>
          <w:bCs/>
          <w:sz w:val="20"/>
          <w:szCs w:val="20"/>
        </w:rPr>
      </w:pPr>
    </w:p>
    <w:p w14:paraId="1F5FA202" w14:textId="77777777" w:rsidR="00891758" w:rsidRPr="00891758" w:rsidRDefault="00891758" w:rsidP="00891758">
      <w:pPr>
        <w:spacing w:after="0"/>
        <w:jc w:val="center"/>
        <w:rPr>
          <w:rFonts w:ascii="Arial" w:hAnsi="Arial" w:cs="Arial"/>
          <w:b/>
          <w:bCs/>
          <w:sz w:val="20"/>
          <w:szCs w:val="20"/>
        </w:rPr>
      </w:pPr>
    </w:p>
    <w:p w14:paraId="32D6F720" w14:textId="77777777" w:rsidR="00891758" w:rsidRPr="00891758" w:rsidRDefault="00891758" w:rsidP="00891758">
      <w:pPr>
        <w:spacing w:after="0"/>
        <w:jc w:val="center"/>
        <w:rPr>
          <w:rFonts w:ascii="Arial" w:hAnsi="Arial" w:cs="Arial"/>
          <w:b/>
          <w:bCs/>
          <w:sz w:val="20"/>
          <w:szCs w:val="20"/>
        </w:rPr>
      </w:pPr>
    </w:p>
    <w:p w14:paraId="7BD35CA4" w14:textId="77777777" w:rsidR="00891758" w:rsidRPr="00891758" w:rsidRDefault="00891758" w:rsidP="00891758">
      <w:pPr>
        <w:spacing w:after="0"/>
        <w:jc w:val="center"/>
        <w:rPr>
          <w:rFonts w:ascii="Arial" w:hAnsi="Arial" w:cs="Arial"/>
          <w:b/>
          <w:bCs/>
          <w:sz w:val="20"/>
          <w:szCs w:val="20"/>
        </w:rPr>
      </w:pPr>
    </w:p>
    <w:p w14:paraId="7695ED7F" w14:textId="77777777" w:rsidR="00891758" w:rsidRPr="00891758" w:rsidRDefault="00891758" w:rsidP="00891758">
      <w:pPr>
        <w:spacing w:after="0"/>
        <w:jc w:val="center"/>
        <w:rPr>
          <w:rFonts w:ascii="Arial" w:hAnsi="Arial" w:cs="Arial"/>
          <w:b/>
          <w:bCs/>
          <w:sz w:val="20"/>
          <w:szCs w:val="20"/>
        </w:rPr>
      </w:pPr>
    </w:p>
    <w:p w14:paraId="70C50CF5" w14:textId="77777777" w:rsidR="00891758" w:rsidRPr="00891758" w:rsidRDefault="00891758" w:rsidP="00891758">
      <w:pPr>
        <w:spacing w:after="0"/>
        <w:jc w:val="center"/>
        <w:rPr>
          <w:rFonts w:ascii="Arial" w:hAnsi="Arial" w:cs="Arial"/>
          <w:b/>
          <w:bCs/>
          <w:sz w:val="20"/>
          <w:szCs w:val="20"/>
        </w:rPr>
      </w:pPr>
    </w:p>
    <w:p w14:paraId="528EFB87" w14:textId="77777777" w:rsidR="00891758" w:rsidRPr="00891758" w:rsidRDefault="00891758" w:rsidP="00891758">
      <w:pPr>
        <w:spacing w:after="0"/>
        <w:jc w:val="center"/>
        <w:rPr>
          <w:rFonts w:ascii="Arial" w:hAnsi="Arial" w:cs="Arial"/>
          <w:b/>
          <w:bCs/>
          <w:sz w:val="20"/>
          <w:szCs w:val="20"/>
        </w:rPr>
      </w:pPr>
    </w:p>
    <w:p w14:paraId="525452DE" w14:textId="77777777" w:rsidR="00891758" w:rsidRPr="00891758" w:rsidRDefault="00891758" w:rsidP="00891758">
      <w:pPr>
        <w:spacing w:after="0"/>
        <w:jc w:val="center"/>
        <w:rPr>
          <w:rFonts w:ascii="Arial" w:hAnsi="Arial" w:cs="Arial"/>
          <w:b/>
          <w:bCs/>
          <w:sz w:val="20"/>
          <w:szCs w:val="20"/>
        </w:rPr>
      </w:pPr>
    </w:p>
    <w:p w14:paraId="07FBECE9" w14:textId="77777777" w:rsidR="00891758" w:rsidRPr="00891758" w:rsidRDefault="00891758" w:rsidP="00891758">
      <w:pPr>
        <w:spacing w:after="0"/>
        <w:jc w:val="center"/>
        <w:rPr>
          <w:rFonts w:ascii="Arial" w:hAnsi="Arial" w:cs="Arial"/>
          <w:b/>
          <w:bCs/>
          <w:sz w:val="20"/>
          <w:szCs w:val="20"/>
        </w:rPr>
      </w:pPr>
    </w:p>
    <w:p w14:paraId="66BC6D73" w14:textId="77777777" w:rsidR="00891758" w:rsidRPr="00891758" w:rsidRDefault="00891758" w:rsidP="00891758">
      <w:pPr>
        <w:spacing w:after="0"/>
        <w:jc w:val="center"/>
        <w:rPr>
          <w:rFonts w:ascii="Arial" w:hAnsi="Arial" w:cs="Arial"/>
          <w:b/>
          <w:bCs/>
          <w:sz w:val="20"/>
          <w:szCs w:val="20"/>
        </w:rPr>
      </w:pPr>
    </w:p>
    <w:p w14:paraId="65BFC791" w14:textId="77777777" w:rsidR="00891758" w:rsidRPr="00891758" w:rsidRDefault="00891758" w:rsidP="00891758">
      <w:pPr>
        <w:spacing w:after="0"/>
        <w:jc w:val="center"/>
        <w:rPr>
          <w:rFonts w:ascii="Arial" w:hAnsi="Arial" w:cs="Arial"/>
          <w:b/>
          <w:bCs/>
          <w:sz w:val="20"/>
          <w:szCs w:val="20"/>
        </w:rPr>
      </w:pPr>
    </w:p>
    <w:p w14:paraId="0957EA02" w14:textId="77777777" w:rsidR="00891758" w:rsidRPr="00891758" w:rsidRDefault="00891758" w:rsidP="00891758">
      <w:pPr>
        <w:spacing w:after="0"/>
        <w:jc w:val="center"/>
        <w:rPr>
          <w:rFonts w:ascii="Arial" w:hAnsi="Arial" w:cs="Arial"/>
          <w:b/>
          <w:bCs/>
          <w:sz w:val="20"/>
          <w:szCs w:val="20"/>
        </w:rPr>
      </w:pPr>
    </w:p>
    <w:p w14:paraId="0CB90A86" w14:textId="77777777" w:rsidR="00891758" w:rsidRPr="00891758" w:rsidRDefault="00891758" w:rsidP="00891758">
      <w:pPr>
        <w:spacing w:after="0"/>
        <w:jc w:val="center"/>
        <w:rPr>
          <w:rFonts w:ascii="Arial" w:hAnsi="Arial" w:cs="Arial"/>
          <w:b/>
          <w:bCs/>
          <w:sz w:val="20"/>
          <w:szCs w:val="20"/>
        </w:rPr>
      </w:pPr>
    </w:p>
    <w:p w14:paraId="31D56835" w14:textId="77777777" w:rsidR="00891758" w:rsidRPr="00891758" w:rsidRDefault="00891758" w:rsidP="00891758">
      <w:pPr>
        <w:spacing w:after="0"/>
        <w:jc w:val="center"/>
        <w:rPr>
          <w:rFonts w:ascii="Arial" w:hAnsi="Arial" w:cs="Arial"/>
          <w:b/>
          <w:bCs/>
          <w:sz w:val="20"/>
          <w:szCs w:val="20"/>
        </w:rPr>
      </w:pPr>
    </w:p>
    <w:p w14:paraId="630B9590" w14:textId="77777777" w:rsidR="00891758" w:rsidRDefault="00891758" w:rsidP="00891758">
      <w:pPr>
        <w:spacing w:after="0"/>
        <w:jc w:val="center"/>
        <w:rPr>
          <w:rFonts w:ascii="Arial" w:hAnsi="Arial" w:cs="Arial"/>
          <w:b/>
          <w:bCs/>
          <w:sz w:val="20"/>
          <w:szCs w:val="20"/>
        </w:rPr>
      </w:pPr>
      <w:r w:rsidRPr="00891758">
        <w:rPr>
          <w:rFonts w:ascii="Arial" w:hAnsi="Arial" w:cs="Arial"/>
          <w:b/>
          <w:bCs/>
          <w:sz w:val="20"/>
          <w:szCs w:val="20"/>
        </w:rPr>
        <w:t>California Independent System Operator Corporation</w:t>
      </w:r>
    </w:p>
    <w:p w14:paraId="4E75AD1F" w14:textId="77777777" w:rsidR="00891758" w:rsidRPr="00891758" w:rsidRDefault="00891758" w:rsidP="00891758">
      <w:pPr>
        <w:spacing w:after="0"/>
        <w:jc w:val="center"/>
        <w:rPr>
          <w:rFonts w:ascii="Arial" w:hAnsi="Arial" w:cs="Arial"/>
          <w:b/>
          <w:bCs/>
          <w:sz w:val="20"/>
          <w:szCs w:val="20"/>
        </w:rPr>
      </w:pPr>
    </w:p>
    <w:p w14:paraId="137F691D" w14:textId="77777777" w:rsidR="00891758" w:rsidRDefault="00891758" w:rsidP="00891758">
      <w:pPr>
        <w:spacing w:after="0"/>
        <w:jc w:val="center"/>
        <w:rPr>
          <w:rFonts w:ascii="Arial" w:hAnsi="Arial" w:cs="Arial"/>
          <w:b/>
          <w:bCs/>
          <w:sz w:val="20"/>
          <w:szCs w:val="20"/>
        </w:rPr>
      </w:pPr>
      <w:r w:rsidRPr="00891758">
        <w:rPr>
          <w:rFonts w:ascii="Arial" w:hAnsi="Arial" w:cs="Arial"/>
          <w:b/>
          <w:bCs/>
          <w:sz w:val="20"/>
          <w:szCs w:val="20"/>
        </w:rPr>
        <w:t xml:space="preserve">Fifth Replacement </w:t>
      </w:r>
      <w:r>
        <w:rPr>
          <w:rFonts w:ascii="Arial" w:hAnsi="Arial" w:cs="Arial"/>
          <w:b/>
          <w:bCs/>
          <w:sz w:val="20"/>
          <w:szCs w:val="20"/>
        </w:rPr>
        <w:t xml:space="preserve">FERC Electric </w:t>
      </w:r>
      <w:r w:rsidRPr="00891758">
        <w:rPr>
          <w:rFonts w:ascii="Arial" w:hAnsi="Arial" w:cs="Arial"/>
          <w:b/>
          <w:bCs/>
          <w:sz w:val="20"/>
          <w:szCs w:val="20"/>
        </w:rPr>
        <w:t>Tariff</w:t>
      </w:r>
    </w:p>
    <w:p w14:paraId="19F031C3" w14:textId="77777777" w:rsidR="00891758" w:rsidRPr="00891758" w:rsidRDefault="00891758" w:rsidP="00891758">
      <w:pPr>
        <w:spacing w:after="0"/>
        <w:jc w:val="center"/>
        <w:rPr>
          <w:rFonts w:ascii="Arial" w:hAnsi="Arial" w:cs="Arial"/>
          <w:b/>
          <w:bCs/>
          <w:sz w:val="20"/>
          <w:szCs w:val="20"/>
        </w:rPr>
      </w:pPr>
    </w:p>
    <w:p w14:paraId="2EB1D078" w14:textId="77777777" w:rsidR="00891758" w:rsidRDefault="00891758" w:rsidP="00891758">
      <w:pPr>
        <w:spacing w:after="0"/>
        <w:jc w:val="center"/>
        <w:rPr>
          <w:rFonts w:ascii="Arial" w:hAnsi="Arial" w:cs="Arial"/>
          <w:b/>
          <w:bCs/>
          <w:sz w:val="20"/>
          <w:szCs w:val="20"/>
        </w:rPr>
      </w:pPr>
      <w:r>
        <w:rPr>
          <w:rFonts w:ascii="Arial" w:hAnsi="Arial" w:cs="Arial"/>
          <w:b/>
          <w:bCs/>
          <w:sz w:val="20"/>
          <w:szCs w:val="20"/>
        </w:rPr>
        <w:t>Inter-SC Trades Oversight Exemption</w:t>
      </w:r>
    </w:p>
    <w:p w14:paraId="76976222" w14:textId="77777777" w:rsidR="00891758" w:rsidRDefault="00891758" w:rsidP="00891758">
      <w:pPr>
        <w:spacing w:after="0"/>
        <w:jc w:val="center"/>
        <w:rPr>
          <w:rFonts w:ascii="Arial" w:hAnsi="Arial" w:cs="Arial"/>
          <w:b/>
          <w:bCs/>
          <w:sz w:val="20"/>
          <w:szCs w:val="20"/>
        </w:rPr>
      </w:pPr>
    </w:p>
    <w:p w14:paraId="289CAAB0" w14:textId="77777777" w:rsidR="00891758" w:rsidRDefault="00891758" w:rsidP="00891758">
      <w:pPr>
        <w:spacing w:after="0"/>
        <w:jc w:val="center"/>
        <w:rPr>
          <w:rFonts w:ascii="Arial" w:hAnsi="Arial" w:cs="Arial"/>
          <w:b/>
          <w:bCs/>
          <w:sz w:val="20"/>
          <w:szCs w:val="20"/>
        </w:rPr>
      </w:pPr>
      <w:r>
        <w:rPr>
          <w:rFonts w:ascii="Arial" w:hAnsi="Arial" w:cs="Arial"/>
          <w:b/>
          <w:bCs/>
          <w:sz w:val="20"/>
          <w:szCs w:val="20"/>
        </w:rPr>
        <w:t>Draft Tariff</w:t>
      </w:r>
      <w:r w:rsidR="003B00FF">
        <w:rPr>
          <w:rFonts w:ascii="Arial" w:hAnsi="Arial" w:cs="Arial"/>
          <w:b/>
          <w:bCs/>
          <w:sz w:val="20"/>
          <w:szCs w:val="20"/>
        </w:rPr>
        <w:t xml:space="preserve"> Language</w:t>
      </w:r>
    </w:p>
    <w:p w14:paraId="1D4CF0FD" w14:textId="77777777" w:rsidR="00891758" w:rsidRDefault="00891758" w:rsidP="00891758">
      <w:pPr>
        <w:spacing w:after="0"/>
        <w:jc w:val="center"/>
        <w:rPr>
          <w:rFonts w:ascii="Arial" w:hAnsi="Arial" w:cs="Arial"/>
          <w:b/>
          <w:bCs/>
          <w:sz w:val="20"/>
          <w:szCs w:val="20"/>
        </w:rPr>
      </w:pPr>
    </w:p>
    <w:p w14:paraId="2BC5E597" w14:textId="77777777" w:rsidR="002852D5" w:rsidRDefault="00891758" w:rsidP="00891758">
      <w:pPr>
        <w:spacing w:after="0"/>
        <w:jc w:val="center"/>
        <w:rPr>
          <w:rFonts w:ascii="Arial" w:hAnsi="Arial" w:cs="Arial"/>
          <w:b/>
          <w:bCs/>
          <w:sz w:val="20"/>
          <w:szCs w:val="20"/>
        </w:rPr>
      </w:pPr>
      <w:r>
        <w:rPr>
          <w:rFonts w:ascii="Arial" w:hAnsi="Arial" w:cs="Arial"/>
          <w:b/>
          <w:bCs/>
          <w:sz w:val="20"/>
          <w:szCs w:val="20"/>
        </w:rPr>
        <w:t>July 20, 2012</w:t>
      </w:r>
    </w:p>
    <w:p w14:paraId="620596DD" w14:textId="77777777" w:rsidR="00891758" w:rsidRPr="00891758" w:rsidRDefault="002852D5" w:rsidP="00891758">
      <w:pPr>
        <w:spacing w:after="0"/>
        <w:jc w:val="center"/>
        <w:rPr>
          <w:rFonts w:ascii="Arial" w:hAnsi="Arial" w:cs="Arial"/>
          <w:b/>
          <w:bCs/>
          <w:sz w:val="20"/>
          <w:szCs w:val="20"/>
        </w:rPr>
      </w:pPr>
      <w:r>
        <w:rPr>
          <w:rFonts w:ascii="Arial" w:hAnsi="Arial" w:cs="Arial"/>
          <w:b/>
          <w:bCs/>
          <w:sz w:val="20"/>
          <w:szCs w:val="20"/>
        </w:rPr>
        <w:br w:type="page"/>
      </w:r>
    </w:p>
    <w:p w14:paraId="0B79814B" w14:textId="77777777" w:rsidR="00891758" w:rsidRPr="00891758" w:rsidRDefault="00891758" w:rsidP="00891758">
      <w:pPr>
        <w:jc w:val="center"/>
        <w:rPr>
          <w:rFonts w:ascii="Arial" w:hAnsi="Arial" w:cs="Arial"/>
          <w:b/>
          <w:bCs/>
          <w:sz w:val="20"/>
          <w:szCs w:val="20"/>
        </w:rPr>
      </w:pPr>
      <w:r w:rsidRPr="00891758">
        <w:rPr>
          <w:rFonts w:ascii="Arial" w:hAnsi="Arial" w:cs="Arial"/>
          <w:b/>
          <w:bCs/>
          <w:sz w:val="20"/>
          <w:szCs w:val="20"/>
        </w:rPr>
        <w:t>***</w:t>
      </w:r>
    </w:p>
    <w:p w14:paraId="4F61C807" w14:textId="77777777" w:rsidR="00891758" w:rsidRPr="00891758" w:rsidRDefault="00891758" w:rsidP="00891758">
      <w:pPr>
        <w:rPr>
          <w:rFonts w:ascii="Arial" w:hAnsi="Arial" w:cs="Arial"/>
          <w:b/>
          <w:bCs/>
          <w:sz w:val="20"/>
          <w:szCs w:val="20"/>
        </w:rPr>
      </w:pPr>
      <w:r w:rsidRPr="00891758">
        <w:rPr>
          <w:rFonts w:ascii="Arial" w:hAnsi="Arial" w:cs="Arial"/>
          <w:b/>
          <w:bCs/>
          <w:sz w:val="20"/>
          <w:szCs w:val="20"/>
        </w:rPr>
        <w:t>28.4 Authorization to Submit Inter-SC Trades</w:t>
      </w:r>
    </w:p>
    <w:p w14:paraId="75438DB4" w14:textId="77777777" w:rsidR="00891758" w:rsidRPr="00891758" w:rsidRDefault="00891758" w:rsidP="00891758">
      <w:pPr>
        <w:rPr>
          <w:rFonts w:ascii="Arial" w:hAnsi="Arial" w:cs="Arial"/>
          <w:sz w:val="20"/>
          <w:szCs w:val="20"/>
        </w:rPr>
      </w:pPr>
      <w:r w:rsidRPr="00891758">
        <w:rPr>
          <w:rFonts w:ascii="Arial" w:hAnsi="Arial" w:cs="Arial"/>
          <w:sz w:val="20"/>
          <w:szCs w:val="20"/>
        </w:rPr>
        <w:t>a) In order to submit an Inter-SC Trade, a Scheduling Coordinator must have prior authorization from the CAISO, which may be provided on a blanket basis for all Inter-SC Trades entered by that Scheduling Coordinator.</w:t>
      </w:r>
    </w:p>
    <w:p w14:paraId="3BA03870" w14:textId="77777777" w:rsidR="00891758" w:rsidRPr="00891758" w:rsidRDefault="00891758" w:rsidP="00891758">
      <w:pPr>
        <w:rPr>
          <w:rFonts w:ascii="Arial" w:hAnsi="Arial" w:cs="Arial"/>
          <w:sz w:val="20"/>
          <w:szCs w:val="20"/>
        </w:rPr>
      </w:pPr>
      <w:r w:rsidRPr="00891758">
        <w:rPr>
          <w:rFonts w:ascii="Arial" w:hAnsi="Arial" w:cs="Arial"/>
          <w:sz w:val="20"/>
          <w:szCs w:val="20"/>
        </w:rPr>
        <w:t xml:space="preserve">b) By entering an Inter-SC Trade, the Scheduling Coordinator is representing that </w:t>
      </w:r>
    </w:p>
    <w:p w14:paraId="0CA1F8E2" w14:textId="77777777" w:rsidR="00891758" w:rsidRPr="00891758" w:rsidRDefault="00891758" w:rsidP="00891758">
      <w:pPr>
        <w:ind w:left="720"/>
        <w:rPr>
          <w:rFonts w:ascii="Arial" w:hAnsi="Arial" w:cs="Arial"/>
          <w:sz w:val="20"/>
          <w:szCs w:val="20"/>
        </w:rPr>
      </w:pPr>
      <w:r w:rsidRPr="00891758">
        <w:rPr>
          <w:rFonts w:ascii="Arial" w:hAnsi="Arial" w:cs="Arial"/>
          <w:sz w:val="20"/>
          <w:szCs w:val="20"/>
        </w:rPr>
        <w:t xml:space="preserve">(i) the Inter-SC Trade constitutes an exchange for a separate transaction that is </w:t>
      </w:r>
    </w:p>
    <w:p w14:paraId="3CD5A18F" w14:textId="77777777" w:rsidR="00891758" w:rsidRPr="00891758" w:rsidRDefault="00891758" w:rsidP="00891758">
      <w:pPr>
        <w:ind w:left="1440"/>
        <w:rPr>
          <w:rFonts w:ascii="Arial" w:hAnsi="Arial" w:cs="Arial"/>
          <w:sz w:val="20"/>
          <w:szCs w:val="20"/>
        </w:rPr>
      </w:pPr>
      <w:r w:rsidRPr="00891758">
        <w:rPr>
          <w:rFonts w:ascii="Arial" w:hAnsi="Arial" w:cs="Arial"/>
          <w:sz w:val="20"/>
          <w:szCs w:val="20"/>
        </w:rPr>
        <w:t xml:space="preserve">not cleared or settled by the CAISO, </w:t>
      </w:r>
    </w:p>
    <w:p w14:paraId="6AA3D246" w14:textId="77777777" w:rsidR="00891758" w:rsidRPr="00891758" w:rsidRDefault="00891758" w:rsidP="00891758">
      <w:pPr>
        <w:ind w:left="1440"/>
        <w:rPr>
          <w:rFonts w:ascii="Arial" w:hAnsi="Arial" w:cs="Arial"/>
          <w:sz w:val="20"/>
          <w:szCs w:val="20"/>
        </w:rPr>
      </w:pPr>
      <w:r w:rsidRPr="00891758">
        <w:rPr>
          <w:rFonts w:ascii="Arial" w:hAnsi="Arial" w:cs="Arial"/>
          <w:sz w:val="20"/>
          <w:szCs w:val="20"/>
        </w:rPr>
        <w:t xml:space="preserve">is a spot, forward or derivatives contract that contemplates the transfer of energy or a MW obligation to or from a Market Participant, </w:t>
      </w:r>
    </w:p>
    <w:p w14:paraId="29C6B3C7" w14:textId="77777777" w:rsidR="00891758" w:rsidRPr="00891758" w:rsidRDefault="00891758" w:rsidP="00891758">
      <w:pPr>
        <w:ind w:left="1440"/>
        <w:rPr>
          <w:rFonts w:ascii="Arial" w:hAnsi="Arial" w:cs="Arial"/>
          <w:sz w:val="20"/>
          <w:szCs w:val="20"/>
        </w:rPr>
      </w:pPr>
      <w:r w:rsidRPr="00891758">
        <w:rPr>
          <w:rFonts w:ascii="Arial" w:hAnsi="Arial" w:cs="Arial"/>
          <w:sz w:val="20"/>
          <w:szCs w:val="20"/>
        </w:rPr>
        <w:t xml:space="preserve">involves commercially appropriate obligations that impose a duty to transfer electricity or a MW obligation from the seller to the buyer, or from the buyer to the seller, </w:t>
      </w:r>
    </w:p>
    <w:p w14:paraId="46EBA5CB" w14:textId="77777777" w:rsidR="00891758" w:rsidRPr="00891758" w:rsidRDefault="00891758" w:rsidP="00891758">
      <w:pPr>
        <w:ind w:left="1440"/>
        <w:rPr>
          <w:rFonts w:ascii="Arial" w:hAnsi="Arial" w:cs="Arial"/>
          <w:sz w:val="20"/>
          <w:szCs w:val="20"/>
        </w:rPr>
      </w:pPr>
      <w:r w:rsidRPr="00891758">
        <w:rPr>
          <w:rFonts w:ascii="Arial" w:hAnsi="Arial" w:cs="Arial"/>
          <w:sz w:val="20"/>
          <w:szCs w:val="20"/>
        </w:rPr>
        <w:t>with performance taking place within a reasonable time in accordance with prevailing cash market practices; and is not contingent on either party to carry out the Inter-SC Trade.</w:t>
      </w:r>
    </w:p>
    <w:p w14:paraId="5944480B" w14:textId="77777777" w:rsidR="00891758" w:rsidRPr="00891758" w:rsidRDefault="00891758" w:rsidP="00891758">
      <w:pPr>
        <w:ind w:left="720"/>
        <w:rPr>
          <w:rFonts w:ascii="Arial" w:hAnsi="Arial" w:cs="Arial"/>
          <w:sz w:val="20"/>
          <w:szCs w:val="20"/>
        </w:rPr>
      </w:pPr>
      <w:r w:rsidRPr="00891758">
        <w:rPr>
          <w:rFonts w:ascii="Arial" w:hAnsi="Arial" w:cs="Arial"/>
          <w:sz w:val="20"/>
          <w:szCs w:val="20"/>
        </w:rPr>
        <w:t xml:space="preserve">(ii) </w:t>
      </w:r>
      <w:r w:rsidR="002852D5">
        <w:rPr>
          <w:rFonts w:ascii="Arial" w:hAnsi="Arial" w:cs="Arial"/>
          <w:sz w:val="20"/>
          <w:szCs w:val="20"/>
        </w:rPr>
        <w:t>t</w:t>
      </w:r>
      <w:r w:rsidRPr="00891758">
        <w:rPr>
          <w:rFonts w:ascii="Arial" w:hAnsi="Arial" w:cs="Arial"/>
          <w:sz w:val="20"/>
          <w:szCs w:val="20"/>
        </w:rPr>
        <w:t>he Inter-SC Trade is being executed between separate beneficial owners or separate parties trading for independently controlled accounts; and</w:t>
      </w:r>
    </w:p>
    <w:p w14:paraId="2B8CAC08" w14:textId="77777777" w:rsidR="00891758" w:rsidRPr="00891758" w:rsidRDefault="00891758" w:rsidP="00891758">
      <w:pPr>
        <w:ind w:left="720"/>
        <w:rPr>
          <w:rFonts w:ascii="Arial" w:hAnsi="Arial" w:cs="Arial"/>
          <w:sz w:val="20"/>
          <w:szCs w:val="20"/>
        </w:rPr>
      </w:pPr>
      <w:r w:rsidRPr="00891758">
        <w:rPr>
          <w:rFonts w:ascii="Arial" w:hAnsi="Arial" w:cs="Arial"/>
          <w:sz w:val="20"/>
          <w:szCs w:val="20"/>
        </w:rPr>
        <w:t xml:space="preserve">(iii) </w:t>
      </w:r>
      <w:r w:rsidR="002852D5">
        <w:rPr>
          <w:rFonts w:ascii="Arial" w:hAnsi="Arial" w:cs="Arial"/>
          <w:sz w:val="20"/>
          <w:szCs w:val="20"/>
        </w:rPr>
        <w:t>t</w:t>
      </w:r>
      <w:r w:rsidRPr="00891758">
        <w:rPr>
          <w:rFonts w:ascii="Arial" w:hAnsi="Arial" w:cs="Arial"/>
          <w:sz w:val="20"/>
          <w:szCs w:val="20"/>
        </w:rPr>
        <w:t>he Inter-SC Trade and the separate transaction described in subsection (b)(i) will be separately identified in its records.</w:t>
      </w:r>
    </w:p>
    <w:p w14:paraId="4EB0872C" w14:textId="77777777" w:rsidR="00891758" w:rsidRPr="00891758" w:rsidRDefault="00891758" w:rsidP="00891758">
      <w:pPr>
        <w:rPr>
          <w:rFonts w:ascii="Arial" w:hAnsi="Arial" w:cs="Arial"/>
          <w:sz w:val="20"/>
          <w:szCs w:val="20"/>
        </w:rPr>
      </w:pPr>
      <w:r w:rsidRPr="00891758">
        <w:rPr>
          <w:rFonts w:ascii="Arial" w:hAnsi="Arial" w:cs="Arial"/>
          <w:sz w:val="20"/>
          <w:szCs w:val="20"/>
        </w:rPr>
        <w:t>c) Each Scheduling Coordinator that submits an Inter-SC Trade will maintain, and produce upon request of the CAISO, records demonstrating compliance with the requirements of Section 28.4 (b) for the Inter-SC Trade, the Related Transaction and any other transaction that is directly related to, or integrated in any way with, the Related Transaction, including the identity of the counterparties and the material economic terms of the transaction, including their price, tenor, quantity and execution date.</w:t>
      </w:r>
    </w:p>
    <w:p w14:paraId="653E7BC6" w14:textId="77777777" w:rsidR="00891758" w:rsidRPr="00891758" w:rsidRDefault="00891758" w:rsidP="00891758">
      <w:pPr>
        <w:jc w:val="center"/>
        <w:rPr>
          <w:rFonts w:ascii="Arial" w:hAnsi="Arial" w:cs="Arial"/>
          <w:sz w:val="20"/>
          <w:szCs w:val="20"/>
        </w:rPr>
      </w:pPr>
      <w:r w:rsidRPr="00891758">
        <w:rPr>
          <w:rFonts w:ascii="Arial" w:hAnsi="Arial" w:cs="Arial"/>
          <w:sz w:val="20"/>
          <w:szCs w:val="20"/>
        </w:rPr>
        <w:t>***</w:t>
      </w:r>
    </w:p>
    <w:p w14:paraId="291F3E23" w14:textId="77777777" w:rsidR="00891758" w:rsidRPr="00891758" w:rsidRDefault="00891758" w:rsidP="00891758">
      <w:pPr>
        <w:rPr>
          <w:rFonts w:ascii="Arial" w:hAnsi="Arial" w:cs="Arial"/>
          <w:color w:val="1F497D"/>
          <w:sz w:val="20"/>
          <w:szCs w:val="20"/>
        </w:rPr>
      </w:pPr>
    </w:p>
    <w:p w14:paraId="2E9F8B13" w14:textId="77777777" w:rsidR="002A54AE" w:rsidRPr="00891758" w:rsidRDefault="002A54AE">
      <w:pPr>
        <w:rPr>
          <w:rFonts w:ascii="Arial" w:hAnsi="Arial" w:cs="Arial"/>
          <w:sz w:val="20"/>
          <w:szCs w:val="20"/>
        </w:rPr>
      </w:pPr>
    </w:p>
    <w:sectPr w:rsidR="002A54AE" w:rsidRPr="00891758" w:rsidSect="00891758">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CAF1" w14:textId="77777777" w:rsidR="003D406B" w:rsidRDefault="003D406B" w:rsidP="00891758">
      <w:pPr>
        <w:spacing w:after="0" w:line="240" w:lineRule="auto"/>
      </w:pPr>
      <w:r>
        <w:separator/>
      </w:r>
    </w:p>
  </w:endnote>
  <w:endnote w:type="continuationSeparator" w:id="0">
    <w:p w14:paraId="2C351BA5" w14:textId="77777777" w:rsidR="003D406B" w:rsidRDefault="003D406B" w:rsidP="00891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CFA7" w14:textId="77777777" w:rsidR="003D406B" w:rsidRDefault="003D406B" w:rsidP="00891758">
      <w:pPr>
        <w:spacing w:after="0" w:line="240" w:lineRule="auto"/>
      </w:pPr>
      <w:r>
        <w:separator/>
      </w:r>
    </w:p>
  </w:footnote>
  <w:footnote w:type="continuationSeparator" w:id="0">
    <w:p w14:paraId="0A3A12DF" w14:textId="77777777" w:rsidR="003D406B" w:rsidRDefault="003D406B" w:rsidP="00891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E1BE" w14:textId="77777777" w:rsidR="00891758" w:rsidRDefault="00891758" w:rsidP="00891758">
    <w:pPr>
      <w:pStyle w:val="Header"/>
      <w:spacing w:after="0"/>
      <w:rPr>
        <w:rFonts w:ascii="Arial" w:hAnsi="Arial" w:cs="Arial"/>
        <w:sz w:val="20"/>
        <w:szCs w:val="20"/>
      </w:rPr>
    </w:pPr>
    <w:r>
      <w:rPr>
        <w:rFonts w:ascii="Arial" w:hAnsi="Arial" w:cs="Arial"/>
        <w:sz w:val="20"/>
        <w:szCs w:val="20"/>
      </w:rPr>
      <w:t>Inter-SC Trades Oversight Exemption</w:t>
    </w:r>
  </w:p>
  <w:p w14:paraId="474A09B8" w14:textId="77777777" w:rsidR="00891758" w:rsidRPr="00C70E8A" w:rsidRDefault="00891758" w:rsidP="00891758">
    <w:pPr>
      <w:pStyle w:val="Header"/>
      <w:spacing w:after="0"/>
      <w:rPr>
        <w:rFonts w:ascii="Arial" w:hAnsi="Arial" w:cs="Arial"/>
        <w:sz w:val="20"/>
        <w:szCs w:val="20"/>
      </w:rPr>
    </w:pPr>
    <w:r>
      <w:rPr>
        <w:rFonts w:ascii="Arial" w:hAnsi="Arial" w:cs="Arial"/>
        <w:sz w:val="20"/>
        <w:szCs w:val="20"/>
      </w:rPr>
      <w:t>Draft Tariff Language</w:t>
    </w:r>
    <w:r>
      <w:rPr>
        <w:rFonts w:ascii="Arial" w:hAnsi="Arial" w:cs="Arial"/>
        <w:sz w:val="20"/>
        <w:szCs w:val="20"/>
      </w:rPr>
      <w:tab/>
    </w:r>
    <w:r>
      <w:rPr>
        <w:rFonts w:ascii="Arial" w:hAnsi="Arial" w:cs="Arial"/>
        <w:sz w:val="20"/>
        <w:szCs w:val="20"/>
      </w:rPr>
      <w:tab/>
      <w:t>For Discussion Purposes Only</w:t>
    </w:r>
  </w:p>
  <w:p w14:paraId="7E63AD8F" w14:textId="77777777" w:rsidR="00891758" w:rsidRDefault="008917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58"/>
    <w:rsid w:val="000327BC"/>
    <w:rsid w:val="000E5EF7"/>
    <w:rsid w:val="00116CEA"/>
    <w:rsid w:val="001C4EF0"/>
    <w:rsid w:val="002852D5"/>
    <w:rsid w:val="002A54AE"/>
    <w:rsid w:val="003114B4"/>
    <w:rsid w:val="00343C58"/>
    <w:rsid w:val="00345A8A"/>
    <w:rsid w:val="003841E2"/>
    <w:rsid w:val="00387B92"/>
    <w:rsid w:val="00394B21"/>
    <w:rsid w:val="003B00FF"/>
    <w:rsid w:val="003D406B"/>
    <w:rsid w:val="00414592"/>
    <w:rsid w:val="004523FB"/>
    <w:rsid w:val="004C3684"/>
    <w:rsid w:val="004D0CE9"/>
    <w:rsid w:val="007A6F1D"/>
    <w:rsid w:val="007B763F"/>
    <w:rsid w:val="00891758"/>
    <w:rsid w:val="009B5FC0"/>
    <w:rsid w:val="009E2280"/>
    <w:rsid w:val="00A33915"/>
    <w:rsid w:val="00B240E3"/>
    <w:rsid w:val="00B41A6C"/>
    <w:rsid w:val="00C1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90F4FE"/>
  <w15:chartTrackingRefBased/>
  <w15:docId w15:val="{B9D704CD-5F9D-4B44-9007-AB43722B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75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1758"/>
    <w:pPr>
      <w:tabs>
        <w:tab w:val="center" w:pos="4680"/>
        <w:tab w:val="right" w:pos="9360"/>
      </w:tabs>
    </w:pPr>
  </w:style>
  <w:style w:type="character" w:customStyle="1" w:styleId="HeaderChar">
    <w:name w:val="Header Char"/>
    <w:basedOn w:val="DefaultParagraphFont"/>
    <w:link w:val="Header"/>
    <w:uiPriority w:val="99"/>
    <w:semiHidden/>
    <w:rsid w:val="00891758"/>
    <w:rPr>
      <w:rFonts w:ascii="Calibri" w:hAnsi="Calibri" w:cs="Calibri"/>
    </w:rPr>
  </w:style>
  <w:style w:type="paragraph" w:styleId="Footer">
    <w:name w:val="footer"/>
    <w:basedOn w:val="Normal"/>
    <w:link w:val="FooterChar"/>
    <w:uiPriority w:val="99"/>
    <w:semiHidden/>
    <w:unhideWhenUsed/>
    <w:rsid w:val="00891758"/>
    <w:pPr>
      <w:tabs>
        <w:tab w:val="center" w:pos="4680"/>
        <w:tab w:val="right" w:pos="9360"/>
      </w:tabs>
    </w:pPr>
  </w:style>
  <w:style w:type="character" w:customStyle="1" w:styleId="FooterChar">
    <w:name w:val="Footer Char"/>
    <w:basedOn w:val="DefaultParagraphFont"/>
    <w:link w:val="Footer"/>
    <w:uiPriority w:val="99"/>
    <w:semiHidden/>
    <w:rsid w:val="0089175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7;#Stakeholder processes|71659ab1-dac7-419e-9529-abc47c232b66;#5668;#Inter-SC trades oversight exemption - tariff|6063db6c-2d05-4815-9274-31bb16012d15;#26;#stakeholder initiative|eed0ce1e-bb47-425b-8cdd-84244efe7e65;#5671;#Stakeholder web conference Aug 6, 2012|2846eb29-1135-47a4-81ed-b0af647b66fb;#126;#tariff|8391f304-7a17-4461-850b-68e07f900221]]></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564C6B-2B11-4096-B960-3F9F92D49BA3}">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A859EF71-681F-4B99-848C-89F100C382AF}"/>
</file>

<file path=customXml/itemProps3.xml><?xml version="1.0" encoding="utf-8"?>
<ds:datastoreItem xmlns:ds="http://schemas.openxmlformats.org/officeDocument/2006/customXml" ds:itemID="{FC2EFB56-9188-4F8A-BB18-A8EF00A2F69F}"/>
</file>

<file path=customXml/itemProps4.xml><?xml version="1.0" encoding="utf-8"?>
<ds:datastoreItem xmlns:ds="http://schemas.openxmlformats.org/officeDocument/2006/customXml" ds:itemID="{E7DCFFC0-360B-4031-9DAD-F5B7A1E4B0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CAISO</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msedgley</dc:creator>
  <cp:keywords/>
  <cp:lastModifiedBy>Valladares, Angela</cp:lastModifiedBy>
  <cp:revision>2</cp:revision>
  <dcterms:created xsi:type="dcterms:W3CDTF">2025-10-22T18:05:00Z</dcterms:created>
  <dcterms:modified xsi:type="dcterms:W3CDTF">2025-10-22T18:05:00Z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Topic">
    <vt:lpwstr>7;#Stakeholder processes|71659ab1-dac7-419e-9529-abc47c232b66</vt:lpwstr>
  </property>
  <property fmtid="{D5CDD505-2E9C-101B-9397-08002B2CF9AE}" pid="3" name="ISOKeywords">
    <vt:lpwstr>26;#stakeholder initiative|eed0ce1e-bb47-425b-8cdd-84244efe7e65;#126;#tariff|8391f304-7a17-4461-850b-68e07f900221</vt:lpwstr>
  </property>
  <property fmtid="{D5CDD505-2E9C-101B-9397-08002B2CF9AE}" pid="4" name="ISOGroup">
    <vt:lpwstr>5668;#Inter-SC trades oversight exemption - tariff|6063db6c-2d05-4815-9274-31bb16012d15;#5671;#Stakeholder web conference Aug 6, 2012|2846eb29-1135-47a4-81ed-b0af647b66fb</vt:lpwstr>
  </property>
  <property fmtid="{D5CDD505-2E9C-101B-9397-08002B2CF9AE}" pid="5" name="ISOArchive">
    <vt:lpwstr/>
  </property>
  <property fmtid="{D5CDD505-2E9C-101B-9397-08002B2CF9AE}" pid="6" name="ContentTypeId">
    <vt:lpwstr>0x010100776092249CC62C48AA17033F357BFB4B</vt:lpwstr>
  </property>
</Properties>
</file>