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oter5.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8E0FE6" w14:textId="231FAC04" w:rsidR="00E14135" w:rsidRPr="00746F54" w:rsidRDefault="00E14135" w:rsidP="00E14135">
      <w:pPr>
        <w:jc w:val="center"/>
        <w:rPr>
          <w:rFonts w:ascii="Arial" w:hAnsi="Arial" w:cs="Arial"/>
        </w:rPr>
      </w:pPr>
      <w:r w:rsidRPr="00746F54">
        <w:rPr>
          <w:rFonts w:ascii="Arial" w:hAnsi="Arial" w:cs="Arial"/>
          <w:noProof/>
          <w:sz w:val="20"/>
        </w:rPr>
        <mc:AlternateContent>
          <mc:Choice Requires="wps">
            <w:drawing>
              <wp:anchor distT="0" distB="0" distL="114300" distR="114300" simplePos="0" relativeHeight="251658240" behindDoc="0" locked="0" layoutInCell="1" allowOverlap="1" wp14:anchorId="036C543B" wp14:editId="6DE80DC8">
                <wp:simplePos x="0" y="0"/>
                <wp:positionH relativeFrom="column">
                  <wp:posOffset>-1143000</wp:posOffset>
                </wp:positionH>
                <wp:positionV relativeFrom="paragraph">
                  <wp:posOffset>228600</wp:posOffset>
                </wp:positionV>
                <wp:extent cx="9144000" cy="114300"/>
                <wp:effectExtent l="0" t="1905" r="0" b="0"/>
                <wp:wrapNone/>
                <wp:docPr id="8" name="Rectangle 4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0" cy="114300"/>
                        </a:xfrm>
                        <a:prstGeom prst="rect">
                          <a:avLst/>
                        </a:prstGeom>
                        <a:gradFill rotWithShape="0">
                          <a:gsLst>
                            <a:gs pos="0">
                              <a:srgbClr val="FFFFFF"/>
                            </a:gs>
                            <a:gs pos="100000">
                              <a:srgbClr val="1379C5"/>
                            </a:gs>
                          </a:gsLst>
                          <a:lin ang="0" scaled="1"/>
                        </a:gra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3A10332E" id="Rectangle 48" o:spid="_x0000_s1026" style="position:absolute;margin-left:-90pt;margin-top:18pt;width:10in;height:9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" stroked="f">
                <v:fill color2="#1379c5" angle="90" focus="100%" type="gradient"/>
              </v:rect>
            </w:pict>
          </mc:Fallback>
        </mc:AlternateContent>
      </w:r>
      <w:r w:rsidR="00653F2E" w:rsidRPr="00746F54">
        <w:rPr>
          <w:rFonts w:ascii="Arial" w:hAnsi="Arial" w:cs="Arial"/>
        </w:rPr>
        <w:t xml:space="preserve"> </w:t>
      </w:r>
    </w:p>
    <w:p w14:paraId="5F04B136" w14:textId="77777777" w:rsidR="00E14135" w:rsidRPr="00746F54" w:rsidRDefault="00E14135" w:rsidP="00E14135">
      <w:pPr>
        <w:rPr>
          <w:rFonts w:ascii="Arial" w:hAnsi="Arial" w:cs="Arial"/>
        </w:rPr>
      </w:pPr>
    </w:p>
    <w:p w14:paraId="520F4978" w14:textId="77777777" w:rsidR="00E14135" w:rsidRPr="00746F54" w:rsidRDefault="00E14135" w:rsidP="00E14135">
      <w:pPr>
        <w:pStyle w:val="ParaText"/>
        <w:jc w:val="right"/>
        <w:rPr>
          <w:rFonts w:ascii="Arial" w:hAnsi="Arial" w:cs="Arial"/>
          <w:b/>
          <w:bCs/>
        </w:rPr>
      </w:pPr>
    </w:p>
    <w:p w14:paraId="2F826D2B" w14:textId="77777777" w:rsidR="00E14135" w:rsidRPr="00746F54" w:rsidRDefault="00E14135" w:rsidP="00E14135">
      <w:pPr>
        <w:pStyle w:val="Header"/>
        <w:tabs>
          <w:tab w:val="clear" w:pos="4320"/>
          <w:tab w:val="clear" w:pos="8640"/>
        </w:tabs>
        <w:rPr>
          <w:rFonts w:ascii="Arial" w:hAnsi="Arial" w:cs="Arial"/>
          <w:b w:val="0"/>
          <w:bCs/>
        </w:rPr>
      </w:pPr>
    </w:p>
    <w:p w14:paraId="39A2C5AA" w14:textId="77777777" w:rsidR="00E14135" w:rsidRPr="00746F54" w:rsidRDefault="00E14135" w:rsidP="00E14135">
      <w:pPr>
        <w:pStyle w:val="ParaText"/>
        <w:rPr>
          <w:rFonts w:ascii="Arial" w:hAnsi="Arial" w:cs="Arial"/>
        </w:rPr>
      </w:pPr>
    </w:p>
    <w:p w14:paraId="3485E9B1" w14:textId="77777777" w:rsidR="00E14135" w:rsidRPr="00746F54" w:rsidRDefault="00E14135" w:rsidP="00E14135">
      <w:pPr>
        <w:pStyle w:val="ParaText"/>
        <w:rPr>
          <w:rFonts w:ascii="Arial" w:hAnsi="Arial" w:cs="Arial"/>
        </w:rPr>
      </w:pPr>
    </w:p>
    <w:p w14:paraId="10630A77" w14:textId="77777777" w:rsidR="00E14135" w:rsidRPr="00746F54" w:rsidRDefault="00E14135" w:rsidP="00E14135">
      <w:pPr>
        <w:pStyle w:val="ParaText"/>
        <w:rPr>
          <w:rFonts w:ascii="Arial" w:hAnsi="Arial" w:cs="Arial"/>
        </w:rPr>
      </w:pPr>
    </w:p>
    <w:p w14:paraId="42951E91" w14:textId="77777777" w:rsidR="00E14135" w:rsidRPr="00746F54" w:rsidRDefault="00E14135" w:rsidP="00E14135">
      <w:pPr>
        <w:pStyle w:val="Title"/>
        <w:rPr>
          <w:rFonts w:ascii="Arial" w:hAnsi="Arial" w:cs="Arial"/>
        </w:rPr>
      </w:pPr>
      <w:r w:rsidRPr="00746F54">
        <w:rPr>
          <w:rFonts w:ascii="Arial" w:hAnsi="Arial" w:cs="Arial"/>
        </w:rPr>
        <w:t>Business Practice Manual for</w:t>
      </w:r>
    </w:p>
    <w:p w14:paraId="6DC28860" w14:textId="67DE4397" w:rsidR="00E14135" w:rsidRPr="00746F54" w:rsidRDefault="00E14135" w:rsidP="00E14135">
      <w:pPr>
        <w:pStyle w:val="Title"/>
        <w:rPr>
          <w:rFonts w:ascii="Arial" w:hAnsi="Arial" w:cs="Arial"/>
        </w:rPr>
      </w:pPr>
      <w:r w:rsidRPr="00746F54">
        <w:rPr>
          <w:rFonts w:ascii="Arial" w:hAnsi="Arial" w:cs="Arial"/>
        </w:rPr>
        <w:t>Extended Day</w:t>
      </w:r>
      <w:r w:rsidR="00750440" w:rsidRPr="00746F54">
        <w:rPr>
          <w:rFonts w:ascii="Arial" w:hAnsi="Arial" w:cs="Arial"/>
        </w:rPr>
        <w:t>-</w:t>
      </w:r>
      <w:r w:rsidRPr="00746F54">
        <w:rPr>
          <w:rFonts w:ascii="Arial" w:hAnsi="Arial" w:cs="Arial"/>
        </w:rPr>
        <w:t>Ahead Market</w:t>
      </w:r>
    </w:p>
    <w:p w14:paraId="5AF6B3B3" w14:textId="77777777" w:rsidR="00E14135" w:rsidRPr="00746F54" w:rsidRDefault="00E14135" w:rsidP="00E14135">
      <w:pPr>
        <w:pStyle w:val="ParaText"/>
        <w:rPr>
          <w:rFonts w:ascii="Arial" w:hAnsi="Arial" w:cs="Arial"/>
        </w:rPr>
      </w:pPr>
    </w:p>
    <w:p w14:paraId="4558B85D" w14:textId="77777777" w:rsidR="00E14135" w:rsidRPr="00746F54" w:rsidRDefault="00E14135" w:rsidP="00E14135">
      <w:pPr>
        <w:pStyle w:val="ParaText"/>
        <w:rPr>
          <w:rFonts w:ascii="Arial" w:hAnsi="Arial" w:cs="Arial"/>
        </w:rPr>
      </w:pPr>
    </w:p>
    <w:p w14:paraId="77A5958F" w14:textId="77777777" w:rsidR="00E14135" w:rsidRPr="00746F54" w:rsidRDefault="00E14135" w:rsidP="00E14135">
      <w:pPr>
        <w:pStyle w:val="ParaText"/>
        <w:rPr>
          <w:rFonts w:ascii="Arial" w:hAnsi="Arial" w:cs="Arial"/>
        </w:rPr>
      </w:pPr>
    </w:p>
    <w:p w14:paraId="26677D9F" w14:textId="77777777" w:rsidR="00E14135" w:rsidRPr="00746F54" w:rsidRDefault="00E14135" w:rsidP="00E14135">
      <w:pPr>
        <w:pStyle w:val="ParaText"/>
        <w:rPr>
          <w:rFonts w:ascii="Arial" w:hAnsi="Arial" w:cs="Arial"/>
        </w:rPr>
      </w:pPr>
    </w:p>
    <w:p w14:paraId="6B4AFB2D" w14:textId="77777777" w:rsidR="00E14135" w:rsidRPr="00746F54" w:rsidRDefault="00E14135" w:rsidP="00E14135">
      <w:pPr>
        <w:pStyle w:val="ParaText"/>
        <w:jc w:val="center"/>
        <w:rPr>
          <w:rFonts w:ascii="Arial" w:hAnsi="Arial" w:cs="Arial"/>
        </w:rPr>
      </w:pPr>
      <w:r w:rsidRPr="00746F54">
        <w:rPr>
          <w:rFonts w:ascii="Arial" w:hAnsi="Arial" w:cs="Arial"/>
        </w:rPr>
        <w:t>Version 1</w:t>
      </w:r>
    </w:p>
    <w:p w14:paraId="3692D2F4" w14:textId="77777777" w:rsidR="00E14135" w:rsidRPr="00746F54" w:rsidRDefault="00E14135" w:rsidP="00E14135">
      <w:pPr>
        <w:pStyle w:val="ParaText"/>
        <w:rPr>
          <w:rFonts w:ascii="Arial" w:hAnsi="Arial" w:cs="Arial"/>
        </w:rPr>
      </w:pPr>
    </w:p>
    <w:p w14:paraId="39B399CE" w14:textId="5BF16E8F" w:rsidR="00E14135" w:rsidRPr="00746F54" w:rsidRDefault="00E14135" w:rsidP="00E14135">
      <w:pPr>
        <w:pStyle w:val="ParaText"/>
        <w:jc w:val="center"/>
        <w:rPr>
          <w:rFonts w:ascii="Arial" w:hAnsi="Arial" w:cs="Arial"/>
        </w:rPr>
      </w:pPr>
      <w:r w:rsidRPr="00746F54">
        <w:rPr>
          <w:rFonts w:ascii="Arial" w:hAnsi="Arial" w:cs="Arial"/>
        </w:rPr>
        <w:t xml:space="preserve">Revision Date: </w:t>
      </w:r>
      <w:r w:rsidR="00681E96">
        <w:rPr>
          <w:rFonts w:ascii="Arial" w:hAnsi="Arial" w:cs="Arial"/>
        </w:rPr>
        <w:t>October 30, 2025</w:t>
      </w:r>
      <w:r w:rsidRPr="00746F54">
        <w:rPr>
          <w:rFonts w:ascii="Arial" w:hAnsi="Arial" w:cs="Arial"/>
        </w:rPr>
        <w:t xml:space="preserve"> </w:t>
      </w:r>
      <w:r w:rsidRPr="00746F54">
        <w:rPr>
          <w:rFonts w:ascii="Arial" w:hAnsi="Arial" w:cs="Arial"/>
          <w:i/>
        </w:rPr>
        <w:t>date version is posted to the Library</w:t>
      </w:r>
    </w:p>
    <w:p w14:paraId="6AC8BA69" w14:textId="06AF6677" w:rsidR="00521194" w:rsidRPr="00746F54" w:rsidRDefault="00521194" w:rsidP="00521194">
      <w:pPr>
        <w:pStyle w:val="ParaText"/>
        <w:rPr>
          <w:rFonts w:ascii="Arial" w:hAnsi="Arial" w:cs="Arial"/>
        </w:rPr>
      </w:pPr>
      <w:r w:rsidRPr="00746F54">
        <w:rPr>
          <w:rFonts w:ascii="Arial" w:hAnsi="Arial" w:cs="Arial"/>
          <w:b/>
          <w:bCs/>
        </w:rPr>
        <w:t>Note</w:t>
      </w:r>
      <w:r w:rsidRPr="00746F54">
        <w:rPr>
          <w:rFonts w:ascii="Arial" w:hAnsi="Arial" w:cs="Arial"/>
        </w:rPr>
        <w:t xml:space="preserve"> – this document is a working draft and remains under internal review by the CAISO and subject to revision.  </w:t>
      </w:r>
    </w:p>
    <w:p w14:paraId="3A205265" w14:textId="77777777" w:rsidR="00E14135" w:rsidRPr="00746F54" w:rsidRDefault="00E14135" w:rsidP="00E14135">
      <w:pPr>
        <w:pStyle w:val="ParaText"/>
        <w:rPr>
          <w:rFonts w:ascii="Arial" w:hAnsi="Arial" w:cs="Arial"/>
        </w:rPr>
      </w:pPr>
    </w:p>
    <w:p w14:paraId="0505CF60" w14:textId="77777777" w:rsidR="00E14135" w:rsidRPr="00746F54" w:rsidRDefault="00E14135" w:rsidP="00E14135">
      <w:pPr>
        <w:pStyle w:val="ParaText"/>
        <w:rPr>
          <w:rFonts w:ascii="Arial" w:hAnsi="Arial" w:cs="Arial"/>
        </w:rPr>
      </w:pPr>
    </w:p>
    <w:p w14:paraId="4AF151D1" w14:textId="77777777" w:rsidR="00E14135" w:rsidRPr="00746F54" w:rsidRDefault="00E14135" w:rsidP="00E14135">
      <w:pPr>
        <w:pStyle w:val="Header"/>
        <w:jc w:val="center"/>
        <w:rPr>
          <w:rFonts w:ascii="Arial" w:hAnsi="Arial" w:cs="Arial"/>
          <w:b w:val="0"/>
          <w:bCs/>
          <w:sz w:val="20"/>
        </w:rPr>
      </w:pPr>
    </w:p>
    <w:p w14:paraId="26DCA4C1" w14:textId="77777777" w:rsidR="00E14135" w:rsidRPr="00746F54" w:rsidRDefault="00E14135" w:rsidP="00E14135">
      <w:pPr>
        <w:pStyle w:val="ParaText"/>
        <w:rPr>
          <w:rFonts w:ascii="Arial" w:hAnsi="Arial" w:cs="Arial"/>
        </w:rPr>
      </w:pPr>
    </w:p>
    <w:p w14:paraId="7813B745" w14:textId="77777777" w:rsidR="00E14135" w:rsidRPr="00746F54" w:rsidRDefault="00E14135" w:rsidP="00E14135">
      <w:pPr>
        <w:rPr>
          <w:rFonts w:ascii="Arial" w:hAnsi="Arial" w:cs="Arial"/>
        </w:rPr>
        <w:sectPr w:rsidR="00E14135" w:rsidRPr="00746F54" w:rsidSect="00E14135">
          <w:headerReference w:type="default" r:id="rId11"/>
          <w:footerReference w:type="even" r:id="rId12"/>
          <w:footerReference w:type="default" r:id="rId13"/>
          <w:headerReference w:type="first" r:id="rId14"/>
          <w:footerReference w:type="first" r:id="rId15"/>
          <w:pgSz w:w="12240" w:h="15840"/>
          <w:pgMar w:top="1728" w:right="1440" w:bottom="1728" w:left="1440" w:header="720" w:footer="720" w:gutter="0"/>
          <w:pgNumType w:fmt="lowerRoman" w:start="1"/>
          <w:cols w:space="720"/>
          <w:titlePg/>
          <w:docGrid w:linePitch="299"/>
        </w:sectPr>
      </w:pPr>
    </w:p>
    <w:p w14:paraId="276ACB14" w14:textId="77777777" w:rsidR="00E14135" w:rsidRPr="00746F54" w:rsidRDefault="00E14135" w:rsidP="00E14135">
      <w:pPr>
        <w:rPr>
          <w:rFonts w:ascii="Arial" w:hAnsi="Arial" w:cs="Arial"/>
          <w:b/>
          <w:bCs/>
          <w:sz w:val="32"/>
        </w:rPr>
      </w:pPr>
      <w:r w:rsidRPr="00746F54">
        <w:rPr>
          <w:rFonts w:ascii="Arial" w:hAnsi="Arial" w:cs="Arial"/>
          <w:b/>
          <w:bCs/>
          <w:sz w:val="32"/>
        </w:rPr>
        <w:lastRenderedPageBreak/>
        <w:t>Approval History</w:t>
      </w:r>
    </w:p>
    <w:p w14:paraId="46FD7F3A" w14:textId="77777777" w:rsidR="00E14135" w:rsidRPr="00746F54" w:rsidRDefault="00E14135" w:rsidP="00E14135">
      <w:pPr>
        <w:pStyle w:val="ParaText"/>
        <w:ind w:firstLine="720"/>
        <w:rPr>
          <w:rFonts w:ascii="Arial" w:hAnsi="Arial" w:cs="Arial"/>
        </w:rPr>
      </w:pPr>
      <w:r w:rsidRPr="00746F54">
        <w:rPr>
          <w:rFonts w:ascii="Arial" w:hAnsi="Arial" w:cs="Arial"/>
        </w:rPr>
        <w:t xml:space="preserve">Approval Date: </w:t>
      </w:r>
      <w:r w:rsidRPr="00746F54">
        <w:rPr>
          <w:rFonts w:ascii="Arial" w:hAnsi="Arial" w:cs="Arial"/>
          <w:highlight w:val="yellow"/>
        </w:rPr>
        <w:t>[month day, 201_]</w:t>
      </w:r>
      <w:r w:rsidRPr="00746F54">
        <w:rPr>
          <w:rFonts w:ascii="Arial" w:hAnsi="Arial" w:cs="Arial"/>
        </w:rPr>
        <w:t xml:space="preserve">  </w:t>
      </w:r>
      <w:r w:rsidRPr="00746F54">
        <w:rPr>
          <w:rFonts w:ascii="Arial" w:hAnsi="Arial" w:cs="Arial"/>
          <w:i/>
        </w:rPr>
        <w:t>This date never changes</w:t>
      </w:r>
    </w:p>
    <w:p w14:paraId="0606C06C" w14:textId="77777777" w:rsidR="00E14135" w:rsidRPr="00746F54" w:rsidRDefault="00E14135" w:rsidP="00E14135">
      <w:pPr>
        <w:pStyle w:val="ParaText"/>
        <w:ind w:firstLine="720"/>
        <w:rPr>
          <w:rFonts w:ascii="Arial" w:hAnsi="Arial" w:cs="Arial"/>
        </w:rPr>
      </w:pPr>
      <w:r w:rsidRPr="00746F54">
        <w:rPr>
          <w:rFonts w:ascii="Arial" w:hAnsi="Arial" w:cs="Arial"/>
        </w:rPr>
        <w:t xml:space="preserve">Effective Date: </w:t>
      </w:r>
      <w:r w:rsidRPr="00746F54">
        <w:rPr>
          <w:rFonts w:ascii="Arial" w:hAnsi="Arial" w:cs="Arial"/>
          <w:highlight w:val="yellow"/>
        </w:rPr>
        <w:t>[month day, 201_]</w:t>
      </w:r>
      <w:r w:rsidRPr="00746F54">
        <w:rPr>
          <w:rFonts w:ascii="Arial" w:hAnsi="Arial" w:cs="Arial"/>
        </w:rPr>
        <w:t xml:space="preserve">  </w:t>
      </w:r>
      <w:r w:rsidRPr="00746F54">
        <w:rPr>
          <w:rFonts w:ascii="Arial" w:hAnsi="Arial" w:cs="Arial"/>
          <w:i/>
        </w:rPr>
        <w:t>This date never changes</w:t>
      </w:r>
    </w:p>
    <w:p w14:paraId="4C10955F" w14:textId="4ED3F2E2" w:rsidR="00E14135" w:rsidRPr="00746F54" w:rsidRDefault="00E14135" w:rsidP="00E14135">
      <w:pPr>
        <w:pStyle w:val="ParaText"/>
        <w:ind w:firstLine="720"/>
        <w:rPr>
          <w:rFonts w:ascii="Arial" w:hAnsi="Arial" w:cs="Arial"/>
        </w:rPr>
      </w:pPr>
      <w:r w:rsidRPr="00746F54">
        <w:rPr>
          <w:rFonts w:ascii="Arial" w:hAnsi="Arial" w:cs="Arial"/>
        </w:rPr>
        <w:t xml:space="preserve">BPM Owner:  </w:t>
      </w:r>
      <w:r w:rsidR="0051089D" w:rsidRPr="00746F54">
        <w:rPr>
          <w:rFonts w:ascii="Arial" w:hAnsi="Arial" w:cs="Arial"/>
        </w:rPr>
        <w:t>John Phipps</w:t>
      </w:r>
    </w:p>
    <w:p w14:paraId="333F48CF" w14:textId="7516BA9D" w:rsidR="00E14135" w:rsidRPr="00746F54" w:rsidRDefault="00E14135" w:rsidP="00E14135">
      <w:pPr>
        <w:pStyle w:val="ParaText"/>
        <w:ind w:firstLine="720"/>
        <w:rPr>
          <w:rFonts w:ascii="Arial" w:hAnsi="Arial" w:cs="Arial"/>
        </w:rPr>
      </w:pPr>
      <w:r w:rsidRPr="00746F54">
        <w:rPr>
          <w:rFonts w:ascii="Arial" w:hAnsi="Arial" w:cs="Arial"/>
        </w:rPr>
        <w:t xml:space="preserve">BPM Owner’s Title: </w:t>
      </w:r>
      <w:r w:rsidR="0051089D" w:rsidRPr="00746F54">
        <w:rPr>
          <w:rFonts w:ascii="Arial" w:hAnsi="Arial" w:cs="Arial"/>
        </w:rPr>
        <w:t xml:space="preserve">Executive Director, Grid Operations </w:t>
      </w:r>
    </w:p>
    <w:p w14:paraId="1DD90B3D" w14:textId="77777777" w:rsidR="00E14135" w:rsidRPr="00746F54" w:rsidRDefault="00E14135" w:rsidP="00E14135">
      <w:pPr>
        <w:rPr>
          <w:rFonts w:ascii="Arial" w:hAnsi="Arial" w:cs="Arial"/>
          <w:b/>
          <w:bCs/>
          <w:sz w:val="32"/>
        </w:rPr>
      </w:pPr>
      <w:r w:rsidRPr="00746F54">
        <w:rPr>
          <w:rFonts w:ascii="Arial" w:hAnsi="Arial" w:cs="Arial"/>
          <w:b/>
          <w:bCs/>
          <w:sz w:val="32"/>
        </w:rPr>
        <w:t>Revision History</w:t>
      </w:r>
    </w:p>
    <w:p w14:paraId="2A90D510" w14:textId="77777777" w:rsidR="00E14135" w:rsidRPr="00746F54" w:rsidRDefault="00E14135" w:rsidP="00E14135">
      <w:pPr>
        <w:pStyle w:val="ParaText"/>
        <w:rPr>
          <w:rFonts w:ascii="Arial" w:hAnsi="Arial" w:cs="Arial"/>
        </w:rPr>
      </w:pPr>
    </w:p>
    <w:tbl>
      <w:tblPr>
        <w:tblW w:w="99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70"/>
        <w:gridCol w:w="900"/>
        <w:gridCol w:w="1170"/>
        <w:gridCol w:w="1440"/>
        <w:gridCol w:w="5220"/>
      </w:tblGrid>
      <w:tr w:rsidR="00E14135" w:rsidRPr="00746F54" w14:paraId="3E9E14D0" w14:textId="77777777" w:rsidTr="009003C0">
        <w:trPr>
          <w:tblHeader/>
        </w:trPr>
        <w:tc>
          <w:tcPr>
            <w:tcW w:w="1170" w:type="dxa"/>
            <w:shd w:val="clear" w:color="auto" w:fill="0000BE"/>
            <w:vAlign w:val="center"/>
          </w:tcPr>
          <w:p w14:paraId="114A9F9B" w14:textId="77777777" w:rsidR="00E14135" w:rsidRPr="00746F54" w:rsidRDefault="00E14135" w:rsidP="009003C0">
            <w:pPr>
              <w:spacing w:before="60" w:after="60"/>
              <w:jc w:val="center"/>
              <w:rPr>
                <w:rFonts w:ascii="Arial" w:hAnsi="Arial" w:cs="Arial"/>
                <w:color w:val="FFFFFF"/>
                <w:sz w:val="28"/>
              </w:rPr>
            </w:pPr>
            <w:r w:rsidRPr="00746F54">
              <w:rPr>
                <w:rFonts w:ascii="Arial" w:hAnsi="Arial" w:cs="Arial"/>
                <w:color w:val="FFFFFF"/>
                <w:sz w:val="28"/>
              </w:rPr>
              <w:t>Version</w:t>
            </w:r>
          </w:p>
        </w:tc>
        <w:tc>
          <w:tcPr>
            <w:tcW w:w="900" w:type="dxa"/>
            <w:shd w:val="clear" w:color="auto" w:fill="0000BE"/>
          </w:tcPr>
          <w:p w14:paraId="76D9BA26" w14:textId="77777777" w:rsidR="00E14135" w:rsidRPr="00746F54" w:rsidRDefault="00E14135" w:rsidP="009003C0">
            <w:pPr>
              <w:spacing w:before="60" w:after="60"/>
              <w:jc w:val="center"/>
              <w:rPr>
                <w:rFonts w:ascii="Arial" w:hAnsi="Arial" w:cs="Arial"/>
                <w:color w:val="FFFFFF"/>
                <w:sz w:val="28"/>
              </w:rPr>
            </w:pPr>
            <w:r w:rsidRPr="00746F54">
              <w:rPr>
                <w:rFonts w:ascii="Arial" w:hAnsi="Arial" w:cs="Arial"/>
                <w:color w:val="FFFFFF"/>
                <w:sz w:val="28"/>
              </w:rPr>
              <w:t>PRR No.</w:t>
            </w:r>
          </w:p>
        </w:tc>
        <w:tc>
          <w:tcPr>
            <w:tcW w:w="1170" w:type="dxa"/>
            <w:shd w:val="clear" w:color="auto" w:fill="0000BE"/>
          </w:tcPr>
          <w:p w14:paraId="19C73087" w14:textId="77777777" w:rsidR="00E14135" w:rsidRPr="00746F54" w:rsidRDefault="00E14135" w:rsidP="009003C0">
            <w:pPr>
              <w:spacing w:before="60" w:after="60"/>
              <w:jc w:val="center"/>
              <w:rPr>
                <w:rFonts w:ascii="Arial" w:hAnsi="Arial" w:cs="Arial"/>
                <w:color w:val="FFFFFF"/>
                <w:sz w:val="28"/>
              </w:rPr>
            </w:pPr>
            <w:r w:rsidRPr="00746F54">
              <w:rPr>
                <w:rFonts w:ascii="Arial" w:hAnsi="Arial" w:cs="Arial"/>
                <w:color w:val="FFFFFF"/>
                <w:sz w:val="28"/>
              </w:rPr>
              <w:t>Date Posted</w:t>
            </w:r>
          </w:p>
        </w:tc>
        <w:tc>
          <w:tcPr>
            <w:tcW w:w="1440" w:type="dxa"/>
            <w:shd w:val="clear" w:color="auto" w:fill="0000BE"/>
            <w:vAlign w:val="center"/>
          </w:tcPr>
          <w:p w14:paraId="099D741A" w14:textId="77777777" w:rsidR="00E14135" w:rsidRPr="00746F54" w:rsidRDefault="00E14135" w:rsidP="009003C0">
            <w:pPr>
              <w:spacing w:before="60" w:after="60"/>
              <w:jc w:val="center"/>
              <w:rPr>
                <w:rFonts w:ascii="Arial" w:hAnsi="Arial" w:cs="Arial"/>
                <w:color w:val="FFFFFF"/>
                <w:sz w:val="28"/>
              </w:rPr>
            </w:pPr>
            <w:r w:rsidRPr="00746F54">
              <w:rPr>
                <w:rFonts w:ascii="Arial" w:hAnsi="Arial" w:cs="Arial"/>
                <w:color w:val="FFFFFF"/>
                <w:sz w:val="28"/>
              </w:rPr>
              <w:t>Revisions Effective</w:t>
            </w:r>
          </w:p>
        </w:tc>
        <w:tc>
          <w:tcPr>
            <w:tcW w:w="5220" w:type="dxa"/>
            <w:shd w:val="clear" w:color="auto" w:fill="0000BE"/>
            <w:vAlign w:val="center"/>
          </w:tcPr>
          <w:p w14:paraId="787BC0BD" w14:textId="77777777" w:rsidR="00E14135" w:rsidRPr="00746F54" w:rsidRDefault="00E14135" w:rsidP="009003C0">
            <w:pPr>
              <w:spacing w:before="60" w:after="60"/>
              <w:jc w:val="center"/>
              <w:rPr>
                <w:rFonts w:ascii="Arial" w:hAnsi="Arial" w:cs="Arial"/>
                <w:color w:val="FFFFFF"/>
                <w:sz w:val="28"/>
              </w:rPr>
            </w:pPr>
            <w:r w:rsidRPr="00746F54">
              <w:rPr>
                <w:rFonts w:ascii="Arial" w:hAnsi="Arial" w:cs="Arial"/>
                <w:color w:val="FFFFFF"/>
                <w:sz w:val="28"/>
              </w:rPr>
              <w:t>Description</w:t>
            </w:r>
          </w:p>
        </w:tc>
      </w:tr>
      <w:tr w:rsidR="00E14135" w:rsidRPr="00746F54" w14:paraId="69E936BF" w14:textId="77777777" w:rsidTr="009003C0">
        <w:tc>
          <w:tcPr>
            <w:tcW w:w="1170" w:type="dxa"/>
          </w:tcPr>
          <w:p w14:paraId="519136AB" w14:textId="77777777" w:rsidR="00E14135" w:rsidRPr="00746F54" w:rsidRDefault="00E14135" w:rsidP="009003C0">
            <w:pPr>
              <w:spacing w:before="120" w:after="0"/>
              <w:jc w:val="center"/>
              <w:rPr>
                <w:rFonts w:ascii="Arial" w:hAnsi="Arial" w:cs="Arial"/>
              </w:rPr>
            </w:pPr>
            <w:r w:rsidRPr="00746F54">
              <w:rPr>
                <w:rFonts w:ascii="Arial" w:hAnsi="Arial" w:cs="Arial"/>
              </w:rPr>
              <w:t>4</w:t>
            </w:r>
          </w:p>
        </w:tc>
        <w:tc>
          <w:tcPr>
            <w:tcW w:w="900" w:type="dxa"/>
          </w:tcPr>
          <w:p w14:paraId="4AEB266C" w14:textId="77777777" w:rsidR="00E14135" w:rsidRPr="00746F54" w:rsidRDefault="00E14135" w:rsidP="009003C0">
            <w:pPr>
              <w:spacing w:before="120" w:after="0"/>
              <w:jc w:val="center"/>
              <w:rPr>
                <w:rFonts w:ascii="Arial" w:hAnsi="Arial" w:cs="Arial"/>
              </w:rPr>
            </w:pPr>
          </w:p>
        </w:tc>
        <w:tc>
          <w:tcPr>
            <w:tcW w:w="1170" w:type="dxa"/>
          </w:tcPr>
          <w:p w14:paraId="3A2DD114" w14:textId="77777777" w:rsidR="00E14135" w:rsidRPr="00746F54" w:rsidRDefault="00E14135" w:rsidP="009003C0">
            <w:pPr>
              <w:spacing w:before="120" w:after="0"/>
              <w:jc w:val="center"/>
              <w:rPr>
                <w:rFonts w:ascii="Arial" w:hAnsi="Arial" w:cs="Arial"/>
              </w:rPr>
            </w:pPr>
          </w:p>
        </w:tc>
        <w:tc>
          <w:tcPr>
            <w:tcW w:w="1440" w:type="dxa"/>
          </w:tcPr>
          <w:p w14:paraId="0ABACFED" w14:textId="77777777" w:rsidR="00E14135" w:rsidRPr="00746F54" w:rsidRDefault="00E14135" w:rsidP="009003C0">
            <w:pPr>
              <w:spacing w:before="120" w:after="0"/>
              <w:jc w:val="center"/>
              <w:rPr>
                <w:rFonts w:ascii="Arial" w:hAnsi="Arial" w:cs="Arial"/>
              </w:rPr>
            </w:pPr>
            <w:r w:rsidRPr="00746F54">
              <w:rPr>
                <w:rFonts w:ascii="Arial" w:hAnsi="Arial" w:cs="Arial"/>
              </w:rPr>
              <w:t>[date]</w:t>
            </w:r>
          </w:p>
        </w:tc>
        <w:tc>
          <w:tcPr>
            <w:tcW w:w="5220" w:type="dxa"/>
            <w:vAlign w:val="center"/>
          </w:tcPr>
          <w:p w14:paraId="3BC75A8A" w14:textId="77777777" w:rsidR="00E14135" w:rsidRPr="00746F54" w:rsidRDefault="00E14135" w:rsidP="009003C0">
            <w:pPr>
              <w:pStyle w:val="ParaText"/>
              <w:spacing w:before="120" w:after="0" w:line="240" w:lineRule="auto"/>
              <w:rPr>
                <w:rFonts w:ascii="Arial" w:hAnsi="Arial" w:cs="Arial"/>
              </w:rPr>
            </w:pPr>
            <w:r w:rsidRPr="00746F54">
              <w:rPr>
                <w:rFonts w:ascii="Arial" w:hAnsi="Arial" w:cs="Arial"/>
              </w:rPr>
              <w:t xml:space="preserve">PRR title / brief reason for revision </w:t>
            </w:r>
          </w:p>
        </w:tc>
      </w:tr>
      <w:tr w:rsidR="00E14135" w:rsidRPr="00746F54" w14:paraId="6094BAEB" w14:textId="77777777" w:rsidTr="009003C0">
        <w:tc>
          <w:tcPr>
            <w:tcW w:w="1170" w:type="dxa"/>
            <w:tcBorders>
              <w:top w:val="single" w:sz="4" w:space="0" w:color="auto"/>
              <w:left w:val="single" w:sz="4" w:space="0" w:color="auto"/>
              <w:bottom w:val="single" w:sz="4" w:space="0" w:color="auto"/>
              <w:right w:val="single" w:sz="4" w:space="0" w:color="auto"/>
            </w:tcBorders>
          </w:tcPr>
          <w:p w14:paraId="32E63CB1" w14:textId="77777777" w:rsidR="00E14135" w:rsidRPr="00746F54" w:rsidRDefault="00E14135" w:rsidP="009003C0">
            <w:pPr>
              <w:spacing w:before="120" w:after="0"/>
              <w:jc w:val="center"/>
              <w:rPr>
                <w:rFonts w:ascii="Arial" w:hAnsi="Arial" w:cs="Arial"/>
              </w:rPr>
            </w:pPr>
            <w:r w:rsidRPr="00746F54">
              <w:rPr>
                <w:rFonts w:ascii="Arial" w:hAnsi="Arial" w:cs="Arial"/>
              </w:rPr>
              <w:t>3</w:t>
            </w:r>
          </w:p>
        </w:tc>
        <w:tc>
          <w:tcPr>
            <w:tcW w:w="900" w:type="dxa"/>
            <w:tcBorders>
              <w:top w:val="single" w:sz="4" w:space="0" w:color="auto"/>
              <w:left w:val="single" w:sz="4" w:space="0" w:color="auto"/>
              <w:bottom w:val="single" w:sz="4" w:space="0" w:color="auto"/>
              <w:right w:val="single" w:sz="4" w:space="0" w:color="auto"/>
            </w:tcBorders>
          </w:tcPr>
          <w:p w14:paraId="45B31D14" w14:textId="77777777" w:rsidR="00E14135" w:rsidRPr="00746F54" w:rsidRDefault="00E14135" w:rsidP="009003C0">
            <w:pPr>
              <w:spacing w:before="120" w:after="0"/>
              <w:jc w:val="center"/>
              <w:rPr>
                <w:rFonts w:ascii="Arial" w:hAnsi="Arial" w:cs="Arial"/>
              </w:rPr>
            </w:pPr>
          </w:p>
        </w:tc>
        <w:tc>
          <w:tcPr>
            <w:tcW w:w="1170" w:type="dxa"/>
            <w:tcBorders>
              <w:top w:val="single" w:sz="4" w:space="0" w:color="auto"/>
              <w:left w:val="single" w:sz="4" w:space="0" w:color="auto"/>
              <w:bottom w:val="single" w:sz="4" w:space="0" w:color="auto"/>
              <w:right w:val="single" w:sz="4" w:space="0" w:color="auto"/>
            </w:tcBorders>
          </w:tcPr>
          <w:p w14:paraId="036F6CC0" w14:textId="77777777" w:rsidR="00E14135" w:rsidRPr="00746F54" w:rsidRDefault="00E14135" w:rsidP="009003C0">
            <w:pPr>
              <w:spacing w:before="120" w:after="0"/>
              <w:jc w:val="center"/>
              <w:rPr>
                <w:rFonts w:ascii="Arial" w:hAnsi="Arial" w:cs="Arial"/>
              </w:rPr>
            </w:pPr>
          </w:p>
        </w:tc>
        <w:tc>
          <w:tcPr>
            <w:tcW w:w="1440" w:type="dxa"/>
            <w:tcBorders>
              <w:top w:val="single" w:sz="4" w:space="0" w:color="auto"/>
              <w:left w:val="single" w:sz="4" w:space="0" w:color="auto"/>
              <w:bottom w:val="single" w:sz="4" w:space="0" w:color="auto"/>
              <w:right w:val="single" w:sz="4" w:space="0" w:color="auto"/>
            </w:tcBorders>
          </w:tcPr>
          <w:p w14:paraId="64ABA51D" w14:textId="77777777" w:rsidR="00E14135" w:rsidRPr="00746F54" w:rsidRDefault="00E14135" w:rsidP="009003C0">
            <w:pPr>
              <w:spacing w:before="120" w:after="0"/>
              <w:jc w:val="center"/>
              <w:rPr>
                <w:rFonts w:ascii="Arial" w:hAnsi="Arial" w:cs="Arial"/>
              </w:rPr>
            </w:pPr>
          </w:p>
        </w:tc>
        <w:tc>
          <w:tcPr>
            <w:tcW w:w="5220" w:type="dxa"/>
            <w:tcBorders>
              <w:top w:val="single" w:sz="4" w:space="0" w:color="auto"/>
              <w:left w:val="single" w:sz="4" w:space="0" w:color="auto"/>
              <w:bottom w:val="single" w:sz="4" w:space="0" w:color="auto"/>
              <w:right w:val="single" w:sz="4" w:space="0" w:color="auto"/>
            </w:tcBorders>
            <w:vAlign w:val="center"/>
          </w:tcPr>
          <w:p w14:paraId="27EA3F8D" w14:textId="77777777" w:rsidR="00E14135" w:rsidRPr="00746F54" w:rsidRDefault="00E14135" w:rsidP="009003C0">
            <w:pPr>
              <w:pStyle w:val="ParaText"/>
              <w:spacing w:before="120" w:after="0" w:line="240" w:lineRule="auto"/>
              <w:rPr>
                <w:rFonts w:ascii="Arial" w:hAnsi="Arial" w:cs="Arial"/>
              </w:rPr>
            </w:pPr>
          </w:p>
        </w:tc>
      </w:tr>
      <w:tr w:rsidR="00E14135" w:rsidRPr="00746F54" w14:paraId="3015AF5E" w14:textId="77777777" w:rsidTr="009003C0">
        <w:tc>
          <w:tcPr>
            <w:tcW w:w="1170" w:type="dxa"/>
            <w:tcBorders>
              <w:top w:val="single" w:sz="4" w:space="0" w:color="auto"/>
              <w:left w:val="single" w:sz="4" w:space="0" w:color="auto"/>
              <w:bottom w:val="single" w:sz="4" w:space="0" w:color="auto"/>
              <w:right w:val="single" w:sz="4" w:space="0" w:color="auto"/>
            </w:tcBorders>
          </w:tcPr>
          <w:p w14:paraId="44D3BA23" w14:textId="77777777" w:rsidR="00E14135" w:rsidRPr="00746F54" w:rsidRDefault="00E14135" w:rsidP="009003C0">
            <w:pPr>
              <w:spacing w:before="120" w:after="0"/>
              <w:jc w:val="center"/>
              <w:rPr>
                <w:rFonts w:ascii="Arial" w:hAnsi="Arial" w:cs="Arial"/>
              </w:rPr>
            </w:pPr>
            <w:r w:rsidRPr="00746F54">
              <w:rPr>
                <w:rFonts w:ascii="Arial" w:hAnsi="Arial" w:cs="Arial"/>
              </w:rPr>
              <w:t>2</w:t>
            </w:r>
          </w:p>
        </w:tc>
        <w:tc>
          <w:tcPr>
            <w:tcW w:w="900" w:type="dxa"/>
            <w:tcBorders>
              <w:top w:val="single" w:sz="4" w:space="0" w:color="auto"/>
              <w:left w:val="single" w:sz="4" w:space="0" w:color="auto"/>
              <w:bottom w:val="single" w:sz="4" w:space="0" w:color="auto"/>
              <w:right w:val="single" w:sz="4" w:space="0" w:color="auto"/>
            </w:tcBorders>
          </w:tcPr>
          <w:p w14:paraId="0998B8B8" w14:textId="77777777" w:rsidR="00E14135" w:rsidRPr="00746F54" w:rsidRDefault="00E14135" w:rsidP="009003C0">
            <w:pPr>
              <w:spacing w:before="120" w:after="0"/>
              <w:jc w:val="center"/>
              <w:rPr>
                <w:rFonts w:ascii="Arial" w:hAnsi="Arial" w:cs="Arial"/>
              </w:rPr>
            </w:pPr>
          </w:p>
        </w:tc>
        <w:tc>
          <w:tcPr>
            <w:tcW w:w="1170" w:type="dxa"/>
            <w:tcBorders>
              <w:top w:val="single" w:sz="4" w:space="0" w:color="auto"/>
              <w:left w:val="single" w:sz="4" w:space="0" w:color="auto"/>
              <w:bottom w:val="single" w:sz="4" w:space="0" w:color="auto"/>
              <w:right w:val="single" w:sz="4" w:space="0" w:color="auto"/>
            </w:tcBorders>
          </w:tcPr>
          <w:p w14:paraId="42F322D1" w14:textId="77777777" w:rsidR="00E14135" w:rsidRPr="00746F54" w:rsidRDefault="00E14135" w:rsidP="009003C0">
            <w:pPr>
              <w:spacing w:before="120" w:after="0"/>
              <w:jc w:val="center"/>
              <w:rPr>
                <w:rFonts w:ascii="Arial" w:hAnsi="Arial" w:cs="Arial"/>
              </w:rPr>
            </w:pPr>
          </w:p>
        </w:tc>
        <w:tc>
          <w:tcPr>
            <w:tcW w:w="1440" w:type="dxa"/>
            <w:tcBorders>
              <w:top w:val="single" w:sz="4" w:space="0" w:color="auto"/>
              <w:left w:val="single" w:sz="4" w:space="0" w:color="auto"/>
              <w:bottom w:val="single" w:sz="4" w:space="0" w:color="auto"/>
              <w:right w:val="single" w:sz="4" w:space="0" w:color="auto"/>
            </w:tcBorders>
          </w:tcPr>
          <w:p w14:paraId="048B79B5" w14:textId="77777777" w:rsidR="00E14135" w:rsidRPr="00746F54" w:rsidRDefault="00E14135" w:rsidP="009003C0">
            <w:pPr>
              <w:spacing w:before="120" w:after="0"/>
              <w:jc w:val="center"/>
              <w:rPr>
                <w:rFonts w:ascii="Arial" w:hAnsi="Arial" w:cs="Arial"/>
              </w:rPr>
            </w:pPr>
          </w:p>
        </w:tc>
        <w:tc>
          <w:tcPr>
            <w:tcW w:w="5220" w:type="dxa"/>
            <w:tcBorders>
              <w:top w:val="single" w:sz="4" w:space="0" w:color="auto"/>
              <w:left w:val="single" w:sz="4" w:space="0" w:color="auto"/>
              <w:bottom w:val="single" w:sz="4" w:space="0" w:color="auto"/>
              <w:right w:val="single" w:sz="4" w:space="0" w:color="auto"/>
            </w:tcBorders>
            <w:vAlign w:val="center"/>
          </w:tcPr>
          <w:p w14:paraId="75C8B6B2" w14:textId="77777777" w:rsidR="00E14135" w:rsidRPr="00746F54" w:rsidRDefault="00E14135" w:rsidP="009003C0">
            <w:pPr>
              <w:pStyle w:val="ParaText"/>
              <w:spacing w:before="120" w:after="0" w:line="240" w:lineRule="auto"/>
              <w:rPr>
                <w:rFonts w:ascii="Arial" w:hAnsi="Arial" w:cs="Arial"/>
              </w:rPr>
            </w:pPr>
          </w:p>
        </w:tc>
      </w:tr>
      <w:tr w:rsidR="00E14135" w:rsidRPr="00746F54" w14:paraId="6D5EBF3D" w14:textId="77777777" w:rsidTr="009003C0">
        <w:tc>
          <w:tcPr>
            <w:tcW w:w="1170" w:type="dxa"/>
            <w:tcBorders>
              <w:top w:val="single" w:sz="4" w:space="0" w:color="auto"/>
              <w:left w:val="single" w:sz="4" w:space="0" w:color="auto"/>
              <w:bottom w:val="single" w:sz="4" w:space="0" w:color="auto"/>
              <w:right w:val="single" w:sz="4" w:space="0" w:color="auto"/>
            </w:tcBorders>
          </w:tcPr>
          <w:p w14:paraId="4AF587C8" w14:textId="77777777" w:rsidR="00E14135" w:rsidRPr="00746F54" w:rsidRDefault="00E14135" w:rsidP="009003C0">
            <w:pPr>
              <w:spacing w:before="120" w:after="0"/>
              <w:jc w:val="center"/>
              <w:rPr>
                <w:rFonts w:ascii="Arial" w:hAnsi="Arial" w:cs="Arial"/>
              </w:rPr>
            </w:pPr>
            <w:r w:rsidRPr="00746F54">
              <w:rPr>
                <w:rFonts w:ascii="Arial" w:hAnsi="Arial" w:cs="Arial"/>
              </w:rPr>
              <w:t>1</w:t>
            </w:r>
          </w:p>
        </w:tc>
        <w:tc>
          <w:tcPr>
            <w:tcW w:w="900" w:type="dxa"/>
            <w:tcBorders>
              <w:top w:val="single" w:sz="4" w:space="0" w:color="auto"/>
              <w:left w:val="single" w:sz="4" w:space="0" w:color="auto"/>
              <w:bottom w:val="single" w:sz="4" w:space="0" w:color="auto"/>
              <w:right w:val="single" w:sz="4" w:space="0" w:color="auto"/>
            </w:tcBorders>
          </w:tcPr>
          <w:p w14:paraId="4866ED4E" w14:textId="77777777" w:rsidR="00E14135" w:rsidRPr="00746F54" w:rsidRDefault="00E14135" w:rsidP="009003C0">
            <w:pPr>
              <w:spacing w:before="120" w:after="0"/>
              <w:jc w:val="center"/>
              <w:rPr>
                <w:rFonts w:ascii="Arial" w:hAnsi="Arial" w:cs="Arial"/>
              </w:rPr>
            </w:pPr>
          </w:p>
        </w:tc>
        <w:tc>
          <w:tcPr>
            <w:tcW w:w="1170" w:type="dxa"/>
            <w:tcBorders>
              <w:top w:val="single" w:sz="4" w:space="0" w:color="auto"/>
              <w:left w:val="single" w:sz="4" w:space="0" w:color="auto"/>
              <w:bottom w:val="single" w:sz="4" w:space="0" w:color="auto"/>
              <w:right w:val="single" w:sz="4" w:space="0" w:color="auto"/>
            </w:tcBorders>
          </w:tcPr>
          <w:p w14:paraId="2FAAA786" w14:textId="77777777" w:rsidR="00E14135" w:rsidRPr="00746F54" w:rsidRDefault="00E14135" w:rsidP="009003C0">
            <w:pPr>
              <w:spacing w:before="120" w:after="0"/>
              <w:jc w:val="center"/>
              <w:rPr>
                <w:rFonts w:ascii="Arial" w:hAnsi="Arial" w:cs="Arial"/>
              </w:rPr>
            </w:pPr>
          </w:p>
        </w:tc>
        <w:tc>
          <w:tcPr>
            <w:tcW w:w="1440" w:type="dxa"/>
            <w:tcBorders>
              <w:top w:val="single" w:sz="4" w:space="0" w:color="auto"/>
              <w:left w:val="single" w:sz="4" w:space="0" w:color="auto"/>
              <w:bottom w:val="single" w:sz="4" w:space="0" w:color="auto"/>
              <w:right w:val="single" w:sz="4" w:space="0" w:color="auto"/>
            </w:tcBorders>
          </w:tcPr>
          <w:p w14:paraId="40E97F85" w14:textId="77777777" w:rsidR="00E14135" w:rsidRPr="00746F54" w:rsidRDefault="00E14135" w:rsidP="009003C0">
            <w:pPr>
              <w:spacing w:before="120" w:after="0"/>
              <w:jc w:val="center"/>
              <w:rPr>
                <w:rFonts w:ascii="Arial" w:hAnsi="Arial" w:cs="Arial"/>
              </w:rPr>
            </w:pPr>
          </w:p>
        </w:tc>
        <w:tc>
          <w:tcPr>
            <w:tcW w:w="5220" w:type="dxa"/>
            <w:tcBorders>
              <w:top w:val="single" w:sz="4" w:space="0" w:color="auto"/>
              <w:left w:val="single" w:sz="4" w:space="0" w:color="auto"/>
              <w:bottom w:val="single" w:sz="4" w:space="0" w:color="auto"/>
              <w:right w:val="single" w:sz="4" w:space="0" w:color="auto"/>
            </w:tcBorders>
            <w:vAlign w:val="center"/>
          </w:tcPr>
          <w:p w14:paraId="58CDE1DD" w14:textId="77777777" w:rsidR="00E14135" w:rsidRPr="00746F54" w:rsidRDefault="00E14135" w:rsidP="009003C0">
            <w:pPr>
              <w:pStyle w:val="ParaText"/>
              <w:spacing w:before="120" w:after="0"/>
              <w:rPr>
                <w:rFonts w:ascii="Arial" w:hAnsi="Arial" w:cs="Arial"/>
              </w:rPr>
            </w:pPr>
          </w:p>
        </w:tc>
      </w:tr>
    </w:tbl>
    <w:p w14:paraId="5B49DFDA" w14:textId="01F18D81" w:rsidR="003C7846" w:rsidRPr="00431472" w:rsidRDefault="00E14135" w:rsidP="00AC4F11">
      <w:pPr>
        <w:spacing w:line="278" w:lineRule="auto"/>
        <w:jc w:val="center"/>
        <w:rPr>
          <w:rFonts w:ascii="Arial" w:eastAsia="Aptos" w:hAnsi="Arial" w:cs="Arial"/>
          <w:b/>
          <w:bCs/>
          <w:kern w:val="2"/>
          <w:sz w:val="24"/>
          <w:szCs w:val="24"/>
          <w14:ligatures w14:val="standardContextual"/>
        </w:rPr>
      </w:pPr>
      <w:r w:rsidRPr="00746F54">
        <w:rPr>
          <w:rFonts w:ascii="Arial" w:hAnsi="Arial" w:cs="Arial"/>
        </w:rPr>
        <w:br w:type="page"/>
      </w:r>
      <w:bookmarkStart w:id="0" w:name="_Hlk212707565"/>
      <w:bookmarkEnd w:id="0"/>
      <w:r w:rsidR="003C7846" w:rsidRPr="00431472">
        <w:rPr>
          <w:rFonts w:ascii="Arial" w:eastAsia="Aptos" w:hAnsi="Arial" w:cs="Arial"/>
          <w:b/>
          <w:bCs/>
          <w:kern w:val="2"/>
          <w:sz w:val="24"/>
          <w:szCs w:val="24"/>
          <w14:ligatures w14:val="standardContextual"/>
        </w:rPr>
        <w:lastRenderedPageBreak/>
        <w:t>TABLE OF CONTENTS</w:t>
      </w:r>
    </w:p>
    <w:p w14:paraId="4F5C80A2" w14:textId="4C8D88D5" w:rsidR="0097362D" w:rsidRDefault="00D1171F">
      <w:pPr>
        <w:pStyle w:val="TOC1"/>
        <w:rPr>
          <w:rFonts w:eastAsiaTheme="minorEastAsia" w:cstheme="minorBidi"/>
          <w:b w:val="0"/>
          <w:kern w:val="2"/>
          <w:sz w:val="24"/>
          <w:szCs w:val="24"/>
          <w14:ligatures w14:val="standardContextual"/>
        </w:rPr>
      </w:pPr>
      <w:r w:rsidRPr="00746F54">
        <w:rPr>
          <w:rFonts w:ascii="Arial" w:eastAsia="Aptos" w:hAnsi="Arial"/>
          <w:b w:val="0"/>
          <w:kern w:val="2"/>
          <w:sz w:val="24"/>
          <w:szCs w:val="24"/>
          <w14:ligatures w14:val="standardContextual"/>
        </w:rPr>
        <w:fldChar w:fldCharType="begin"/>
      </w:r>
      <w:r w:rsidRPr="00431472">
        <w:rPr>
          <w:rFonts w:ascii="Arial" w:eastAsia="Aptos" w:hAnsi="Arial"/>
          <w:b w:val="0"/>
          <w:kern w:val="2"/>
          <w:sz w:val="24"/>
          <w:szCs w:val="24"/>
          <w14:ligatures w14:val="standardContextual"/>
        </w:rPr>
        <w:instrText xml:space="preserve"> TOC \o "1-2" \h \z \u </w:instrText>
      </w:r>
      <w:r w:rsidRPr="00746F54">
        <w:rPr>
          <w:rFonts w:ascii="Arial" w:eastAsia="Aptos" w:hAnsi="Arial"/>
          <w:b w:val="0"/>
          <w:kern w:val="2"/>
          <w:sz w:val="24"/>
          <w:szCs w:val="24"/>
          <w14:ligatures w14:val="standardContextual"/>
        </w:rPr>
        <w:fldChar w:fldCharType="separate"/>
      </w:r>
      <w:hyperlink w:anchor="_Toc212733029" w:history="1">
        <w:r w:rsidR="0097362D" w:rsidRPr="00E030AC">
          <w:rPr>
            <w:rStyle w:val="Hyperlink"/>
            <w:rFonts w:ascii="Arial" w:hAnsi="Arial"/>
          </w:rPr>
          <w:t>1.</w:t>
        </w:r>
        <w:r w:rsidR="0097362D">
          <w:rPr>
            <w:rFonts w:eastAsiaTheme="minorEastAsia" w:cstheme="minorBidi"/>
            <w:b w:val="0"/>
            <w:kern w:val="2"/>
            <w:sz w:val="24"/>
            <w:szCs w:val="24"/>
            <w14:ligatures w14:val="standardContextual"/>
          </w:rPr>
          <w:tab/>
        </w:r>
        <w:r w:rsidR="0097362D" w:rsidRPr="00E030AC">
          <w:rPr>
            <w:rStyle w:val="Hyperlink"/>
            <w:rFonts w:ascii="Arial" w:hAnsi="Arial"/>
          </w:rPr>
          <w:t>Introduction</w:t>
        </w:r>
        <w:r w:rsidR="0097362D">
          <w:rPr>
            <w:webHidden/>
          </w:rPr>
          <w:tab/>
        </w:r>
        <w:r w:rsidR="0097362D">
          <w:rPr>
            <w:webHidden/>
          </w:rPr>
          <w:fldChar w:fldCharType="begin"/>
        </w:r>
        <w:r w:rsidR="0097362D">
          <w:rPr>
            <w:webHidden/>
          </w:rPr>
          <w:instrText xml:space="preserve"> PAGEREF _Toc212733029 \h </w:instrText>
        </w:r>
        <w:r w:rsidR="0097362D">
          <w:rPr>
            <w:webHidden/>
          </w:rPr>
        </w:r>
        <w:r w:rsidR="0097362D">
          <w:rPr>
            <w:webHidden/>
          </w:rPr>
          <w:fldChar w:fldCharType="separate"/>
        </w:r>
        <w:r w:rsidR="000107BF">
          <w:rPr>
            <w:webHidden/>
          </w:rPr>
          <w:t>6</w:t>
        </w:r>
        <w:r w:rsidR="0097362D">
          <w:rPr>
            <w:webHidden/>
          </w:rPr>
          <w:fldChar w:fldCharType="end"/>
        </w:r>
      </w:hyperlink>
    </w:p>
    <w:p w14:paraId="2ABF9FCB" w14:textId="22A09737" w:rsidR="0097362D" w:rsidRDefault="0097362D">
      <w:pPr>
        <w:pStyle w:val="TOC2"/>
        <w:rPr>
          <w:rFonts w:eastAsiaTheme="minorEastAsia"/>
          <w:kern w:val="2"/>
          <w:sz w:val="24"/>
          <w:szCs w:val="24"/>
          <w14:ligatures w14:val="standardContextual"/>
        </w:rPr>
      </w:pPr>
      <w:hyperlink w:anchor="_Toc212733030" w:history="1">
        <w:r w:rsidRPr="00E030AC">
          <w:rPr>
            <w:rStyle w:val="Hyperlink"/>
            <w:rFonts w:ascii="Arial" w:hAnsi="Arial" w:cs="Arial"/>
          </w:rPr>
          <w:t>1.1</w:t>
        </w:r>
        <w:r>
          <w:rPr>
            <w:rFonts w:eastAsiaTheme="minorEastAsia"/>
            <w:kern w:val="2"/>
            <w:sz w:val="24"/>
            <w:szCs w:val="24"/>
            <w14:ligatures w14:val="standardContextual"/>
          </w:rPr>
          <w:tab/>
        </w:r>
        <w:r w:rsidRPr="00E030AC">
          <w:rPr>
            <w:rStyle w:val="Hyperlink"/>
            <w:rFonts w:ascii="Arial" w:hAnsi="Arial" w:cs="Arial"/>
          </w:rPr>
          <w:t>Purpose of ISO Business Practice Manuals</w:t>
        </w:r>
        <w:r>
          <w:rPr>
            <w:webHidden/>
          </w:rPr>
          <w:tab/>
        </w:r>
        <w:r>
          <w:rPr>
            <w:webHidden/>
          </w:rPr>
          <w:fldChar w:fldCharType="begin"/>
        </w:r>
        <w:r>
          <w:rPr>
            <w:webHidden/>
          </w:rPr>
          <w:instrText xml:space="preserve"> PAGEREF _Toc212733030 \h </w:instrText>
        </w:r>
        <w:r>
          <w:rPr>
            <w:webHidden/>
          </w:rPr>
        </w:r>
        <w:r>
          <w:rPr>
            <w:webHidden/>
          </w:rPr>
          <w:fldChar w:fldCharType="separate"/>
        </w:r>
        <w:r w:rsidR="000107BF">
          <w:rPr>
            <w:webHidden/>
          </w:rPr>
          <w:t>6</w:t>
        </w:r>
        <w:r>
          <w:rPr>
            <w:webHidden/>
          </w:rPr>
          <w:fldChar w:fldCharType="end"/>
        </w:r>
      </w:hyperlink>
    </w:p>
    <w:p w14:paraId="1461F987" w14:textId="05D5D860" w:rsidR="0097362D" w:rsidRDefault="0097362D">
      <w:pPr>
        <w:pStyle w:val="TOC2"/>
        <w:rPr>
          <w:rFonts w:eastAsiaTheme="minorEastAsia"/>
          <w:kern w:val="2"/>
          <w:sz w:val="24"/>
          <w:szCs w:val="24"/>
          <w14:ligatures w14:val="standardContextual"/>
        </w:rPr>
      </w:pPr>
      <w:hyperlink w:anchor="_Toc212733031" w:history="1">
        <w:r w:rsidRPr="00E030AC">
          <w:rPr>
            <w:rStyle w:val="Hyperlink"/>
            <w:rFonts w:ascii="Arial" w:hAnsi="Arial" w:cs="Arial"/>
          </w:rPr>
          <w:t>1.2</w:t>
        </w:r>
        <w:r>
          <w:rPr>
            <w:rFonts w:eastAsiaTheme="minorEastAsia"/>
            <w:kern w:val="2"/>
            <w:sz w:val="24"/>
            <w:szCs w:val="24"/>
            <w14:ligatures w14:val="standardContextual"/>
          </w:rPr>
          <w:tab/>
        </w:r>
        <w:r w:rsidRPr="00E030AC">
          <w:rPr>
            <w:rStyle w:val="Hyperlink"/>
            <w:rFonts w:ascii="Arial" w:hAnsi="Arial" w:cs="Arial"/>
          </w:rPr>
          <w:t>Purpose of this Business Practice Manual</w:t>
        </w:r>
        <w:r>
          <w:rPr>
            <w:webHidden/>
          </w:rPr>
          <w:tab/>
        </w:r>
        <w:r>
          <w:rPr>
            <w:webHidden/>
          </w:rPr>
          <w:fldChar w:fldCharType="begin"/>
        </w:r>
        <w:r>
          <w:rPr>
            <w:webHidden/>
          </w:rPr>
          <w:instrText xml:space="preserve"> PAGEREF _Toc212733031 \h </w:instrText>
        </w:r>
        <w:r>
          <w:rPr>
            <w:webHidden/>
          </w:rPr>
        </w:r>
        <w:r>
          <w:rPr>
            <w:webHidden/>
          </w:rPr>
          <w:fldChar w:fldCharType="separate"/>
        </w:r>
        <w:r w:rsidR="000107BF">
          <w:rPr>
            <w:webHidden/>
          </w:rPr>
          <w:t>6</w:t>
        </w:r>
        <w:r>
          <w:rPr>
            <w:webHidden/>
          </w:rPr>
          <w:fldChar w:fldCharType="end"/>
        </w:r>
      </w:hyperlink>
    </w:p>
    <w:p w14:paraId="0DAE6E29" w14:textId="77DA819C" w:rsidR="0097362D" w:rsidRDefault="0097362D">
      <w:pPr>
        <w:pStyle w:val="TOC2"/>
        <w:rPr>
          <w:rFonts w:eastAsiaTheme="minorEastAsia"/>
          <w:kern w:val="2"/>
          <w:sz w:val="24"/>
          <w:szCs w:val="24"/>
          <w14:ligatures w14:val="standardContextual"/>
        </w:rPr>
      </w:pPr>
      <w:hyperlink w:anchor="_Toc212733032" w:history="1">
        <w:r w:rsidRPr="00E030AC">
          <w:rPr>
            <w:rStyle w:val="Hyperlink"/>
            <w:rFonts w:ascii="Arial" w:hAnsi="Arial" w:cs="Arial"/>
          </w:rPr>
          <w:t>1.3</w:t>
        </w:r>
        <w:r>
          <w:rPr>
            <w:rFonts w:eastAsiaTheme="minorEastAsia"/>
            <w:kern w:val="2"/>
            <w:sz w:val="24"/>
            <w:szCs w:val="24"/>
            <w14:ligatures w14:val="standardContextual"/>
          </w:rPr>
          <w:tab/>
        </w:r>
        <w:r w:rsidRPr="00E030AC">
          <w:rPr>
            <w:rStyle w:val="Hyperlink"/>
            <w:rFonts w:ascii="Arial" w:hAnsi="Arial" w:cs="Arial"/>
          </w:rPr>
          <w:t>References</w:t>
        </w:r>
        <w:r>
          <w:rPr>
            <w:webHidden/>
          </w:rPr>
          <w:tab/>
        </w:r>
        <w:r>
          <w:rPr>
            <w:webHidden/>
          </w:rPr>
          <w:fldChar w:fldCharType="begin"/>
        </w:r>
        <w:r>
          <w:rPr>
            <w:webHidden/>
          </w:rPr>
          <w:instrText xml:space="preserve"> PAGEREF _Toc212733032 \h </w:instrText>
        </w:r>
        <w:r>
          <w:rPr>
            <w:webHidden/>
          </w:rPr>
        </w:r>
        <w:r>
          <w:rPr>
            <w:webHidden/>
          </w:rPr>
          <w:fldChar w:fldCharType="separate"/>
        </w:r>
        <w:r w:rsidR="000107BF">
          <w:rPr>
            <w:webHidden/>
          </w:rPr>
          <w:t>6</w:t>
        </w:r>
        <w:r>
          <w:rPr>
            <w:webHidden/>
          </w:rPr>
          <w:fldChar w:fldCharType="end"/>
        </w:r>
      </w:hyperlink>
    </w:p>
    <w:p w14:paraId="77C4E49F" w14:textId="14AB3A5B" w:rsidR="0097362D" w:rsidRDefault="0097362D">
      <w:pPr>
        <w:pStyle w:val="TOC1"/>
        <w:rPr>
          <w:rFonts w:eastAsiaTheme="minorEastAsia" w:cstheme="minorBidi"/>
          <w:b w:val="0"/>
          <w:kern w:val="2"/>
          <w:sz w:val="24"/>
          <w:szCs w:val="24"/>
          <w14:ligatures w14:val="standardContextual"/>
        </w:rPr>
      </w:pPr>
      <w:hyperlink w:anchor="_Toc212733033" w:history="1">
        <w:r w:rsidRPr="00E030AC">
          <w:rPr>
            <w:rStyle w:val="Hyperlink"/>
            <w:rFonts w:ascii="Arial" w:hAnsi="Arial"/>
          </w:rPr>
          <w:t>2.</w:t>
        </w:r>
        <w:r>
          <w:rPr>
            <w:rFonts w:eastAsiaTheme="minorEastAsia" w:cstheme="minorBidi"/>
            <w:b w:val="0"/>
            <w:kern w:val="2"/>
            <w:sz w:val="24"/>
            <w:szCs w:val="24"/>
            <w14:ligatures w14:val="standardContextual"/>
          </w:rPr>
          <w:tab/>
        </w:r>
        <w:r w:rsidRPr="00E030AC">
          <w:rPr>
            <w:rStyle w:val="Hyperlink"/>
            <w:rFonts w:ascii="Arial" w:hAnsi="Arial"/>
          </w:rPr>
          <w:t>Market Background</w:t>
        </w:r>
        <w:r>
          <w:rPr>
            <w:webHidden/>
          </w:rPr>
          <w:tab/>
        </w:r>
        <w:r>
          <w:rPr>
            <w:webHidden/>
          </w:rPr>
          <w:fldChar w:fldCharType="begin"/>
        </w:r>
        <w:r>
          <w:rPr>
            <w:webHidden/>
          </w:rPr>
          <w:instrText xml:space="preserve"> PAGEREF _Toc212733033 \h </w:instrText>
        </w:r>
        <w:r>
          <w:rPr>
            <w:webHidden/>
          </w:rPr>
        </w:r>
        <w:r>
          <w:rPr>
            <w:webHidden/>
          </w:rPr>
          <w:fldChar w:fldCharType="separate"/>
        </w:r>
        <w:r w:rsidR="000107BF">
          <w:rPr>
            <w:webHidden/>
          </w:rPr>
          <w:t>7</w:t>
        </w:r>
        <w:r>
          <w:rPr>
            <w:webHidden/>
          </w:rPr>
          <w:fldChar w:fldCharType="end"/>
        </w:r>
      </w:hyperlink>
    </w:p>
    <w:p w14:paraId="57839DC6" w14:textId="07EA7221" w:rsidR="0097362D" w:rsidRDefault="0097362D">
      <w:pPr>
        <w:pStyle w:val="TOC2"/>
        <w:rPr>
          <w:rFonts w:eastAsiaTheme="minorEastAsia"/>
          <w:kern w:val="2"/>
          <w:sz w:val="24"/>
          <w:szCs w:val="24"/>
          <w14:ligatures w14:val="standardContextual"/>
        </w:rPr>
      </w:pPr>
      <w:hyperlink w:anchor="_Toc212733034" w:history="1">
        <w:r w:rsidRPr="00E030AC">
          <w:rPr>
            <w:rStyle w:val="Hyperlink"/>
            <w:rFonts w:ascii="Arial" w:hAnsi="Arial" w:cs="Arial"/>
          </w:rPr>
          <w:t>2.1</w:t>
        </w:r>
        <w:r>
          <w:rPr>
            <w:rFonts w:eastAsiaTheme="minorEastAsia"/>
            <w:kern w:val="2"/>
            <w:sz w:val="24"/>
            <w:szCs w:val="24"/>
            <w14:ligatures w14:val="standardContextual"/>
          </w:rPr>
          <w:tab/>
        </w:r>
        <w:r w:rsidRPr="00E030AC">
          <w:rPr>
            <w:rStyle w:val="Hyperlink"/>
            <w:rFonts w:ascii="Arial" w:hAnsi="Arial" w:cs="Arial"/>
          </w:rPr>
          <w:t>Structure of the Extended Day-Ahead Market</w:t>
        </w:r>
        <w:r>
          <w:rPr>
            <w:webHidden/>
          </w:rPr>
          <w:tab/>
        </w:r>
        <w:r>
          <w:rPr>
            <w:webHidden/>
          </w:rPr>
          <w:fldChar w:fldCharType="begin"/>
        </w:r>
        <w:r>
          <w:rPr>
            <w:webHidden/>
          </w:rPr>
          <w:instrText xml:space="preserve"> PAGEREF _Toc212733034 \h </w:instrText>
        </w:r>
        <w:r>
          <w:rPr>
            <w:webHidden/>
          </w:rPr>
        </w:r>
        <w:r>
          <w:rPr>
            <w:webHidden/>
          </w:rPr>
          <w:fldChar w:fldCharType="separate"/>
        </w:r>
        <w:r w:rsidR="000107BF">
          <w:rPr>
            <w:webHidden/>
          </w:rPr>
          <w:t>9</w:t>
        </w:r>
        <w:r>
          <w:rPr>
            <w:webHidden/>
          </w:rPr>
          <w:fldChar w:fldCharType="end"/>
        </w:r>
      </w:hyperlink>
    </w:p>
    <w:p w14:paraId="6F489210" w14:textId="482910E3" w:rsidR="0097362D" w:rsidRDefault="0097362D">
      <w:pPr>
        <w:pStyle w:val="TOC2"/>
        <w:rPr>
          <w:rFonts w:eastAsiaTheme="minorEastAsia"/>
          <w:kern w:val="2"/>
          <w:sz w:val="24"/>
          <w:szCs w:val="24"/>
          <w14:ligatures w14:val="standardContextual"/>
        </w:rPr>
      </w:pPr>
      <w:hyperlink w:anchor="_Toc212733035" w:history="1">
        <w:r w:rsidRPr="00E030AC">
          <w:rPr>
            <w:rStyle w:val="Hyperlink"/>
            <w:rFonts w:ascii="Arial" w:eastAsia="Calibri" w:hAnsi="Arial" w:cs="Arial"/>
          </w:rPr>
          <w:t>2.2</w:t>
        </w:r>
        <w:r>
          <w:rPr>
            <w:rFonts w:eastAsiaTheme="minorEastAsia"/>
            <w:kern w:val="2"/>
            <w:sz w:val="24"/>
            <w:szCs w:val="24"/>
            <w14:ligatures w14:val="standardContextual"/>
          </w:rPr>
          <w:tab/>
        </w:r>
        <w:r w:rsidRPr="00E030AC">
          <w:rPr>
            <w:rStyle w:val="Hyperlink"/>
            <w:rFonts w:ascii="Arial" w:hAnsi="Arial" w:cs="Arial"/>
          </w:rPr>
          <w:t>Applicability of the ISO Tariff and this EDAM Business Practice Manual</w:t>
        </w:r>
        <w:r>
          <w:rPr>
            <w:webHidden/>
          </w:rPr>
          <w:tab/>
        </w:r>
        <w:r>
          <w:rPr>
            <w:webHidden/>
          </w:rPr>
          <w:fldChar w:fldCharType="begin"/>
        </w:r>
        <w:r>
          <w:rPr>
            <w:webHidden/>
          </w:rPr>
          <w:instrText xml:space="preserve"> PAGEREF _Toc212733035 \h </w:instrText>
        </w:r>
        <w:r>
          <w:rPr>
            <w:webHidden/>
          </w:rPr>
        </w:r>
        <w:r>
          <w:rPr>
            <w:webHidden/>
          </w:rPr>
          <w:fldChar w:fldCharType="separate"/>
        </w:r>
        <w:r w:rsidR="000107BF">
          <w:rPr>
            <w:webHidden/>
          </w:rPr>
          <w:t>9</w:t>
        </w:r>
        <w:r>
          <w:rPr>
            <w:webHidden/>
          </w:rPr>
          <w:fldChar w:fldCharType="end"/>
        </w:r>
      </w:hyperlink>
    </w:p>
    <w:p w14:paraId="4E18678C" w14:textId="6A79B771" w:rsidR="0097362D" w:rsidRDefault="0097362D">
      <w:pPr>
        <w:pStyle w:val="TOC2"/>
        <w:rPr>
          <w:rFonts w:eastAsiaTheme="minorEastAsia"/>
          <w:kern w:val="2"/>
          <w:sz w:val="24"/>
          <w:szCs w:val="24"/>
          <w14:ligatures w14:val="standardContextual"/>
        </w:rPr>
      </w:pPr>
      <w:hyperlink w:anchor="_Toc212733036" w:history="1">
        <w:r w:rsidRPr="00E030AC">
          <w:rPr>
            <w:rStyle w:val="Hyperlink"/>
            <w:rFonts w:ascii="Arial" w:hAnsi="Arial" w:cs="Arial"/>
          </w:rPr>
          <w:t>2.3</w:t>
        </w:r>
        <w:r>
          <w:rPr>
            <w:rFonts w:eastAsiaTheme="minorEastAsia"/>
            <w:kern w:val="2"/>
            <w:sz w:val="24"/>
            <w:szCs w:val="24"/>
            <w14:ligatures w14:val="standardContextual"/>
          </w:rPr>
          <w:tab/>
        </w:r>
        <w:r w:rsidRPr="00E030AC">
          <w:rPr>
            <w:rStyle w:val="Hyperlink"/>
            <w:rFonts w:ascii="Arial" w:hAnsi="Arial" w:cs="Arial"/>
          </w:rPr>
          <w:t>Additional Roles and Responsibilities under EDAM</w:t>
        </w:r>
        <w:r>
          <w:rPr>
            <w:webHidden/>
          </w:rPr>
          <w:tab/>
        </w:r>
        <w:r>
          <w:rPr>
            <w:webHidden/>
          </w:rPr>
          <w:fldChar w:fldCharType="begin"/>
        </w:r>
        <w:r>
          <w:rPr>
            <w:webHidden/>
          </w:rPr>
          <w:instrText xml:space="preserve"> PAGEREF _Toc212733036 \h </w:instrText>
        </w:r>
        <w:r>
          <w:rPr>
            <w:webHidden/>
          </w:rPr>
        </w:r>
        <w:r>
          <w:rPr>
            <w:webHidden/>
          </w:rPr>
          <w:fldChar w:fldCharType="separate"/>
        </w:r>
        <w:r w:rsidR="000107BF">
          <w:rPr>
            <w:webHidden/>
          </w:rPr>
          <w:t>21</w:t>
        </w:r>
        <w:r>
          <w:rPr>
            <w:webHidden/>
          </w:rPr>
          <w:fldChar w:fldCharType="end"/>
        </w:r>
      </w:hyperlink>
    </w:p>
    <w:p w14:paraId="194949E4" w14:textId="5A7F683B" w:rsidR="0097362D" w:rsidRDefault="0097362D">
      <w:pPr>
        <w:pStyle w:val="TOC2"/>
        <w:rPr>
          <w:rFonts w:eastAsiaTheme="minorEastAsia"/>
          <w:kern w:val="2"/>
          <w:sz w:val="24"/>
          <w:szCs w:val="24"/>
          <w14:ligatures w14:val="standardContextual"/>
        </w:rPr>
      </w:pPr>
      <w:hyperlink w:anchor="_Toc212733037" w:history="1">
        <w:r w:rsidRPr="00E030AC">
          <w:rPr>
            <w:rStyle w:val="Hyperlink"/>
            <w:rFonts w:ascii="Arial" w:hAnsi="Arial" w:cs="Arial"/>
          </w:rPr>
          <w:t>2.4</w:t>
        </w:r>
        <w:r>
          <w:rPr>
            <w:rFonts w:eastAsiaTheme="minorEastAsia"/>
            <w:kern w:val="2"/>
            <w:sz w:val="24"/>
            <w:szCs w:val="24"/>
            <w14:ligatures w14:val="standardContextual"/>
          </w:rPr>
          <w:tab/>
        </w:r>
        <w:r w:rsidRPr="00E030AC">
          <w:rPr>
            <w:rStyle w:val="Hyperlink"/>
            <w:rFonts w:ascii="Arial" w:hAnsi="Arial" w:cs="Arial"/>
          </w:rPr>
          <w:t>Communication Provisions of ISO Tariff in EDAM</w:t>
        </w:r>
        <w:r>
          <w:rPr>
            <w:webHidden/>
          </w:rPr>
          <w:tab/>
        </w:r>
        <w:r>
          <w:rPr>
            <w:webHidden/>
          </w:rPr>
          <w:fldChar w:fldCharType="begin"/>
        </w:r>
        <w:r>
          <w:rPr>
            <w:webHidden/>
          </w:rPr>
          <w:instrText xml:space="preserve"> PAGEREF _Toc212733037 \h </w:instrText>
        </w:r>
        <w:r>
          <w:rPr>
            <w:webHidden/>
          </w:rPr>
        </w:r>
        <w:r>
          <w:rPr>
            <w:webHidden/>
          </w:rPr>
          <w:fldChar w:fldCharType="separate"/>
        </w:r>
        <w:r w:rsidR="000107BF">
          <w:rPr>
            <w:webHidden/>
          </w:rPr>
          <w:t>23</w:t>
        </w:r>
        <w:r>
          <w:rPr>
            <w:webHidden/>
          </w:rPr>
          <w:fldChar w:fldCharType="end"/>
        </w:r>
      </w:hyperlink>
    </w:p>
    <w:p w14:paraId="2BA4761D" w14:textId="64CE74C6" w:rsidR="0097362D" w:rsidRDefault="0097362D">
      <w:pPr>
        <w:pStyle w:val="TOC1"/>
        <w:rPr>
          <w:rFonts w:eastAsiaTheme="minorEastAsia" w:cstheme="minorBidi"/>
          <w:b w:val="0"/>
          <w:kern w:val="2"/>
          <w:sz w:val="24"/>
          <w:szCs w:val="24"/>
          <w14:ligatures w14:val="standardContextual"/>
        </w:rPr>
      </w:pPr>
      <w:hyperlink w:anchor="_Toc212733038" w:history="1">
        <w:r w:rsidRPr="00E030AC">
          <w:rPr>
            <w:rStyle w:val="Hyperlink"/>
            <w:rFonts w:ascii="Arial" w:hAnsi="Arial"/>
          </w:rPr>
          <w:t>3.</w:t>
        </w:r>
        <w:r>
          <w:rPr>
            <w:rFonts w:eastAsiaTheme="minorEastAsia" w:cstheme="minorBidi"/>
            <w:b w:val="0"/>
            <w:kern w:val="2"/>
            <w:sz w:val="24"/>
            <w:szCs w:val="24"/>
            <w14:ligatures w14:val="standardContextual"/>
          </w:rPr>
          <w:tab/>
        </w:r>
        <w:r w:rsidRPr="00E030AC">
          <w:rPr>
            <w:rStyle w:val="Hyperlink"/>
            <w:rFonts w:ascii="Arial" w:hAnsi="Arial"/>
          </w:rPr>
          <w:t>EDAM Operations</w:t>
        </w:r>
        <w:r>
          <w:rPr>
            <w:webHidden/>
          </w:rPr>
          <w:tab/>
        </w:r>
        <w:r>
          <w:rPr>
            <w:webHidden/>
          </w:rPr>
          <w:fldChar w:fldCharType="begin"/>
        </w:r>
        <w:r>
          <w:rPr>
            <w:webHidden/>
          </w:rPr>
          <w:instrText xml:space="preserve"> PAGEREF _Toc212733038 \h </w:instrText>
        </w:r>
        <w:r>
          <w:rPr>
            <w:webHidden/>
          </w:rPr>
        </w:r>
        <w:r>
          <w:rPr>
            <w:webHidden/>
          </w:rPr>
          <w:fldChar w:fldCharType="separate"/>
        </w:r>
        <w:r w:rsidR="000107BF">
          <w:rPr>
            <w:webHidden/>
          </w:rPr>
          <w:t>25</w:t>
        </w:r>
        <w:r>
          <w:rPr>
            <w:webHidden/>
          </w:rPr>
          <w:fldChar w:fldCharType="end"/>
        </w:r>
      </w:hyperlink>
    </w:p>
    <w:p w14:paraId="5F53F88C" w14:textId="5F62CBDC" w:rsidR="0097362D" w:rsidRDefault="0097362D">
      <w:pPr>
        <w:pStyle w:val="TOC2"/>
        <w:rPr>
          <w:rFonts w:eastAsiaTheme="minorEastAsia"/>
          <w:kern w:val="2"/>
          <w:sz w:val="24"/>
          <w:szCs w:val="24"/>
          <w14:ligatures w14:val="standardContextual"/>
        </w:rPr>
      </w:pPr>
      <w:hyperlink w:anchor="_Toc212733039" w:history="1">
        <w:r w:rsidRPr="00E030AC">
          <w:rPr>
            <w:rStyle w:val="Hyperlink"/>
            <w:rFonts w:ascii="Arial" w:hAnsi="Arial" w:cs="Arial"/>
          </w:rPr>
          <w:t>3.1</w:t>
        </w:r>
        <w:r>
          <w:rPr>
            <w:rFonts w:eastAsiaTheme="minorEastAsia"/>
            <w:kern w:val="2"/>
            <w:sz w:val="24"/>
            <w:szCs w:val="24"/>
            <w14:ligatures w14:val="standardContextual"/>
          </w:rPr>
          <w:tab/>
        </w:r>
        <w:r w:rsidRPr="00E030AC">
          <w:rPr>
            <w:rStyle w:val="Hyperlink"/>
            <w:rFonts w:ascii="Arial" w:hAnsi="Arial" w:cs="Arial"/>
          </w:rPr>
          <w:t>EDAM Transfer Modeling &amp; Transfer System Resources</w:t>
        </w:r>
        <w:r>
          <w:rPr>
            <w:webHidden/>
          </w:rPr>
          <w:tab/>
        </w:r>
        <w:r>
          <w:rPr>
            <w:webHidden/>
          </w:rPr>
          <w:fldChar w:fldCharType="begin"/>
        </w:r>
        <w:r>
          <w:rPr>
            <w:webHidden/>
          </w:rPr>
          <w:instrText xml:space="preserve"> PAGEREF _Toc212733039 \h </w:instrText>
        </w:r>
        <w:r>
          <w:rPr>
            <w:webHidden/>
          </w:rPr>
        </w:r>
        <w:r>
          <w:rPr>
            <w:webHidden/>
          </w:rPr>
          <w:fldChar w:fldCharType="separate"/>
        </w:r>
        <w:r w:rsidR="000107BF">
          <w:rPr>
            <w:webHidden/>
          </w:rPr>
          <w:t>25</w:t>
        </w:r>
        <w:r>
          <w:rPr>
            <w:webHidden/>
          </w:rPr>
          <w:fldChar w:fldCharType="end"/>
        </w:r>
      </w:hyperlink>
    </w:p>
    <w:p w14:paraId="3372EDAC" w14:textId="6C33A165" w:rsidR="0097362D" w:rsidRDefault="0097362D">
      <w:pPr>
        <w:pStyle w:val="TOC2"/>
        <w:rPr>
          <w:rFonts w:eastAsiaTheme="minorEastAsia"/>
          <w:kern w:val="2"/>
          <w:sz w:val="24"/>
          <w:szCs w:val="24"/>
          <w14:ligatures w14:val="standardContextual"/>
        </w:rPr>
      </w:pPr>
      <w:hyperlink w:anchor="_Toc212733040" w:history="1">
        <w:r w:rsidRPr="00E030AC">
          <w:rPr>
            <w:rStyle w:val="Hyperlink"/>
            <w:rFonts w:ascii="Arial" w:hAnsi="Arial" w:cs="Arial"/>
          </w:rPr>
          <w:t>3.2</w:t>
        </w:r>
        <w:r>
          <w:rPr>
            <w:rFonts w:eastAsiaTheme="minorEastAsia"/>
            <w:kern w:val="2"/>
            <w:sz w:val="24"/>
            <w:szCs w:val="24"/>
            <w14:ligatures w14:val="standardContextual"/>
          </w:rPr>
          <w:tab/>
        </w:r>
        <w:r w:rsidRPr="00E030AC">
          <w:rPr>
            <w:rStyle w:val="Hyperlink"/>
            <w:rFonts w:ascii="Arial" w:hAnsi="Arial" w:cs="Arial"/>
          </w:rPr>
          <w:t>EDAM Disruption</w:t>
        </w:r>
        <w:r>
          <w:rPr>
            <w:webHidden/>
          </w:rPr>
          <w:tab/>
        </w:r>
        <w:r>
          <w:rPr>
            <w:webHidden/>
          </w:rPr>
          <w:fldChar w:fldCharType="begin"/>
        </w:r>
        <w:r>
          <w:rPr>
            <w:webHidden/>
          </w:rPr>
          <w:instrText xml:space="preserve"> PAGEREF _Toc212733040 \h </w:instrText>
        </w:r>
        <w:r>
          <w:rPr>
            <w:webHidden/>
          </w:rPr>
        </w:r>
        <w:r>
          <w:rPr>
            <w:webHidden/>
          </w:rPr>
          <w:fldChar w:fldCharType="separate"/>
        </w:r>
        <w:r w:rsidR="000107BF">
          <w:rPr>
            <w:webHidden/>
          </w:rPr>
          <w:t>35</w:t>
        </w:r>
        <w:r>
          <w:rPr>
            <w:webHidden/>
          </w:rPr>
          <w:fldChar w:fldCharType="end"/>
        </w:r>
      </w:hyperlink>
    </w:p>
    <w:p w14:paraId="5B14BF04" w14:textId="13C37DCE" w:rsidR="0097362D" w:rsidRDefault="0097362D">
      <w:pPr>
        <w:pStyle w:val="TOC1"/>
        <w:rPr>
          <w:rFonts w:eastAsiaTheme="minorEastAsia" w:cstheme="minorBidi"/>
          <w:b w:val="0"/>
          <w:kern w:val="2"/>
          <w:sz w:val="24"/>
          <w:szCs w:val="24"/>
          <w14:ligatures w14:val="standardContextual"/>
        </w:rPr>
      </w:pPr>
      <w:hyperlink w:anchor="_Toc212733041" w:history="1">
        <w:r w:rsidRPr="00E030AC">
          <w:rPr>
            <w:rStyle w:val="Hyperlink"/>
            <w:rFonts w:ascii="Arial" w:hAnsi="Arial"/>
          </w:rPr>
          <w:t>4.</w:t>
        </w:r>
        <w:r>
          <w:rPr>
            <w:rFonts w:eastAsiaTheme="minorEastAsia" w:cstheme="minorBidi"/>
            <w:b w:val="0"/>
            <w:kern w:val="2"/>
            <w:sz w:val="24"/>
            <w:szCs w:val="24"/>
            <w14:ligatures w14:val="standardContextual"/>
          </w:rPr>
          <w:tab/>
        </w:r>
        <w:r w:rsidRPr="00E030AC">
          <w:rPr>
            <w:rStyle w:val="Hyperlink"/>
            <w:rFonts w:ascii="Arial" w:hAnsi="Arial"/>
          </w:rPr>
          <w:t>Ancillary Services in EDAM</w:t>
        </w:r>
        <w:r>
          <w:rPr>
            <w:webHidden/>
          </w:rPr>
          <w:tab/>
        </w:r>
        <w:r>
          <w:rPr>
            <w:webHidden/>
          </w:rPr>
          <w:fldChar w:fldCharType="begin"/>
        </w:r>
        <w:r>
          <w:rPr>
            <w:webHidden/>
          </w:rPr>
          <w:instrText xml:space="preserve"> PAGEREF _Toc212733041 \h </w:instrText>
        </w:r>
        <w:r>
          <w:rPr>
            <w:webHidden/>
          </w:rPr>
        </w:r>
        <w:r>
          <w:rPr>
            <w:webHidden/>
          </w:rPr>
          <w:fldChar w:fldCharType="separate"/>
        </w:r>
        <w:r w:rsidR="000107BF">
          <w:rPr>
            <w:webHidden/>
          </w:rPr>
          <w:t>37</w:t>
        </w:r>
        <w:r>
          <w:rPr>
            <w:webHidden/>
          </w:rPr>
          <w:fldChar w:fldCharType="end"/>
        </w:r>
      </w:hyperlink>
    </w:p>
    <w:p w14:paraId="45F0ECFF" w14:textId="4DBE00B5" w:rsidR="0097362D" w:rsidRDefault="0097362D">
      <w:pPr>
        <w:pStyle w:val="TOC1"/>
        <w:rPr>
          <w:rFonts w:eastAsiaTheme="minorEastAsia" w:cstheme="minorBidi"/>
          <w:b w:val="0"/>
          <w:kern w:val="2"/>
          <w:sz w:val="24"/>
          <w:szCs w:val="24"/>
          <w14:ligatures w14:val="standardContextual"/>
        </w:rPr>
      </w:pPr>
      <w:hyperlink w:anchor="_Toc212733042" w:history="1">
        <w:r w:rsidRPr="00E030AC">
          <w:rPr>
            <w:rStyle w:val="Hyperlink"/>
            <w:rFonts w:ascii="Arial" w:hAnsi="Arial"/>
          </w:rPr>
          <w:t>5.</w:t>
        </w:r>
        <w:r>
          <w:rPr>
            <w:rFonts w:eastAsiaTheme="minorEastAsia" w:cstheme="minorBidi"/>
            <w:b w:val="0"/>
            <w:kern w:val="2"/>
            <w:sz w:val="24"/>
            <w:szCs w:val="24"/>
            <w14:ligatures w14:val="standardContextual"/>
          </w:rPr>
          <w:tab/>
        </w:r>
        <w:r w:rsidRPr="00E030AC">
          <w:rPr>
            <w:rStyle w:val="Hyperlink"/>
            <w:rFonts w:ascii="Arial" w:hAnsi="Arial"/>
          </w:rPr>
          <w:t>Outage and Critical Contingencies</w:t>
        </w:r>
        <w:r>
          <w:rPr>
            <w:webHidden/>
          </w:rPr>
          <w:tab/>
        </w:r>
        <w:r>
          <w:rPr>
            <w:webHidden/>
          </w:rPr>
          <w:fldChar w:fldCharType="begin"/>
        </w:r>
        <w:r>
          <w:rPr>
            <w:webHidden/>
          </w:rPr>
          <w:instrText xml:space="preserve"> PAGEREF _Toc212733042 \h </w:instrText>
        </w:r>
        <w:r>
          <w:rPr>
            <w:webHidden/>
          </w:rPr>
        </w:r>
        <w:r>
          <w:rPr>
            <w:webHidden/>
          </w:rPr>
          <w:fldChar w:fldCharType="separate"/>
        </w:r>
        <w:r w:rsidR="000107BF">
          <w:rPr>
            <w:webHidden/>
          </w:rPr>
          <w:t>37</w:t>
        </w:r>
        <w:r>
          <w:rPr>
            <w:webHidden/>
          </w:rPr>
          <w:fldChar w:fldCharType="end"/>
        </w:r>
      </w:hyperlink>
    </w:p>
    <w:p w14:paraId="46C0C5BB" w14:textId="0D2DF46D" w:rsidR="0097362D" w:rsidRDefault="0097362D">
      <w:pPr>
        <w:pStyle w:val="TOC2"/>
        <w:rPr>
          <w:rFonts w:eastAsiaTheme="minorEastAsia"/>
          <w:kern w:val="2"/>
          <w:sz w:val="24"/>
          <w:szCs w:val="24"/>
          <w14:ligatures w14:val="standardContextual"/>
        </w:rPr>
      </w:pPr>
      <w:hyperlink w:anchor="_Toc212733043" w:history="1">
        <w:r w:rsidRPr="00E030AC">
          <w:rPr>
            <w:rStyle w:val="Hyperlink"/>
            <w:rFonts w:ascii="Arial" w:hAnsi="Arial" w:cs="Arial"/>
          </w:rPr>
          <w:t>5.1</w:t>
        </w:r>
        <w:r>
          <w:rPr>
            <w:rFonts w:eastAsiaTheme="minorEastAsia"/>
            <w:kern w:val="2"/>
            <w:sz w:val="24"/>
            <w:szCs w:val="24"/>
            <w14:ligatures w14:val="standardContextual"/>
          </w:rPr>
          <w:tab/>
        </w:r>
        <w:r w:rsidRPr="00E030AC">
          <w:rPr>
            <w:rStyle w:val="Hyperlink"/>
            <w:rFonts w:ascii="Arial" w:hAnsi="Arial" w:cs="Arial"/>
          </w:rPr>
          <w:t>Outage Coordination Tool</w:t>
        </w:r>
        <w:r>
          <w:rPr>
            <w:webHidden/>
          </w:rPr>
          <w:tab/>
        </w:r>
        <w:r>
          <w:rPr>
            <w:webHidden/>
          </w:rPr>
          <w:fldChar w:fldCharType="begin"/>
        </w:r>
        <w:r>
          <w:rPr>
            <w:webHidden/>
          </w:rPr>
          <w:instrText xml:space="preserve"> PAGEREF _Toc212733043 \h </w:instrText>
        </w:r>
        <w:r>
          <w:rPr>
            <w:webHidden/>
          </w:rPr>
        </w:r>
        <w:r>
          <w:rPr>
            <w:webHidden/>
          </w:rPr>
          <w:fldChar w:fldCharType="separate"/>
        </w:r>
        <w:r w:rsidR="000107BF">
          <w:rPr>
            <w:webHidden/>
          </w:rPr>
          <w:t>38</w:t>
        </w:r>
        <w:r>
          <w:rPr>
            <w:webHidden/>
          </w:rPr>
          <w:fldChar w:fldCharType="end"/>
        </w:r>
      </w:hyperlink>
    </w:p>
    <w:p w14:paraId="6C6E81A1" w14:textId="3706B6D1" w:rsidR="0097362D" w:rsidRDefault="0097362D">
      <w:pPr>
        <w:pStyle w:val="TOC2"/>
        <w:rPr>
          <w:rFonts w:eastAsiaTheme="minorEastAsia"/>
          <w:kern w:val="2"/>
          <w:sz w:val="24"/>
          <w:szCs w:val="24"/>
          <w14:ligatures w14:val="standardContextual"/>
        </w:rPr>
      </w:pPr>
      <w:hyperlink w:anchor="_Toc212733044" w:history="1">
        <w:r w:rsidRPr="00E030AC">
          <w:rPr>
            <w:rStyle w:val="Hyperlink"/>
            <w:rFonts w:ascii="Arial" w:hAnsi="Arial" w:cs="Arial"/>
          </w:rPr>
          <w:t>5.2</w:t>
        </w:r>
        <w:r>
          <w:rPr>
            <w:rFonts w:eastAsiaTheme="minorEastAsia"/>
            <w:kern w:val="2"/>
            <w:sz w:val="24"/>
            <w:szCs w:val="24"/>
            <w14:ligatures w14:val="standardContextual"/>
          </w:rPr>
          <w:tab/>
        </w:r>
        <w:r w:rsidRPr="00E030AC">
          <w:rPr>
            <w:rStyle w:val="Hyperlink"/>
            <w:rFonts w:ascii="Arial" w:hAnsi="Arial" w:cs="Arial"/>
          </w:rPr>
          <w:t>Obligation to Notify the Market operator of Transmission Limitations</w:t>
        </w:r>
        <w:r>
          <w:rPr>
            <w:webHidden/>
          </w:rPr>
          <w:tab/>
        </w:r>
        <w:r>
          <w:rPr>
            <w:webHidden/>
          </w:rPr>
          <w:fldChar w:fldCharType="begin"/>
        </w:r>
        <w:r>
          <w:rPr>
            <w:webHidden/>
          </w:rPr>
          <w:instrText xml:space="preserve"> PAGEREF _Toc212733044 \h </w:instrText>
        </w:r>
        <w:r>
          <w:rPr>
            <w:webHidden/>
          </w:rPr>
        </w:r>
        <w:r>
          <w:rPr>
            <w:webHidden/>
          </w:rPr>
          <w:fldChar w:fldCharType="separate"/>
        </w:r>
        <w:r w:rsidR="000107BF">
          <w:rPr>
            <w:webHidden/>
          </w:rPr>
          <w:t>40</w:t>
        </w:r>
        <w:r>
          <w:rPr>
            <w:webHidden/>
          </w:rPr>
          <w:fldChar w:fldCharType="end"/>
        </w:r>
      </w:hyperlink>
    </w:p>
    <w:p w14:paraId="666FF080" w14:textId="17A032C4" w:rsidR="0097362D" w:rsidRDefault="0097362D">
      <w:pPr>
        <w:pStyle w:val="TOC1"/>
        <w:rPr>
          <w:rFonts w:eastAsiaTheme="minorEastAsia" w:cstheme="minorBidi"/>
          <w:b w:val="0"/>
          <w:kern w:val="2"/>
          <w:sz w:val="24"/>
          <w:szCs w:val="24"/>
          <w14:ligatures w14:val="standardContextual"/>
        </w:rPr>
      </w:pPr>
      <w:hyperlink w:anchor="_Toc212733045" w:history="1">
        <w:r w:rsidRPr="00E030AC">
          <w:rPr>
            <w:rStyle w:val="Hyperlink"/>
            <w:rFonts w:ascii="Arial" w:hAnsi="Arial"/>
          </w:rPr>
          <w:t>6.</w:t>
        </w:r>
        <w:r>
          <w:rPr>
            <w:rFonts w:eastAsiaTheme="minorEastAsia" w:cstheme="minorBidi"/>
            <w:b w:val="0"/>
            <w:kern w:val="2"/>
            <w:sz w:val="24"/>
            <w:szCs w:val="24"/>
            <w14:ligatures w14:val="standardContextual"/>
          </w:rPr>
          <w:tab/>
        </w:r>
        <w:r w:rsidRPr="00E030AC">
          <w:rPr>
            <w:rStyle w:val="Hyperlink"/>
            <w:rFonts w:ascii="Arial" w:hAnsi="Arial"/>
          </w:rPr>
          <w:t>Metering and Telemetry</w:t>
        </w:r>
        <w:r>
          <w:rPr>
            <w:webHidden/>
          </w:rPr>
          <w:tab/>
        </w:r>
        <w:r>
          <w:rPr>
            <w:webHidden/>
          </w:rPr>
          <w:fldChar w:fldCharType="begin"/>
        </w:r>
        <w:r>
          <w:rPr>
            <w:webHidden/>
          </w:rPr>
          <w:instrText xml:space="preserve"> PAGEREF _Toc212733045 \h </w:instrText>
        </w:r>
        <w:r>
          <w:rPr>
            <w:webHidden/>
          </w:rPr>
        </w:r>
        <w:r>
          <w:rPr>
            <w:webHidden/>
          </w:rPr>
          <w:fldChar w:fldCharType="separate"/>
        </w:r>
        <w:r w:rsidR="000107BF">
          <w:rPr>
            <w:webHidden/>
          </w:rPr>
          <w:t>40</w:t>
        </w:r>
        <w:r>
          <w:rPr>
            <w:webHidden/>
          </w:rPr>
          <w:fldChar w:fldCharType="end"/>
        </w:r>
      </w:hyperlink>
    </w:p>
    <w:p w14:paraId="6F6A57CE" w14:textId="77C83D93" w:rsidR="0097362D" w:rsidRDefault="0097362D">
      <w:pPr>
        <w:pStyle w:val="TOC1"/>
        <w:rPr>
          <w:rFonts w:eastAsiaTheme="minorEastAsia" w:cstheme="minorBidi"/>
          <w:b w:val="0"/>
          <w:kern w:val="2"/>
          <w:sz w:val="24"/>
          <w:szCs w:val="24"/>
          <w14:ligatures w14:val="standardContextual"/>
        </w:rPr>
      </w:pPr>
      <w:hyperlink w:anchor="_Toc212733046" w:history="1">
        <w:r w:rsidRPr="00E030AC">
          <w:rPr>
            <w:rStyle w:val="Hyperlink"/>
            <w:rFonts w:ascii="Arial" w:hAnsi="Arial"/>
          </w:rPr>
          <w:t>7.</w:t>
        </w:r>
        <w:r>
          <w:rPr>
            <w:rFonts w:eastAsiaTheme="minorEastAsia" w:cstheme="minorBidi"/>
            <w:b w:val="0"/>
            <w:kern w:val="2"/>
            <w:sz w:val="24"/>
            <w:szCs w:val="24"/>
            <w14:ligatures w14:val="standardContextual"/>
          </w:rPr>
          <w:tab/>
        </w:r>
        <w:r w:rsidRPr="00E030AC">
          <w:rPr>
            <w:rStyle w:val="Hyperlink"/>
            <w:rFonts w:ascii="Arial" w:hAnsi="Arial"/>
          </w:rPr>
          <w:t>Settlement and Billing for EDAM Market Participants</w:t>
        </w:r>
        <w:r>
          <w:rPr>
            <w:webHidden/>
          </w:rPr>
          <w:tab/>
        </w:r>
        <w:r>
          <w:rPr>
            <w:webHidden/>
          </w:rPr>
          <w:fldChar w:fldCharType="begin"/>
        </w:r>
        <w:r>
          <w:rPr>
            <w:webHidden/>
          </w:rPr>
          <w:instrText xml:space="preserve"> PAGEREF _Toc212733046 \h </w:instrText>
        </w:r>
        <w:r>
          <w:rPr>
            <w:webHidden/>
          </w:rPr>
        </w:r>
        <w:r>
          <w:rPr>
            <w:webHidden/>
          </w:rPr>
          <w:fldChar w:fldCharType="separate"/>
        </w:r>
        <w:r w:rsidR="000107BF">
          <w:rPr>
            <w:webHidden/>
          </w:rPr>
          <w:t>41</w:t>
        </w:r>
        <w:r>
          <w:rPr>
            <w:webHidden/>
          </w:rPr>
          <w:fldChar w:fldCharType="end"/>
        </w:r>
      </w:hyperlink>
    </w:p>
    <w:p w14:paraId="5DB77CF5" w14:textId="57EF2F54" w:rsidR="0097362D" w:rsidRDefault="0097362D">
      <w:pPr>
        <w:pStyle w:val="TOC1"/>
        <w:rPr>
          <w:rFonts w:eastAsiaTheme="minorEastAsia" w:cstheme="minorBidi"/>
          <w:b w:val="0"/>
          <w:kern w:val="2"/>
          <w:sz w:val="24"/>
          <w:szCs w:val="24"/>
          <w14:ligatures w14:val="standardContextual"/>
        </w:rPr>
      </w:pPr>
      <w:hyperlink w:anchor="_Toc212733047" w:history="1">
        <w:r w:rsidRPr="00E030AC">
          <w:rPr>
            <w:rStyle w:val="Hyperlink"/>
            <w:rFonts w:ascii="Arial" w:hAnsi="Arial"/>
          </w:rPr>
          <w:t>8.</w:t>
        </w:r>
        <w:r>
          <w:rPr>
            <w:rFonts w:eastAsiaTheme="minorEastAsia" w:cstheme="minorBidi"/>
            <w:b w:val="0"/>
            <w:kern w:val="2"/>
            <w:sz w:val="24"/>
            <w:szCs w:val="24"/>
            <w14:ligatures w14:val="standardContextual"/>
          </w:rPr>
          <w:tab/>
        </w:r>
        <w:r w:rsidRPr="00E030AC">
          <w:rPr>
            <w:rStyle w:val="Hyperlink"/>
            <w:rFonts w:ascii="Arial" w:hAnsi="Arial"/>
          </w:rPr>
          <w:t>Creditworthiness</w:t>
        </w:r>
        <w:r>
          <w:rPr>
            <w:webHidden/>
          </w:rPr>
          <w:tab/>
        </w:r>
        <w:r>
          <w:rPr>
            <w:webHidden/>
          </w:rPr>
          <w:fldChar w:fldCharType="begin"/>
        </w:r>
        <w:r>
          <w:rPr>
            <w:webHidden/>
          </w:rPr>
          <w:instrText xml:space="preserve"> PAGEREF _Toc212733047 \h </w:instrText>
        </w:r>
        <w:r>
          <w:rPr>
            <w:webHidden/>
          </w:rPr>
        </w:r>
        <w:r>
          <w:rPr>
            <w:webHidden/>
          </w:rPr>
          <w:fldChar w:fldCharType="separate"/>
        </w:r>
        <w:r w:rsidR="000107BF">
          <w:rPr>
            <w:webHidden/>
          </w:rPr>
          <w:t>41</w:t>
        </w:r>
        <w:r>
          <w:rPr>
            <w:webHidden/>
          </w:rPr>
          <w:fldChar w:fldCharType="end"/>
        </w:r>
      </w:hyperlink>
    </w:p>
    <w:p w14:paraId="6341BE69" w14:textId="0DF79E55" w:rsidR="0097362D" w:rsidRDefault="0097362D">
      <w:pPr>
        <w:pStyle w:val="TOC1"/>
        <w:rPr>
          <w:rFonts w:eastAsiaTheme="minorEastAsia" w:cstheme="minorBidi"/>
          <w:b w:val="0"/>
          <w:kern w:val="2"/>
          <w:sz w:val="24"/>
          <w:szCs w:val="24"/>
          <w14:ligatures w14:val="standardContextual"/>
        </w:rPr>
      </w:pPr>
      <w:hyperlink w:anchor="_Toc212733048" w:history="1">
        <w:r w:rsidRPr="00E030AC">
          <w:rPr>
            <w:rStyle w:val="Hyperlink"/>
            <w:rFonts w:ascii="Arial" w:hAnsi="Arial"/>
          </w:rPr>
          <w:t>9.</w:t>
        </w:r>
        <w:r>
          <w:rPr>
            <w:rFonts w:eastAsiaTheme="minorEastAsia" w:cstheme="minorBidi"/>
            <w:b w:val="0"/>
            <w:kern w:val="2"/>
            <w:sz w:val="24"/>
            <w:szCs w:val="24"/>
            <w14:ligatures w14:val="standardContextual"/>
          </w:rPr>
          <w:tab/>
        </w:r>
        <w:r w:rsidRPr="00E030AC">
          <w:rPr>
            <w:rStyle w:val="Hyperlink"/>
            <w:rFonts w:ascii="Arial" w:hAnsi="Arial"/>
          </w:rPr>
          <w:t>Dispute Resolution Provisions of the ISO Tariff in EDAM</w:t>
        </w:r>
        <w:r>
          <w:rPr>
            <w:webHidden/>
          </w:rPr>
          <w:tab/>
        </w:r>
        <w:r>
          <w:rPr>
            <w:webHidden/>
          </w:rPr>
          <w:fldChar w:fldCharType="begin"/>
        </w:r>
        <w:r>
          <w:rPr>
            <w:webHidden/>
          </w:rPr>
          <w:instrText xml:space="preserve"> PAGEREF _Toc212733048 \h </w:instrText>
        </w:r>
        <w:r>
          <w:rPr>
            <w:webHidden/>
          </w:rPr>
        </w:r>
        <w:r>
          <w:rPr>
            <w:webHidden/>
          </w:rPr>
          <w:fldChar w:fldCharType="separate"/>
        </w:r>
        <w:r w:rsidR="000107BF">
          <w:rPr>
            <w:webHidden/>
          </w:rPr>
          <w:t>42</w:t>
        </w:r>
        <w:r>
          <w:rPr>
            <w:webHidden/>
          </w:rPr>
          <w:fldChar w:fldCharType="end"/>
        </w:r>
      </w:hyperlink>
    </w:p>
    <w:p w14:paraId="6C32A233" w14:textId="6F81DD2C" w:rsidR="0097362D" w:rsidRDefault="0097362D">
      <w:pPr>
        <w:pStyle w:val="TOC1"/>
        <w:rPr>
          <w:rFonts w:eastAsiaTheme="minorEastAsia" w:cstheme="minorBidi"/>
          <w:b w:val="0"/>
          <w:kern w:val="2"/>
          <w:sz w:val="24"/>
          <w:szCs w:val="24"/>
          <w14:ligatures w14:val="standardContextual"/>
        </w:rPr>
      </w:pPr>
      <w:hyperlink w:anchor="_Toc212733049" w:history="1">
        <w:r w:rsidRPr="00E030AC">
          <w:rPr>
            <w:rStyle w:val="Hyperlink"/>
            <w:rFonts w:ascii="Arial" w:hAnsi="Arial"/>
          </w:rPr>
          <w:t>10.</w:t>
        </w:r>
        <w:r>
          <w:rPr>
            <w:rFonts w:eastAsiaTheme="minorEastAsia" w:cstheme="minorBidi"/>
            <w:b w:val="0"/>
            <w:kern w:val="2"/>
            <w:sz w:val="24"/>
            <w:szCs w:val="24"/>
            <w14:ligatures w14:val="standardContextual"/>
          </w:rPr>
          <w:tab/>
        </w:r>
        <w:r w:rsidRPr="00E030AC">
          <w:rPr>
            <w:rStyle w:val="Hyperlink"/>
            <w:rFonts w:ascii="Arial" w:hAnsi="Arial"/>
          </w:rPr>
          <w:t>Force Majeure, Indemnity, Liabilities, and Penalties</w:t>
        </w:r>
        <w:r>
          <w:rPr>
            <w:webHidden/>
          </w:rPr>
          <w:tab/>
        </w:r>
        <w:r>
          <w:rPr>
            <w:webHidden/>
          </w:rPr>
          <w:fldChar w:fldCharType="begin"/>
        </w:r>
        <w:r>
          <w:rPr>
            <w:webHidden/>
          </w:rPr>
          <w:instrText xml:space="preserve"> PAGEREF _Toc212733049 \h </w:instrText>
        </w:r>
        <w:r>
          <w:rPr>
            <w:webHidden/>
          </w:rPr>
        </w:r>
        <w:r>
          <w:rPr>
            <w:webHidden/>
          </w:rPr>
          <w:fldChar w:fldCharType="separate"/>
        </w:r>
        <w:r w:rsidR="000107BF">
          <w:rPr>
            <w:webHidden/>
          </w:rPr>
          <w:t>42</w:t>
        </w:r>
        <w:r>
          <w:rPr>
            <w:webHidden/>
          </w:rPr>
          <w:fldChar w:fldCharType="end"/>
        </w:r>
      </w:hyperlink>
    </w:p>
    <w:p w14:paraId="6D85797B" w14:textId="640EC6F6" w:rsidR="0097362D" w:rsidRDefault="0097362D">
      <w:pPr>
        <w:pStyle w:val="TOC1"/>
        <w:rPr>
          <w:rFonts w:eastAsiaTheme="minorEastAsia" w:cstheme="minorBidi"/>
          <w:b w:val="0"/>
          <w:kern w:val="2"/>
          <w:sz w:val="24"/>
          <w:szCs w:val="24"/>
          <w14:ligatures w14:val="standardContextual"/>
        </w:rPr>
      </w:pPr>
      <w:hyperlink w:anchor="_Toc212733050" w:history="1">
        <w:r w:rsidRPr="00E030AC">
          <w:rPr>
            <w:rStyle w:val="Hyperlink"/>
            <w:rFonts w:ascii="Arial" w:hAnsi="Arial"/>
          </w:rPr>
          <w:t>11.</w:t>
        </w:r>
        <w:r>
          <w:rPr>
            <w:rFonts w:eastAsiaTheme="minorEastAsia" w:cstheme="minorBidi"/>
            <w:b w:val="0"/>
            <w:kern w:val="2"/>
            <w:sz w:val="24"/>
            <w:szCs w:val="24"/>
            <w14:ligatures w14:val="standardContextual"/>
          </w:rPr>
          <w:tab/>
        </w:r>
        <w:r w:rsidRPr="00E030AC">
          <w:rPr>
            <w:rStyle w:val="Hyperlink"/>
            <w:rFonts w:ascii="Arial" w:hAnsi="Arial"/>
          </w:rPr>
          <w:t>EDAM Legacy Contracts</w:t>
        </w:r>
        <w:r>
          <w:rPr>
            <w:webHidden/>
          </w:rPr>
          <w:tab/>
        </w:r>
        <w:r>
          <w:rPr>
            <w:webHidden/>
          </w:rPr>
          <w:fldChar w:fldCharType="begin"/>
        </w:r>
        <w:r>
          <w:rPr>
            <w:webHidden/>
          </w:rPr>
          <w:instrText xml:space="preserve"> PAGEREF _Toc212733050 \h </w:instrText>
        </w:r>
        <w:r>
          <w:rPr>
            <w:webHidden/>
          </w:rPr>
        </w:r>
        <w:r>
          <w:rPr>
            <w:webHidden/>
          </w:rPr>
          <w:fldChar w:fldCharType="separate"/>
        </w:r>
        <w:r w:rsidR="000107BF">
          <w:rPr>
            <w:webHidden/>
          </w:rPr>
          <w:t>42</w:t>
        </w:r>
        <w:r>
          <w:rPr>
            <w:webHidden/>
          </w:rPr>
          <w:fldChar w:fldCharType="end"/>
        </w:r>
      </w:hyperlink>
    </w:p>
    <w:p w14:paraId="349266BC" w14:textId="25F3AD73" w:rsidR="0097362D" w:rsidRDefault="0097362D">
      <w:pPr>
        <w:pStyle w:val="TOC2"/>
        <w:rPr>
          <w:rFonts w:eastAsiaTheme="minorEastAsia"/>
          <w:kern w:val="2"/>
          <w:sz w:val="24"/>
          <w:szCs w:val="24"/>
          <w14:ligatures w14:val="standardContextual"/>
        </w:rPr>
      </w:pPr>
      <w:hyperlink w:anchor="_Toc212733051" w:history="1">
        <w:r w:rsidRPr="00E030AC">
          <w:rPr>
            <w:rStyle w:val="Hyperlink"/>
            <w:rFonts w:ascii="Arial" w:hAnsi="Arial" w:cs="Arial"/>
          </w:rPr>
          <w:t>11.1</w:t>
        </w:r>
        <w:r>
          <w:rPr>
            <w:rFonts w:eastAsiaTheme="minorEastAsia"/>
            <w:kern w:val="2"/>
            <w:sz w:val="24"/>
            <w:szCs w:val="24"/>
            <w14:ligatures w14:val="standardContextual"/>
          </w:rPr>
          <w:tab/>
        </w:r>
        <w:r w:rsidRPr="00E030AC">
          <w:rPr>
            <w:rStyle w:val="Hyperlink"/>
            <w:rFonts w:ascii="Arial" w:hAnsi="Arial" w:cs="Arial"/>
          </w:rPr>
          <w:t>Registration of EDAM Legacy Contracts</w:t>
        </w:r>
        <w:r>
          <w:rPr>
            <w:webHidden/>
          </w:rPr>
          <w:tab/>
        </w:r>
        <w:r>
          <w:rPr>
            <w:webHidden/>
          </w:rPr>
          <w:fldChar w:fldCharType="begin"/>
        </w:r>
        <w:r>
          <w:rPr>
            <w:webHidden/>
          </w:rPr>
          <w:instrText xml:space="preserve"> PAGEREF _Toc212733051 \h </w:instrText>
        </w:r>
        <w:r>
          <w:rPr>
            <w:webHidden/>
          </w:rPr>
        </w:r>
        <w:r>
          <w:rPr>
            <w:webHidden/>
          </w:rPr>
          <w:fldChar w:fldCharType="separate"/>
        </w:r>
        <w:r w:rsidR="000107BF">
          <w:rPr>
            <w:webHidden/>
          </w:rPr>
          <w:t>42</w:t>
        </w:r>
        <w:r>
          <w:rPr>
            <w:webHidden/>
          </w:rPr>
          <w:fldChar w:fldCharType="end"/>
        </w:r>
      </w:hyperlink>
    </w:p>
    <w:p w14:paraId="6F7C084B" w14:textId="1051E5B4" w:rsidR="0097362D" w:rsidRDefault="0097362D">
      <w:pPr>
        <w:pStyle w:val="TOC2"/>
        <w:rPr>
          <w:rFonts w:eastAsiaTheme="minorEastAsia"/>
          <w:kern w:val="2"/>
          <w:sz w:val="24"/>
          <w:szCs w:val="24"/>
          <w14:ligatures w14:val="standardContextual"/>
        </w:rPr>
      </w:pPr>
      <w:hyperlink w:anchor="_Toc212733052" w:history="1">
        <w:r w:rsidRPr="00E030AC">
          <w:rPr>
            <w:rStyle w:val="Hyperlink"/>
            <w:rFonts w:ascii="Arial" w:hAnsi="Arial" w:cs="Arial"/>
          </w:rPr>
          <w:t>11.2</w:t>
        </w:r>
        <w:r>
          <w:rPr>
            <w:rFonts w:eastAsiaTheme="minorEastAsia"/>
            <w:kern w:val="2"/>
            <w:sz w:val="24"/>
            <w:szCs w:val="24"/>
            <w14:ligatures w14:val="standardContextual"/>
          </w:rPr>
          <w:tab/>
        </w:r>
        <w:r w:rsidRPr="00E030AC">
          <w:rPr>
            <w:rStyle w:val="Hyperlink"/>
            <w:rFonts w:ascii="Arial" w:hAnsi="Arial" w:cs="Arial"/>
          </w:rPr>
          <w:t>Availability and Scheduling of EDAM Legacy Contracts</w:t>
        </w:r>
        <w:r>
          <w:rPr>
            <w:webHidden/>
          </w:rPr>
          <w:tab/>
        </w:r>
        <w:r>
          <w:rPr>
            <w:webHidden/>
          </w:rPr>
          <w:fldChar w:fldCharType="begin"/>
        </w:r>
        <w:r>
          <w:rPr>
            <w:webHidden/>
          </w:rPr>
          <w:instrText xml:space="preserve"> PAGEREF _Toc212733052 \h </w:instrText>
        </w:r>
        <w:r>
          <w:rPr>
            <w:webHidden/>
          </w:rPr>
        </w:r>
        <w:r>
          <w:rPr>
            <w:webHidden/>
          </w:rPr>
          <w:fldChar w:fldCharType="separate"/>
        </w:r>
        <w:r w:rsidR="000107BF">
          <w:rPr>
            <w:webHidden/>
          </w:rPr>
          <w:t>43</w:t>
        </w:r>
        <w:r>
          <w:rPr>
            <w:webHidden/>
          </w:rPr>
          <w:fldChar w:fldCharType="end"/>
        </w:r>
      </w:hyperlink>
    </w:p>
    <w:p w14:paraId="045728D3" w14:textId="30E5E476" w:rsidR="0097362D" w:rsidRDefault="0097362D">
      <w:pPr>
        <w:pStyle w:val="TOC1"/>
        <w:rPr>
          <w:rFonts w:eastAsiaTheme="minorEastAsia" w:cstheme="minorBidi"/>
          <w:b w:val="0"/>
          <w:kern w:val="2"/>
          <w:sz w:val="24"/>
          <w:szCs w:val="24"/>
          <w14:ligatures w14:val="standardContextual"/>
        </w:rPr>
      </w:pPr>
      <w:hyperlink w:anchor="_Toc212733053" w:history="1">
        <w:r w:rsidRPr="00E030AC">
          <w:rPr>
            <w:rStyle w:val="Hyperlink"/>
            <w:rFonts w:ascii="Arial" w:hAnsi="Arial"/>
          </w:rPr>
          <w:t>12.</w:t>
        </w:r>
        <w:r>
          <w:rPr>
            <w:rFonts w:eastAsiaTheme="minorEastAsia" w:cstheme="minorBidi"/>
            <w:b w:val="0"/>
            <w:kern w:val="2"/>
            <w:sz w:val="24"/>
            <w:szCs w:val="24"/>
            <w14:ligatures w14:val="standardContextual"/>
          </w:rPr>
          <w:tab/>
        </w:r>
        <w:r w:rsidRPr="00E030AC">
          <w:rPr>
            <w:rStyle w:val="Hyperlink"/>
            <w:rFonts w:ascii="Arial" w:hAnsi="Arial"/>
          </w:rPr>
          <w:t>EDAM Transmission Ownership Rights</w:t>
        </w:r>
        <w:r>
          <w:rPr>
            <w:webHidden/>
          </w:rPr>
          <w:tab/>
        </w:r>
        <w:r>
          <w:rPr>
            <w:webHidden/>
          </w:rPr>
          <w:fldChar w:fldCharType="begin"/>
        </w:r>
        <w:r>
          <w:rPr>
            <w:webHidden/>
          </w:rPr>
          <w:instrText xml:space="preserve"> PAGEREF _Toc212733053 \h </w:instrText>
        </w:r>
        <w:r>
          <w:rPr>
            <w:webHidden/>
          </w:rPr>
        </w:r>
        <w:r>
          <w:rPr>
            <w:webHidden/>
          </w:rPr>
          <w:fldChar w:fldCharType="separate"/>
        </w:r>
        <w:r w:rsidR="000107BF">
          <w:rPr>
            <w:webHidden/>
          </w:rPr>
          <w:t>44</w:t>
        </w:r>
        <w:r>
          <w:rPr>
            <w:webHidden/>
          </w:rPr>
          <w:fldChar w:fldCharType="end"/>
        </w:r>
      </w:hyperlink>
    </w:p>
    <w:p w14:paraId="1EC5D8A2" w14:textId="7E7A53F0" w:rsidR="0097362D" w:rsidRDefault="0097362D">
      <w:pPr>
        <w:pStyle w:val="TOC2"/>
        <w:rPr>
          <w:rFonts w:eastAsiaTheme="minorEastAsia"/>
          <w:kern w:val="2"/>
          <w:sz w:val="24"/>
          <w:szCs w:val="24"/>
          <w14:ligatures w14:val="standardContextual"/>
        </w:rPr>
      </w:pPr>
      <w:hyperlink w:anchor="_Toc212733054" w:history="1">
        <w:r w:rsidRPr="00E030AC">
          <w:rPr>
            <w:rStyle w:val="Hyperlink"/>
            <w:rFonts w:ascii="Arial" w:hAnsi="Arial" w:cs="Arial"/>
          </w:rPr>
          <w:t>12.1</w:t>
        </w:r>
        <w:r>
          <w:rPr>
            <w:rFonts w:eastAsiaTheme="minorEastAsia"/>
            <w:kern w:val="2"/>
            <w:sz w:val="24"/>
            <w:szCs w:val="24"/>
            <w14:ligatures w14:val="standardContextual"/>
          </w:rPr>
          <w:tab/>
        </w:r>
        <w:r w:rsidRPr="00E030AC">
          <w:rPr>
            <w:rStyle w:val="Hyperlink"/>
            <w:rFonts w:ascii="Arial" w:hAnsi="Arial" w:cs="Arial"/>
          </w:rPr>
          <w:t>Registration of EDAM Transmission Ownership Rights</w:t>
        </w:r>
        <w:r>
          <w:rPr>
            <w:webHidden/>
          </w:rPr>
          <w:tab/>
        </w:r>
        <w:r>
          <w:rPr>
            <w:webHidden/>
          </w:rPr>
          <w:fldChar w:fldCharType="begin"/>
        </w:r>
        <w:r>
          <w:rPr>
            <w:webHidden/>
          </w:rPr>
          <w:instrText xml:space="preserve"> PAGEREF _Toc212733054 \h </w:instrText>
        </w:r>
        <w:r>
          <w:rPr>
            <w:webHidden/>
          </w:rPr>
        </w:r>
        <w:r>
          <w:rPr>
            <w:webHidden/>
          </w:rPr>
          <w:fldChar w:fldCharType="separate"/>
        </w:r>
        <w:r w:rsidR="000107BF">
          <w:rPr>
            <w:webHidden/>
          </w:rPr>
          <w:t>44</w:t>
        </w:r>
        <w:r>
          <w:rPr>
            <w:webHidden/>
          </w:rPr>
          <w:fldChar w:fldCharType="end"/>
        </w:r>
      </w:hyperlink>
    </w:p>
    <w:p w14:paraId="27147840" w14:textId="35F30C8F" w:rsidR="0097362D" w:rsidRDefault="0097362D">
      <w:pPr>
        <w:pStyle w:val="TOC2"/>
        <w:rPr>
          <w:rFonts w:eastAsiaTheme="minorEastAsia"/>
          <w:kern w:val="2"/>
          <w:sz w:val="24"/>
          <w:szCs w:val="24"/>
          <w14:ligatures w14:val="standardContextual"/>
        </w:rPr>
      </w:pPr>
      <w:hyperlink w:anchor="_Toc212733055" w:history="1">
        <w:r w:rsidRPr="00E030AC">
          <w:rPr>
            <w:rStyle w:val="Hyperlink"/>
            <w:rFonts w:ascii="Arial" w:hAnsi="Arial" w:cs="Arial"/>
          </w:rPr>
          <w:t>12.2</w:t>
        </w:r>
        <w:r>
          <w:rPr>
            <w:rFonts w:eastAsiaTheme="minorEastAsia"/>
            <w:kern w:val="2"/>
            <w:sz w:val="24"/>
            <w:szCs w:val="24"/>
            <w14:ligatures w14:val="standardContextual"/>
          </w:rPr>
          <w:tab/>
        </w:r>
        <w:r w:rsidRPr="00E030AC">
          <w:rPr>
            <w:rStyle w:val="Hyperlink"/>
            <w:rFonts w:ascii="Arial" w:hAnsi="Arial" w:cs="Arial"/>
          </w:rPr>
          <w:t>Availability and Scheduling of EDAM Transmission Ownership Rights</w:t>
        </w:r>
        <w:r>
          <w:rPr>
            <w:webHidden/>
          </w:rPr>
          <w:tab/>
        </w:r>
        <w:r>
          <w:rPr>
            <w:webHidden/>
          </w:rPr>
          <w:fldChar w:fldCharType="begin"/>
        </w:r>
        <w:r>
          <w:rPr>
            <w:webHidden/>
          </w:rPr>
          <w:instrText xml:space="preserve"> PAGEREF _Toc212733055 \h </w:instrText>
        </w:r>
        <w:r>
          <w:rPr>
            <w:webHidden/>
          </w:rPr>
        </w:r>
        <w:r>
          <w:rPr>
            <w:webHidden/>
          </w:rPr>
          <w:fldChar w:fldCharType="separate"/>
        </w:r>
        <w:r w:rsidR="000107BF">
          <w:rPr>
            <w:webHidden/>
          </w:rPr>
          <w:t>45</w:t>
        </w:r>
        <w:r>
          <w:rPr>
            <w:webHidden/>
          </w:rPr>
          <w:fldChar w:fldCharType="end"/>
        </w:r>
      </w:hyperlink>
    </w:p>
    <w:p w14:paraId="5755E7F8" w14:textId="483592DB" w:rsidR="0097362D" w:rsidRDefault="0097362D">
      <w:pPr>
        <w:pStyle w:val="TOC1"/>
        <w:rPr>
          <w:rFonts w:eastAsiaTheme="minorEastAsia" w:cstheme="minorBidi"/>
          <w:b w:val="0"/>
          <w:kern w:val="2"/>
          <w:sz w:val="24"/>
          <w:szCs w:val="24"/>
          <w14:ligatures w14:val="standardContextual"/>
        </w:rPr>
      </w:pPr>
      <w:hyperlink w:anchor="_Toc212733056" w:history="1">
        <w:r w:rsidRPr="00E030AC">
          <w:rPr>
            <w:rStyle w:val="Hyperlink"/>
            <w:rFonts w:ascii="Arial" w:hAnsi="Arial"/>
          </w:rPr>
          <w:t>13.</w:t>
        </w:r>
        <w:r>
          <w:rPr>
            <w:rFonts w:eastAsiaTheme="minorEastAsia" w:cstheme="minorBidi"/>
            <w:b w:val="0"/>
            <w:kern w:val="2"/>
            <w:sz w:val="24"/>
            <w:szCs w:val="24"/>
            <w14:ligatures w14:val="standardContextual"/>
          </w:rPr>
          <w:tab/>
        </w:r>
        <w:r w:rsidRPr="00E030AC">
          <w:rPr>
            <w:rStyle w:val="Hyperlink"/>
            <w:rFonts w:ascii="Arial" w:hAnsi="Arial"/>
          </w:rPr>
          <w:t>Tariff Transmission Service by EDAM Transmission Service Providers</w:t>
        </w:r>
        <w:r>
          <w:rPr>
            <w:webHidden/>
          </w:rPr>
          <w:tab/>
        </w:r>
        <w:r>
          <w:rPr>
            <w:webHidden/>
          </w:rPr>
          <w:fldChar w:fldCharType="begin"/>
        </w:r>
        <w:r>
          <w:rPr>
            <w:webHidden/>
          </w:rPr>
          <w:instrText xml:space="preserve"> PAGEREF _Toc212733056 \h </w:instrText>
        </w:r>
        <w:r>
          <w:rPr>
            <w:webHidden/>
          </w:rPr>
        </w:r>
        <w:r>
          <w:rPr>
            <w:webHidden/>
          </w:rPr>
          <w:fldChar w:fldCharType="separate"/>
        </w:r>
        <w:r w:rsidR="000107BF">
          <w:rPr>
            <w:webHidden/>
          </w:rPr>
          <w:t>46</w:t>
        </w:r>
        <w:r>
          <w:rPr>
            <w:webHidden/>
          </w:rPr>
          <w:fldChar w:fldCharType="end"/>
        </w:r>
      </w:hyperlink>
    </w:p>
    <w:p w14:paraId="15B10231" w14:textId="4A4FAB48" w:rsidR="0097362D" w:rsidRDefault="0097362D">
      <w:pPr>
        <w:pStyle w:val="TOC2"/>
        <w:rPr>
          <w:rFonts w:eastAsiaTheme="minorEastAsia"/>
          <w:kern w:val="2"/>
          <w:sz w:val="24"/>
          <w:szCs w:val="24"/>
          <w14:ligatures w14:val="standardContextual"/>
        </w:rPr>
      </w:pPr>
      <w:hyperlink w:anchor="_Toc212733057" w:history="1">
        <w:r w:rsidRPr="00E030AC">
          <w:rPr>
            <w:rStyle w:val="Hyperlink"/>
            <w:rFonts w:ascii="Arial" w:hAnsi="Arial" w:cs="Arial"/>
          </w:rPr>
          <w:t>13.1</w:t>
        </w:r>
        <w:r>
          <w:rPr>
            <w:rFonts w:eastAsiaTheme="minorEastAsia"/>
            <w:kern w:val="2"/>
            <w:sz w:val="24"/>
            <w:szCs w:val="24"/>
            <w14:ligatures w14:val="standardContextual"/>
          </w:rPr>
          <w:tab/>
        </w:r>
        <w:r w:rsidRPr="00E030AC">
          <w:rPr>
            <w:rStyle w:val="Hyperlink"/>
            <w:rFonts w:ascii="Arial" w:hAnsi="Arial" w:cs="Arial"/>
          </w:rPr>
          <w:t>Registration of OATT Transmission Rights</w:t>
        </w:r>
        <w:r>
          <w:rPr>
            <w:webHidden/>
          </w:rPr>
          <w:tab/>
        </w:r>
        <w:r>
          <w:rPr>
            <w:webHidden/>
          </w:rPr>
          <w:fldChar w:fldCharType="begin"/>
        </w:r>
        <w:r>
          <w:rPr>
            <w:webHidden/>
          </w:rPr>
          <w:instrText xml:space="preserve"> PAGEREF _Toc212733057 \h </w:instrText>
        </w:r>
        <w:r>
          <w:rPr>
            <w:webHidden/>
          </w:rPr>
        </w:r>
        <w:r>
          <w:rPr>
            <w:webHidden/>
          </w:rPr>
          <w:fldChar w:fldCharType="separate"/>
        </w:r>
        <w:r w:rsidR="000107BF">
          <w:rPr>
            <w:webHidden/>
          </w:rPr>
          <w:t>46</w:t>
        </w:r>
        <w:r>
          <w:rPr>
            <w:webHidden/>
          </w:rPr>
          <w:fldChar w:fldCharType="end"/>
        </w:r>
      </w:hyperlink>
    </w:p>
    <w:p w14:paraId="42ADD742" w14:textId="6D6ACD2F" w:rsidR="0097362D" w:rsidRDefault="0097362D">
      <w:pPr>
        <w:pStyle w:val="TOC2"/>
        <w:rPr>
          <w:rFonts w:eastAsiaTheme="minorEastAsia"/>
          <w:kern w:val="2"/>
          <w:sz w:val="24"/>
          <w:szCs w:val="24"/>
          <w14:ligatures w14:val="standardContextual"/>
        </w:rPr>
      </w:pPr>
      <w:hyperlink w:anchor="_Toc212733058" w:history="1">
        <w:r w:rsidRPr="00E030AC">
          <w:rPr>
            <w:rStyle w:val="Hyperlink"/>
            <w:rFonts w:ascii="Arial" w:hAnsi="Arial" w:cs="Arial"/>
          </w:rPr>
          <w:t>13.2</w:t>
        </w:r>
        <w:r>
          <w:rPr>
            <w:rFonts w:eastAsiaTheme="minorEastAsia"/>
            <w:kern w:val="2"/>
            <w:sz w:val="24"/>
            <w:szCs w:val="24"/>
            <w14:ligatures w14:val="standardContextual"/>
          </w:rPr>
          <w:tab/>
        </w:r>
        <w:r w:rsidRPr="00E030AC">
          <w:rPr>
            <w:rStyle w:val="Hyperlink"/>
            <w:rFonts w:ascii="Arial" w:hAnsi="Arial" w:cs="Arial"/>
          </w:rPr>
          <w:t>Scheduling the Exercise of OATT Transmission Rights</w:t>
        </w:r>
        <w:r>
          <w:rPr>
            <w:webHidden/>
          </w:rPr>
          <w:tab/>
        </w:r>
        <w:r>
          <w:rPr>
            <w:webHidden/>
          </w:rPr>
          <w:fldChar w:fldCharType="begin"/>
        </w:r>
        <w:r>
          <w:rPr>
            <w:webHidden/>
          </w:rPr>
          <w:instrText xml:space="preserve"> PAGEREF _Toc212733058 \h </w:instrText>
        </w:r>
        <w:r>
          <w:rPr>
            <w:webHidden/>
          </w:rPr>
        </w:r>
        <w:r>
          <w:rPr>
            <w:webHidden/>
          </w:rPr>
          <w:fldChar w:fldCharType="separate"/>
        </w:r>
        <w:r w:rsidR="000107BF">
          <w:rPr>
            <w:webHidden/>
          </w:rPr>
          <w:t>48</w:t>
        </w:r>
        <w:r>
          <w:rPr>
            <w:webHidden/>
          </w:rPr>
          <w:fldChar w:fldCharType="end"/>
        </w:r>
      </w:hyperlink>
    </w:p>
    <w:p w14:paraId="2227E76E" w14:textId="354E70B9" w:rsidR="0097362D" w:rsidRDefault="0097362D">
      <w:pPr>
        <w:pStyle w:val="TOC2"/>
        <w:rPr>
          <w:rFonts w:eastAsiaTheme="minorEastAsia"/>
          <w:kern w:val="2"/>
          <w:sz w:val="24"/>
          <w:szCs w:val="24"/>
          <w14:ligatures w14:val="standardContextual"/>
        </w:rPr>
      </w:pPr>
      <w:hyperlink w:anchor="_Toc212733059" w:history="1">
        <w:r w:rsidRPr="00E030AC">
          <w:rPr>
            <w:rStyle w:val="Hyperlink"/>
            <w:rFonts w:ascii="Arial" w:hAnsi="Arial" w:cs="Arial"/>
          </w:rPr>
          <w:t>13.3</w:t>
        </w:r>
        <w:r>
          <w:rPr>
            <w:rFonts w:eastAsiaTheme="minorEastAsia"/>
            <w:kern w:val="2"/>
            <w:sz w:val="24"/>
            <w:szCs w:val="24"/>
            <w14:ligatures w14:val="standardContextual"/>
          </w:rPr>
          <w:tab/>
        </w:r>
        <w:r w:rsidRPr="00E030AC">
          <w:rPr>
            <w:rStyle w:val="Hyperlink"/>
            <w:rFonts w:ascii="Arial" w:hAnsi="Arial" w:cs="Arial"/>
          </w:rPr>
          <w:t>Transmission at EDAM Interties Supporting EDAM Transfers</w:t>
        </w:r>
        <w:r>
          <w:rPr>
            <w:webHidden/>
          </w:rPr>
          <w:tab/>
        </w:r>
        <w:r>
          <w:rPr>
            <w:webHidden/>
          </w:rPr>
          <w:fldChar w:fldCharType="begin"/>
        </w:r>
        <w:r>
          <w:rPr>
            <w:webHidden/>
          </w:rPr>
          <w:instrText xml:space="preserve"> PAGEREF _Toc212733059 \h </w:instrText>
        </w:r>
        <w:r>
          <w:rPr>
            <w:webHidden/>
          </w:rPr>
        </w:r>
        <w:r>
          <w:rPr>
            <w:webHidden/>
          </w:rPr>
          <w:fldChar w:fldCharType="separate"/>
        </w:r>
        <w:r w:rsidR="000107BF">
          <w:rPr>
            <w:webHidden/>
          </w:rPr>
          <w:t>49</w:t>
        </w:r>
        <w:r>
          <w:rPr>
            <w:webHidden/>
          </w:rPr>
          <w:fldChar w:fldCharType="end"/>
        </w:r>
      </w:hyperlink>
    </w:p>
    <w:p w14:paraId="6FE62260" w14:textId="1D472B5F" w:rsidR="0097362D" w:rsidRDefault="0097362D">
      <w:pPr>
        <w:pStyle w:val="TOC1"/>
        <w:rPr>
          <w:rFonts w:eastAsiaTheme="minorEastAsia" w:cstheme="minorBidi"/>
          <w:b w:val="0"/>
          <w:kern w:val="2"/>
          <w:sz w:val="24"/>
          <w:szCs w:val="24"/>
          <w14:ligatures w14:val="standardContextual"/>
        </w:rPr>
      </w:pPr>
      <w:hyperlink w:anchor="_Toc212733060" w:history="1">
        <w:r w:rsidRPr="00E030AC">
          <w:rPr>
            <w:rStyle w:val="Hyperlink"/>
            <w:rFonts w:ascii="Arial" w:hAnsi="Arial"/>
          </w:rPr>
          <w:t>14.</w:t>
        </w:r>
        <w:r>
          <w:rPr>
            <w:rFonts w:eastAsiaTheme="minorEastAsia" w:cstheme="minorBidi"/>
            <w:b w:val="0"/>
            <w:kern w:val="2"/>
            <w:sz w:val="24"/>
            <w:szCs w:val="24"/>
            <w14:ligatures w14:val="standardContextual"/>
          </w:rPr>
          <w:tab/>
        </w:r>
        <w:r w:rsidRPr="00E030AC">
          <w:rPr>
            <w:rStyle w:val="Hyperlink"/>
            <w:rFonts w:ascii="Arial" w:hAnsi="Arial"/>
          </w:rPr>
          <w:t>Transmission Service Requirements for EDAM Resources</w:t>
        </w:r>
        <w:r>
          <w:rPr>
            <w:webHidden/>
          </w:rPr>
          <w:tab/>
        </w:r>
        <w:r>
          <w:rPr>
            <w:webHidden/>
          </w:rPr>
          <w:fldChar w:fldCharType="begin"/>
        </w:r>
        <w:r>
          <w:rPr>
            <w:webHidden/>
          </w:rPr>
          <w:instrText xml:space="preserve"> PAGEREF _Toc212733060 \h </w:instrText>
        </w:r>
        <w:r>
          <w:rPr>
            <w:webHidden/>
          </w:rPr>
        </w:r>
        <w:r>
          <w:rPr>
            <w:webHidden/>
          </w:rPr>
          <w:fldChar w:fldCharType="separate"/>
        </w:r>
        <w:r w:rsidR="000107BF">
          <w:rPr>
            <w:webHidden/>
          </w:rPr>
          <w:t>53</w:t>
        </w:r>
        <w:r>
          <w:rPr>
            <w:webHidden/>
          </w:rPr>
          <w:fldChar w:fldCharType="end"/>
        </w:r>
      </w:hyperlink>
    </w:p>
    <w:p w14:paraId="6AC1BEA6" w14:textId="4E579DE6" w:rsidR="0097362D" w:rsidRDefault="0097362D">
      <w:pPr>
        <w:pStyle w:val="TOC1"/>
        <w:rPr>
          <w:rFonts w:eastAsiaTheme="minorEastAsia" w:cstheme="minorBidi"/>
          <w:b w:val="0"/>
          <w:kern w:val="2"/>
          <w:sz w:val="24"/>
          <w:szCs w:val="24"/>
          <w14:ligatures w14:val="standardContextual"/>
        </w:rPr>
      </w:pPr>
      <w:hyperlink w:anchor="_Toc212733061" w:history="1">
        <w:r w:rsidRPr="00E030AC">
          <w:rPr>
            <w:rStyle w:val="Hyperlink"/>
            <w:rFonts w:ascii="Arial" w:hAnsi="Arial"/>
          </w:rPr>
          <w:t>15.</w:t>
        </w:r>
        <w:r>
          <w:rPr>
            <w:rFonts w:eastAsiaTheme="minorEastAsia" w:cstheme="minorBidi"/>
            <w:b w:val="0"/>
            <w:kern w:val="2"/>
            <w:sz w:val="24"/>
            <w:szCs w:val="24"/>
            <w14:ligatures w14:val="standardContextual"/>
          </w:rPr>
          <w:tab/>
        </w:r>
        <w:r w:rsidRPr="00E030AC">
          <w:rPr>
            <w:rStyle w:val="Hyperlink"/>
            <w:rFonts w:ascii="Arial" w:hAnsi="Arial"/>
          </w:rPr>
          <w:t>Transmission Planning</w:t>
        </w:r>
        <w:r>
          <w:rPr>
            <w:webHidden/>
          </w:rPr>
          <w:tab/>
        </w:r>
        <w:r>
          <w:rPr>
            <w:webHidden/>
          </w:rPr>
          <w:fldChar w:fldCharType="begin"/>
        </w:r>
        <w:r>
          <w:rPr>
            <w:webHidden/>
          </w:rPr>
          <w:instrText xml:space="preserve"> PAGEREF _Toc212733061 \h </w:instrText>
        </w:r>
        <w:r>
          <w:rPr>
            <w:webHidden/>
          </w:rPr>
        </w:r>
        <w:r>
          <w:rPr>
            <w:webHidden/>
          </w:rPr>
          <w:fldChar w:fldCharType="separate"/>
        </w:r>
        <w:r w:rsidR="000107BF">
          <w:rPr>
            <w:webHidden/>
          </w:rPr>
          <w:t>54</w:t>
        </w:r>
        <w:r>
          <w:rPr>
            <w:webHidden/>
          </w:rPr>
          <w:fldChar w:fldCharType="end"/>
        </w:r>
      </w:hyperlink>
    </w:p>
    <w:p w14:paraId="25BBD739" w14:textId="125157D9" w:rsidR="0097362D" w:rsidRDefault="0097362D">
      <w:pPr>
        <w:pStyle w:val="TOC1"/>
        <w:rPr>
          <w:rFonts w:eastAsiaTheme="minorEastAsia" w:cstheme="minorBidi"/>
          <w:b w:val="0"/>
          <w:kern w:val="2"/>
          <w:sz w:val="24"/>
          <w:szCs w:val="24"/>
          <w14:ligatures w14:val="standardContextual"/>
        </w:rPr>
      </w:pPr>
      <w:hyperlink w:anchor="_Toc212733062" w:history="1">
        <w:r w:rsidRPr="00E030AC">
          <w:rPr>
            <w:rStyle w:val="Hyperlink"/>
            <w:rFonts w:ascii="Arial" w:hAnsi="Arial"/>
          </w:rPr>
          <w:t>16.</w:t>
        </w:r>
        <w:r>
          <w:rPr>
            <w:rFonts w:eastAsiaTheme="minorEastAsia" w:cstheme="minorBidi"/>
            <w:b w:val="0"/>
            <w:kern w:val="2"/>
            <w:sz w:val="24"/>
            <w:szCs w:val="24"/>
            <w14:ligatures w14:val="standardContextual"/>
          </w:rPr>
          <w:tab/>
        </w:r>
        <w:r w:rsidRPr="00E030AC">
          <w:rPr>
            <w:rStyle w:val="Hyperlink"/>
            <w:rFonts w:ascii="Arial" w:hAnsi="Arial"/>
          </w:rPr>
          <w:t>Generator Interconnection</w:t>
        </w:r>
        <w:r>
          <w:rPr>
            <w:webHidden/>
          </w:rPr>
          <w:tab/>
        </w:r>
        <w:r>
          <w:rPr>
            <w:webHidden/>
          </w:rPr>
          <w:fldChar w:fldCharType="begin"/>
        </w:r>
        <w:r>
          <w:rPr>
            <w:webHidden/>
          </w:rPr>
          <w:instrText xml:space="preserve"> PAGEREF _Toc212733062 \h </w:instrText>
        </w:r>
        <w:r>
          <w:rPr>
            <w:webHidden/>
          </w:rPr>
        </w:r>
        <w:r>
          <w:rPr>
            <w:webHidden/>
          </w:rPr>
          <w:fldChar w:fldCharType="separate"/>
        </w:r>
        <w:r w:rsidR="000107BF">
          <w:rPr>
            <w:webHidden/>
          </w:rPr>
          <w:t>54</w:t>
        </w:r>
        <w:r>
          <w:rPr>
            <w:webHidden/>
          </w:rPr>
          <w:fldChar w:fldCharType="end"/>
        </w:r>
      </w:hyperlink>
    </w:p>
    <w:p w14:paraId="323C7548" w14:textId="55A3EAC2" w:rsidR="0097362D" w:rsidRDefault="0097362D">
      <w:pPr>
        <w:pStyle w:val="TOC1"/>
        <w:rPr>
          <w:rFonts w:eastAsiaTheme="minorEastAsia" w:cstheme="minorBidi"/>
          <w:b w:val="0"/>
          <w:kern w:val="2"/>
          <w:sz w:val="24"/>
          <w:szCs w:val="24"/>
          <w14:ligatures w14:val="standardContextual"/>
        </w:rPr>
      </w:pPr>
      <w:hyperlink w:anchor="_Toc212733063" w:history="1">
        <w:r w:rsidRPr="00E030AC">
          <w:rPr>
            <w:rStyle w:val="Hyperlink"/>
            <w:rFonts w:ascii="Arial" w:hAnsi="Arial"/>
          </w:rPr>
          <w:t>17.</w:t>
        </w:r>
        <w:r>
          <w:rPr>
            <w:rFonts w:eastAsiaTheme="minorEastAsia" w:cstheme="minorBidi"/>
            <w:b w:val="0"/>
            <w:kern w:val="2"/>
            <w:sz w:val="24"/>
            <w:szCs w:val="24"/>
            <w14:ligatures w14:val="standardContextual"/>
          </w:rPr>
          <w:tab/>
        </w:r>
        <w:r w:rsidRPr="00E030AC">
          <w:rPr>
            <w:rStyle w:val="Hyperlink"/>
            <w:rFonts w:ascii="Arial" w:hAnsi="Arial"/>
          </w:rPr>
          <w:t>Historical Transmission Revenue Recovery and EDAM Access Charge</w:t>
        </w:r>
        <w:r>
          <w:rPr>
            <w:webHidden/>
          </w:rPr>
          <w:tab/>
        </w:r>
        <w:r>
          <w:rPr>
            <w:webHidden/>
          </w:rPr>
          <w:fldChar w:fldCharType="begin"/>
        </w:r>
        <w:r>
          <w:rPr>
            <w:webHidden/>
          </w:rPr>
          <w:instrText xml:space="preserve"> PAGEREF _Toc212733063 \h </w:instrText>
        </w:r>
        <w:r>
          <w:rPr>
            <w:webHidden/>
          </w:rPr>
        </w:r>
        <w:r>
          <w:rPr>
            <w:webHidden/>
          </w:rPr>
          <w:fldChar w:fldCharType="separate"/>
        </w:r>
        <w:r w:rsidR="000107BF">
          <w:rPr>
            <w:webHidden/>
          </w:rPr>
          <w:t>54</w:t>
        </w:r>
        <w:r>
          <w:rPr>
            <w:webHidden/>
          </w:rPr>
          <w:fldChar w:fldCharType="end"/>
        </w:r>
      </w:hyperlink>
    </w:p>
    <w:p w14:paraId="546C213F" w14:textId="0C7206E5" w:rsidR="0097362D" w:rsidRDefault="0097362D">
      <w:pPr>
        <w:pStyle w:val="TOC2"/>
        <w:rPr>
          <w:rFonts w:eastAsiaTheme="minorEastAsia"/>
          <w:kern w:val="2"/>
          <w:sz w:val="24"/>
          <w:szCs w:val="24"/>
          <w14:ligatures w14:val="standardContextual"/>
        </w:rPr>
      </w:pPr>
      <w:hyperlink w:anchor="_Toc212733064" w:history="1">
        <w:r w:rsidRPr="00E030AC">
          <w:rPr>
            <w:rStyle w:val="Hyperlink"/>
            <w:rFonts w:ascii="Arial" w:hAnsi="Arial" w:cs="Arial"/>
          </w:rPr>
          <w:t>17.1</w:t>
        </w:r>
        <w:r>
          <w:rPr>
            <w:rFonts w:eastAsiaTheme="minorEastAsia"/>
            <w:kern w:val="2"/>
            <w:sz w:val="24"/>
            <w:szCs w:val="24"/>
            <w14:ligatures w14:val="standardContextual"/>
          </w:rPr>
          <w:tab/>
        </w:r>
        <w:r w:rsidRPr="00E030AC">
          <w:rPr>
            <w:rStyle w:val="Hyperlink"/>
            <w:rFonts w:ascii="Arial" w:hAnsi="Arial" w:cs="Arial"/>
          </w:rPr>
          <w:t>EDAM Access Charges</w:t>
        </w:r>
        <w:r>
          <w:rPr>
            <w:webHidden/>
          </w:rPr>
          <w:tab/>
        </w:r>
        <w:r>
          <w:rPr>
            <w:webHidden/>
          </w:rPr>
          <w:fldChar w:fldCharType="begin"/>
        </w:r>
        <w:r>
          <w:rPr>
            <w:webHidden/>
          </w:rPr>
          <w:instrText xml:space="preserve"> PAGEREF _Toc212733064 \h </w:instrText>
        </w:r>
        <w:r>
          <w:rPr>
            <w:webHidden/>
          </w:rPr>
        </w:r>
        <w:r>
          <w:rPr>
            <w:webHidden/>
          </w:rPr>
          <w:fldChar w:fldCharType="separate"/>
        </w:r>
        <w:r w:rsidR="000107BF">
          <w:rPr>
            <w:webHidden/>
          </w:rPr>
          <w:t>55</w:t>
        </w:r>
        <w:r>
          <w:rPr>
            <w:webHidden/>
          </w:rPr>
          <w:fldChar w:fldCharType="end"/>
        </w:r>
      </w:hyperlink>
    </w:p>
    <w:p w14:paraId="534462C6" w14:textId="0D7F40AF" w:rsidR="0097362D" w:rsidRDefault="0097362D">
      <w:pPr>
        <w:pStyle w:val="TOC2"/>
        <w:rPr>
          <w:rFonts w:eastAsiaTheme="minorEastAsia"/>
          <w:kern w:val="2"/>
          <w:sz w:val="24"/>
          <w:szCs w:val="24"/>
          <w14:ligatures w14:val="standardContextual"/>
        </w:rPr>
      </w:pPr>
      <w:hyperlink w:anchor="_Toc212733065" w:history="1">
        <w:r w:rsidRPr="00E030AC">
          <w:rPr>
            <w:rStyle w:val="Hyperlink"/>
            <w:rFonts w:ascii="Arial" w:hAnsi="Arial" w:cs="Arial"/>
          </w:rPr>
          <w:t>17.2</w:t>
        </w:r>
        <w:r>
          <w:rPr>
            <w:rFonts w:eastAsiaTheme="minorEastAsia"/>
            <w:kern w:val="2"/>
            <w:sz w:val="24"/>
            <w:szCs w:val="24"/>
            <w14:ligatures w14:val="standardContextual"/>
          </w:rPr>
          <w:tab/>
        </w:r>
        <w:r w:rsidRPr="00E030AC">
          <w:rPr>
            <w:rStyle w:val="Hyperlink"/>
            <w:rFonts w:ascii="Arial" w:hAnsi="Arial" w:cs="Arial"/>
          </w:rPr>
          <w:t>Calculation of EDAM Recoverable Revenue</w:t>
        </w:r>
        <w:r>
          <w:rPr>
            <w:webHidden/>
          </w:rPr>
          <w:tab/>
        </w:r>
        <w:r>
          <w:rPr>
            <w:webHidden/>
          </w:rPr>
          <w:fldChar w:fldCharType="begin"/>
        </w:r>
        <w:r>
          <w:rPr>
            <w:webHidden/>
          </w:rPr>
          <w:instrText xml:space="preserve"> PAGEREF _Toc212733065 \h </w:instrText>
        </w:r>
        <w:r>
          <w:rPr>
            <w:webHidden/>
          </w:rPr>
        </w:r>
        <w:r>
          <w:rPr>
            <w:webHidden/>
          </w:rPr>
          <w:fldChar w:fldCharType="separate"/>
        </w:r>
        <w:r w:rsidR="000107BF">
          <w:rPr>
            <w:webHidden/>
          </w:rPr>
          <w:t>55</w:t>
        </w:r>
        <w:r>
          <w:rPr>
            <w:webHidden/>
          </w:rPr>
          <w:fldChar w:fldCharType="end"/>
        </w:r>
      </w:hyperlink>
    </w:p>
    <w:p w14:paraId="018E2D8F" w14:textId="65E1239B" w:rsidR="0097362D" w:rsidRDefault="0097362D">
      <w:pPr>
        <w:pStyle w:val="TOC2"/>
        <w:rPr>
          <w:rFonts w:eastAsiaTheme="minorEastAsia"/>
          <w:kern w:val="2"/>
          <w:sz w:val="24"/>
          <w:szCs w:val="24"/>
          <w14:ligatures w14:val="standardContextual"/>
        </w:rPr>
      </w:pPr>
      <w:hyperlink w:anchor="_Toc212733066" w:history="1">
        <w:r w:rsidRPr="00E030AC">
          <w:rPr>
            <w:rStyle w:val="Hyperlink"/>
            <w:rFonts w:ascii="Arial" w:hAnsi="Arial" w:cs="Arial"/>
          </w:rPr>
          <w:t>17.3</w:t>
        </w:r>
        <w:r>
          <w:rPr>
            <w:rFonts w:eastAsiaTheme="minorEastAsia"/>
            <w:kern w:val="2"/>
            <w:sz w:val="24"/>
            <w:szCs w:val="24"/>
            <w14:ligatures w14:val="standardContextual"/>
          </w:rPr>
          <w:tab/>
        </w:r>
        <w:r w:rsidRPr="00E030AC">
          <w:rPr>
            <w:rStyle w:val="Hyperlink"/>
            <w:rFonts w:ascii="Arial" w:hAnsi="Arial" w:cs="Arial"/>
          </w:rPr>
          <w:t>Assessing Access Charges and Allocating Revenues in the EDAM</w:t>
        </w:r>
        <w:r>
          <w:rPr>
            <w:webHidden/>
          </w:rPr>
          <w:tab/>
        </w:r>
        <w:r>
          <w:rPr>
            <w:webHidden/>
          </w:rPr>
          <w:fldChar w:fldCharType="begin"/>
        </w:r>
        <w:r>
          <w:rPr>
            <w:webHidden/>
          </w:rPr>
          <w:instrText xml:space="preserve"> PAGEREF _Toc212733066 \h </w:instrText>
        </w:r>
        <w:r>
          <w:rPr>
            <w:webHidden/>
          </w:rPr>
        </w:r>
        <w:r>
          <w:rPr>
            <w:webHidden/>
          </w:rPr>
          <w:fldChar w:fldCharType="separate"/>
        </w:r>
        <w:r w:rsidR="000107BF">
          <w:rPr>
            <w:webHidden/>
          </w:rPr>
          <w:t>58</w:t>
        </w:r>
        <w:r>
          <w:rPr>
            <w:webHidden/>
          </w:rPr>
          <w:fldChar w:fldCharType="end"/>
        </w:r>
      </w:hyperlink>
    </w:p>
    <w:p w14:paraId="46768271" w14:textId="091FEDB1" w:rsidR="0097362D" w:rsidRDefault="0097362D">
      <w:pPr>
        <w:pStyle w:val="TOC2"/>
        <w:rPr>
          <w:rFonts w:eastAsiaTheme="minorEastAsia"/>
          <w:kern w:val="2"/>
          <w:sz w:val="24"/>
          <w:szCs w:val="24"/>
          <w14:ligatures w14:val="standardContextual"/>
        </w:rPr>
      </w:pPr>
      <w:hyperlink w:anchor="_Toc212733067" w:history="1">
        <w:r w:rsidRPr="00E030AC">
          <w:rPr>
            <w:rStyle w:val="Hyperlink"/>
            <w:rFonts w:ascii="Arial" w:hAnsi="Arial" w:cs="Arial"/>
          </w:rPr>
          <w:t>17.4</w:t>
        </w:r>
        <w:r>
          <w:rPr>
            <w:rFonts w:eastAsiaTheme="minorEastAsia"/>
            <w:kern w:val="2"/>
            <w:sz w:val="24"/>
            <w:szCs w:val="24"/>
            <w14:ligatures w14:val="standardContextual"/>
          </w:rPr>
          <w:tab/>
        </w:r>
        <w:r w:rsidRPr="00E030AC">
          <w:rPr>
            <w:rStyle w:val="Hyperlink"/>
            <w:rFonts w:ascii="Arial" w:hAnsi="Arial" w:cs="Arial"/>
          </w:rPr>
          <w:t>Documentation</w:t>
        </w:r>
        <w:r>
          <w:rPr>
            <w:webHidden/>
          </w:rPr>
          <w:tab/>
        </w:r>
        <w:r>
          <w:rPr>
            <w:webHidden/>
          </w:rPr>
          <w:fldChar w:fldCharType="begin"/>
        </w:r>
        <w:r>
          <w:rPr>
            <w:webHidden/>
          </w:rPr>
          <w:instrText xml:space="preserve"> PAGEREF _Toc212733067 \h </w:instrText>
        </w:r>
        <w:r>
          <w:rPr>
            <w:webHidden/>
          </w:rPr>
        </w:r>
        <w:r>
          <w:rPr>
            <w:webHidden/>
          </w:rPr>
          <w:fldChar w:fldCharType="separate"/>
        </w:r>
        <w:r w:rsidR="000107BF">
          <w:rPr>
            <w:webHidden/>
          </w:rPr>
          <w:t>58</w:t>
        </w:r>
        <w:r>
          <w:rPr>
            <w:webHidden/>
          </w:rPr>
          <w:fldChar w:fldCharType="end"/>
        </w:r>
      </w:hyperlink>
    </w:p>
    <w:p w14:paraId="4B770B6F" w14:textId="28EE66DC" w:rsidR="0097362D" w:rsidRDefault="0097362D">
      <w:pPr>
        <w:pStyle w:val="TOC2"/>
        <w:rPr>
          <w:rFonts w:eastAsiaTheme="minorEastAsia"/>
          <w:kern w:val="2"/>
          <w:sz w:val="24"/>
          <w:szCs w:val="24"/>
          <w14:ligatures w14:val="standardContextual"/>
        </w:rPr>
      </w:pPr>
      <w:hyperlink w:anchor="_Toc212733068" w:history="1">
        <w:r w:rsidRPr="00E030AC">
          <w:rPr>
            <w:rStyle w:val="Hyperlink"/>
            <w:rFonts w:ascii="Arial" w:hAnsi="Arial" w:cs="Arial"/>
          </w:rPr>
          <w:t>17.5</w:t>
        </w:r>
        <w:r>
          <w:rPr>
            <w:rFonts w:eastAsiaTheme="minorEastAsia"/>
            <w:kern w:val="2"/>
            <w:sz w:val="24"/>
            <w:szCs w:val="24"/>
            <w14:ligatures w14:val="standardContextual"/>
          </w:rPr>
          <w:tab/>
        </w:r>
        <w:r w:rsidRPr="00E030AC">
          <w:rPr>
            <w:rStyle w:val="Hyperlink"/>
            <w:rFonts w:ascii="Arial" w:hAnsi="Arial" w:cs="Arial"/>
          </w:rPr>
          <w:t>Exit from EDAM</w:t>
        </w:r>
        <w:r>
          <w:rPr>
            <w:webHidden/>
          </w:rPr>
          <w:tab/>
        </w:r>
        <w:r>
          <w:rPr>
            <w:webHidden/>
          </w:rPr>
          <w:fldChar w:fldCharType="begin"/>
        </w:r>
        <w:r>
          <w:rPr>
            <w:webHidden/>
          </w:rPr>
          <w:instrText xml:space="preserve"> PAGEREF _Toc212733068 \h </w:instrText>
        </w:r>
        <w:r>
          <w:rPr>
            <w:webHidden/>
          </w:rPr>
        </w:r>
        <w:r>
          <w:rPr>
            <w:webHidden/>
          </w:rPr>
          <w:fldChar w:fldCharType="separate"/>
        </w:r>
        <w:r w:rsidR="000107BF">
          <w:rPr>
            <w:webHidden/>
          </w:rPr>
          <w:t>59</w:t>
        </w:r>
        <w:r>
          <w:rPr>
            <w:webHidden/>
          </w:rPr>
          <w:fldChar w:fldCharType="end"/>
        </w:r>
      </w:hyperlink>
    </w:p>
    <w:p w14:paraId="30FE7339" w14:textId="5CECCB4E" w:rsidR="0097362D" w:rsidRDefault="0097362D">
      <w:pPr>
        <w:pStyle w:val="TOC2"/>
        <w:rPr>
          <w:rFonts w:eastAsiaTheme="minorEastAsia"/>
          <w:kern w:val="2"/>
          <w:sz w:val="24"/>
          <w:szCs w:val="24"/>
          <w14:ligatures w14:val="standardContextual"/>
        </w:rPr>
      </w:pPr>
      <w:hyperlink w:anchor="_Toc212733069" w:history="1">
        <w:r w:rsidRPr="00E030AC">
          <w:rPr>
            <w:rStyle w:val="Hyperlink"/>
            <w:rFonts w:ascii="Arial" w:hAnsi="Arial" w:cs="Arial"/>
          </w:rPr>
          <w:t>17.6</w:t>
        </w:r>
        <w:r>
          <w:rPr>
            <w:rFonts w:eastAsiaTheme="minorEastAsia"/>
            <w:kern w:val="2"/>
            <w:sz w:val="24"/>
            <w:szCs w:val="24"/>
            <w14:ligatures w14:val="standardContextual"/>
          </w:rPr>
          <w:tab/>
        </w:r>
        <w:r w:rsidRPr="00E030AC">
          <w:rPr>
            <w:rStyle w:val="Hyperlink"/>
            <w:rFonts w:ascii="Arial" w:hAnsi="Arial" w:cs="Arial"/>
          </w:rPr>
          <w:t>Three-Year Review</w:t>
        </w:r>
        <w:r>
          <w:rPr>
            <w:webHidden/>
          </w:rPr>
          <w:tab/>
        </w:r>
        <w:r>
          <w:rPr>
            <w:webHidden/>
          </w:rPr>
          <w:fldChar w:fldCharType="begin"/>
        </w:r>
        <w:r>
          <w:rPr>
            <w:webHidden/>
          </w:rPr>
          <w:instrText xml:space="preserve"> PAGEREF _Toc212733069 \h </w:instrText>
        </w:r>
        <w:r>
          <w:rPr>
            <w:webHidden/>
          </w:rPr>
        </w:r>
        <w:r>
          <w:rPr>
            <w:webHidden/>
          </w:rPr>
          <w:fldChar w:fldCharType="separate"/>
        </w:r>
        <w:r w:rsidR="000107BF">
          <w:rPr>
            <w:webHidden/>
          </w:rPr>
          <w:t>59</w:t>
        </w:r>
        <w:r>
          <w:rPr>
            <w:webHidden/>
          </w:rPr>
          <w:fldChar w:fldCharType="end"/>
        </w:r>
      </w:hyperlink>
    </w:p>
    <w:p w14:paraId="2C9719A4" w14:textId="034050D2" w:rsidR="0097362D" w:rsidRDefault="0097362D">
      <w:pPr>
        <w:pStyle w:val="TOC2"/>
        <w:rPr>
          <w:rFonts w:eastAsiaTheme="minorEastAsia"/>
          <w:kern w:val="2"/>
          <w:sz w:val="24"/>
          <w:szCs w:val="24"/>
          <w14:ligatures w14:val="standardContextual"/>
        </w:rPr>
      </w:pPr>
      <w:hyperlink w:anchor="_Toc212733070" w:history="1">
        <w:r w:rsidRPr="00E030AC">
          <w:rPr>
            <w:rStyle w:val="Hyperlink"/>
            <w:rFonts w:ascii="Arial" w:hAnsi="Arial" w:cs="Arial"/>
          </w:rPr>
          <w:t>17.7</w:t>
        </w:r>
        <w:r>
          <w:rPr>
            <w:rFonts w:eastAsiaTheme="minorEastAsia"/>
            <w:kern w:val="2"/>
            <w:sz w:val="24"/>
            <w:szCs w:val="24"/>
            <w14:ligatures w14:val="standardContextual"/>
          </w:rPr>
          <w:tab/>
        </w:r>
        <w:r w:rsidRPr="00E030AC">
          <w:rPr>
            <w:rStyle w:val="Hyperlink"/>
            <w:rFonts w:ascii="Arial" w:hAnsi="Arial" w:cs="Arial"/>
          </w:rPr>
          <w:t>EDAM Access Charge Calculation Examples</w:t>
        </w:r>
        <w:r>
          <w:rPr>
            <w:webHidden/>
          </w:rPr>
          <w:tab/>
        </w:r>
        <w:r>
          <w:rPr>
            <w:webHidden/>
          </w:rPr>
          <w:fldChar w:fldCharType="begin"/>
        </w:r>
        <w:r>
          <w:rPr>
            <w:webHidden/>
          </w:rPr>
          <w:instrText xml:space="preserve"> PAGEREF _Toc212733070 \h </w:instrText>
        </w:r>
        <w:r>
          <w:rPr>
            <w:webHidden/>
          </w:rPr>
        </w:r>
        <w:r>
          <w:rPr>
            <w:webHidden/>
          </w:rPr>
          <w:fldChar w:fldCharType="separate"/>
        </w:r>
        <w:r w:rsidR="000107BF">
          <w:rPr>
            <w:webHidden/>
          </w:rPr>
          <w:t>59</w:t>
        </w:r>
        <w:r>
          <w:rPr>
            <w:webHidden/>
          </w:rPr>
          <w:fldChar w:fldCharType="end"/>
        </w:r>
      </w:hyperlink>
    </w:p>
    <w:p w14:paraId="3BBF6A71" w14:textId="556947D4" w:rsidR="0097362D" w:rsidRDefault="0097362D">
      <w:pPr>
        <w:pStyle w:val="TOC1"/>
        <w:rPr>
          <w:rFonts w:eastAsiaTheme="minorEastAsia" w:cstheme="minorBidi"/>
          <w:b w:val="0"/>
          <w:kern w:val="2"/>
          <w:sz w:val="24"/>
          <w:szCs w:val="24"/>
          <w14:ligatures w14:val="standardContextual"/>
        </w:rPr>
      </w:pPr>
      <w:hyperlink w:anchor="_Toc212733071" w:history="1">
        <w:r w:rsidRPr="00E030AC">
          <w:rPr>
            <w:rStyle w:val="Hyperlink"/>
            <w:rFonts w:ascii="Arial" w:hAnsi="Arial"/>
          </w:rPr>
          <w:t>18.</w:t>
        </w:r>
        <w:r>
          <w:rPr>
            <w:rFonts w:eastAsiaTheme="minorEastAsia" w:cstheme="minorBidi"/>
            <w:b w:val="0"/>
            <w:kern w:val="2"/>
            <w:sz w:val="24"/>
            <w:szCs w:val="24"/>
            <w14:ligatures w14:val="standardContextual"/>
          </w:rPr>
          <w:tab/>
        </w:r>
        <w:r w:rsidRPr="00E030AC">
          <w:rPr>
            <w:rStyle w:val="Hyperlink"/>
            <w:rFonts w:ascii="Arial" w:hAnsi="Arial"/>
          </w:rPr>
          <w:t>CAISO Markets and Processes</w:t>
        </w:r>
        <w:r>
          <w:rPr>
            <w:webHidden/>
          </w:rPr>
          <w:tab/>
        </w:r>
        <w:r>
          <w:rPr>
            <w:webHidden/>
          </w:rPr>
          <w:fldChar w:fldCharType="begin"/>
        </w:r>
        <w:r>
          <w:rPr>
            <w:webHidden/>
          </w:rPr>
          <w:instrText xml:space="preserve"> PAGEREF _Toc212733071 \h </w:instrText>
        </w:r>
        <w:r>
          <w:rPr>
            <w:webHidden/>
          </w:rPr>
        </w:r>
        <w:r>
          <w:rPr>
            <w:webHidden/>
          </w:rPr>
          <w:fldChar w:fldCharType="separate"/>
        </w:r>
        <w:r w:rsidR="000107BF">
          <w:rPr>
            <w:webHidden/>
          </w:rPr>
          <w:t>66</w:t>
        </w:r>
        <w:r>
          <w:rPr>
            <w:webHidden/>
          </w:rPr>
          <w:fldChar w:fldCharType="end"/>
        </w:r>
      </w:hyperlink>
    </w:p>
    <w:p w14:paraId="39633DEE" w14:textId="42F56B0E" w:rsidR="0097362D" w:rsidRDefault="0097362D">
      <w:pPr>
        <w:pStyle w:val="TOC2"/>
        <w:rPr>
          <w:rFonts w:eastAsiaTheme="minorEastAsia"/>
          <w:kern w:val="2"/>
          <w:sz w:val="24"/>
          <w:szCs w:val="24"/>
          <w14:ligatures w14:val="standardContextual"/>
        </w:rPr>
      </w:pPr>
      <w:hyperlink w:anchor="_Toc212733072" w:history="1">
        <w:r w:rsidRPr="00E030AC">
          <w:rPr>
            <w:rStyle w:val="Hyperlink"/>
            <w:rFonts w:ascii="Arial" w:hAnsi="Arial" w:cs="Arial"/>
          </w:rPr>
          <w:t>18.1</w:t>
        </w:r>
        <w:r>
          <w:rPr>
            <w:rFonts w:eastAsiaTheme="minorEastAsia"/>
            <w:kern w:val="2"/>
            <w:sz w:val="24"/>
            <w:szCs w:val="24"/>
            <w14:ligatures w14:val="standardContextual"/>
          </w:rPr>
          <w:tab/>
        </w:r>
        <w:r w:rsidRPr="00E030AC">
          <w:rPr>
            <w:rStyle w:val="Hyperlink"/>
            <w:rFonts w:ascii="Arial" w:hAnsi="Arial" w:cs="Arial"/>
          </w:rPr>
          <w:t>Locational Marginal Prices formation</w:t>
        </w:r>
        <w:r>
          <w:rPr>
            <w:webHidden/>
          </w:rPr>
          <w:tab/>
        </w:r>
        <w:r>
          <w:rPr>
            <w:webHidden/>
          </w:rPr>
          <w:fldChar w:fldCharType="begin"/>
        </w:r>
        <w:r>
          <w:rPr>
            <w:webHidden/>
          </w:rPr>
          <w:instrText xml:space="preserve"> PAGEREF _Toc212733072 \h </w:instrText>
        </w:r>
        <w:r>
          <w:rPr>
            <w:webHidden/>
          </w:rPr>
        </w:r>
        <w:r>
          <w:rPr>
            <w:webHidden/>
          </w:rPr>
          <w:fldChar w:fldCharType="separate"/>
        </w:r>
        <w:r w:rsidR="000107BF">
          <w:rPr>
            <w:webHidden/>
          </w:rPr>
          <w:t>66</w:t>
        </w:r>
        <w:r>
          <w:rPr>
            <w:webHidden/>
          </w:rPr>
          <w:fldChar w:fldCharType="end"/>
        </w:r>
      </w:hyperlink>
    </w:p>
    <w:p w14:paraId="2F4B94E0" w14:textId="5C18DD2A" w:rsidR="0097362D" w:rsidRDefault="0097362D">
      <w:pPr>
        <w:pStyle w:val="TOC2"/>
        <w:rPr>
          <w:rFonts w:eastAsiaTheme="minorEastAsia"/>
          <w:kern w:val="2"/>
          <w:sz w:val="24"/>
          <w:szCs w:val="24"/>
          <w14:ligatures w14:val="standardContextual"/>
        </w:rPr>
      </w:pPr>
      <w:hyperlink w:anchor="_Toc212733073" w:history="1">
        <w:r w:rsidRPr="00E030AC">
          <w:rPr>
            <w:rStyle w:val="Hyperlink"/>
            <w:rFonts w:ascii="Arial" w:hAnsi="Arial" w:cs="Arial"/>
          </w:rPr>
          <w:t>18.2</w:t>
        </w:r>
        <w:r>
          <w:rPr>
            <w:rFonts w:eastAsiaTheme="minorEastAsia"/>
            <w:kern w:val="2"/>
            <w:sz w:val="24"/>
            <w:szCs w:val="24"/>
            <w14:ligatures w14:val="standardContextual"/>
          </w:rPr>
          <w:tab/>
        </w:r>
        <w:r w:rsidRPr="00E030AC">
          <w:rPr>
            <w:rStyle w:val="Hyperlink"/>
            <w:rFonts w:ascii="Arial" w:hAnsi="Arial" w:cs="Arial"/>
          </w:rPr>
          <w:t>EDAM scheduling coordinators submit Import/Export schedules</w:t>
        </w:r>
        <w:r>
          <w:rPr>
            <w:webHidden/>
          </w:rPr>
          <w:tab/>
        </w:r>
        <w:r>
          <w:rPr>
            <w:webHidden/>
          </w:rPr>
          <w:fldChar w:fldCharType="begin"/>
        </w:r>
        <w:r>
          <w:rPr>
            <w:webHidden/>
          </w:rPr>
          <w:instrText xml:space="preserve"> PAGEREF _Toc212733073 \h </w:instrText>
        </w:r>
        <w:r>
          <w:rPr>
            <w:webHidden/>
          </w:rPr>
        </w:r>
        <w:r>
          <w:rPr>
            <w:webHidden/>
          </w:rPr>
          <w:fldChar w:fldCharType="separate"/>
        </w:r>
        <w:r w:rsidR="000107BF">
          <w:rPr>
            <w:webHidden/>
          </w:rPr>
          <w:t>68</w:t>
        </w:r>
        <w:r>
          <w:rPr>
            <w:webHidden/>
          </w:rPr>
          <w:fldChar w:fldCharType="end"/>
        </w:r>
      </w:hyperlink>
    </w:p>
    <w:p w14:paraId="019B1ECF" w14:textId="40E96F5F" w:rsidR="0097362D" w:rsidRDefault="0097362D">
      <w:pPr>
        <w:pStyle w:val="TOC2"/>
        <w:rPr>
          <w:rFonts w:eastAsiaTheme="minorEastAsia"/>
          <w:kern w:val="2"/>
          <w:sz w:val="24"/>
          <w:szCs w:val="24"/>
          <w14:ligatures w14:val="standardContextual"/>
        </w:rPr>
      </w:pPr>
      <w:hyperlink w:anchor="_Toc212733074" w:history="1">
        <w:r w:rsidRPr="00E030AC">
          <w:rPr>
            <w:rStyle w:val="Hyperlink"/>
            <w:rFonts w:ascii="Arial" w:hAnsi="Arial" w:cs="Arial"/>
          </w:rPr>
          <w:t>18.3</w:t>
        </w:r>
        <w:r>
          <w:rPr>
            <w:rFonts w:eastAsiaTheme="minorEastAsia"/>
            <w:kern w:val="2"/>
            <w:sz w:val="24"/>
            <w:szCs w:val="24"/>
            <w14:ligatures w14:val="standardContextual"/>
          </w:rPr>
          <w:tab/>
        </w:r>
        <w:r w:rsidRPr="00E030AC">
          <w:rPr>
            <w:rStyle w:val="Hyperlink"/>
            <w:rFonts w:ascii="Arial" w:hAnsi="Arial" w:cs="Arial"/>
          </w:rPr>
          <w:t>Power Balance Constraint Relaxation</w:t>
        </w:r>
        <w:r>
          <w:rPr>
            <w:webHidden/>
          </w:rPr>
          <w:tab/>
        </w:r>
        <w:r>
          <w:rPr>
            <w:webHidden/>
          </w:rPr>
          <w:fldChar w:fldCharType="begin"/>
        </w:r>
        <w:r>
          <w:rPr>
            <w:webHidden/>
          </w:rPr>
          <w:instrText xml:space="preserve"> PAGEREF _Toc212733074 \h </w:instrText>
        </w:r>
        <w:r>
          <w:rPr>
            <w:webHidden/>
          </w:rPr>
        </w:r>
        <w:r>
          <w:rPr>
            <w:webHidden/>
          </w:rPr>
          <w:fldChar w:fldCharType="separate"/>
        </w:r>
        <w:r w:rsidR="000107BF">
          <w:rPr>
            <w:webHidden/>
          </w:rPr>
          <w:t>69</w:t>
        </w:r>
        <w:r>
          <w:rPr>
            <w:webHidden/>
          </w:rPr>
          <w:fldChar w:fldCharType="end"/>
        </w:r>
      </w:hyperlink>
    </w:p>
    <w:p w14:paraId="36F99EFA" w14:textId="5662648E" w:rsidR="0097362D" w:rsidRDefault="0097362D">
      <w:pPr>
        <w:pStyle w:val="TOC2"/>
        <w:rPr>
          <w:rFonts w:eastAsiaTheme="minorEastAsia"/>
          <w:kern w:val="2"/>
          <w:sz w:val="24"/>
          <w:szCs w:val="24"/>
          <w14:ligatures w14:val="standardContextual"/>
        </w:rPr>
      </w:pPr>
      <w:hyperlink w:anchor="_Toc212733075" w:history="1">
        <w:r w:rsidRPr="00E030AC">
          <w:rPr>
            <w:rStyle w:val="Hyperlink"/>
            <w:rFonts w:ascii="Arial" w:hAnsi="Arial" w:cs="Arial"/>
          </w:rPr>
          <w:t>18.4</w:t>
        </w:r>
        <w:r>
          <w:rPr>
            <w:rFonts w:eastAsiaTheme="minorEastAsia"/>
            <w:kern w:val="2"/>
            <w:sz w:val="24"/>
            <w:szCs w:val="24"/>
            <w14:ligatures w14:val="standardContextual"/>
          </w:rPr>
          <w:tab/>
        </w:r>
        <w:r w:rsidRPr="00E030AC">
          <w:rPr>
            <w:rStyle w:val="Hyperlink"/>
            <w:rFonts w:ascii="Arial" w:hAnsi="Arial" w:cs="Arial"/>
          </w:rPr>
          <w:t>Power Balance Constraint Relaxation</w:t>
        </w:r>
        <w:r>
          <w:rPr>
            <w:webHidden/>
          </w:rPr>
          <w:tab/>
        </w:r>
        <w:r>
          <w:rPr>
            <w:webHidden/>
          </w:rPr>
          <w:fldChar w:fldCharType="begin"/>
        </w:r>
        <w:r>
          <w:rPr>
            <w:webHidden/>
          </w:rPr>
          <w:instrText xml:space="preserve"> PAGEREF _Toc212733075 \h </w:instrText>
        </w:r>
        <w:r>
          <w:rPr>
            <w:webHidden/>
          </w:rPr>
        </w:r>
        <w:r>
          <w:rPr>
            <w:webHidden/>
          </w:rPr>
          <w:fldChar w:fldCharType="separate"/>
        </w:r>
        <w:r w:rsidR="000107BF">
          <w:rPr>
            <w:webHidden/>
          </w:rPr>
          <w:t>71</w:t>
        </w:r>
        <w:r>
          <w:rPr>
            <w:webHidden/>
          </w:rPr>
          <w:fldChar w:fldCharType="end"/>
        </w:r>
      </w:hyperlink>
    </w:p>
    <w:p w14:paraId="2154A401" w14:textId="17B87BA6" w:rsidR="0097362D" w:rsidRDefault="0097362D">
      <w:pPr>
        <w:pStyle w:val="TOC1"/>
        <w:rPr>
          <w:rFonts w:eastAsiaTheme="minorEastAsia" w:cstheme="minorBidi"/>
          <w:b w:val="0"/>
          <w:kern w:val="2"/>
          <w:sz w:val="24"/>
          <w:szCs w:val="24"/>
          <w14:ligatures w14:val="standardContextual"/>
        </w:rPr>
      </w:pPr>
      <w:hyperlink w:anchor="_Toc212733076" w:history="1">
        <w:r w:rsidRPr="00E030AC">
          <w:rPr>
            <w:rStyle w:val="Hyperlink"/>
            <w:rFonts w:ascii="Arial" w:hAnsi="Arial"/>
          </w:rPr>
          <w:t>19.</w:t>
        </w:r>
        <w:r>
          <w:rPr>
            <w:rFonts w:eastAsiaTheme="minorEastAsia" w:cstheme="minorBidi"/>
            <w:b w:val="0"/>
            <w:kern w:val="2"/>
            <w:sz w:val="24"/>
            <w:szCs w:val="24"/>
            <w14:ligatures w14:val="standardContextual"/>
          </w:rPr>
          <w:tab/>
        </w:r>
        <w:r w:rsidRPr="00E030AC">
          <w:rPr>
            <w:rStyle w:val="Hyperlink"/>
            <w:rFonts w:ascii="Arial" w:hAnsi="Arial"/>
          </w:rPr>
          <w:t>Inter-SC Trades</w:t>
        </w:r>
        <w:r>
          <w:rPr>
            <w:webHidden/>
          </w:rPr>
          <w:tab/>
        </w:r>
        <w:r>
          <w:rPr>
            <w:webHidden/>
          </w:rPr>
          <w:fldChar w:fldCharType="begin"/>
        </w:r>
        <w:r>
          <w:rPr>
            <w:webHidden/>
          </w:rPr>
          <w:instrText xml:space="preserve"> PAGEREF _Toc212733076 \h </w:instrText>
        </w:r>
        <w:r>
          <w:rPr>
            <w:webHidden/>
          </w:rPr>
        </w:r>
        <w:r>
          <w:rPr>
            <w:webHidden/>
          </w:rPr>
          <w:fldChar w:fldCharType="separate"/>
        </w:r>
        <w:r w:rsidR="000107BF">
          <w:rPr>
            <w:webHidden/>
          </w:rPr>
          <w:t>71</w:t>
        </w:r>
        <w:r>
          <w:rPr>
            <w:webHidden/>
          </w:rPr>
          <w:fldChar w:fldCharType="end"/>
        </w:r>
      </w:hyperlink>
    </w:p>
    <w:p w14:paraId="47248EBC" w14:textId="1B6C3D8A" w:rsidR="0097362D" w:rsidRDefault="0097362D">
      <w:pPr>
        <w:pStyle w:val="TOC1"/>
        <w:rPr>
          <w:rFonts w:eastAsiaTheme="minorEastAsia" w:cstheme="minorBidi"/>
          <w:b w:val="0"/>
          <w:kern w:val="2"/>
          <w:sz w:val="24"/>
          <w:szCs w:val="24"/>
          <w14:ligatures w14:val="standardContextual"/>
        </w:rPr>
      </w:pPr>
      <w:hyperlink w:anchor="_Toc212733077" w:history="1">
        <w:r w:rsidRPr="00E030AC">
          <w:rPr>
            <w:rStyle w:val="Hyperlink"/>
            <w:rFonts w:ascii="Arial" w:hAnsi="Arial"/>
          </w:rPr>
          <w:t>20.</w:t>
        </w:r>
        <w:r>
          <w:rPr>
            <w:rFonts w:eastAsiaTheme="minorEastAsia" w:cstheme="minorBidi"/>
            <w:b w:val="0"/>
            <w:kern w:val="2"/>
            <w:sz w:val="24"/>
            <w:szCs w:val="24"/>
            <w14:ligatures w14:val="standardContextual"/>
          </w:rPr>
          <w:tab/>
        </w:r>
        <w:r w:rsidRPr="00E030AC">
          <w:rPr>
            <w:rStyle w:val="Hyperlink"/>
          </w:rPr>
          <w:t>Bids and Self Schedule Submission</w:t>
        </w:r>
        <w:r>
          <w:rPr>
            <w:webHidden/>
          </w:rPr>
          <w:tab/>
        </w:r>
        <w:r>
          <w:rPr>
            <w:webHidden/>
          </w:rPr>
          <w:fldChar w:fldCharType="begin"/>
        </w:r>
        <w:r>
          <w:rPr>
            <w:webHidden/>
          </w:rPr>
          <w:instrText xml:space="preserve"> PAGEREF _Toc212733077 \h </w:instrText>
        </w:r>
        <w:r>
          <w:rPr>
            <w:webHidden/>
          </w:rPr>
        </w:r>
        <w:r>
          <w:rPr>
            <w:webHidden/>
          </w:rPr>
          <w:fldChar w:fldCharType="separate"/>
        </w:r>
        <w:r w:rsidR="000107BF">
          <w:rPr>
            <w:webHidden/>
          </w:rPr>
          <w:t>72</w:t>
        </w:r>
        <w:r>
          <w:rPr>
            <w:webHidden/>
          </w:rPr>
          <w:fldChar w:fldCharType="end"/>
        </w:r>
      </w:hyperlink>
    </w:p>
    <w:p w14:paraId="60848A00" w14:textId="22818D62" w:rsidR="0097362D" w:rsidRDefault="0097362D">
      <w:pPr>
        <w:pStyle w:val="TOC2"/>
        <w:rPr>
          <w:rFonts w:eastAsiaTheme="minorEastAsia"/>
          <w:kern w:val="2"/>
          <w:sz w:val="24"/>
          <w:szCs w:val="24"/>
          <w14:ligatures w14:val="standardContextual"/>
        </w:rPr>
      </w:pPr>
      <w:hyperlink w:anchor="_Toc212733078" w:history="1">
        <w:r w:rsidRPr="00E030AC">
          <w:rPr>
            <w:rStyle w:val="Hyperlink"/>
          </w:rPr>
          <w:t>20.1</w:t>
        </w:r>
        <w:r>
          <w:rPr>
            <w:rFonts w:eastAsiaTheme="minorEastAsia"/>
            <w:kern w:val="2"/>
            <w:sz w:val="24"/>
            <w:szCs w:val="24"/>
            <w14:ligatures w14:val="standardContextual"/>
          </w:rPr>
          <w:tab/>
        </w:r>
        <w:r w:rsidRPr="00E030AC">
          <w:rPr>
            <w:rStyle w:val="Hyperlink"/>
          </w:rPr>
          <w:t>Economic Bids at EDAM Interties</w:t>
        </w:r>
        <w:r>
          <w:rPr>
            <w:webHidden/>
          </w:rPr>
          <w:tab/>
        </w:r>
        <w:r>
          <w:rPr>
            <w:webHidden/>
          </w:rPr>
          <w:fldChar w:fldCharType="begin"/>
        </w:r>
        <w:r>
          <w:rPr>
            <w:webHidden/>
          </w:rPr>
          <w:instrText xml:space="preserve"> PAGEREF _Toc212733078 \h </w:instrText>
        </w:r>
        <w:r>
          <w:rPr>
            <w:webHidden/>
          </w:rPr>
        </w:r>
        <w:r>
          <w:rPr>
            <w:webHidden/>
          </w:rPr>
          <w:fldChar w:fldCharType="separate"/>
        </w:r>
        <w:r w:rsidR="000107BF">
          <w:rPr>
            <w:webHidden/>
          </w:rPr>
          <w:t>74</w:t>
        </w:r>
        <w:r>
          <w:rPr>
            <w:webHidden/>
          </w:rPr>
          <w:fldChar w:fldCharType="end"/>
        </w:r>
      </w:hyperlink>
    </w:p>
    <w:p w14:paraId="57AF1BAF" w14:textId="5F19AF8F" w:rsidR="0097362D" w:rsidRDefault="0097362D">
      <w:pPr>
        <w:pStyle w:val="TOC2"/>
        <w:rPr>
          <w:rFonts w:eastAsiaTheme="minorEastAsia"/>
          <w:kern w:val="2"/>
          <w:sz w:val="24"/>
          <w:szCs w:val="24"/>
          <w14:ligatures w14:val="standardContextual"/>
        </w:rPr>
      </w:pPr>
      <w:hyperlink w:anchor="_Toc212733079" w:history="1">
        <w:r w:rsidRPr="00E030AC">
          <w:rPr>
            <w:rStyle w:val="Hyperlink"/>
          </w:rPr>
          <w:t>20.2</w:t>
        </w:r>
        <w:r>
          <w:rPr>
            <w:rFonts w:eastAsiaTheme="minorEastAsia"/>
            <w:kern w:val="2"/>
            <w:sz w:val="24"/>
            <w:szCs w:val="24"/>
            <w14:ligatures w14:val="standardContextual"/>
          </w:rPr>
          <w:tab/>
        </w:r>
        <w:r w:rsidRPr="00E030AC">
          <w:rPr>
            <w:rStyle w:val="Hyperlink"/>
          </w:rPr>
          <w:t>EDAM Entity Access to Bid Information</w:t>
        </w:r>
        <w:r>
          <w:rPr>
            <w:webHidden/>
          </w:rPr>
          <w:tab/>
        </w:r>
        <w:r>
          <w:rPr>
            <w:webHidden/>
          </w:rPr>
          <w:fldChar w:fldCharType="begin"/>
        </w:r>
        <w:r>
          <w:rPr>
            <w:webHidden/>
          </w:rPr>
          <w:instrText xml:space="preserve"> PAGEREF _Toc212733079 \h </w:instrText>
        </w:r>
        <w:r>
          <w:rPr>
            <w:webHidden/>
          </w:rPr>
        </w:r>
        <w:r>
          <w:rPr>
            <w:webHidden/>
          </w:rPr>
          <w:fldChar w:fldCharType="separate"/>
        </w:r>
        <w:r w:rsidR="000107BF">
          <w:rPr>
            <w:webHidden/>
          </w:rPr>
          <w:t>74</w:t>
        </w:r>
        <w:r>
          <w:rPr>
            <w:webHidden/>
          </w:rPr>
          <w:fldChar w:fldCharType="end"/>
        </w:r>
      </w:hyperlink>
    </w:p>
    <w:p w14:paraId="73C5E1D0" w14:textId="7770DB4F" w:rsidR="0097362D" w:rsidRDefault="0097362D">
      <w:pPr>
        <w:pStyle w:val="TOC2"/>
        <w:rPr>
          <w:rFonts w:eastAsiaTheme="minorEastAsia"/>
          <w:kern w:val="2"/>
          <w:sz w:val="24"/>
          <w:szCs w:val="24"/>
          <w14:ligatures w14:val="standardContextual"/>
        </w:rPr>
      </w:pPr>
      <w:hyperlink w:anchor="_Toc212733080" w:history="1">
        <w:r w:rsidRPr="00E030AC">
          <w:rPr>
            <w:rStyle w:val="Hyperlink"/>
          </w:rPr>
          <w:t>20.3</w:t>
        </w:r>
        <w:r>
          <w:rPr>
            <w:rFonts w:eastAsiaTheme="minorEastAsia"/>
            <w:kern w:val="2"/>
            <w:sz w:val="24"/>
            <w:szCs w:val="24"/>
            <w14:ligatures w14:val="standardContextual"/>
          </w:rPr>
          <w:tab/>
        </w:r>
        <w:r w:rsidRPr="00E030AC">
          <w:rPr>
            <w:rStyle w:val="Hyperlink"/>
          </w:rPr>
          <w:t>RUC Availability Bids for Variable Energy Resources</w:t>
        </w:r>
        <w:r>
          <w:rPr>
            <w:webHidden/>
          </w:rPr>
          <w:tab/>
        </w:r>
        <w:r>
          <w:rPr>
            <w:webHidden/>
          </w:rPr>
          <w:fldChar w:fldCharType="begin"/>
        </w:r>
        <w:r>
          <w:rPr>
            <w:webHidden/>
          </w:rPr>
          <w:instrText xml:space="preserve"> PAGEREF _Toc212733080 \h </w:instrText>
        </w:r>
        <w:r>
          <w:rPr>
            <w:webHidden/>
          </w:rPr>
        </w:r>
        <w:r>
          <w:rPr>
            <w:webHidden/>
          </w:rPr>
          <w:fldChar w:fldCharType="separate"/>
        </w:r>
        <w:r w:rsidR="000107BF">
          <w:rPr>
            <w:webHidden/>
          </w:rPr>
          <w:t>75</w:t>
        </w:r>
        <w:r>
          <w:rPr>
            <w:webHidden/>
          </w:rPr>
          <w:fldChar w:fldCharType="end"/>
        </w:r>
      </w:hyperlink>
    </w:p>
    <w:p w14:paraId="0974CF38" w14:textId="3F9A6826" w:rsidR="0097362D" w:rsidRDefault="0097362D">
      <w:pPr>
        <w:pStyle w:val="TOC2"/>
        <w:rPr>
          <w:rFonts w:eastAsiaTheme="minorEastAsia"/>
          <w:kern w:val="2"/>
          <w:sz w:val="24"/>
          <w:szCs w:val="24"/>
          <w14:ligatures w14:val="standardContextual"/>
        </w:rPr>
      </w:pPr>
      <w:hyperlink w:anchor="_Toc212733081" w:history="1">
        <w:r w:rsidRPr="00E030AC">
          <w:rPr>
            <w:rStyle w:val="Hyperlink"/>
          </w:rPr>
          <w:t>20.4</w:t>
        </w:r>
        <w:r>
          <w:rPr>
            <w:rFonts w:eastAsiaTheme="minorEastAsia"/>
            <w:kern w:val="2"/>
            <w:sz w:val="24"/>
            <w:szCs w:val="24"/>
            <w14:ligatures w14:val="standardContextual"/>
          </w:rPr>
          <w:tab/>
        </w:r>
        <w:r w:rsidRPr="00E030AC">
          <w:rPr>
            <w:rStyle w:val="Hyperlink"/>
          </w:rPr>
          <w:t>Convergence Bidding</w:t>
        </w:r>
        <w:r>
          <w:rPr>
            <w:webHidden/>
          </w:rPr>
          <w:tab/>
        </w:r>
        <w:r>
          <w:rPr>
            <w:webHidden/>
          </w:rPr>
          <w:fldChar w:fldCharType="begin"/>
        </w:r>
        <w:r>
          <w:rPr>
            <w:webHidden/>
          </w:rPr>
          <w:instrText xml:space="preserve"> PAGEREF _Toc212733081 \h </w:instrText>
        </w:r>
        <w:r>
          <w:rPr>
            <w:webHidden/>
          </w:rPr>
        </w:r>
        <w:r>
          <w:rPr>
            <w:webHidden/>
          </w:rPr>
          <w:fldChar w:fldCharType="separate"/>
        </w:r>
        <w:r w:rsidR="000107BF">
          <w:rPr>
            <w:webHidden/>
          </w:rPr>
          <w:t>75</w:t>
        </w:r>
        <w:r>
          <w:rPr>
            <w:webHidden/>
          </w:rPr>
          <w:fldChar w:fldCharType="end"/>
        </w:r>
      </w:hyperlink>
    </w:p>
    <w:p w14:paraId="613E4520" w14:textId="219A5CCA" w:rsidR="0097362D" w:rsidRDefault="0097362D">
      <w:pPr>
        <w:pStyle w:val="TOC2"/>
        <w:rPr>
          <w:rFonts w:eastAsiaTheme="minorEastAsia"/>
          <w:kern w:val="2"/>
          <w:sz w:val="24"/>
          <w:szCs w:val="24"/>
          <w14:ligatures w14:val="standardContextual"/>
        </w:rPr>
      </w:pPr>
      <w:hyperlink w:anchor="_Toc212733082" w:history="1">
        <w:r w:rsidRPr="00E030AC">
          <w:rPr>
            <w:rStyle w:val="Hyperlink"/>
            <w:rFonts w:ascii="Arial" w:hAnsi="Arial" w:cs="Arial"/>
          </w:rPr>
          <w:t>20.5</w:t>
        </w:r>
        <w:r>
          <w:rPr>
            <w:rFonts w:eastAsiaTheme="minorEastAsia"/>
            <w:kern w:val="2"/>
            <w:sz w:val="24"/>
            <w:szCs w:val="24"/>
            <w14:ligatures w14:val="standardContextual"/>
          </w:rPr>
          <w:tab/>
        </w:r>
        <w:r w:rsidRPr="00E030AC">
          <w:rPr>
            <w:rStyle w:val="Hyperlink"/>
            <w:rFonts w:ascii="Arial" w:hAnsi="Arial" w:cs="Arial"/>
          </w:rPr>
          <w:t>Market Run Considerations</w:t>
        </w:r>
        <w:r>
          <w:rPr>
            <w:webHidden/>
          </w:rPr>
          <w:tab/>
        </w:r>
        <w:r>
          <w:rPr>
            <w:webHidden/>
          </w:rPr>
          <w:fldChar w:fldCharType="begin"/>
        </w:r>
        <w:r>
          <w:rPr>
            <w:webHidden/>
          </w:rPr>
          <w:instrText xml:space="preserve"> PAGEREF _Toc212733082 \h </w:instrText>
        </w:r>
        <w:r>
          <w:rPr>
            <w:webHidden/>
          </w:rPr>
        </w:r>
        <w:r>
          <w:rPr>
            <w:webHidden/>
          </w:rPr>
          <w:fldChar w:fldCharType="separate"/>
        </w:r>
        <w:r w:rsidR="000107BF">
          <w:rPr>
            <w:webHidden/>
          </w:rPr>
          <w:t>76</w:t>
        </w:r>
        <w:r>
          <w:rPr>
            <w:webHidden/>
          </w:rPr>
          <w:fldChar w:fldCharType="end"/>
        </w:r>
      </w:hyperlink>
    </w:p>
    <w:p w14:paraId="2CEEB5CB" w14:textId="39E662D6" w:rsidR="0097362D" w:rsidRDefault="0097362D">
      <w:pPr>
        <w:pStyle w:val="TOC2"/>
        <w:rPr>
          <w:rFonts w:eastAsiaTheme="minorEastAsia"/>
          <w:kern w:val="2"/>
          <w:sz w:val="24"/>
          <w:szCs w:val="24"/>
          <w14:ligatures w14:val="standardContextual"/>
        </w:rPr>
      </w:pPr>
      <w:hyperlink w:anchor="_Toc212733083" w:history="1">
        <w:r w:rsidRPr="00E030AC">
          <w:rPr>
            <w:rStyle w:val="Hyperlink"/>
          </w:rPr>
          <w:t>20.6</w:t>
        </w:r>
        <w:r>
          <w:rPr>
            <w:rFonts w:eastAsiaTheme="minorEastAsia"/>
            <w:kern w:val="2"/>
            <w:sz w:val="24"/>
            <w:szCs w:val="24"/>
            <w14:ligatures w14:val="standardContextual"/>
          </w:rPr>
          <w:tab/>
        </w:r>
        <w:r w:rsidRPr="00E030AC">
          <w:rPr>
            <w:rStyle w:val="Hyperlink"/>
          </w:rPr>
          <w:t>Bids from External Resources</w:t>
        </w:r>
        <w:r>
          <w:rPr>
            <w:webHidden/>
          </w:rPr>
          <w:tab/>
        </w:r>
        <w:r>
          <w:rPr>
            <w:webHidden/>
          </w:rPr>
          <w:fldChar w:fldCharType="begin"/>
        </w:r>
        <w:r>
          <w:rPr>
            <w:webHidden/>
          </w:rPr>
          <w:instrText xml:space="preserve"> PAGEREF _Toc212733083 \h </w:instrText>
        </w:r>
        <w:r>
          <w:rPr>
            <w:webHidden/>
          </w:rPr>
        </w:r>
        <w:r>
          <w:rPr>
            <w:webHidden/>
          </w:rPr>
          <w:fldChar w:fldCharType="separate"/>
        </w:r>
        <w:r w:rsidR="000107BF">
          <w:rPr>
            <w:webHidden/>
          </w:rPr>
          <w:t>77</w:t>
        </w:r>
        <w:r>
          <w:rPr>
            <w:webHidden/>
          </w:rPr>
          <w:fldChar w:fldCharType="end"/>
        </w:r>
      </w:hyperlink>
    </w:p>
    <w:p w14:paraId="5CC0E611" w14:textId="566A8116" w:rsidR="0097362D" w:rsidRDefault="0097362D">
      <w:pPr>
        <w:pStyle w:val="TOC2"/>
        <w:rPr>
          <w:rFonts w:eastAsiaTheme="minorEastAsia"/>
          <w:kern w:val="2"/>
          <w:sz w:val="24"/>
          <w:szCs w:val="24"/>
          <w14:ligatures w14:val="standardContextual"/>
        </w:rPr>
      </w:pPr>
      <w:hyperlink w:anchor="_Toc212733084" w:history="1">
        <w:r w:rsidRPr="00E030AC">
          <w:rPr>
            <w:rStyle w:val="Hyperlink"/>
          </w:rPr>
          <w:t>20.7</w:t>
        </w:r>
        <w:r>
          <w:rPr>
            <w:rFonts w:eastAsiaTheme="minorEastAsia"/>
            <w:kern w:val="2"/>
            <w:sz w:val="24"/>
            <w:szCs w:val="24"/>
            <w14:ligatures w14:val="standardContextual"/>
          </w:rPr>
          <w:tab/>
        </w:r>
        <w:r w:rsidRPr="00E030AC">
          <w:rPr>
            <w:rStyle w:val="Hyperlink"/>
          </w:rPr>
          <w:t>Base Schedules Replaced by Day-Ahead Schedules</w:t>
        </w:r>
        <w:r>
          <w:rPr>
            <w:webHidden/>
          </w:rPr>
          <w:tab/>
        </w:r>
        <w:r>
          <w:rPr>
            <w:webHidden/>
          </w:rPr>
          <w:fldChar w:fldCharType="begin"/>
        </w:r>
        <w:r>
          <w:rPr>
            <w:webHidden/>
          </w:rPr>
          <w:instrText xml:space="preserve"> PAGEREF _Toc212733084 \h </w:instrText>
        </w:r>
        <w:r>
          <w:rPr>
            <w:webHidden/>
          </w:rPr>
        </w:r>
        <w:r>
          <w:rPr>
            <w:webHidden/>
          </w:rPr>
          <w:fldChar w:fldCharType="separate"/>
        </w:r>
        <w:r w:rsidR="000107BF">
          <w:rPr>
            <w:webHidden/>
          </w:rPr>
          <w:t>77</w:t>
        </w:r>
        <w:r>
          <w:rPr>
            <w:webHidden/>
          </w:rPr>
          <w:fldChar w:fldCharType="end"/>
        </w:r>
      </w:hyperlink>
    </w:p>
    <w:p w14:paraId="6F46F24A" w14:textId="4EE6FE8F" w:rsidR="0097362D" w:rsidRDefault="0097362D">
      <w:pPr>
        <w:pStyle w:val="TOC2"/>
        <w:rPr>
          <w:rFonts w:eastAsiaTheme="minorEastAsia"/>
          <w:kern w:val="2"/>
          <w:sz w:val="24"/>
          <w:szCs w:val="24"/>
          <w14:ligatures w14:val="standardContextual"/>
        </w:rPr>
      </w:pPr>
      <w:hyperlink w:anchor="_Toc212733085" w:history="1">
        <w:r w:rsidRPr="00E030AC">
          <w:rPr>
            <w:rStyle w:val="Hyperlink"/>
          </w:rPr>
          <w:t>20.8</w:t>
        </w:r>
        <w:r>
          <w:rPr>
            <w:rFonts w:eastAsiaTheme="minorEastAsia"/>
            <w:kern w:val="2"/>
            <w:sz w:val="24"/>
            <w:szCs w:val="24"/>
            <w14:ligatures w14:val="standardContextual"/>
          </w:rPr>
          <w:tab/>
        </w:r>
        <w:r w:rsidRPr="00E030AC">
          <w:rPr>
            <w:rStyle w:val="Hyperlink"/>
          </w:rPr>
          <w:t>Information Available for Bidding by Gas-Fired Resources</w:t>
        </w:r>
        <w:r>
          <w:rPr>
            <w:webHidden/>
          </w:rPr>
          <w:tab/>
        </w:r>
        <w:r>
          <w:rPr>
            <w:webHidden/>
          </w:rPr>
          <w:fldChar w:fldCharType="begin"/>
        </w:r>
        <w:r>
          <w:rPr>
            <w:webHidden/>
          </w:rPr>
          <w:instrText xml:space="preserve"> PAGEREF _Toc212733085 \h </w:instrText>
        </w:r>
        <w:r>
          <w:rPr>
            <w:webHidden/>
          </w:rPr>
        </w:r>
        <w:r>
          <w:rPr>
            <w:webHidden/>
          </w:rPr>
          <w:fldChar w:fldCharType="separate"/>
        </w:r>
        <w:r w:rsidR="000107BF">
          <w:rPr>
            <w:webHidden/>
          </w:rPr>
          <w:t>78</w:t>
        </w:r>
        <w:r>
          <w:rPr>
            <w:webHidden/>
          </w:rPr>
          <w:fldChar w:fldCharType="end"/>
        </w:r>
      </w:hyperlink>
    </w:p>
    <w:p w14:paraId="0FC9F21A" w14:textId="0EC09E6D" w:rsidR="0097362D" w:rsidRDefault="0097362D">
      <w:pPr>
        <w:pStyle w:val="TOC1"/>
        <w:rPr>
          <w:rFonts w:eastAsiaTheme="minorEastAsia" w:cstheme="minorBidi"/>
          <w:b w:val="0"/>
          <w:kern w:val="2"/>
          <w:sz w:val="24"/>
          <w:szCs w:val="24"/>
          <w14:ligatures w14:val="standardContextual"/>
        </w:rPr>
      </w:pPr>
      <w:hyperlink w:anchor="_Toc212733086" w:history="1">
        <w:r w:rsidRPr="00E030AC">
          <w:rPr>
            <w:rStyle w:val="Hyperlink"/>
            <w:rFonts w:ascii="Arial" w:hAnsi="Arial"/>
          </w:rPr>
          <w:t>21.</w:t>
        </w:r>
        <w:r>
          <w:rPr>
            <w:rFonts w:eastAsiaTheme="minorEastAsia" w:cstheme="minorBidi"/>
            <w:b w:val="0"/>
            <w:kern w:val="2"/>
            <w:sz w:val="24"/>
            <w:szCs w:val="24"/>
            <w14:ligatures w14:val="standardContextual"/>
          </w:rPr>
          <w:tab/>
        </w:r>
        <w:r w:rsidRPr="00E030AC">
          <w:rPr>
            <w:rStyle w:val="Hyperlink"/>
          </w:rPr>
          <w:t>Resource Sufficiency Requirements</w:t>
        </w:r>
        <w:r>
          <w:rPr>
            <w:webHidden/>
          </w:rPr>
          <w:tab/>
        </w:r>
        <w:r>
          <w:rPr>
            <w:webHidden/>
          </w:rPr>
          <w:fldChar w:fldCharType="begin"/>
        </w:r>
        <w:r>
          <w:rPr>
            <w:webHidden/>
          </w:rPr>
          <w:instrText xml:space="preserve"> PAGEREF _Toc212733086 \h </w:instrText>
        </w:r>
        <w:r>
          <w:rPr>
            <w:webHidden/>
          </w:rPr>
        </w:r>
        <w:r>
          <w:rPr>
            <w:webHidden/>
          </w:rPr>
          <w:fldChar w:fldCharType="separate"/>
        </w:r>
        <w:r w:rsidR="000107BF">
          <w:rPr>
            <w:webHidden/>
          </w:rPr>
          <w:t>78</w:t>
        </w:r>
        <w:r>
          <w:rPr>
            <w:webHidden/>
          </w:rPr>
          <w:fldChar w:fldCharType="end"/>
        </w:r>
      </w:hyperlink>
    </w:p>
    <w:p w14:paraId="5159949A" w14:textId="0E8A7359" w:rsidR="0097362D" w:rsidRDefault="0097362D">
      <w:pPr>
        <w:pStyle w:val="TOC2"/>
        <w:rPr>
          <w:rFonts w:eastAsiaTheme="minorEastAsia"/>
          <w:kern w:val="2"/>
          <w:sz w:val="24"/>
          <w:szCs w:val="24"/>
          <w14:ligatures w14:val="standardContextual"/>
        </w:rPr>
      </w:pPr>
      <w:hyperlink w:anchor="_Toc212733087" w:history="1">
        <w:r w:rsidRPr="00E030AC">
          <w:rPr>
            <w:rStyle w:val="Hyperlink"/>
          </w:rPr>
          <w:t>21.1</w:t>
        </w:r>
        <w:r>
          <w:rPr>
            <w:rFonts w:eastAsiaTheme="minorEastAsia"/>
            <w:kern w:val="2"/>
            <w:sz w:val="24"/>
            <w:szCs w:val="24"/>
            <w14:ligatures w14:val="standardContextual"/>
          </w:rPr>
          <w:tab/>
        </w:r>
        <w:r w:rsidRPr="00E030AC">
          <w:rPr>
            <w:rStyle w:val="Hyperlink"/>
          </w:rPr>
          <w:t>EDAM Resource Sufficiency Evaluation (EDAM RSE)</w:t>
        </w:r>
        <w:r>
          <w:rPr>
            <w:webHidden/>
          </w:rPr>
          <w:tab/>
        </w:r>
        <w:r>
          <w:rPr>
            <w:webHidden/>
          </w:rPr>
          <w:fldChar w:fldCharType="begin"/>
        </w:r>
        <w:r>
          <w:rPr>
            <w:webHidden/>
          </w:rPr>
          <w:instrText xml:space="preserve"> PAGEREF _Toc212733087 \h </w:instrText>
        </w:r>
        <w:r>
          <w:rPr>
            <w:webHidden/>
          </w:rPr>
        </w:r>
        <w:r>
          <w:rPr>
            <w:webHidden/>
          </w:rPr>
          <w:fldChar w:fldCharType="separate"/>
        </w:r>
        <w:r w:rsidR="000107BF">
          <w:rPr>
            <w:webHidden/>
          </w:rPr>
          <w:t>78</w:t>
        </w:r>
        <w:r>
          <w:rPr>
            <w:webHidden/>
          </w:rPr>
          <w:fldChar w:fldCharType="end"/>
        </w:r>
      </w:hyperlink>
    </w:p>
    <w:p w14:paraId="74A6CAE2" w14:textId="7077D633" w:rsidR="0097362D" w:rsidRDefault="0097362D">
      <w:pPr>
        <w:pStyle w:val="TOC1"/>
        <w:rPr>
          <w:rFonts w:eastAsiaTheme="minorEastAsia" w:cstheme="minorBidi"/>
          <w:b w:val="0"/>
          <w:kern w:val="2"/>
          <w:sz w:val="24"/>
          <w:szCs w:val="24"/>
          <w14:ligatures w14:val="standardContextual"/>
        </w:rPr>
      </w:pPr>
      <w:hyperlink w:anchor="_Toc212733088" w:history="1">
        <w:r w:rsidRPr="00E030AC">
          <w:rPr>
            <w:rStyle w:val="Hyperlink"/>
            <w:rFonts w:ascii="Arial" w:hAnsi="Arial"/>
          </w:rPr>
          <w:t>22.</w:t>
        </w:r>
        <w:r>
          <w:rPr>
            <w:rFonts w:eastAsiaTheme="minorEastAsia" w:cstheme="minorBidi"/>
            <w:b w:val="0"/>
            <w:kern w:val="2"/>
            <w:sz w:val="24"/>
            <w:szCs w:val="24"/>
            <w14:ligatures w14:val="standardContextual"/>
          </w:rPr>
          <w:tab/>
        </w:r>
        <w:r w:rsidRPr="00E030AC">
          <w:rPr>
            <w:rStyle w:val="Hyperlink"/>
            <w:rFonts w:ascii="Arial" w:hAnsi="Arial"/>
          </w:rPr>
          <w:t>Operation of the Day-Ahead Market in the EDAM Area</w:t>
        </w:r>
        <w:r>
          <w:rPr>
            <w:webHidden/>
          </w:rPr>
          <w:tab/>
        </w:r>
        <w:r>
          <w:rPr>
            <w:webHidden/>
          </w:rPr>
          <w:fldChar w:fldCharType="begin"/>
        </w:r>
        <w:r>
          <w:rPr>
            <w:webHidden/>
          </w:rPr>
          <w:instrText xml:space="preserve"> PAGEREF _Toc212733088 \h </w:instrText>
        </w:r>
        <w:r>
          <w:rPr>
            <w:webHidden/>
          </w:rPr>
        </w:r>
        <w:r>
          <w:rPr>
            <w:webHidden/>
          </w:rPr>
          <w:fldChar w:fldCharType="separate"/>
        </w:r>
        <w:r w:rsidR="000107BF">
          <w:rPr>
            <w:webHidden/>
          </w:rPr>
          <w:t>89</w:t>
        </w:r>
        <w:r>
          <w:rPr>
            <w:webHidden/>
          </w:rPr>
          <w:fldChar w:fldCharType="end"/>
        </w:r>
      </w:hyperlink>
    </w:p>
    <w:p w14:paraId="3DC2325E" w14:textId="40615D8F" w:rsidR="0097362D" w:rsidRDefault="0097362D">
      <w:pPr>
        <w:pStyle w:val="TOC2"/>
        <w:rPr>
          <w:rFonts w:eastAsiaTheme="minorEastAsia"/>
          <w:kern w:val="2"/>
          <w:sz w:val="24"/>
          <w:szCs w:val="24"/>
          <w14:ligatures w14:val="standardContextual"/>
        </w:rPr>
      </w:pPr>
      <w:hyperlink w:anchor="_Toc212733089" w:history="1">
        <w:r w:rsidRPr="00E030AC">
          <w:rPr>
            <w:rStyle w:val="Hyperlink"/>
            <w:rFonts w:ascii="Arial" w:hAnsi="Arial" w:cs="Arial"/>
          </w:rPr>
          <w:t>22.1</w:t>
        </w:r>
        <w:r>
          <w:rPr>
            <w:rFonts w:eastAsiaTheme="minorEastAsia"/>
            <w:kern w:val="2"/>
            <w:sz w:val="24"/>
            <w:szCs w:val="24"/>
            <w14:ligatures w14:val="standardContextual"/>
          </w:rPr>
          <w:tab/>
        </w:r>
        <w:r w:rsidRPr="00E030AC">
          <w:rPr>
            <w:rStyle w:val="Hyperlink"/>
            <w:rFonts w:ascii="Arial" w:hAnsi="Arial" w:cs="Arial"/>
          </w:rPr>
          <w:t>Integrated Forward Market (IFM) Market Power Mitigation (MPM) in the EDAM Area</w:t>
        </w:r>
        <w:r>
          <w:rPr>
            <w:webHidden/>
          </w:rPr>
          <w:tab/>
        </w:r>
        <w:r>
          <w:rPr>
            <w:webHidden/>
          </w:rPr>
          <w:fldChar w:fldCharType="begin"/>
        </w:r>
        <w:r>
          <w:rPr>
            <w:webHidden/>
          </w:rPr>
          <w:instrText xml:space="preserve"> PAGEREF _Toc212733089 \h </w:instrText>
        </w:r>
        <w:r>
          <w:rPr>
            <w:webHidden/>
          </w:rPr>
        </w:r>
        <w:r>
          <w:rPr>
            <w:webHidden/>
          </w:rPr>
          <w:fldChar w:fldCharType="separate"/>
        </w:r>
        <w:r w:rsidR="000107BF">
          <w:rPr>
            <w:webHidden/>
          </w:rPr>
          <w:t>89</w:t>
        </w:r>
        <w:r>
          <w:rPr>
            <w:webHidden/>
          </w:rPr>
          <w:fldChar w:fldCharType="end"/>
        </w:r>
      </w:hyperlink>
    </w:p>
    <w:p w14:paraId="5E131A23" w14:textId="724F1AAD" w:rsidR="0097362D" w:rsidRDefault="0097362D">
      <w:pPr>
        <w:pStyle w:val="TOC2"/>
        <w:rPr>
          <w:rFonts w:eastAsiaTheme="minorEastAsia"/>
          <w:kern w:val="2"/>
          <w:sz w:val="24"/>
          <w:szCs w:val="24"/>
          <w14:ligatures w14:val="standardContextual"/>
        </w:rPr>
      </w:pPr>
      <w:hyperlink w:anchor="_Toc212733090" w:history="1">
        <w:r w:rsidRPr="00E030AC">
          <w:rPr>
            <w:rStyle w:val="Hyperlink"/>
            <w:rFonts w:ascii="Arial" w:hAnsi="Arial" w:cs="Arial"/>
          </w:rPr>
          <w:t>22.2</w:t>
        </w:r>
        <w:r>
          <w:rPr>
            <w:rFonts w:eastAsiaTheme="minorEastAsia"/>
            <w:kern w:val="2"/>
            <w:sz w:val="24"/>
            <w:szCs w:val="24"/>
            <w14:ligatures w14:val="standardContextual"/>
          </w:rPr>
          <w:tab/>
        </w:r>
        <w:r w:rsidRPr="00E030AC">
          <w:rPr>
            <w:rStyle w:val="Hyperlink"/>
            <w:rFonts w:ascii="Arial" w:hAnsi="Arial" w:cs="Arial"/>
          </w:rPr>
          <w:t>IFM in the EDAM Area</w:t>
        </w:r>
        <w:r>
          <w:rPr>
            <w:webHidden/>
          </w:rPr>
          <w:tab/>
        </w:r>
        <w:r>
          <w:rPr>
            <w:webHidden/>
          </w:rPr>
          <w:fldChar w:fldCharType="begin"/>
        </w:r>
        <w:r>
          <w:rPr>
            <w:webHidden/>
          </w:rPr>
          <w:instrText xml:space="preserve"> PAGEREF _Toc212733090 \h </w:instrText>
        </w:r>
        <w:r>
          <w:rPr>
            <w:webHidden/>
          </w:rPr>
        </w:r>
        <w:r>
          <w:rPr>
            <w:webHidden/>
          </w:rPr>
          <w:fldChar w:fldCharType="separate"/>
        </w:r>
        <w:r w:rsidR="000107BF">
          <w:rPr>
            <w:webHidden/>
          </w:rPr>
          <w:t>92</w:t>
        </w:r>
        <w:r>
          <w:rPr>
            <w:webHidden/>
          </w:rPr>
          <w:fldChar w:fldCharType="end"/>
        </w:r>
      </w:hyperlink>
    </w:p>
    <w:p w14:paraId="1DDE9053" w14:textId="5FBF55FB" w:rsidR="0097362D" w:rsidRDefault="0097362D">
      <w:pPr>
        <w:pStyle w:val="TOC2"/>
        <w:rPr>
          <w:rFonts w:eastAsiaTheme="minorEastAsia"/>
          <w:kern w:val="2"/>
          <w:sz w:val="24"/>
          <w:szCs w:val="24"/>
          <w14:ligatures w14:val="standardContextual"/>
        </w:rPr>
      </w:pPr>
      <w:hyperlink w:anchor="_Toc212733091" w:history="1">
        <w:r w:rsidRPr="00E030AC">
          <w:rPr>
            <w:rStyle w:val="Hyperlink"/>
            <w:rFonts w:ascii="Arial" w:hAnsi="Arial" w:cs="Arial"/>
          </w:rPr>
          <w:t>22.3</w:t>
        </w:r>
        <w:r>
          <w:rPr>
            <w:rFonts w:eastAsiaTheme="minorEastAsia"/>
            <w:kern w:val="2"/>
            <w:sz w:val="24"/>
            <w:szCs w:val="24"/>
            <w14:ligatures w14:val="standardContextual"/>
          </w:rPr>
          <w:tab/>
        </w:r>
        <w:r w:rsidRPr="00E030AC">
          <w:rPr>
            <w:rStyle w:val="Hyperlink"/>
            <w:rFonts w:ascii="Arial" w:hAnsi="Arial" w:cs="Arial"/>
          </w:rPr>
          <w:t>Residual Unit Commitment (RUC) MPM in the EDAM Area</w:t>
        </w:r>
        <w:r>
          <w:rPr>
            <w:webHidden/>
          </w:rPr>
          <w:tab/>
        </w:r>
        <w:r>
          <w:rPr>
            <w:webHidden/>
          </w:rPr>
          <w:fldChar w:fldCharType="begin"/>
        </w:r>
        <w:r>
          <w:rPr>
            <w:webHidden/>
          </w:rPr>
          <w:instrText xml:space="preserve"> PAGEREF _Toc212733091 \h </w:instrText>
        </w:r>
        <w:r>
          <w:rPr>
            <w:webHidden/>
          </w:rPr>
        </w:r>
        <w:r>
          <w:rPr>
            <w:webHidden/>
          </w:rPr>
          <w:fldChar w:fldCharType="separate"/>
        </w:r>
        <w:r w:rsidR="000107BF">
          <w:rPr>
            <w:webHidden/>
          </w:rPr>
          <w:t>93</w:t>
        </w:r>
        <w:r>
          <w:rPr>
            <w:webHidden/>
          </w:rPr>
          <w:fldChar w:fldCharType="end"/>
        </w:r>
      </w:hyperlink>
    </w:p>
    <w:p w14:paraId="7E53914C" w14:textId="4A527731" w:rsidR="0097362D" w:rsidRDefault="0097362D">
      <w:pPr>
        <w:pStyle w:val="TOC2"/>
        <w:rPr>
          <w:rFonts w:eastAsiaTheme="minorEastAsia"/>
          <w:kern w:val="2"/>
          <w:sz w:val="24"/>
          <w:szCs w:val="24"/>
          <w14:ligatures w14:val="standardContextual"/>
        </w:rPr>
      </w:pPr>
      <w:hyperlink w:anchor="_Toc212733092" w:history="1">
        <w:r w:rsidRPr="00E030AC">
          <w:rPr>
            <w:rStyle w:val="Hyperlink"/>
            <w:rFonts w:ascii="Arial" w:hAnsi="Arial" w:cs="Arial"/>
          </w:rPr>
          <w:t>22.4</w:t>
        </w:r>
        <w:r>
          <w:rPr>
            <w:rFonts w:eastAsiaTheme="minorEastAsia"/>
            <w:kern w:val="2"/>
            <w:sz w:val="24"/>
            <w:szCs w:val="24"/>
            <w14:ligatures w14:val="standardContextual"/>
          </w:rPr>
          <w:tab/>
        </w:r>
        <w:r w:rsidRPr="00E030AC">
          <w:rPr>
            <w:rStyle w:val="Hyperlink"/>
            <w:rFonts w:ascii="Arial" w:hAnsi="Arial" w:cs="Arial"/>
          </w:rPr>
          <w:t>RUC in the EDAM Area</w:t>
        </w:r>
        <w:r>
          <w:rPr>
            <w:webHidden/>
          </w:rPr>
          <w:tab/>
        </w:r>
        <w:r>
          <w:rPr>
            <w:webHidden/>
          </w:rPr>
          <w:fldChar w:fldCharType="begin"/>
        </w:r>
        <w:r>
          <w:rPr>
            <w:webHidden/>
          </w:rPr>
          <w:instrText xml:space="preserve"> PAGEREF _Toc212733092 \h </w:instrText>
        </w:r>
        <w:r>
          <w:rPr>
            <w:webHidden/>
          </w:rPr>
        </w:r>
        <w:r>
          <w:rPr>
            <w:webHidden/>
          </w:rPr>
          <w:fldChar w:fldCharType="separate"/>
        </w:r>
        <w:r w:rsidR="000107BF">
          <w:rPr>
            <w:webHidden/>
          </w:rPr>
          <w:t>93</w:t>
        </w:r>
        <w:r>
          <w:rPr>
            <w:webHidden/>
          </w:rPr>
          <w:fldChar w:fldCharType="end"/>
        </w:r>
      </w:hyperlink>
    </w:p>
    <w:p w14:paraId="66FA05F2" w14:textId="58B37A0D" w:rsidR="0097362D" w:rsidRDefault="0097362D">
      <w:pPr>
        <w:pStyle w:val="TOC2"/>
        <w:rPr>
          <w:rFonts w:eastAsiaTheme="minorEastAsia"/>
          <w:kern w:val="2"/>
          <w:sz w:val="24"/>
          <w:szCs w:val="24"/>
          <w14:ligatures w14:val="standardContextual"/>
        </w:rPr>
      </w:pPr>
      <w:hyperlink w:anchor="_Toc212733093" w:history="1">
        <w:r w:rsidRPr="00E030AC">
          <w:rPr>
            <w:rStyle w:val="Hyperlink"/>
            <w:rFonts w:ascii="Arial" w:hAnsi="Arial" w:cs="Arial"/>
          </w:rPr>
          <w:t>22.5</w:t>
        </w:r>
        <w:r>
          <w:rPr>
            <w:rFonts w:eastAsiaTheme="minorEastAsia"/>
            <w:kern w:val="2"/>
            <w:sz w:val="24"/>
            <w:szCs w:val="24"/>
            <w14:ligatures w14:val="standardContextual"/>
          </w:rPr>
          <w:tab/>
        </w:r>
        <w:r w:rsidRPr="00E030AC">
          <w:rPr>
            <w:rStyle w:val="Hyperlink"/>
            <w:rFonts w:ascii="Arial" w:hAnsi="Arial" w:cs="Arial"/>
          </w:rPr>
          <w:t>Net Export EDAM Transfer Constraint</w:t>
        </w:r>
        <w:r>
          <w:rPr>
            <w:webHidden/>
          </w:rPr>
          <w:tab/>
        </w:r>
        <w:r>
          <w:rPr>
            <w:webHidden/>
          </w:rPr>
          <w:fldChar w:fldCharType="begin"/>
        </w:r>
        <w:r>
          <w:rPr>
            <w:webHidden/>
          </w:rPr>
          <w:instrText xml:space="preserve"> PAGEREF _Toc212733093 \h </w:instrText>
        </w:r>
        <w:r>
          <w:rPr>
            <w:webHidden/>
          </w:rPr>
        </w:r>
        <w:r>
          <w:rPr>
            <w:webHidden/>
          </w:rPr>
          <w:fldChar w:fldCharType="separate"/>
        </w:r>
        <w:r w:rsidR="000107BF">
          <w:rPr>
            <w:webHidden/>
          </w:rPr>
          <w:t>96</w:t>
        </w:r>
        <w:r>
          <w:rPr>
            <w:webHidden/>
          </w:rPr>
          <w:fldChar w:fldCharType="end"/>
        </w:r>
      </w:hyperlink>
    </w:p>
    <w:p w14:paraId="20C30024" w14:textId="785E2A19" w:rsidR="0097362D" w:rsidRDefault="0097362D">
      <w:pPr>
        <w:pStyle w:val="TOC2"/>
        <w:rPr>
          <w:rFonts w:eastAsiaTheme="minorEastAsia"/>
          <w:kern w:val="2"/>
          <w:sz w:val="24"/>
          <w:szCs w:val="24"/>
          <w14:ligatures w14:val="standardContextual"/>
        </w:rPr>
      </w:pPr>
      <w:hyperlink w:anchor="_Toc212733094" w:history="1">
        <w:r w:rsidRPr="00E030AC">
          <w:rPr>
            <w:rStyle w:val="Hyperlink"/>
            <w:rFonts w:ascii="Arial" w:hAnsi="Arial" w:cs="Arial"/>
          </w:rPr>
          <w:t>22.6</w:t>
        </w:r>
        <w:r>
          <w:rPr>
            <w:rFonts w:eastAsiaTheme="minorEastAsia"/>
            <w:kern w:val="2"/>
            <w:sz w:val="24"/>
            <w:szCs w:val="24"/>
            <w14:ligatures w14:val="standardContextual"/>
          </w:rPr>
          <w:tab/>
        </w:r>
        <w:r w:rsidRPr="00E030AC">
          <w:rPr>
            <w:rStyle w:val="Hyperlink"/>
            <w:rFonts w:ascii="Arial" w:hAnsi="Arial" w:cs="Arial"/>
          </w:rPr>
          <w:t>CAISO Forecast of BAA Demand and Variable Energy Resource Forecast for EDAM Entities</w:t>
        </w:r>
        <w:r>
          <w:rPr>
            <w:webHidden/>
          </w:rPr>
          <w:tab/>
        </w:r>
        <w:r>
          <w:rPr>
            <w:webHidden/>
          </w:rPr>
          <w:fldChar w:fldCharType="begin"/>
        </w:r>
        <w:r>
          <w:rPr>
            <w:webHidden/>
          </w:rPr>
          <w:instrText xml:space="preserve"> PAGEREF _Toc212733094 \h </w:instrText>
        </w:r>
        <w:r>
          <w:rPr>
            <w:webHidden/>
          </w:rPr>
        </w:r>
        <w:r>
          <w:rPr>
            <w:webHidden/>
          </w:rPr>
          <w:fldChar w:fldCharType="separate"/>
        </w:r>
        <w:r w:rsidR="000107BF">
          <w:rPr>
            <w:webHidden/>
          </w:rPr>
          <w:t>98</w:t>
        </w:r>
        <w:r>
          <w:rPr>
            <w:webHidden/>
          </w:rPr>
          <w:fldChar w:fldCharType="end"/>
        </w:r>
      </w:hyperlink>
    </w:p>
    <w:p w14:paraId="73E915C7" w14:textId="4F81F811" w:rsidR="0097362D" w:rsidRDefault="0097362D">
      <w:pPr>
        <w:pStyle w:val="TOC2"/>
        <w:rPr>
          <w:rFonts w:eastAsiaTheme="minorEastAsia"/>
          <w:kern w:val="2"/>
          <w:sz w:val="24"/>
          <w:szCs w:val="24"/>
          <w14:ligatures w14:val="standardContextual"/>
        </w:rPr>
      </w:pPr>
      <w:hyperlink w:anchor="_Toc212733095" w:history="1">
        <w:r w:rsidRPr="00E030AC">
          <w:rPr>
            <w:rStyle w:val="Hyperlink"/>
            <w:rFonts w:ascii="Arial" w:hAnsi="Arial" w:cs="Arial"/>
          </w:rPr>
          <w:t>22.7</w:t>
        </w:r>
        <w:r>
          <w:rPr>
            <w:rFonts w:eastAsiaTheme="minorEastAsia"/>
            <w:kern w:val="2"/>
            <w:sz w:val="24"/>
            <w:szCs w:val="24"/>
            <w14:ligatures w14:val="standardContextual"/>
          </w:rPr>
          <w:tab/>
        </w:r>
        <w:r w:rsidRPr="00E030AC">
          <w:rPr>
            <w:rStyle w:val="Hyperlink"/>
            <w:rFonts w:ascii="Arial" w:hAnsi="Arial" w:cs="Arial"/>
          </w:rPr>
          <w:t>Reserve Sharing Groups</w:t>
        </w:r>
        <w:r>
          <w:rPr>
            <w:webHidden/>
          </w:rPr>
          <w:tab/>
        </w:r>
        <w:r>
          <w:rPr>
            <w:webHidden/>
          </w:rPr>
          <w:fldChar w:fldCharType="begin"/>
        </w:r>
        <w:r>
          <w:rPr>
            <w:webHidden/>
          </w:rPr>
          <w:instrText xml:space="preserve"> PAGEREF _Toc212733095 \h </w:instrText>
        </w:r>
        <w:r>
          <w:rPr>
            <w:webHidden/>
          </w:rPr>
        </w:r>
        <w:r>
          <w:rPr>
            <w:webHidden/>
          </w:rPr>
          <w:fldChar w:fldCharType="separate"/>
        </w:r>
        <w:r w:rsidR="000107BF">
          <w:rPr>
            <w:webHidden/>
          </w:rPr>
          <w:t>100</w:t>
        </w:r>
        <w:r>
          <w:rPr>
            <w:webHidden/>
          </w:rPr>
          <w:fldChar w:fldCharType="end"/>
        </w:r>
      </w:hyperlink>
    </w:p>
    <w:p w14:paraId="4FF5760B" w14:textId="48168F19" w:rsidR="0097362D" w:rsidRDefault="0097362D">
      <w:pPr>
        <w:pStyle w:val="TOC2"/>
        <w:rPr>
          <w:rFonts w:eastAsiaTheme="minorEastAsia"/>
          <w:kern w:val="2"/>
          <w:sz w:val="24"/>
          <w:szCs w:val="24"/>
          <w14:ligatures w14:val="standardContextual"/>
        </w:rPr>
      </w:pPr>
      <w:hyperlink w:anchor="_Toc212733096" w:history="1">
        <w:r w:rsidRPr="00E030AC">
          <w:rPr>
            <w:rStyle w:val="Hyperlink"/>
            <w:rFonts w:ascii="Arial" w:hAnsi="Arial" w:cs="Arial"/>
          </w:rPr>
          <w:t>22.8</w:t>
        </w:r>
        <w:r>
          <w:rPr>
            <w:rFonts w:eastAsiaTheme="minorEastAsia"/>
            <w:kern w:val="2"/>
            <w:sz w:val="24"/>
            <w:szCs w:val="24"/>
            <w14:ligatures w14:val="standardContextual"/>
          </w:rPr>
          <w:tab/>
        </w:r>
        <w:r w:rsidRPr="00E030AC">
          <w:rPr>
            <w:rStyle w:val="Hyperlink"/>
            <w:rFonts w:ascii="Arial" w:hAnsi="Arial" w:cs="Arial"/>
          </w:rPr>
          <w:t>Interchange Schedules</w:t>
        </w:r>
        <w:r>
          <w:rPr>
            <w:webHidden/>
          </w:rPr>
          <w:tab/>
        </w:r>
        <w:r>
          <w:rPr>
            <w:webHidden/>
          </w:rPr>
          <w:fldChar w:fldCharType="begin"/>
        </w:r>
        <w:r>
          <w:rPr>
            <w:webHidden/>
          </w:rPr>
          <w:instrText xml:space="preserve"> PAGEREF _Toc212733096 \h </w:instrText>
        </w:r>
        <w:r>
          <w:rPr>
            <w:webHidden/>
          </w:rPr>
        </w:r>
        <w:r>
          <w:rPr>
            <w:webHidden/>
          </w:rPr>
          <w:fldChar w:fldCharType="separate"/>
        </w:r>
        <w:r w:rsidR="000107BF">
          <w:rPr>
            <w:webHidden/>
          </w:rPr>
          <w:t>100</w:t>
        </w:r>
        <w:r>
          <w:rPr>
            <w:webHidden/>
          </w:rPr>
          <w:fldChar w:fldCharType="end"/>
        </w:r>
      </w:hyperlink>
    </w:p>
    <w:p w14:paraId="16BE5C7D" w14:textId="247C93A4" w:rsidR="0097362D" w:rsidRDefault="0097362D">
      <w:pPr>
        <w:pStyle w:val="TOC1"/>
        <w:rPr>
          <w:rFonts w:eastAsiaTheme="minorEastAsia" w:cstheme="minorBidi"/>
          <w:b w:val="0"/>
          <w:kern w:val="2"/>
          <w:sz w:val="24"/>
          <w:szCs w:val="24"/>
          <w14:ligatures w14:val="standardContextual"/>
        </w:rPr>
      </w:pPr>
      <w:hyperlink w:anchor="_Toc212733097" w:history="1">
        <w:r w:rsidRPr="00E030AC">
          <w:rPr>
            <w:rStyle w:val="Hyperlink"/>
            <w:rFonts w:ascii="Arial" w:hAnsi="Arial"/>
          </w:rPr>
          <w:t>23.</w:t>
        </w:r>
        <w:r>
          <w:rPr>
            <w:rFonts w:eastAsiaTheme="minorEastAsia" w:cstheme="minorBidi"/>
            <w:b w:val="0"/>
            <w:kern w:val="2"/>
            <w:sz w:val="24"/>
            <w:szCs w:val="24"/>
            <w14:ligatures w14:val="standardContextual"/>
          </w:rPr>
          <w:tab/>
        </w:r>
        <w:r w:rsidRPr="00E030AC">
          <w:rPr>
            <w:rStyle w:val="Hyperlink"/>
            <w:rFonts w:ascii="Arial" w:hAnsi="Arial"/>
          </w:rPr>
          <w:t>Greenhouse Gas (GHG) Accounting</w:t>
        </w:r>
        <w:r>
          <w:rPr>
            <w:webHidden/>
          </w:rPr>
          <w:tab/>
        </w:r>
        <w:r>
          <w:rPr>
            <w:webHidden/>
          </w:rPr>
          <w:fldChar w:fldCharType="begin"/>
        </w:r>
        <w:r>
          <w:rPr>
            <w:webHidden/>
          </w:rPr>
          <w:instrText xml:space="preserve"> PAGEREF _Toc212733097 \h </w:instrText>
        </w:r>
        <w:r>
          <w:rPr>
            <w:webHidden/>
          </w:rPr>
        </w:r>
        <w:r>
          <w:rPr>
            <w:webHidden/>
          </w:rPr>
          <w:fldChar w:fldCharType="separate"/>
        </w:r>
        <w:r w:rsidR="000107BF">
          <w:rPr>
            <w:webHidden/>
          </w:rPr>
          <w:t>101</w:t>
        </w:r>
        <w:r>
          <w:rPr>
            <w:webHidden/>
          </w:rPr>
          <w:fldChar w:fldCharType="end"/>
        </w:r>
      </w:hyperlink>
    </w:p>
    <w:p w14:paraId="1FEEEEBF" w14:textId="5A38C116" w:rsidR="0097362D" w:rsidRDefault="0097362D">
      <w:pPr>
        <w:pStyle w:val="TOC2"/>
        <w:rPr>
          <w:rFonts w:eastAsiaTheme="minorEastAsia"/>
          <w:kern w:val="2"/>
          <w:sz w:val="24"/>
          <w:szCs w:val="24"/>
          <w14:ligatures w14:val="standardContextual"/>
        </w:rPr>
      </w:pPr>
      <w:hyperlink w:anchor="_Toc212733098" w:history="1">
        <w:r w:rsidRPr="00E030AC">
          <w:rPr>
            <w:rStyle w:val="Hyperlink"/>
            <w:rFonts w:ascii="Arial" w:hAnsi="Arial" w:cs="Arial"/>
          </w:rPr>
          <w:t>23.1</w:t>
        </w:r>
        <w:r>
          <w:rPr>
            <w:rFonts w:eastAsiaTheme="minorEastAsia"/>
            <w:kern w:val="2"/>
            <w:sz w:val="24"/>
            <w:szCs w:val="24"/>
            <w14:ligatures w14:val="standardContextual"/>
          </w:rPr>
          <w:tab/>
        </w:r>
        <w:r w:rsidRPr="00E030AC">
          <w:rPr>
            <w:rStyle w:val="Hyperlink"/>
            <w:rFonts w:ascii="Arial" w:hAnsi="Arial" w:cs="Arial"/>
          </w:rPr>
          <w:t>Accounting for Greenhouse Gas Regulations in EDAM</w:t>
        </w:r>
        <w:r>
          <w:rPr>
            <w:webHidden/>
          </w:rPr>
          <w:tab/>
        </w:r>
        <w:r>
          <w:rPr>
            <w:webHidden/>
          </w:rPr>
          <w:fldChar w:fldCharType="begin"/>
        </w:r>
        <w:r>
          <w:rPr>
            <w:webHidden/>
          </w:rPr>
          <w:instrText xml:space="preserve"> PAGEREF _Toc212733098 \h </w:instrText>
        </w:r>
        <w:r>
          <w:rPr>
            <w:webHidden/>
          </w:rPr>
        </w:r>
        <w:r>
          <w:rPr>
            <w:webHidden/>
          </w:rPr>
          <w:fldChar w:fldCharType="separate"/>
        </w:r>
        <w:r w:rsidR="000107BF">
          <w:rPr>
            <w:webHidden/>
          </w:rPr>
          <w:t>102</w:t>
        </w:r>
        <w:r>
          <w:rPr>
            <w:webHidden/>
          </w:rPr>
          <w:fldChar w:fldCharType="end"/>
        </w:r>
      </w:hyperlink>
    </w:p>
    <w:p w14:paraId="2C49C5DE" w14:textId="4E543FE9" w:rsidR="0097362D" w:rsidRDefault="0097362D">
      <w:pPr>
        <w:pStyle w:val="TOC2"/>
        <w:rPr>
          <w:rFonts w:eastAsiaTheme="minorEastAsia"/>
          <w:kern w:val="2"/>
          <w:sz w:val="24"/>
          <w:szCs w:val="24"/>
          <w14:ligatures w14:val="standardContextual"/>
        </w:rPr>
      </w:pPr>
      <w:hyperlink w:anchor="_Toc212733099" w:history="1">
        <w:r w:rsidRPr="00E030AC">
          <w:rPr>
            <w:rStyle w:val="Hyperlink"/>
            <w:rFonts w:ascii="Arial" w:hAnsi="Arial" w:cs="Arial"/>
          </w:rPr>
          <w:t>23.2</w:t>
        </w:r>
        <w:r>
          <w:rPr>
            <w:rFonts w:eastAsiaTheme="minorEastAsia"/>
            <w:kern w:val="2"/>
            <w:sz w:val="24"/>
            <w:szCs w:val="24"/>
            <w14:ligatures w14:val="standardContextual"/>
          </w:rPr>
          <w:tab/>
        </w:r>
        <w:r w:rsidRPr="00E030AC">
          <w:rPr>
            <w:rStyle w:val="Hyperlink"/>
            <w:rFonts w:ascii="Arial" w:hAnsi="Arial" w:cs="Arial"/>
          </w:rPr>
          <w:t>GHG Accounting Market Design</w:t>
        </w:r>
        <w:r>
          <w:rPr>
            <w:webHidden/>
          </w:rPr>
          <w:tab/>
        </w:r>
        <w:r>
          <w:rPr>
            <w:webHidden/>
          </w:rPr>
          <w:fldChar w:fldCharType="begin"/>
        </w:r>
        <w:r>
          <w:rPr>
            <w:webHidden/>
          </w:rPr>
          <w:instrText xml:space="preserve"> PAGEREF _Toc212733099 \h </w:instrText>
        </w:r>
        <w:r>
          <w:rPr>
            <w:webHidden/>
          </w:rPr>
        </w:r>
        <w:r>
          <w:rPr>
            <w:webHidden/>
          </w:rPr>
          <w:fldChar w:fldCharType="separate"/>
        </w:r>
        <w:r w:rsidR="000107BF">
          <w:rPr>
            <w:webHidden/>
          </w:rPr>
          <w:t>103</w:t>
        </w:r>
        <w:r>
          <w:rPr>
            <w:webHidden/>
          </w:rPr>
          <w:fldChar w:fldCharType="end"/>
        </w:r>
      </w:hyperlink>
    </w:p>
    <w:p w14:paraId="25389D22" w14:textId="11249C19" w:rsidR="0097362D" w:rsidRDefault="0097362D">
      <w:pPr>
        <w:pStyle w:val="TOC2"/>
        <w:rPr>
          <w:rFonts w:eastAsiaTheme="minorEastAsia"/>
          <w:kern w:val="2"/>
          <w:sz w:val="24"/>
          <w:szCs w:val="24"/>
          <w14:ligatures w14:val="standardContextual"/>
        </w:rPr>
      </w:pPr>
      <w:hyperlink w:anchor="_Toc212733100" w:history="1">
        <w:r w:rsidRPr="00E030AC">
          <w:rPr>
            <w:rStyle w:val="Hyperlink"/>
            <w:rFonts w:ascii="Arial" w:hAnsi="Arial" w:cs="Arial"/>
          </w:rPr>
          <w:t>23.3</w:t>
        </w:r>
        <w:r>
          <w:rPr>
            <w:rFonts w:eastAsiaTheme="minorEastAsia"/>
            <w:kern w:val="2"/>
            <w:sz w:val="24"/>
            <w:szCs w:val="24"/>
            <w14:ligatures w14:val="standardContextual"/>
          </w:rPr>
          <w:tab/>
        </w:r>
        <w:r w:rsidRPr="00E030AC">
          <w:rPr>
            <w:rStyle w:val="Hyperlink"/>
            <w:rFonts w:ascii="Arial" w:hAnsi="Arial" w:cs="Arial"/>
          </w:rPr>
          <w:t>Consideration of Eligible GHG Capacity in Market Clearing</w:t>
        </w:r>
        <w:r>
          <w:rPr>
            <w:webHidden/>
          </w:rPr>
          <w:tab/>
        </w:r>
        <w:r>
          <w:rPr>
            <w:webHidden/>
          </w:rPr>
          <w:fldChar w:fldCharType="begin"/>
        </w:r>
        <w:r>
          <w:rPr>
            <w:webHidden/>
          </w:rPr>
          <w:instrText xml:space="preserve"> PAGEREF _Toc212733100 \h </w:instrText>
        </w:r>
        <w:r>
          <w:rPr>
            <w:webHidden/>
          </w:rPr>
        </w:r>
        <w:r>
          <w:rPr>
            <w:webHidden/>
          </w:rPr>
          <w:fldChar w:fldCharType="separate"/>
        </w:r>
        <w:r w:rsidR="000107BF">
          <w:rPr>
            <w:webHidden/>
          </w:rPr>
          <w:t>107</w:t>
        </w:r>
        <w:r>
          <w:rPr>
            <w:webHidden/>
          </w:rPr>
          <w:fldChar w:fldCharType="end"/>
        </w:r>
      </w:hyperlink>
    </w:p>
    <w:p w14:paraId="07F0DFC5" w14:textId="44852560" w:rsidR="0097362D" w:rsidRDefault="0097362D">
      <w:pPr>
        <w:pStyle w:val="TOC2"/>
        <w:rPr>
          <w:rFonts w:eastAsiaTheme="minorEastAsia"/>
          <w:kern w:val="2"/>
          <w:sz w:val="24"/>
          <w:szCs w:val="24"/>
          <w14:ligatures w14:val="standardContextual"/>
        </w:rPr>
      </w:pPr>
      <w:hyperlink w:anchor="_Toc212733101" w:history="1">
        <w:r w:rsidRPr="00E030AC">
          <w:rPr>
            <w:rStyle w:val="Hyperlink"/>
            <w:rFonts w:ascii="Arial" w:hAnsi="Arial" w:cs="Arial"/>
          </w:rPr>
          <w:t>23.4</w:t>
        </w:r>
        <w:r>
          <w:rPr>
            <w:rFonts w:eastAsiaTheme="minorEastAsia"/>
            <w:kern w:val="2"/>
            <w:sz w:val="24"/>
            <w:szCs w:val="24"/>
            <w14:ligatures w14:val="standardContextual"/>
          </w:rPr>
          <w:tab/>
        </w:r>
        <w:r w:rsidRPr="00E030AC">
          <w:rPr>
            <w:rStyle w:val="Hyperlink"/>
            <w:rFonts w:ascii="Arial" w:hAnsi="Arial" w:cs="Arial"/>
          </w:rPr>
          <w:t>GHG Attribution in the IFM (tariff sections 33.32.3, 33.32.4)</w:t>
        </w:r>
        <w:r>
          <w:rPr>
            <w:webHidden/>
          </w:rPr>
          <w:tab/>
        </w:r>
        <w:r>
          <w:rPr>
            <w:webHidden/>
          </w:rPr>
          <w:fldChar w:fldCharType="begin"/>
        </w:r>
        <w:r>
          <w:rPr>
            <w:webHidden/>
          </w:rPr>
          <w:instrText xml:space="preserve"> PAGEREF _Toc212733101 \h </w:instrText>
        </w:r>
        <w:r>
          <w:rPr>
            <w:webHidden/>
          </w:rPr>
        </w:r>
        <w:r>
          <w:rPr>
            <w:webHidden/>
          </w:rPr>
          <w:fldChar w:fldCharType="separate"/>
        </w:r>
        <w:r w:rsidR="000107BF">
          <w:rPr>
            <w:webHidden/>
          </w:rPr>
          <w:t>113</w:t>
        </w:r>
        <w:r>
          <w:rPr>
            <w:webHidden/>
          </w:rPr>
          <w:fldChar w:fldCharType="end"/>
        </w:r>
      </w:hyperlink>
    </w:p>
    <w:p w14:paraId="3EC547CE" w14:textId="42F7B9DA" w:rsidR="0097362D" w:rsidRDefault="0097362D">
      <w:pPr>
        <w:pStyle w:val="TOC2"/>
        <w:rPr>
          <w:rFonts w:eastAsiaTheme="minorEastAsia"/>
          <w:kern w:val="2"/>
          <w:sz w:val="24"/>
          <w:szCs w:val="24"/>
          <w14:ligatures w14:val="standardContextual"/>
        </w:rPr>
      </w:pPr>
      <w:hyperlink w:anchor="_Toc212733102" w:history="1">
        <w:r w:rsidRPr="00E030AC">
          <w:rPr>
            <w:rStyle w:val="Hyperlink"/>
            <w:rFonts w:ascii="Arial" w:hAnsi="Arial" w:cs="Arial"/>
          </w:rPr>
          <w:t>23.5</w:t>
        </w:r>
        <w:r>
          <w:rPr>
            <w:rFonts w:eastAsiaTheme="minorEastAsia"/>
            <w:kern w:val="2"/>
            <w:sz w:val="24"/>
            <w:szCs w:val="24"/>
            <w14:ligatures w14:val="standardContextual"/>
          </w:rPr>
          <w:tab/>
        </w:r>
        <w:r w:rsidRPr="00E030AC">
          <w:rPr>
            <w:rStyle w:val="Hyperlink"/>
            <w:rFonts w:ascii="Arial" w:hAnsi="Arial" w:cs="Arial"/>
          </w:rPr>
          <w:t>Gross GHG Attribution Limit</w:t>
        </w:r>
        <w:r>
          <w:rPr>
            <w:webHidden/>
          </w:rPr>
          <w:tab/>
        </w:r>
        <w:r>
          <w:rPr>
            <w:webHidden/>
          </w:rPr>
          <w:fldChar w:fldCharType="begin"/>
        </w:r>
        <w:r>
          <w:rPr>
            <w:webHidden/>
          </w:rPr>
          <w:instrText xml:space="preserve"> PAGEREF _Toc212733102 \h </w:instrText>
        </w:r>
        <w:r>
          <w:rPr>
            <w:webHidden/>
          </w:rPr>
        </w:r>
        <w:r>
          <w:rPr>
            <w:webHidden/>
          </w:rPr>
          <w:fldChar w:fldCharType="separate"/>
        </w:r>
        <w:r w:rsidR="000107BF">
          <w:rPr>
            <w:webHidden/>
          </w:rPr>
          <w:t>116</w:t>
        </w:r>
        <w:r>
          <w:rPr>
            <w:webHidden/>
          </w:rPr>
          <w:fldChar w:fldCharType="end"/>
        </w:r>
      </w:hyperlink>
    </w:p>
    <w:p w14:paraId="31608F5D" w14:textId="34A1C234" w:rsidR="0097362D" w:rsidRDefault="0097362D">
      <w:pPr>
        <w:pStyle w:val="TOC2"/>
        <w:rPr>
          <w:rFonts w:eastAsiaTheme="minorEastAsia"/>
          <w:kern w:val="2"/>
          <w:sz w:val="24"/>
          <w:szCs w:val="24"/>
          <w14:ligatures w14:val="standardContextual"/>
        </w:rPr>
      </w:pPr>
      <w:hyperlink w:anchor="_Toc212733103" w:history="1">
        <w:r w:rsidRPr="00E030AC">
          <w:rPr>
            <w:rStyle w:val="Hyperlink"/>
            <w:rFonts w:ascii="Arial" w:hAnsi="Arial" w:cs="Arial"/>
          </w:rPr>
          <w:t>23.6</w:t>
        </w:r>
        <w:r>
          <w:rPr>
            <w:rFonts w:eastAsiaTheme="minorEastAsia"/>
            <w:kern w:val="2"/>
            <w:sz w:val="24"/>
            <w:szCs w:val="24"/>
            <w14:ligatures w14:val="standardContextual"/>
          </w:rPr>
          <w:tab/>
        </w:r>
        <w:r w:rsidRPr="00E030AC">
          <w:rPr>
            <w:rStyle w:val="Hyperlink"/>
            <w:rFonts w:ascii="Arial" w:hAnsi="Arial" w:cs="Arial"/>
          </w:rPr>
          <w:t>Data Availability</w:t>
        </w:r>
        <w:r>
          <w:rPr>
            <w:webHidden/>
          </w:rPr>
          <w:tab/>
        </w:r>
        <w:r>
          <w:rPr>
            <w:webHidden/>
          </w:rPr>
          <w:fldChar w:fldCharType="begin"/>
        </w:r>
        <w:r>
          <w:rPr>
            <w:webHidden/>
          </w:rPr>
          <w:instrText xml:space="preserve"> PAGEREF _Toc212733103 \h </w:instrText>
        </w:r>
        <w:r>
          <w:rPr>
            <w:webHidden/>
          </w:rPr>
        </w:r>
        <w:r>
          <w:rPr>
            <w:webHidden/>
          </w:rPr>
          <w:fldChar w:fldCharType="separate"/>
        </w:r>
        <w:r w:rsidR="000107BF">
          <w:rPr>
            <w:webHidden/>
          </w:rPr>
          <w:t>121</w:t>
        </w:r>
        <w:r>
          <w:rPr>
            <w:webHidden/>
          </w:rPr>
          <w:fldChar w:fldCharType="end"/>
        </w:r>
      </w:hyperlink>
    </w:p>
    <w:p w14:paraId="6068C158" w14:textId="3CA40ED8" w:rsidR="0097362D" w:rsidRDefault="0097362D">
      <w:pPr>
        <w:pStyle w:val="TOC1"/>
        <w:rPr>
          <w:rFonts w:eastAsiaTheme="minorEastAsia" w:cstheme="minorBidi"/>
          <w:b w:val="0"/>
          <w:kern w:val="2"/>
          <w:sz w:val="24"/>
          <w:szCs w:val="24"/>
          <w14:ligatures w14:val="standardContextual"/>
        </w:rPr>
      </w:pPr>
      <w:hyperlink w:anchor="_Toc212733104" w:history="1">
        <w:r w:rsidRPr="00E030AC">
          <w:rPr>
            <w:rStyle w:val="Hyperlink"/>
            <w:rFonts w:ascii="Arial" w:hAnsi="Arial"/>
          </w:rPr>
          <w:t>24.</w:t>
        </w:r>
        <w:r>
          <w:rPr>
            <w:rFonts w:eastAsiaTheme="minorEastAsia" w:cstheme="minorBidi"/>
            <w:b w:val="0"/>
            <w:kern w:val="2"/>
            <w:sz w:val="24"/>
            <w:szCs w:val="24"/>
            <w14:ligatures w14:val="standardContextual"/>
          </w:rPr>
          <w:tab/>
        </w:r>
        <w:r w:rsidRPr="00E030AC">
          <w:rPr>
            <w:rStyle w:val="Hyperlink"/>
            <w:rFonts w:ascii="Arial" w:hAnsi="Arial"/>
          </w:rPr>
          <w:t>Market Validation and Price Correction</w:t>
        </w:r>
        <w:r>
          <w:rPr>
            <w:webHidden/>
          </w:rPr>
          <w:tab/>
        </w:r>
        <w:r>
          <w:rPr>
            <w:webHidden/>
          </w:rPr>
          <w:fldChar w:fldCharType="begin"/>
        </w:r>
        <w:r>
          <w:rPr>
            <w:webHidden/>
          </w:rPr>
          <w:instrText xml:space="preserve"> PAGEREF _Toc212733104 \h </w:instrText>
        </w:r>
        <w:r>
          <w:rPr>
            <w:webHidden/>
          </w:rPr>
        </w:r>
        <w:r>
          <w:rPr>
            <w:webHidden/>
          </w:rPr>
          <w:fldChar w:fldCharType="separate"/>
        </w:r>
        <w:r w:rsidR="000107BF">
          <w:rPr>
            <w:webHidden/>
          </w:rPr>
          <w:t>122</w:t>
        </w:r>
        <w:r>
          <w:rPr>
            <w:webHidden/>
          </w:rPr>
          <w:fldChar w:fldCharType="end"/>
        </w:r>
      </w:hyperlink>
    </w:p>
    <w:p w14:paraId="2DCE2FA7" w14:textId="7CDA5905" w:rsidR="0097362D" w:rsidRDefault="0097362D">
      <w:pPr>
        <w:pStyle w:val="TOC2"/>
        <w:rPr>
          <w:rFonts w:eastAsiaTheme="minorEastAsia"/>
          <w:kern w:val="2"/>
          <w:sz w:val="24"/>
          <w:szCs w:val="24"/>
          <w14:ligatures w14:val="standardContextual"/>
        </w:rPr>
      </w:pPr>
      <w:hyperlink w:anchor="_Toc212733105" w:history="1">
        <w:r w:rsidRPr="00E030AC">
          <w:rPr>
            <w:rStyle w:val="Hyperlink"/>
            <w:rFonts w:ascii="Arial" w:hAnsi="Arial" w:cs="Arial"/>
          </w:rPr>
          <w:t>24.1</w:t>
        </w:r>
        <w:r>
          <w:rPr>
            <w:rFonts w:eastAsiaTheme="minorEastAsia"/>
            <w:kern w:val="2"/>
            <w:sz w:val="24"/>
            <w:szCs w:val="24"/>
            <w14:ligatures w14:val="standardContextual"/>
          </w:rPr>
          <w:tab/>
        </w:r>
        <w:r w:rsidRPr="00E030AC">
          <w:rPr>
            <w:rStyle w:val="Hyperlink"/>
            <w:rFonts w:ascii="Arial" w:hAnsi="Arial" w:cs="Arial"/>
          </w:rPr>
          <w:t>EDAM Price Validation</w:t>
        </w:r>
        <w:r>
          <w:rPr>
            <w:webHidden/>
          </w:rPr>
          <w:tab/>
        </w:r>
        <w:r>
          <w:rPr>
            <w:webHidden/>
          </w:rPr>
          <w:fldChar w:fldCharType="begin"/>
        </w:r>
        <w:r>
          <w:rPr>
            <w:webHidden/>
          </w:rPr>
          <w:instrText xml:space="preserve"> PAGEREF _Toc212733105 \h </w:instrText>
        </w:r>
        <w:r>
          <w:rPr>
            <w:webHidden/>
          </w:rPr>
        </w:r>
        <w:r>
          <w:rPr>
            <w:webHidden/>
          </w:rPr>
          <w:fldChar w:fldCharType="separate"/>
        </w:r>
        <w:r w:rsidR="000107BF">
          <w:rPr>
            <w:webHidden/>
          </w:rPr>
          <w:t>122</w:t>
        </w:r>
        <w:r>
          <w:rPr>
            <w:webHidden/>
          </w:rPr>
          <w:fldChar w:fldCharType="end"/>
        </w:r>
      </w:hyperlink>
    </w:p>
    <w:p w14:paraId="5A06D59C" w14:textId="5F960BE0" w:rsidR="0097362D" w:rsidRDefault="0097362D">
      <w:pPr>
        <w:pStyle w:val="TOC2"/>
        <w:rPr>
          <w:rFonts w:eastAsiaTheme="minorEastAsia"/>
          <w:kern w:val="2"/>
          <w:sz w:val="24"/>
          <w:szCs w:val="24"/>
          <w14:ligatures w14:val="standardContextual"/>
        </w:rPr>
      </w:pPr>
      <w:hyperlink w:anchor="_Toc212733106" w:history="1">
        <w:r w:rsidRPr="00E030AC">
          <w:rPr>
            <w:rStyle w:val="Hyperlink"/>
            <w:rFonts w:ascii="Arial" w:hAnsi="Arial" w:cs="Arial"/>
          </w:rPr>
          <w:t>24.2</w:t>
        </w:r>
        <w:r>
          <w:rPr>
            <w:rFonts w:eastAsiaTheme="minorEastAsia"/>
            <w:kern w:val="2"/>
            <w:sz w:val="24"/>
            <w:szCs w:val="24"/>
            <w14:ligatures w14:val="standardContextual"/>
          </w:rPr>
          <w:tab/>
        </w:r>
        <w:r w:rsidRPr="00E030AC">
          <w:rPr>
            <w:rStyle w:val="Hyperlink"/>
            <w:rFonts w:ascii="Arial" w:hAnsi="Arial" w:cs="Arial"/>
          </w:rPr>
          <w:t>Scope of Price Corrections</w:t>
        </w:r>
        <w:r>
          <w:rPr>
            <w:webHidden/>
          </w:rPr>
          <w:tab/>
        </w:r>
        <w:r>
          <w:rPr>
            <w:webHidden/>
          </w:rPr>
          <w:fldChar w:fldCharType="begin"/>
        </w:r>
        <w:r>
          <w:rPr>
            <w:webHidden/>
          </w:rPr>
          <w:instrText xml:space="preserve"> PAGEREF _Toc212733106 \h </w:instrText>
        </w:r>
        <w:r>
          <w:rPr>
            <w:webHidden/>
          </w:rPr>
        </w:r>
        <w:r>
          <w:rPr>
            <w:webHidden/>
          </w:rPr>
          <w:fldChar w:fldCharType="separate"/>
        </w:r>
        <w:r w:rsidR="000107BF">
          <w:rPr>
            <w:webHidden/>
          </w:rPr>
          <w:t>123</w:t>
        </w:r>
        <w:r>
          <w:rPr>
            <w:webHidden/>
          </w:rPr>
          <w:fldChar w:fldCharType="end"/>
        </w:r>
      </w:hyperlink>
    </w:p>
    <w:p w14:paraId="533DA780" w14:textId="1A528258" w:rsidR="0097362D" w:rsidRDefault="0097362D">
      <w:pPr>
        <w:pStyle w:val="TOC2"/>
        <w:rPr>
          <w:rFonts w:eastAsiaTheme="minorEastAsia"/>
          <w:kern w:val="2"/>
          <w:sz w:val="24"/>
          <w:szCs w:val="24"/>
          <w14:ligatures w14:val="standardContextual"/>
        </w:rPr>
      </w:pPr>
      <w:hyperlink w:anchor="_Toc212733107" w:history="1">
        <w:r w:rsidRPr="00E030AC">
          <w:rPr>
            <w:rStyle w:val="Hyperlink"/>
            <w:rFonts w:ascii="Arial" w:hAnsi="Arial" w:cs="Arial"/>
          </w:rPr>
          <w:t>24.3</w:t>
        </w:r>
        <w:r>
          <w:rPr>
            <w:rFonts w:eastAsiaTheme="minorEastAsia"/>
            <w:kern w:val="2"/>
            <w:sz w:val="24"/>
            <w:szCs w:val="24"/>
            <w14:ligatures w14:val="standardContextual"/>
          </w:rPr>
          <w:tab/>
        </w:r>
        <w:r w:rsidRPr="00E030AC">
          <w:rPr>
            <w:rStyle w:val="Hyperlink"/>
            <w:rFonts w:ascii="Arial" w:hAnsi="Arial" w:cs="Arial"/>
          </w:rPr>
          <w:t>Price Correction Process</w:t>
        </w:r>
        <w:r>
          <w:rPr>
            <w:webHidden/>
          </w:rPr>
          <w:tab/>
        </w:r>
        <w:r>
          <w:rPr>
            <w:webHidden/>
          </w:rPr>
          <w:fldChar w:fldCharType="begin"/>
        </w:r>
        <w:r>
          <w:rPr>
            <w:webHidden/>
          </w:rPr>
          <w:instrText xml:space="preserve"> PAGEREF _Toc212733107 \h </w:instrText>
        </w:r>
        <w:r>
          <w:rPr>
            <w:webHidden/>
          </w:rPr>
        </w:r>
        <w:r>
          <w:rPr>
            <w:webHidden/>
          </w:rPr>
          <w:fldChar w:fldCharType="separate"/>
        </w:r>
        <w:r w:rsidR="000107BF">
          <w:rPr>
            <w:webHidden/>
          </w:rPr>
          <w:t>124</w:t>
        </w:r>
        <w:r>
          <w:rPr>
            <w:webHidden/>
          </w:rPr>
          <w:fldChar w:fldCharType="end"/>
        </w:r>
      </w:hyperlink>
    </w:p>
    <w:p w14:paraId="7F4FAD91" w14:textId="6A5F2802" w:rsidR="0097362D" w:rsidRDefault="0097362D">
      <w:pPr>
        <w:pStyle w:val="TOC2"/>
        <w:rPr>
          <w:rFonts w:eastAsiaTheme="minorEastAsia"/>
          <w:kern w:val="2"/>
          <w:sz w:val="24"/>
          <w:szCs w:val="24"/>
          <w14:ligatures w14:val="standardContextual"/>
        </w:rPr>
      </w:pPr>
      <w:hyperlink w:anchor="_Toc212733108" w:history="1">
        <w:r w:rsidRPr="00E030AC">
          <w:rPr>
            <w:rStyle w:val="Hyperlink"/>
            <w:rFonts w:ascii="Arial" w:hAnsi="Arial" w:cs="Arial"/>
          </w:rPr>
          <w:t>24.4</w:t>
        </w:r>
        <w:r>
          <w:rPr>
            <w:rFonts w:eastAsiaTheme="minorEastAsia"/>
            <w:kern w:val="2"/>
            <w:sz w:val="24"/>
            <w:szCs w:val="24"/>
            <w14:ligatures w14:val="standardContextual"/>
          </w:rPr>
          <w:tab/>
        </w:r>
        <w:r w:rsidRPr="00E030AC">
          <w:rPr>
            <w:rStyle w:val="Hyperlink"/>
            <w:rFonts w:ascii="Arial" w:hAnsi="Arial" w:cs="Arial"/>
          </w:rPr>
          <w:t>Administrative Pricing for EDAM Disruption</w:t>
        </w:r>
        <w:r>
          <w:rPr>
            <w:webHidden/>
          </w:rPr>
          <w:tab/>
        </w:r>
        <w:r>
          <w:rPr>
            <w:webHidden/>
          </w:rPr>
          <w:fldChar w:fldCharType="begin"/>
        </w:r>
        <w:r>
          <w:rPr>
            <w:webHidden/>
          </w:rPr>
          <w:instrText xml:space="preserve"> PAGEREF _Toc212733108 \h </w:instrText>
        </w:r>
        <w:r>
          <w:rPr>
            <w:webHidden/>
          </w:rPr>
        </w:r>
        <w:r>
          <w:rPr>
            <w:webHidden/>
          </w:rPr>
          <w:fldChar w:fldCharType="separate"/>
        </w:r>
        <w:r w:rsidR="000107BF">
          <w:rPr>
            <w:webHidden/>
          </w:rPr>
          <w:t>127</w:t>
        </w:r>
        <w:r>
          <w:rPr>
            <w:webHidden/>
          </w:rPr>
          <w:fldChar w:fldCharType="end"/>
        </w:r>
      </w:hyperlink>
    </w:p>
    <w:p w14:paraId="2EC28C3D" w14:textId="5F8EBDD9" w:rsidR="0097362D" w:rsidRDefault="0097362D">
      <w:pPr>
        <w:pStyle w:val="TOC1"/>
        <w:rPr>
          <w:rFonts w:eastAsiaTheme="minorEastAsia" w:cstheme="minorBidi"/>
          <w:b w:val="0"/>
          <w:kern w:val="2"/>
          <w:sz w:val="24"/>
          <w:szCs w:val="24"/>
          <w14:ligatures w14:val="standardContextual"/>
        </w:rPr>
      </w:pPr>
      <w:hyperlink w:anchor="_Toc212733109" w:history="1">
        <w:r w:rsidRPr="00E030AC">
          <w:rPr>
            <w:rStyle w:val="Hyperlink"/>
            <w:rFonts w:ascii="Arial" w:hAnsi="Arial"/>
          </w:rPr>
          <w:t>25.</w:t>
        </w:r>
        <w:r>
          <w:rPr>
            <w:rFonts w:eastAsiaTheme="minorEastAsia" w:cstheme="minorBidi"/>
            <w:b w:val="0"/>
            <w:kern w:val="2"/>
            <w:sz w:val="24"/>
            <w:szCs w:val="24"/>
            <w14:ligatures w14:val="standardContextual"/>
          </w:rPr>
          <w:tab/>
        </w:r>
        <w:r w:rsidRPr="00E030AC">
          <w:rPr>
            <w:rStyle w:val="Hyperlink"/>
            <w:rFonts w:ascii="Arial" w:hAnsi="Arial"/>
          </w:rPr>
          <w:t>Congestion Revenue Rights</w:t>
        </w:r>
        <w:r>
          <w:rPr>
            <w:webHidden/>
          </w:rPr>
          <w:tab/>
        </w:r>
        <w:r>
          <w:rPr>
            <w:webHidden/>
          </w:rPr>
          <w:fldChar w:fldCharType="begin"/>
        </w:r>
        <w:r>
          <w:rPr>
            <w:webHidden/>
          </w:rPr>
          <w:instrText xml:space="preserve"> PAGEREF _Toc212733109 \h </w:instrText>
        </w:r>
        <w:r>
          <w:rPr>
            <w:webHidden/>
          </w:rPr>
        </w:r>
        <w:r>
          <w:rPr>
            <w:webHidden/>
          </w:rPr>
          <w:fldChar w:fldCharType="separate"/>
        </w:r>
        <w:r w:rsidR="000107BF">
          <w:rPr>
            <w:webHidden/>
          </w:rPr>
          <w:t>127</w:t>
        </w:r>
        <w:r>
          <w:rPr>
            <w:webHidden/>
          </w:rPr>
          <w:fldChar w:fldCharType="end"/>
        </w:r>
      </w:hyperlink>
    </w:p>
    <w:p w14:paraId="788ABDAC" w14:textId="021627F8" w:rsidR="0097362D" w:rsidRDefault="0097362D">
      <w:pPr>
        <w:pStyle w:val="TOC1"/>
        <w:rPr>
          <w:rFonts w:eastAsiaTheme="minorEastAsia" w:cstheme="minorBidi"/>
          <w:b w:val="0"/>
          <w:kern w:val="2"/>
          <w:sz w:val="24"/>
          <w:szCs w:val="24"/>
          <w14:ligatures w14:val="standardContextual"/>
        </w:rPr>
      </w:pPr>
      <w:hyperlink w:anchor="_Toc212733110" w:history="1">
        <w:r w:rsidRPr="00E030AC">
          <w:rPr>
            <w:rStyle w:val="Hyperlink"/>
            <w:rFonts w:ascii="Arial" w:hAnsi="Arial"/>
          </w:rPr>
          <w:t>26.</w:t>
        </w:r>
        <w:r>
          <w:rPr>
            <w:rFonts w:eastAsiaTheme="minorEastAsia" w:cstheme="minorBidi"/>
            <w:b w:val="0"/>
            <w:kern w:val="2"/>
            <w:sz w:val="24"/>
            <w:szCs w:val="24"/>
            <w14:ligatures w14:val="standardContextual"/>
          </w:rPr>
          <w:tab/>
        </w:r>
        <w:r w:rsidRPr="00E030AC">
          <w:rPr>
            <w:rStyle w:val="Hyperlink"/>
            <w:rFonts w:ascii="Arial" w:hAnsi="Arial"/>
          </w:rPr>
          <w:t>Rules of Conduct</w:t>
        </w:r>
        <w:r>
          <w:rPr>
            <w:webHidden/>
          </w:rPr>
          <w:tab/>
        </w:r>
        <w:r>
          <w:rPr>
            <w:webHidden/>
          </w:rPr>
          <w:fldChar w:fldCharType="begin"/>
        </w:r>
        <w:r>
          <w:rPr>
            <w:webHidden/>
          </w:rPr>
          <w:instrText xml:space="preserve"> PAGEREF _Toc212733110 \h </w:instrText>
        </w:r>
        <w:r>
          <w:rPr>
            <w:webHidden/>
          </w:rPr>
        </w:r>
        <w:r>
          <w:rPr>
            <w:webHidden/>
          </w:rPr>
          <w:fldChar w:fldCharType="separate"/>
        </w:r>
        <w:r w:rsidR="000107BF">
          <w:rPr>
            <w:webHidden/>
          </w:rPr>
          <w:t>127</w:t>
        </w:r>
        <w:r>
          <w:rPr>
            <w:webHidden/>
          </w:rPr>
          <w:fldChar w:fldCharType="end"/>
        </w:r>
      </w:hyperlink>
    </w:p>
    <w:p w14:paraId="7D9B748E" w14:textId="27080B6B" w:rsidR="0097362D" w:rsidRDefault="0097362D">
      <w:pPr>
        <w:pStyle w:val="TOC1"/>
        <w:rPr>
          <w:rFonts w:eastAsiaTheme="minorEastAsia" w:cstheme="minorBidi"/>
          <w:b w:val="0"/>
          <w:kern w:val="2"/>
          <w:sz w:val="24"/>
          <w:szCs w:val="24"/>
          <w14:ligatures w14:val="standardContextual"/>
        </w:rPr>
      </w:pPr>
      <w:hyperlink w:anchor="_Toc212733111" w:history="1">
        <w:r w:rsidRPr="00E030AC">
          <w:rPr>
            <w:rStyle w:val="Hyperlink"/>
            <w:rFonts w:ascii="Arial" w:hAnsi="Arial"/>
          </w:rPr>
          <w:t>27.</w:t>
        </w:r>
        <w:r>
          <w:rPr>
            <w:rFonts w:eastAsiaTheme="minorEastAsia" w:cstheme="minorBidi"/>
            <w:b w:val="0"/>
            <w:kern w:val="2"/>
            <w:sz w:val="24"/>
            <w:szCs w:val="24"/>
            <w14:ligatures w14:val="standardContextual"/>
          </w:rPr>
          <w:tab/>
        </w:r>
        <w:r w:rsidRPr="00E030AC">
          <w:rPr>
            <w:rStyle w:val="Hyperlink"/>
            <w:rFonts w:ascii="Arial" w:hAnsi="Arial"/>
          </w:rPr>
          <w:t>Market Monitoring in EDAM</w:t>
        </w:r>
        <w:r>
          <w:rPr>
            <w:webHidden/>
          </w:rPr>
          <w:tab/>
        </w:r>
        <w:r>
          <w:rPr>
            <w:webHidden/>
          </w:rPr>
          <w:fldChar w:fldCharType="begin"/>
        </w:r>
        <w:r>
          <w:rPr>
            <w:webHidden/>
          </w:rPr>
          <w:instrText xml:space="preserve"> PAGEREF _Toc212733111 \h </w:instrText>
        </w:r>
        <w:r>
          <w:rPr>
            <w:webHidden/>
          </w:rPr>
        </w:r>
        <w:r>
          <w:rPr>
            <w:webHidden/>
          </w:rPr>
          <w:fldChar w:fldCharType="separate"/>
        </w:r>
        <w:r w:rsidR="000107BF">
          <w:rPr>
            <w:webHidden/>
          </w:rPr>
          <w:t>128</w:t>
        </w:r>
        <w:r>
          <w:rPr>
            <w:webHidden/>
          </w:rPr>
          <w:fldChar w:fldCharType="end"/>
        </w:r>
      </w:hyperlink>
    </w:p>
    <w:p w14:paraId="4FD35C34" w14:textId="7AAAD5CC" w:rsidR="0097362D" w:rsidRDefault="0097362D">
      <w:pPr>
        <w:pStyle w:val="TOC1"/>
        <w:rPr>
          <w:rFonts w:eastAsiaTheme="minorEastAsia" w:cstheme="minorBidi"/>
          <w:b w:val="0"/>
          <w:kern w:val="2"/>
          <w:sz w:val="24"/>
          <w:szCs w:val="24"/>
          <w14:ligatures w14:val="standardContextual"/>
        </w:rPr>
      </w:pPr>
      <w:hyperlink w:anchor="_Toc212733112" w:history="1">
        <w:r w:rsidRPr="00E030AC">
          <w:rPr>
            <w:rStyle w:val="Hyperlink"/>
            <w:rFonts w:ascii="Arial" w:hAnsi="Arial"/>
          </w:rPr>
          <w:t>28.</w:t>
        </w:r>
        <w:r>
          <w:rPr>
            <w:rFonts w:eastAsiaTheme="minorEastAsia" w:cstheme="minorBidi"/>
            <w:b w:val="0"/>
            <w:kern w:val="2"/>
            <w:sz w:val="24"/>
            <w:szCs w:val="24"/>
            <w14:ligatures w14:val="standardContextual"/>
          </w:rPr>
          <w:tab/>
        </w:r>
        <w:r w:rsidRPr="00E030AC">
          <w:rPr>
            <w:rStyle w:val="Hyperlink"/>
            <w:rFonts w:ascii="Arial" w:hAnsi="Arial"/>
          </w:rPr>
          <w:t>Flexible Ramping Product</w:t>
        </w:r>
        <w:r>
          <w:rPr>
            <w:webHidden/>
          </w:rPr>
          <w:tab/>
        </w:r>
        <w:r>
          <w:rPr>
            <w:webHidden/>
          </w:rPr>
          <w:fldChar w:fldCharType="begin"/>
        </w:r>
        <w:r>
          <w:rPr>
            <w:webHidden/>
          </w:rPr>
          <w:instrText xml:space="preserve"> PAGEREF _Toc212733112 \h </w:instrText>
        </w:r>
        <w:r>
          <w:rPr>
            <w:webHidden/>
          </w:rPr>
        </w:r>
        <w:r>
          <w:rPr>
            <w:webHidden/>
          </w:rPr>
          <w:fldChar w:fldCharType="separate"/>
        </w:r>
        <w:r w:rsidR="000107BF">
          <w:rPr>
            <w:webHidden/>
          </w:rPr>
          <w:t>128</w:t>
        </w:r>
        <w:r>
          <w:rPr>
            <w:webHidden/>
          </w:rPr>
          <w:fldChar w:fldCharType="end"/>
        </w:r>
      </w:hyperlink>
    </w:p>
    <w:p w14:paraId="7A851107" w14:textId="06D8E05C" w:rsidR="0097362D" w:rsidRDefault="0097362D">
      <w:pPr>
        <w:pStyle w:val="TOC2"/>
        <w:rPr>
          <w:rFonts w:eastAsiaTheme="minorEastAsia"/>
          <w:kern w:val="2"/>
          <w:sz w:val="24"/>
          <w:szCs w:val="24"/>
          <w14:ligatures w14:val="standardContextual"/>
        </w:rPr>
      </w:pPr>
      <w:hyperlink w:anchor="_Toc212733113" w:history="1">
        <w:r w:rsidRPr="00E030AC">
          <w:rPr>
            <w:rStyle w:val="Hyperlink"/>
            <w:rFonts w:ascii="Arial" w:hAnsi="Arial" w:cs="Arial"/>
          </w:rPr>
          <w:t>1.</w:t>
        </w:r>
        <w:r>
          <w:rPr>
            <w:rFonts w:eastAsiaTheme="minorEastAsia"/>
            <w:kern w:val="2"/>
            <w:sz w:val="24"/>
            <w:szCs w:val="24"/>
            <w14:ligatures w14:val="standardContextual"/>
          </w:rPr>
          <w:tab/>
        </w:r>
        <w:r w:rsidRPr="00E030AC">
          <w:rPr>
            <w:rStyle w:val="Hyperlink"/>
            <w:rFonts w:ascii="Arial" w:hAnsi="Arial" w:cs="Arial"/>
          </w:rPr>
          <w:t>D4/2/1 Process Summary</w:t>
        </w:r>
        <w:r>
          <w:rPr>
            <w:webHidden/>
          </w:rPr>
          <w:tab/>
        </w:r>
        <w:r>
          <w:rPr>
            <w:webHidden/>
          </w:rPr>
          <w:fldChar w:fldCharType="begin"/>
        </w:r>
        <w:r>
          <w:rPr>
            <w:webHidden/>
          </w:rPr>
          <w:instrText xml:space="preserve"> PAGEREF _Toc212733113 \h </w:instrText>
        </w:r>
        <w:r>
          <w:rPr>
            <w:webHidden/>
          </w:rPr>
        </w:r>
        <w:r>
          <w:rPr>
            <w:webHidden/>
          </w:rPr>
          <w:fldChar w:fldCharType="separate"/>
        </w:r>
        <w:r w:rsidR="000107BF">
          <w:rPr>
            <w:webHidden/>
          </w:rPr>
          <w:t>129</w:t>
        </w:r>
        <w:r>
          <w:rPr>
            <w:webHidden/>
          </w:rPr>
          <w:fldChar w:fldCharType="end"/>
        </w:r>
      </w:hyperlink>
    </w:p>
    <w:p w14:paraId="5DEB2716" w14:textId="4923D69A" w:rsidR="0097362D" w:rsidRDefault="0097362D">
      <w:pPr>
        <w:pStyle w:val="TOC2"/>
        <w:rPr>
          <w:rFonts w:eastAsiaTheme="minorEastAsia"/>
          <w:kern w:val="2"/>
          <w:sz w:val="24"/>
          <w:szCs w:val="24"/>
          <w14:ligatures w14:val="standardContextual"/>
        </w:rPr>
      </w:pPr>
      <w:hyperlink w:anchor="_Toc212733114" w:history="1">
        <w:r w:rsidRPr="00E030AC">
          <w:rPr>
            <w:rStyle w:val="Hyperlink"/>
            <w:rFonts w:ascii="Arial" w:hAnsi="Arial" w:cs="Arial"/>
          </w:rPr>
          <w:t>2.</w:t>
        </w:r>
        <w:r>
          <w:rPr>
            <w:rFonts w:eastAsiaTheme="minorEastAsia"/>
            <w:kern w:val="2"/>
            <w:sz w:val="24"/>
            <w:szCs w:val="24"/>
            <w14:ligatures w14:val="standardContextual"/>
          </w:rPr>
          <w:tab/>
        </w:r>
        <w:r w:rsidRPr="00E030AC">
          <w:rPr>
            <w:rStyle w:val="Hyperlink"/>
            <w:rFonts w:ascii="Arial" w:hAnsi="Arial" w:cs="Arial"/>
          </w:rPr>
          <w:t>Centralized and Coordinated Constraint Management Process</w:t>
        </w:r>
        <w:r>
          <w:rPr>
            <w:webHidden/>
          </w:rPr>
          <w:tab/>
        </w:r>
        <w:r>
          <w:rPr>
            <w:webHidden/>
          </w:rPr>
          <w:fldChar w:fldCharType="begin"/>
        </w:r>
        <w:r>
          <w:rPr>
            <w:webHidden/>
          </w:rPr>
          <w:instrText xml:space="preserve"> PAGEREF _Toc212733114 \h </w:instrText>
        </w:r>
        <w:r>
          <w:rPr>
            <w:webHidden/>
          </w:rPr>
        </w:r>
        <w:r>
          <w:rPr>
            <w:webHidden/>
          </w:rPr>
          <w:fldChar w:fldCharType="separate"/>
        </w:r>
        <w:r w:rsidR="000107BF">
          <w:rPr>
            <w:webHidden/>
          </w:rPr>
          <w:t>130</w:t>
        </w:r>
        <w:r>
          <w:rPr>
            <w:webHidden/>
          </w:rPr>
          <w:fldChar w:fldCharType="end"/>
        </w:r>
      </w:hyperlink>
    </w:p>
    <w:p w14:paraId="689D70F4" w14:textId="094C4FBF" w:rsidR="00E14135" w:rsidRPr="00746F54" w:rsidRDefault="00D1171F" w:rsidP="003C7846">
      <w:pPr>
        <w:jc w:val="center"/>
        <w:rPr>
          <w:rFonts w:ascii="Arial" w:eastAsiaTheme="minorEastAsia" w:hAnsi="Arial" w:cs="Arial"/>
          <w:b/>
          <w:kern w:val="2"/>
          <w:sz w:val="24"/>
          <w:szCs w:val="24"/>
          <w14:ligatures w14:val="standardContextual"/>
        </w:rPr>
      </w:pPr>
      <w:r w:rsidRPr="00746F54">
        <w:rPr>
          <w:rFonts w:ascii="Arial" w:eastAsia="Aptos" w:hAnsi="Arial" w:cs="Arial"/>
          <w:b/>
          <w:noProof/>
          <w:kern w:val="2"/>
          <w:sz w:val="24"/>
          <w:szCs w:val="24"/>
          <w14:ligatures w14:val="standardContextual"/>
        </w:rPr>
        <w:fldChar w:fldCharType="end"/>
      </w:r>
    </w:p>
    <w:p w14:paraId="388BED1C" w14:textId="6C3F3E2B" w:rsidR="003C7846" w:rsidRPr="00746F54" w:rsidRDefault="003C7846" w:rsidP="00E14135">
      <w:pPr>
        <w:rPr>
          <w:rFonts w:ascii="Arial" w:hAnsi="Arial" w:cs="Arial"/>
          <w:b/>
        </w:rPr>
      </w:pPr>
      <w:r w:rsidRPr="00746F54">
        <w:rPr>
          <w:rFonts w:ascii="Arial" w:hAnsi="Arial" w:cs="Arial"/>
          <w:b/>
        </w:rPr>
        <w:t>Appendix:</w:t>
      </w:r>
    </w:p>
    <w:p w14:paraId="680C5549" w14:textId="483B4638" w:rsidR="003C7846" w:rsidRPr="00746F54" w:rsidRDefault="003C7846" w:rsidP="00FA407A">
      <w:pPr>
        <w:pStyle w:val="TOC2"/>
        <w:numPr>
          <w:ilvl w:val="0"/>
          <w:numId w:val="141"/>
        </w:numPr>
        <w:rPr>
          <w:rFonts w:ascii="Arial" w:eastAsiaTheme="minorEastAsia" w:hAnsi="Arial" w:cs="Arial"/>
          <w:kern w:val="2"/>
          <w:sz w:val="24"/>
          <w:szCs w:val="24"/>
          <w14:ligatures w14:val="standardContextual"/>
        </w:rPr>
      </w:pPr>
      <w:hyperlink w:anchor="_Toc211338006" w:history="1">
        <w:r w:rsidRPr="00746F54">
          <w:rPr>
            <w:rStyle w:val="Hyperlink"/>
            <w:rFonts w:ascii="Arial" w:hAnsi="Arial" w:cs="Arial"/>
            <w:color w:val="auto"/>
            <w:u w:val="none"/>
          </w:rPr>
          <w:t>D4/2/1 Process Summary</w:t>
        </w:r>
        <w:r w:rsidRPr="00746F54">
          <w:rPr>
            <w:rFonts w:ascii="Arial" w:hAnsi="Arial" w:cs="Arial"/>
            <w:webHidden/>
          </w:rPr>
          <w:tab/>
        </w:r>
        <w:r w:rsidRPr="00746F54">
          <w:rPr>
            <w:rFonts w:ascii="Arial" w:hAnsi="Arial" w:cs="Arial"/>
            <w:webHidden/>
          </w:rPr>
          <w:fldChar w:fldCharType="begin"/>
        </w:r>
        <w:r w:rsidRPr="00746F54">
          <w:rPr>
            <w:rFonts w:ascii="Arial" w:hAnsi="Arial" w:cs="Arial"/>
            <w:webHidden/>
          </w:rPr>
          <w:instrText xml:space="preserve"> PAGEREF _Toc211338006 \h </w:instrText>
        </w:r>
        <w:r w:rsidRPr="00746F54">
          <w:rPr>
            <w:rFonts w:ascii="Arial" w:hAnsi="Arial" w:cs="Arial"/>
            <w:webHidden/>
          </w:rPr>
        </w:r>
        <w:r w:rsidRPr="00746F54">
          <w:rPr>
            <w:rFonts w:ascii="Arial" w:hAnsi="Arial" w:cs="Arial"/>
            <w:webHidden/>
          </w:rPr>
          <w:fldChar w:fldCharType="separate"/>
        </w:r>
        <w:r w:rsidRPr="00746F54">
          <w:rPr>
            <w:rFonts w:ascii="Arial" w:hAnsi="Arial" w:cs="Arial"/>
            <w:webHidden/>
          </w:rPr>
          <w:t>124</w:t>
        </w:r>
        <w:r w:rsidRPr="00746F54">
          <w:rPr>
            <w:rFonts w:ascii="Arial" w:hAnsi="Arial" w:cs="Arial"/>
            <w:webHidden/>
          </w:rPr>
          <w:fldChar w:fldCharType="end"/>
        </w:r>
      </w:hyperlink>
    </w:p>
    <w:p w14:paraId="3C30B314" w14:textId="4CCCD205" w:rsidR="003C7846" w:rsidRPr="00746F54" w:rsidRDefault="003C7846" w:rsidP="00FA407A">
      <w:pPr>
        <w:pStyle w:val="TOC2"/>
        <w:numPr>
          <w:ilvl w:val="0"/>
          <w:numId w:val="141"/>
        </w:numPr>
        <w:rPr>
          <w:rFonts w:ascii="Arial" w:eastAsiaTheme="minorEastAsia" w:hAnsi="Arial" w:cs="Arial"/>
          <w:kern w:val="2"/>
          <w:sz w:val="24"/>
          <w:szCs w:val="24"/>
          <w14:ligatures w14:val="standardContextual"/>
        </w:rPr>
      </w:pPr>
      <w:hyperlink w:anchor="_Toc211338007" w:history="1">
        <w:r w:rsidRPr="00746F54">
          <w:rPr>
            <w:rStyle w:val="Hyperlink"/>
            <w:rFonts w:ascii="Arial" w:hAnsi="Arial" w:cs="Arial"/>
            <w:color w:val="auto"/>
            <w:u w:val="none"/>
          </w:rPr>
          <w:t>Centralized and Coordinated Constraint Management Process</w:t>
        </w:r>
        <w:r w:rsidRPr="00746F54">
          <w:rPr>
            <w:rFonts w:ascii="Arial" w:hAnsi="Arial" w:cs="Arial"/>
            <w:webHidden/>
          </w:rPr>
          <w:tab/>
        </w:r>
        <w:r w:rsidRPr="00746F54">
          <w:rPr>
            <w:rFonts w:ascii="Arial" w:hAnsi="Arial" w:cs="Arial"/>
            <w:webHidden/>
          </w:rPr>
          <w:fldChar w:fldCharType="begin"/>
        </w:r>
        <w:r w:rsidRPr="00746F54">
          <w:rPr>
            <w:rFonts w:ascii="Arial" w:hAnsi="Arial" w:cs="Arial"/>
            <w:webHidden/>
          </w:rPr>
          <w:instrText xml:space="preserve"> PAGEREF _Toc211338007 \h </w:instrText>
        </w:r>
        <w:r w:rsidRPr="00746F54">
          <w:rPr>
            <w:rFonts w:ascii="Arial" w:hAnsi="Arial" w:cs="Arial"/>
            <w:webHidden/>
          </w:rPr>
        </w:r>
        <w:r w:rsidRPr="00746F54">
          <w:rPr>
            <w:rFonts w:ascii="Arial" w:hAnsi="Arial" w:cs="Arial"/>
            <w:webHidden/>
          </w:rPr>
          <w:fldChar w:fldCharType="separate"/>
        </w:r>
        <w:r w:rsidRPr="00746F54">
          <w:rPr>
            <w:rFonts w:ascii="Arial" w:hAnsi="Arial" w:cs="Arial"/>
            <w:webHidden/>
          </w:rPr>
          <w:t>125</w:t>
        </w:r>
        <w:r w:rsidRPr="00746F54">
          <w:rPr>
            <w:rFonts w:ascii="Arial" w:hAnsi="Arial" w:cs="Arial"/>
            <w:webHidden/>
          </w:rPr>
          <w:fldChar w:fldCharType="end"/>
        </w:r>
      </w:hyperlink>
    </w:p>
    <w:p w14:paraId="3352CCC6" w14:textId="27F79B10" w:rsidR="003C7846" w:rsidRPr="00746F54" w:rsidRDefault="003C7846" w:rsidP="00FA407A">
      <w:pPr>
        <w:pStyle w:val="TOC3"/>
        <w:numPr>
          <w:ilvl w:val="0"/>
          <w:numId w:val="141"/>
        </w:numPr>
        <w:rPr>
          <w:rFonts w:ascii="Arial" w:eastAsiaTheme="minorEastAsia" w:hAnsi="Arial" w:cs="Arial"/>
          <w:kern w:val="2"/>
          <w:sz w:val="24"/>
          <w:szCs w:val="24"/>
          <w14:ligatures w14:val="standardContextual"/>
        </w:rPr>
      </w:pPr>
      <w:hyperlink w:anchor="_Toc211338008" w:history="1">
        <w:r w:rsidRPr="00746F54">
          <w:rPr>
            <w:rStyle w:val="Hyperlink"/>
            <w:rFonts w:ascii="Arial" w:hAnsi="Arial" w:cs="Arial"/>
            <w:color w:val="auto"/>
            <w:u w:val="none"/>
          </w:rPr>
          <w:t>.Extended Day-Ahead Market Elements</w:t>
        </w:r>
        <w:r w:rsidRPr="00746F54">
          <w:rPr>
            <w:rFonts w:ascii="Arial" w:hAnsi="Arial" w:cs="Arial"/>
            <w:webHidden/>
          </w:rPr>
          <w:tab/>
        </w:r>
        <w:r w:rsidRPr="00746F54">
          <w:rPr>
            <w:rFonts w:ascii="Arial" w:hAnsi="Arial" w:cs="Arial"/>
            <w:webHidden/>
          </w:rPr>
          <w:fldChar w:fldCharType="begin"/>
        </w:r>
        <w:r w:rsidRPr="00746F54">
          <w:rPr>
            <w:rFonts w:ascii="Arial" w:hAnsi="Arial" w:cs="Arial"/>
            <w:webHidden/>
          </w:rPr>
          <w:instrText xml:space="preserve"> PAGEREF _Toc211338008 \h </w:instrText>
        </w:r>
        <w:r w:rsidRPr="00746F54">
          <w:rPr>
            <w:rFonts w:ascii="Arial" w:hAnsi="Arial" w:cs="Arial"/>
            <w:webHidden/>
          </w:rPr>
        </w:r>
        <w:r w:rsidRPr="00746F54">
          <w:rPr>
            <w:rFonts w:ascii="Arial" w:hAnsi="Arial" w:cs="Arial"/>
            <w:webHidden/>
          </w:rPr>
          <w:fldChar w:fldCharType="separate"/>
        </w:r>
        <w:r w:rsidRPr="00746F54">
          <w:rPr>
            <w:rFonts w:ascii="Arial" w:hAnsi="Arial" w:cs="Arial"/>
            <w:webHidden/>
          </w:rPr>
          <w:t>129</w:t>
        </w:r>
        <w:r w:rsidRPr="00746F54">
          <w:rPr>
            <w:rFonts w:ascii="Arial" w:hAnsi="Arial" w:cs="Arial"/>
            <w:webHidden/>
          </w:rPr>
          <w:fldChar w:fldCharType="end"/>
        </w:r>
      </w:hyperlink>
    </w:p>
    <w:p w14:paraId="72872ACA" w14:textId="77777777" w:rsidR="003C7846" w:rsidRPr="00746F54" w:rsidRDefault="003C7846" w:rsidP="00E14135">
      <w:pPr>
        <w:rPr>
          <w:rFonts w:ascii="Arial" w:hAnsi="Arial" w:cs="Arial"/>
          <w:b/>
        </w:rPr>
      </w:pPr>
    </w:p>
    <w:p w14:paraId="0DAFD18C" w14:textId="77777777" w:rsidR="00E14135" w:rsidRPr="00746F54" w:rsidRDefault="00E14135" w:rsidP="00E14135">
      <w:pPr>
        <w:pStyle w:val="TableofFigures"/>
        <w:rPr>
          <w:rFonts w:ascii="Arial" w:hAnsi="Arial" w:cs="Arial"/>
          <w:noProof/>
        </w:rPr>
      </w:pPr>
    </w:p>
    <w:p w14:paraId="3DE624F4" w14:textId="77777777" w:rsidR="00E14135" w:rsidRPr="00746F54" w:rsidRDefault="00E14135" w:rsidP="00E14135">
      <w:pPr>
        <w:pStyle w:val="ParaText"/>
        <w:rPr>
          <w:rFonts w:ascii="Arial" w:hAnsi="Arial" w:cs="Arial"/>
        </w:rPr>
        <w:sectPr w:rsidR="00E14135" w:rsidRPr="00746F54">
          <w:headerReference w:type="default" r:id="rId16"/>
          <w:footerReference w:type="default" r:id="rId17"/>
          <w:pgSz w:w="12240" w:h="15840"/>
          <w:pgMar w:top="1728" w:right="1440" w:bottom="1728" w:left="1440" w:header="720" w:footer="720" w:gutter="0"/>
          <w:pgNumType w:fmt="lowerRoman" w:start="1"/>
          <w:cols w:space="720"/>
        </w:sectPr>
      </w:pPr>
    </w:p>
    <w:p w14:paraId="412483A6" w14:textId="77777777" w:rsidR="00E14135" w:rsidRPr="00746F54" w:rsidRDefault="00E14135" w:rsidP="00E14135">
      <w:pPr>
        <w:pStyle w:val="Heading1"/>
        <w:rPr>
          <w:rFonts w:ascii="Arial" w:hAnsi="Arial" w:cs="Arial"/>
        </w:rPr>
      </w:pPr>
      <w:bookmarkStart w:id="1" w:name="_Toc112039791"/>
      <w:bookmarkStart w:id="2" w:name="_Toc196209117"/>
      <w:bookmarkStart w:id="3" w:name="_Toc283808014"/>
      <w:bookmarkStart w:id="4" w:name="_Toc211337859"/>
      <w:bookmarkStart w:id="5" w:name="_Toc212733029"/>
      <w:r w:rsidRPr="00746F54">
        <w:rPr>
          <w:rFonts w:ascii="Arial" w:hAnsi="Arial" w:cs="Arial"/>
        </w:rPr>
        <w:lastRenderedPageBreak/>
        <w:t>Introduction</w:t>
      </w:r>
      <w:bookmarkEnd w:id="1"/>
      <w:bookmarkEnd w:id="2"/>
      <w:bookmarkEnd w:id="3"/>
      <w:bookmarkEnd w:id="4"/>
      <w:bookmarkEnd w:id="5"/>
    </w:p>
    <w:p w14:paraId="30DB5D6F" w14:textId="6F50E7E8" w:rsidR="00E14135" w:rsidRPr="00746F54" w:rsidRDefault="00E14135" w:rsidP="00E14135">
      <w:pPr>
        <w:pStyle w:val="ParaText"/>
        <w:rPr>
          <w:rFonts w:ascii="Arial" w:hAnsi="Arial" w:cs="Arial"/>
        </w:rPr>
      </w:pPr>
      <w:r w:rsidRPr="00746F54">
        <w:rPr>
          <w:rFonts w:ascii="Arial" w:hAnsi="Arial" w:cs="Arial"/>
        </w:rPr>
        <w:t xml:space="preserve">Welcome to the ISO </w:t>
      </w:r>
      <w:r w:rsidRPr="00746F54">
        <w:rPr>
          <w:rFonts w:ascii="Arial" w:hAnsi="Arial" w:cs="Arial"/>
          <w:b/>
          <w:bCs/>
          <w:i/>
          <w:iCs/>
        </w:rPr>
        <w:t>BPM for</w:t>
      </w:r>
      <w:r w:rsidR="00750440" w:rsidRPr="00746F54">
        <w:rPr>
          <w:rFonts w:ascii="Arial" w:hAnsi="Arial" w:cs="Arial"/>
          <w:b/>
          <w:bCs/>
          <w:i/>
          <w:iCs/>
        </w:rPr>
        <w:t xml:space="preserve"> the</w:t>
      </w:r>
      <w:r w:rsidRPr="00746F54">
        <w:rPr>
          <w:rFonts w:ascii="Arial" w:hAnsi="Arial" w:cs="Arial"/>
          <w:b/>
          <w:bCs/>
          <w:i/>
          <w:iCs/>
        </w:rPr>
        <w:t xml:space="preserve"> Extended Day</w:t>
      </w:r>
      <w:r w:rsidR="00750440" w:rsidRPr="00746F54">
        <w:rPr>
          <w:rFonts w:ascii="Arial" w:hAnsi="Arial" w:cs="Arial"/>
          <w:b/>
          <w:bCs/>
          <w:i/>
          <w:iCs/>
        </w:rPr>
        <w:t>-</w:t>
      </w:r>
      <w:r w:rsidRPr="00746F54">
        <w:rPr>
          <w:rFonts w:ascii="Arial" w:hAnsi="Arial" w:cs="Arial"/>
          <w:b/>
          <w:bCs/>
          <w:i/>
          <w:iCs/>
        </w:rPr>
        <w:t>Ahead Market</w:t>
      </w:r>
      <w:r w:rsidRPr="00746F54">
        <w:rPr>
          <w:rFonts w:ascii="Arial" w:hAnsi="Arial" w:cs="Arial"/>
        </w:rPr>
        <w:t>. In this Introduction you will find the following information:</w:t>
      </w:r>
    </w:p>
    <w:p w14:paraId="6A9C34E7" w14:textId="77777777" w:rsidR="00E14135" w:rsidRPr="00746F54" w:rsidRDefault="00E14135" w:rsidP="00E14135">
      <w:pPr>
        <w:pStyle w:val="Bullet1HRt"/>
        <w:rPr>
          <w:rFonts w:ascii="Arial" w:hAnsi="Arial" w:cs="Arial"/>
        </w:rPr>
      </w:pPr>
      <w:r w:rsidRPr="00746F54">
        <w:rPr>
          <w:rFonts w:ascii="Arial" w:hAnsi="Arial" w:cs="Arial"/>
        </w:rPr>
        <w:t>The purpose of ISO BPMs</w:t>
      </w:r>
    </w:p>
    <w:p w14:paraId="05A669FF" w14:textId="77777777" w:rsidR="00E14135" w:rsidRPr="00746F54" w:rsidRDefault="00E14135" w:rsidP="00E14135">
      <w:pPr>
        <w:pStyle w:val="Bullet1HRt"/>
        <w:rPr>
          <w:rFonts w:ascii="Arial" w:hAnsi="Arial" w:cs="Arial"/>
        </w:rPr>
      </w:pPr>
      <w:r w:rsidRPr="00746F54">
        <w:rPr>
          <w:rFonts w:ascii="Arial" w:hAnsi="Arial" w:cs="Arial"/>
        </w:rPr>
        <w:t>What you can expect from this ISO BPM</w:t>
      </w:r>
    </w:p>
    <w:p w14:paraId="5C3D1A93" w14:textId="77777777" w:rsidR="00E14135" w:rsidRPr="00746F54" w:rsidRDefault="00E14135" w:rsidP="00E14135">
      <w:pPr>
        <w:pStyle w:val="Bullet1HRt"/>
        <w:rPr>
          <w:rFonts w:ascii="Arial" w:hAnsi="Arial" w:cs="Arial"/>
        </w:rPr>
      </w:pPr>
      <w:r w:rsidRPr="00746F54">
        <w:rPr>
          <w:rFonts w:ascii="Arial" w:hAnsi="Arial" w:cs="Arial"/>
        </w:rPr>
        <w:t>Other ISO BPMs or documents that provide related or additional information</w:t>
      </w:r>
    </w:p>
    <w:p w14:paraId="2F31696C" w14:textId="77777777" w:rsidR="00E14135" w:rsidRPr="00746F54" w:rsidRDefault="00E14135" w:rsidP="00E14135">
      <w:pPr>
        <w:pStyle w:val="Heading2"/>
        <w:rPr>
          <w:rFonts w:ascii="Arial" w:hAnsi="Arial" w:cs="Arial"/>
        </w:rPr>
      </w:pPr>
      <w:bookmarkStart w:id="6" w:name="_Toc196209118"/>
      <w:bookmarkStart w:id="7" w:name="_Toc283808015"/>
      <w:bookmarkStart w:id="8" w:name="_Toc211337860"/>
      <w:bookmarkStart w:id="9" w:name="_Toc212733030"/>
      <w:r w:rsidRPr="00746F54">
        <w:rPr>
          <w:rFonts w:ascii="Arial" w:hAnsi="Arial" w:cs="Arial"/>
        </w:rPr>
        <w:t>Purpose of ISO Business Practice Manuals</w:t>
      </w:r>
      <w:bookmarkEnd w:id="6"/>
      <w:bookmarkEnd w:id="7"/>
      <w:bookmarkEnd w:id="8"/>
      <w:bookmarkEnd w:id="9"/>
    </w:p>
    <w:p w14:paraId="20B01E31" w14:textId="50121145" w:rsidR="00E14135" w:rsidRPr="00746F54" w:rsidRDefault="00E14135" w:rsidP="00653F2E">
      <w:pPr>
        <w:pStyle w:val="ParaText"/>
        <w:rPr>
          <w:rFonts w:ascii="Arial" w:hAnsi="Arial" w:cs="Arial"/>
        </w:rPr>
      </w:pPr>
      <w:r w:rsidRPr="00746F54">
        <w:rPr>
          <w:rFonts w:ascii="Arial" w:hAnsi="Arial" w:cs="Arial"/>
        </w:rPr>
        <w:t>The Business Practice Manuals (BPMs) developed by</w:t>
      </w:r>
      <w:r w:rsidR="00653F2E" w:rsidRPr="00746F54">
        <w:rPr>
          <w:rFonts w:ascii="Arial" w:hAnsi="Arial" w:cs="Arial"/>
        </w:rPr>
        <w:t xml:space="preserve"> the</w:t>
      </w:r>
      <w:r w:rsidRPr="00746F54">
        <w:rPr>
          <w:rFonts w:ascii="Arial" w:hAnsi="Arial" w:cs="Arial"/>
        </w:rPr>
        <w:t xml:space="preserve"> </w:t>
      </w:r>
      <w:r w:rsidR="00653F2E" w:rsidRPr="00746F54">
        <w:rPr>
          <w:rFonts w:ascii="Arial" w:hAnsi="Arial" w:cs="Arial"/>
        </w:rPr>
        <w:t>CA</w:t>
      </w:r>
      <w:r w:rsidRPr="00746F54">
        <w:rPr>
          <w:rFonts w:ascii="Arial" w:hAnsi="Arial" w:cs="Arial"/>
        </w:rPr>
        <w:t>ISO contain implementation detail</w:t>
      </w:r>
      <w:r w:rsidR="00653F2E" w:rsidRPr="00746F54">
        <w:rPr>
          <w:rFonts w:ascii="Arial" w:hAnsi="Arial" w:cs="Arial"/>
        </w:rPr>
        <w:t xml:space="preserve"> for the Extended Day</w:t>
      </w:r>
      <w:r w:rsidR="00750440" w:rsidRPr="00746F54">
        <w:rPr>
          <w:rFonts w:ascii="Arial" w:hAnsi="Arial" w:cs="Arial"/>
        </w:rPr>
        <w:t>-</w:t>
      </w:r>
      <w:r w:rsidR="00653F2E" w:rsidRPr="00746F54">
        <w:rPr>
          <w:rFonts w:ascii="Arial" w:hAnsi="Arial" w:cs="Arial"/>
        </w:rPr>
        <w:t>Ahead Market</w:t>
      </w:r>
      <w:r w:rsidRPr="00746F54">
        <w:rPr>
          <w:rFonts w:ascii="Arial" w:hAnsi="Arial" w:cs="Arial"/>
        </w:rPr>
        <w:t xml:space="preserve">, consistent with and supported by the ISO Tariff, including: instructions, rules, procedures, examples, and guidelines for the administration, operation, planning, and accounting requirements of </w:t>
      </w:r>
      <w:r w:rsidR="00750440" w:rsidRPr="00746F54">
        <w:rPr>
          <w:rFonts w:ascii="Arial" w:hAnsi="Arial" w:cs="Arial"/>
        </w:rPr>
        <w:t xml:space="preserve">the </w:t>
      </w:r>
      <w:r w:rsidRPr="00746F54">
        <w:rPr>
          <w:rFonts w:ascii="Arial" w:hAnsi="Arial" w:cs="Arial"/>
        </w:rPr>
        <w:t xml:space="preserve">ISO and the markets. Each Business Practice Manual is posted in the BPM Library at: </w:t>
      </w:r>
      <w:hyperlink r:id="rId18" w:history="1">
        <w:r w:rsidRPr="00746F54">
          <w:rPr>
            <w:rStyle w:val="Hyperlink"/>
            <w:rFonts w:ascii="Arial" w:hAnsi="Arial" w:cs="Arial"/>
          </w:rPr>
          <w:t>http://bpmcm.ISO.com/Pages/BPMLibrary.aspx</w:t>
        </w:r>
      </w:hyperlink>
      <w:r w:rsidRPr="00746F54">
        <w:rPr>
          <w:rFonts w:ascii="Arial" w:hAnsi="Arial" w:cs="Arial"/>
        </w:rPr>
        <w:t xml:space="preserve"> </w:t>
      </w:r>
    </w:p>
    <w:p w14:paraId="1F8307D5" w14:textId="77777777" w:rsidR="00E14135" w:rsidRPr="00746F54" w:rsidRDefault="00E14135" w:rsidP="00E14135">
      <w:pPr>
        <w:pStyle w:val="Heading2"/>
        <w:keepLines/>
        <w:rPr>
          <w:rFonts w:ascii="Arial" w:hAnsi="Arial" w:cs="Arial"/>
        </w:rPr>
      </w:pPr>
      <w:bookmarkStart w:id="10" w:name="_Toc112039793"/>
      <w:bookmarkStart w:id="11" w:name="_Toc130962800"/>
      <w:bookmarkStart w:id="12" w:name="_Toc196209119"/>
      <w:bookmarkStart w:id="13" w:name="_Toc283808016"/>
      <w:bookmarkStart w:id="14" w:name="_Toc211337861"/>
      <w:bookmarkStart w:id="15" w:name="_Toc212733031"/>
      <w:r w:rsidRPr="00746F54">
        <w:rPr>
          <w:rFonts w:ascii="Arial" w:hAnsi="Arial" w:cs="Arial"/>
        </w:rPr>
        <w:t>Purpose of this Business Practice Manual</w:t>
      </w:r>
      <w:bookmarkEnd w:id="10"/>
      <w:bookmarkEnd w:id="11"/>
      <w:bookmarkEnd w:id="12"/>
      <w:bookmarkEnd w:id="13"/>
      <w:bookmarkEnd w:id="14"/>
      <w:bookmarkEnd w:id="15"/>
    </w:p>
    <w:p w14:paraId="00D03B8B" w14:textId="4938CAC7" w:rsidR="00E14135" w:rsidRPr="00746F54" w:rsidRDefault="00E14135" w:rsidP="00E14135">
      <w:pPr>
        <w:pStyle w:val="ParaText"/>
        <w:rPr>
          <w:rFonts w:ascii="Arial" w:hAnsi="Arial" w:cs="Arial"/>
        </w:rPr>
      </w:pPr>
      <w:r w:rsidRPr="00746F54">
        <w:rPr>
          <w:rFonts w:ascii="Arial" w:hAnsi="Arial" w:cs="Arial"/>
        </w:rPr>
        <w:t xml:space="preserve">The Extended </w:t>
      </w:r>
      <w:r w:rsidRPr="00746F54" w:rsidDel="00750440">
        <w:rPr>
          <w:rFonts w:ascii="Arial" w:hAnsi="Arial" w:cs="Arial"/>
        </w:rPr>
        <w:t>Day</w:t>
      </w:r>
      <w:r w:rsidR="00750440" w:rsidRPr="00746F54">
        <w:rPr>
          <w:rFonts w:ascii="Arial" w:hAnsi="Arial" w:cs="Arial"/>
        </w:rPr>
        <w:t>-Ahead</w:t>
      </w:r>
      <w:r w:rsidR="0073733D" w:rsidRPr="00746F54">
        <w:rPr>
          <w:rFonts w:ascii="Arial" w:hAnsi="Arial" w:cs="Arial"/>
        </w:rPr>
        <w:t xml:space="preserve"> </w:t>
      </w:r>
      <w:r w:rsidRPr="00746F54">
        <w:rPr>
          <w:rFonts w:ascii="Arial" w:hAnsi="Arial" w:cs="Arial"/>
        </w:rPr>
        <w:t>Market</w:t>
      </w:r>
      <w:r w:rsidR="00653F2E" w:rsidRPr="00746F54">
        <w:rPr>
          <w:rFonts w:ascii="Arial" w:hAnsi="Arial" w:cs="Arial"/>
        </w:rPr>
        <w:t xml:space="preserve"> (EDAM)</w:t>
      </w:r>
      <w:r w:rsidRPr="00746F54">
        <w:rPr>
          <w:rFonts w:ascii="Arial" w:hAnsi="Arial" w:cs="Arial"/>
        </w:rPr>
        <w:t xml:space="preserve"> is an extension of CAISO’s </w:t>
      </w:r>
      <w:r w:rsidRPr="00746F54" w:rsidDel="00750440">
        <w:rPr>
          <w:rFonts w:ascii="Arial" w:hAnsi="Arial" w:cs="Arial"/>
        </w:rPr>
        <w:t>Day</w:t>
      </w:r>
      <w:r w:rsidR="00750440" w:rsidRPr="00746F54">
        <w:rPr>
          <w:rFonts w:ascii="Arial" w:hAnsi="Arial" w:cs="Arial"/>
        </w:rPr>
        <w:t>-Ahead</w:t>
      </w:r>
      <w:r w:rsidR="00A960C4" w:rsidRPr="00746F54">
        <w:rPr>
          <w:rFonts w:ascii="Arial" w:hAnsi="Arial" w:cs="Arial"/>
        </w:rPr>
        <w:t xml:space="preserve"> </w:t>
      </w:r>
      <w:r w:rsidRPr="00746F54">
        <w:rPr>
          <w:rFonts w:ascii="Arial" w:hAnsi="Arial" w:cs="Arial"/>
        </w:rPr>
        <w:t>Market</w:t>
      </w:r>
      <w:r w:rsidR="00653F2E" w:rsidRPr="00746F54">
        <w:rPr>
          <w:rFonts w:ascii="Arial" w:hAnsi="Arial" w:cs="Arial"/>
        </w:rPr>
        <w:t xml:space="preserve"> across balancing authority areas of the West participating in the Western Energy Imbalance Market (WEIM)</w:t>
      </w:r>
      <w:r w:rsidRPr="00746F54">
        <w:rPr>
          <w:rFonts w:ascii="Arial" w:hAnsi="Arial" w:cs="Arial"/>
        </w:rPr>
        <w:t>.  This business practice manual is a guideline for EDAM participants and will outline the processes in the EDAM, including references to existing Business Practice Manuals.  Revision requests for the BPMs may be submitted by stakeholders or an internal CAISO department</w:t>
      </w:r>
      <w:r w:rsidR="001B2249" w:rsidRPr="00746F54">
        <w:rPr>
          <w:rFonts w:ascii="Arial" w:hAnsi="Arial" w:cs="Arial"/>
        </w:rPr>
        <w:t xml:space="preserve"> and will follow the BPM change management procedures</w:t>
      </w:r>
      <w:r w:rsidRPr="00746F54">
        <w:rPr>
          <w:rFonts w:ascii="Arial" w:hAnsi="Arial" w:cs="Arial"/>
        </w:rPr>
        <w:t xml:space="preserve">.  </w:t>
      </w:r>
    </w:p>
    <w:p w14:paraId="4F88E9B5" w14:textId="7113DC0C" w:rsidR="00E14135" w:rsidRPr="00746F54" w:rsidRDefault="00E14135" w:rsidP="00E14135">
      <w:pPr>
        <w:pStyle w:val="ParaText"/>
        <w:rPr>
          <w:rFonts w:ascii="Arial" w:hAnsi="Arial" w:cs="Arial"/>
        </w:rPr>
      </w:pPr>
      <w:r w:rsidRPr="00746F54">
        <w:rPr>
          <w:rFonts w:ascii="Arial" w:hAnsi="Arial" w:cs="Arial"/>
        </w:rPr>
        <w:t>Although this BPM is primarily concerned with market operations, there is some overlap with other BPMs. Where appropriate, the reader is directed to the other BPMs for additional information</w:t>
      </w:r>
      <w:r w:rsidR="001B2249" w:rsidRPr="00746F54">
        <w:rPr>
          <w:rFonts w:ascii="Arial" w:hAnsi="Arial" w:cs="Arial"/>
        </w:rPr>
        <w:t xml:space="preserve"> rather than repeating the information</w:t>
      </w:r>
      <w:r w:rsidRPr="00746F54">
        <w:rPr>
          <w:rFonts w:ascii="Arial" w:hAnsi="Arial" w:cs="Arial"/>
        </w:rPr>
        <w:t>.</w:t>
      </w:r>
    </w:p>
    <w:p w14:paraId="14AD221C" w14:textId="77777777" w:rsidR="00E14135" w:rsidRPr="00746F54" w:rsidRDefault="00E14135" w:rsidP="00E14135">
      <w:pPr>
        <w:pStyle w:val="Heading2"/>
        <w:rPr>
          <w:rFonts w:ascii="Arial" w:hAnsi="Arial" w:cs="Arial"/>
        </w:rPr>
      </w:pPr>
      <w:bookmarkStart w:id="16" w:name="_Toc112039794"/>
      <w:bookmarkStart w:id="17" w:name="_Toc130962801"/>
      <w:bookmarkStart w:id="18" w:name="_Toc196209120"/>
      <w:bookmarkStart w:id="19" w:name="_Toc283808017"/>
      <w:bookmarkStart w:id="20" w:name="_Toc211337862"/>
      <w:bookmarkStart w:id="21" w:name="_Toc212733032"/>
      <w:r w:rsidRPr="00746F54">
        <w:rPr>
          <w:rFonts w:ascii="Arial" w:hAnsi="Arial" w:cs="Arial"/>
        </w:rPr>
        <w:t>References</w:t>
      </w:r>
      <w:bookmarkEnd w:id="16"/>
      <w:bookmarkEnd w:id="17"/>
      <w:bookmarkEnd w:id="18"/>
      <w:bookmarkEnd w:id="19"/>
      <w:bookmarkEnd w:id="20"/>
      <w:bookmarkEnd w:id="21"/>
    </w:p>
    <w:p w14:paraId="510252AE" w14:textId="31D2AE3B" w:rsidR="00E14135" w:rsidRPr="00746F54" w:rsidRDefault="00E14135" w:rsidP="00E14135">
      <w:pPr>
        <w:pStyle w:val="ParaText"/>
        <w:rPr>
          <w:rFonts w:ascii="Arial" w:hAnsi="Arial" w:cs="Arial"/>
          <w:bCs/>
        </w:rPr>
      </w:pPr>
      <w:r w:rsidRPr="00746F54">
        <w:rPr>
          <w:rFonts w:ascii="Arial" w:hAnsi="Arial" w:cs="Arial"/>
          <w:bCs/>
        </w:rPr>
        <w:t xml:space="preserve">The definition of acronyms and words beginning with capitalized letters are given in the </w:t>
      </w:r>
      <w:r w:rsidRPr="00746F54">
        <w:rPr>
          <w:rFonts w:ascii="Arial" w:hAnsi="Arial" w:cs="Arial"/>
          <w:bCs/>
          <w:i/>
          <w:iCs/>
        </w:rPr>
        <w:t>BPM for Definitions &amp; Acronyms</w:t>
      </w:r>
      <w:r w:rsidRPr="00746F54">
        <w:rPr>
          <w:rFonts w:ascii="Arial" w:hAnsi="Arial" w:cs="Arial"/>
          <w:bCs/>
        </w:rPr>
        <w:t>.</w:t>
      </w:r>
      <w:r w:rsidR="00982442" w:rsidRPr="00746F54">
        <w:rPr>
          <w:rFonts w:ascii="Arial" w:hAnsi="Arial" w:cs="Arial"/>
          <w:bCs/>
        </w:rPr>
        <w:t xml:space="preserve">  In addition, this BPM includes the following references:</w:t>
      </w:r>
    </w:p>
    <w:p w14:paraId="1F027273" w14:textId="16BDABDF" w:rsidR="00982442" w:rsidRPr="00746F54" w:rsidRDefault="00982442" w:rsidP="00982442">
      <w:pPr>
        <w:pStyle w:val="ListParagraph"/>
        <w:numPr>
          <w:ilvl w:val="0"/>
          <w:numId w:val="122"/>
        </w:numPr>
        <w:rPr>
          <w:rStyle w:val="Strong"/>
          <w:rFonts w:ascii="Arial" w:hAnsi="Arial" w:cs="Arial"/>
          <w:b w:val="0"/>
        </w:rPr>
      </w:pPr>
      <w:r w:rsidRPr="00746F54">
        <w:rPr>
          <w:rStyle w:val="Strong"/>
          <w:rFonts w:ascii="Arial" w:hAnsi="Arial" w:cs="Arial"/>
        </w:rPr>
        <w:t>Market Operator</w:t>
      </w:r>
      <w:r w:rsidRPr="00746F54">
        <w:rPr>
          <w:rStyle w:val="Strong"/>
          <w:rFonts w:ascii="Arial" w:hAnsi="Arial" w:cs="Arial"/>
          <w:b w:val="0"/>
          <w:bCs w:val="0"/>
        </w:rPr>
        <w:t xml:space="preserve">: </w:t>
      </w:r>
      <w:r w:rsidRPr="00746F54">
        <w:rPr>
          <w:rStyle w:val="Strong"/>
          <w:rFonts w:ascii="Arial" w:hAnsi="Arial" w:cs="Arial"/>
          <w:b w:val="0"/>
        </w:rPr>
        <w:t xml:space="preserve">The term </w:t>
      </w:r>
      <w:r w:rsidR="00584C03" w:rsidRPr="00746F54">
        <w:rPr>
          <w:rStyle w:val="Strong"/>
          <w:rFonts w:ascii="Arial" w:hAnsi="Arial" w:cs="Arial"/>
          <w:b w:val="0"/>
          <w:bCs w:val="0"/>
        </w:rPr>
        <w:t>market operator</w:t>
      </w:r>
      <w:r w:rsidRPr="00746F54">
        <w:rPr>
          <w:rStyle w:val="Strong"/>
          <w:rFonts w:ascii="Arial" w:hAnsi="Arial" w:cs="Arial"/>
          <w:b w:val="0"/>
        </w:rPr>
        <w:t xml:space="preserve"> refers to either the automated market system or a human operator performing manual actions within the market framework. These manual actions may be carried out by personnel from various departments, </w:t>
      </w:r>
      <w:r w:rsidRPr="00746F54">
        <w:rPr>
          <w:rStyle w:val="Strong"/>
          <w:rFonts w:ascii="Arial" w:hAnsi="Arial" w:cs="Arial"/>
          <w:b w:val="0"/>
        </w:rPr>
        <w:lastRenderedPageBreak/>
        <w:t>including Market Operations, Operations Engineering, Market Engineering, Short-Term Forecasting, or other relevant teams.</w:t>
      </w:r>
    </w:p>
    <w:p w14:paraId="6D6D7AC4" w14:textId="05774356" w:rsidR="00982442" w:rsidRPr="00746F54" w:rsidRDefault="00982442" w:rsidP="003C1353">
      <w:pPr>
        <w:pStyle w:val="ListParagraph"/>
        <w:numPr>
          <w:ilvl w:val="0"/>
          <w:numId w:val="122"/>
        </w:numPr>
        <w:rPr>
          <w:rFonts w:ascii="Arial" w:hAnsi="Arial" w:cs="Arial"/>
          <w:bCs/>
        </w:rPr>
      </w:pPr>
      <w:r w:rsidRPr="00746F54">
        <w:rPr>
          <w:rStyle w:val="Strong"/>
          <w:rFonts w:ascii="Arial" w:hAnsi="Arial" w:cs="Arial"/>
        </w:rPr>
        <w:t xml:space="preserve">Market Validator: </w:t>
      </w:r>
      <w:r w:rsidR="007751AF" w:rsidRPr="00746F54">
        <w:rPr>
          <w:rStyle w:val="Strong"/>
          <w:rFonts w:ascii="Arial" w:hAnsi="Arial" w:cs="Arial"/>
          <w:b w:val="0"/>
          <w:bCs w:val="0"/>
        </w:rPr>
        <w:t>The</w:t>
      </w:r>
      <w:r w:rsidRPr="00746F54">
        <w:rPr>
          <w:rStyle w:val="Strong"/>
          <w:rFonts w:ascii="Arial" w:hAnsi="Arial" w:cs="Arial"/>
          <w:b w:val="0"/>
        </w:rPr>
        <w:t xml:space="preserve"> term Market Validator encompasses all activities undertaken by the market validation team, whether performed manually or through automated processes. The procedures for market validation and price correction are governed by Section 35 of the Tariff.</w:t>
      </w:r>
    </w:p>
    <w:p w14:paraId="612AB420" w14:textId="77777777" w:rsidR="00E14135" w:rsidRPr="00746F54" w:rsidRDefault="00E14135" w:rsidP="00E14135">
      <w:pPr>
        <w:pStyle w:val="ParaText"/>
        <w:rPr>
          <w:rFonts w:ascii="Arial" w:hAnsi="Arial" w:cs="Arial"/>
        </w:rPr>
      </w:pPr>
      <w:r w:rsidRPr="00746F54">
        <w:rPr>
          <w:rFonts w:ascii="Arial" w:hAnsi="Arial" w:cs="Arial"/>
        </w:rPr>
        <w:t>Other reference information related to this BPM includes:</w:t>
      </w:r>
    </w:p>
    <w:p w14:paraId="3E4D2470" w14:textId="77777777" w:rsidR="00E14135" w:rsidRPr="00746F54" w:rsidRDefault="00E14135" w:rsidP="00E14135">
      <w:pPr>
        <w:pStyle w:val="Bullet1"/>
        <w:rPr>
          <w:rFonts w:ascii="Arial" w:hAnsi="Arial" w:cs="Arial"/>
        </w:rPr>
      </w:pPr>
      <w:r w:rsidRPr="00746F54">
        <w:rPr>
          <w:rFonts w:ascii="Arial" w:hAnsi="Arial" w:cs="Arial"/>
        </w:rPr>
        <w:t>Other ISO BPMs</w:t>
      </w:r>
    </w:p>
    <w:p w14:paraId="307BBD59" w14:textId="546F9B10" w:rsidR="00E14135" w:rsidRPr="00746F54" w:rsidRDefault="00262AD8" w:rsidP="00E14135">
      <w:pPr>
        <w:pStyle w:val="Bullet1HRt"/>
        <w:spacing w:after="0"/>
        <w:rPr>
          <w:rFonts w:ascii="Arial" w:hAnsi="Arial" w:cs="Arial"/>
        </w:rPr>
      </w:pPr>
      <w:r w:rsidRPr="00746F54">
        <w:rPr>
          <w:rFonts w:ascii="Arial" w:hAnsi="Arial" w:cs="Arial"/>
        </w:rPr>
        <w:t>CA</w:t>
      </w:r>
      <w:r w:rsidR="00E14135" w:rsidRPr="00746F54">
        <w:rPr>
          <w:rFonts w:ascii="Arial" w:hAnsi="Arial" w:cs="Arial"/>
        </w:rPr>
        <w:t>ISO Tariff</w:t>
      </w:r>
    </w:p>
    <w:p w14:paraId="161BBEF3" w14:textId="42F17A05" w:rsidR="00E14135" w:rsidRPr="00746F54" w:rsidRDefault="00E14135" w:rsidP="00E14135">
      <w:pPr>
        <w:pStyle w:val="Bullet1HRt"/>
        <w:rPr>
          <w:rFonts w:ascii="Arial" w:hAnsi="Arial" w:cs="Arial"/>
        </w:rPr>
      </w:pPr>
      <w:r w:rsidRPr="00746F54">
        <w:rPr>
          <w:rFonts w:ascii="Arial" w:hAnsi="Arial" w:cs="Arial"/>
        </w:rPr>
        <w:t>EDAM Final Proposal</w:t>
      </w:r>
      <w:r w:rsidR="00262AD8" w:rsidRPr="00746F54">
        <w:rPr>
          <w:rFonts w:ascii="Arial" w:hAnsi="Arial" w:cs="Arial"/>
        </w:rPr>
        <w:t>, December 7, 2022</w:t>
      </w:r>
      <w:r w:rsidRPr="00746F54">
        <w:rPr>
          <w:rFonts w:ascii="Arial" w:hAnsi="Arial" w:cs="Arial"/>
        </w:rPr>
        <w:t xml:space="preserve"> </w:t>
      </w:r>
    </w:p>
    <w:p w14:paraId="21B83836" w14:textId="61EED7ED" w:rsidR="00E14135" w:rsidRPr="00746F54" w:rsidRDefault="00E14135" w:rsidP="00E14135">
      <w:pPr>
        <w:pStyle w:val="ParaText"/>
        <w:rPr>
          <w:rFonts w:ascii="Arial" w:hAnsi="Arial" w:cs="Arial"/>
        </w:rPr>
      </w:pPr>
      <w:r w:rsidRPr="00746F54">
        <w:rPr>
          <w:rFonts w:ascii="Arial" w:hAnsi="Arial" w:cs="Arial"/>
        </w:rPr>
        <w:t>CAISO posts current versions of these documents on its website.</w:t>
      </w:r>
    </w:p>
    <w:p w14:paraId="2B2071BC" w14:textId="0DDDA2D3" w:rsidR="00E14135" w:rsidRPr="00746F54" w:rsidRDefault="008F24DA" w:rsidP="00E14135">
      <w:pPr>
        <w:pStyle w:val="Heading1"/>
        <w:rPr>
          <w:rFonts w:ascii="Arial" w:hAnsi="Arial" w:cs="Arial"/>
        </w:rPr>
      </w:pPr>
      <w:bookmarkStart w:id="22" w:name="_Toc209781026"/>
      <w:bookmarkStart w:id="23" w:name="_Toc211337863"/>
      <w:bookmarkStart w:id="24" w:name="_Toc212733033"/>
      <w:bookmarkStart w:id="25" w:name="_Hlk204780594"/>
      <w:bookmarkEnd w:id="22"/>
      <w:r w:rsidRPr="00746F54">
        <w:rPr>
          <w:rFonts w:ascii="Arial" w:hAnsi="Arial" w:cs="Arial"/>
        </w:rPr>
        <w:t xml:space="preserve">Market </w:t>
      </w:r>
      <w:r w:rsidR="00262AD8" w:rsidRPr="00746F54">
        <w:rPr>
          <w:rFonts w:ascii="Arial" w:hAnsi="Arial" w:cs="Arial"/>
        </w:rPr>
        <w:t>Background</w:t>
      </w:r>
      <w:bookmarkEnd w:id="23"/>
      <w:bookmarkEnd w:id="24"/>
    </w:p>
    <w:bookmarkEnd w:id="25"/>
    <w:p w14:paraId="62CE2A82" w14:textId="2859AC62" w:rsidR="00BB7E6A" w:rsidRPr="00746F54" w:rsidRDefault="00BB7E6A" w:rsidP="00E14135">
      <w:pPr>
        <w:pStyle w:val="BPM"/>
        <w:rPr>
          <w:rFonts w:ascii="Arial" w:hAnsi="Arial"/>
        </w:rPr>
      </w:pPr>
      <w:r w:rsidRPr="00746F54">
        <w:rPr>
          <w:rFonts w:ascii="Arial" w:hAnsi="Arial"/>
        </w:rPr>
        <w:t xml:space="preserve"> In this section you will find the following information:</w:t>
      </w:r>
    </w:p>
    <w:p w14:paraId="77A587BC" w14:textId="2DC9CFCB" w:rsidR="00BB7E6A" w:rsidRPr="00746F54" w:rsidRDefault="00BB7E6A" w:rsidP="00BB7E6A">
      <w:pPr>
        <w:pStyle w:val="BPM"/>
        <w:numPr>
          <w:ilvl w:val="0"/>
          <w:numId w:val="84"/>
        </w:numPr>
        <w:rPr>
          <w:rFonts w:ascii="Arial" w:hAnsi="Arial"/>
        </w:rPr>
      </w:pPr>
      <w:r w:rsidRPr="00746F54">
        <w:rPr>
          <w:rFonts w:ascii="Arial" w:hAnsi="Arial"/>
        </w:rPr>
        <w:t>Summary of EDAM processes</w:t>
      </w:r>
    </w:p>
    <w:p w14:paraId="66CDB4F9" w14:textId="6B6C8326" w:rsidR="00BB7E6A" w:rsidRPr="00746F54" w:rsidRDefault="00BB7E6A" w:rsidP="00BB7E6A">
      <w:pPr>
        <w:pStyle w:val="BPM"/>
        <w:numPr>
          <w:ilvl w:val="0"/>
          <w:numId w:val="84"/>
        </w:numPr>
        <w:rPr>
          <w:rFonts w:ascii="Arial" w:hAnsi="Arial"/>
        </w:rPr>
      </w:pPr>
      <w:r w:rsidRPr="00746F54">
        <w:rPr>
          <w:rFonts w:ascii="Arial" w:hAnsi="Arial"/>
        </w:rPr>
        <w:t>Summary of distinctive EDAM features</w:t>
      </w:r>
    </w:p>
    <w:p w14:paraId="1C993B3D" w14:textId="19C71677" w:rsidR="00E625BC" w:rsidRPr="00746F54" w:rsidRDefault="00E14135" w:rsidP="00E14135">
      <w:pPr>
        <w:pStyle w:val="BPM"/>
        <w:rPr>
          <w:rFonts w:ascii="Arial" w:hAnsi="Arial"/>
        </w:rPr>
      </w:pPr>
      <w:r w:rsidRPr="00746F54">
        <w:rPr>
          <w:rFonts w:ascii="Arial" w:hAnsi="Arial"/>
        </w:rPr>
        <w:t xml:space="preserve">EDAM is a voluntary day-ahead electricity market </w:t>
      </w:r>
      <w:r w:rsidR="00604F46" w:rsidRPr="00746F54">
        <w:rPr>
          <w:rFonts w:ascii="Arial" w:hAnsi="Arial"/>
        </w:rPr>
        <w:t xml:space="preserve">designed </w:t>
      </w:r>
      <w:r w:rsidRPr="00746F54">
        <w:rPr>
          <w:rFonts w:ascii="Arial" w:hAnsi="Arial"/>
        </w:rPr>
        <w:t xml:space="preserve">to deliver significant economic, environmental, and reliability benefits to participants across the West. </w:t>
      </w:r>
      <w:r w:rsidR="00E625BC" w:rsidRPr="00746F54">
        <w:rPr>
          <w:rFonts w:ascii="Arial" w:hAnsi="Arial"/>
        </w:rPr>
        <w:t xml:space="preserve"> Balancing authority areas participating in the W</w:t>
      </w:r>
      <w:r w:rsidR="00604F46" w:rsidRPr="00746F54">
        <w:rPr>
          <w:rFonts w:ascii="Arial" w:hAnsi="Arial"/>
        </w:rPr>
        <w:t xml:space="preserve">estern Energy Imbalance Market (WEIM) </w:t>
      </w:r>
      <w:r w:rsidR="00E625BC" w:rsidRPr="00746F54">
        <w:rPr>
          <w:rFonts w:ascii="Arial" w:hAnsi="Arial"/>
        </w:rPr>
        <w:t xml:space="preserve">a real-time market </w:t>
      </w:r>
      <w:r w:rsidR="00604F46" w:rsidRPr="00746F54">
        <w:rPr>
          <w:rFonts w:ascii="Arial" w:hAnsi="Arial"/>
        </w:rPr>
        <w:t xml:space="preserve">that has been operating in </w:t>
      </w:r>
      <w:r w:rsidR="00E625BC" w:rsidRPr="00746F54">
        <w:rPr>
          <w:rFonts w:ascii="Arial" w:hAnsi="Arial"/>
        </w:rPr>
        <w:t>the West</w:t>
      </w:r>
      <w:r w:rsidR="00604F46" w:rsidRPr="00746F54">
        <w:rPr>
          <w:rFonts w:ascii="Arial" w:hAnsi="Arial"/>
        </w:rPr>
        <w:t xml:space="preserve"> since 2014, </w:t>
      </w:r>
      <w:r w:rsidR="00E625BC" w:rsidRPr="00746F54">
        <w:rPr>
          <w:rFonts w:ascii="Arial" w:hAnsi="Arial"/>
        </w:rPr>
        <w:t xml:space="preserve">can extend their participation to EDAM and thus participate in both </w:t>
      </w:r>
      <w:r w:rsidR="00604F46" w:rsidRPr="00746F54">
        <w:rPr>
          <w:rFonts w:ascii="Arial" w:hAnsi="Arial"/>
        </w:rPr>
        <w:t xml:space="preserve">markets. </w:t>
      </w:r>
      <w:r w:rsidR="00E625BC" w:rsidRPr="00746F54">
        <w:rPr>
          <w:rFonts w:ascii="Arial" w:hAnsi="Arial"/>
        </w:rPr>
        <w:t xml:space="preserve"> EDAM builds on the </w:t>
      </w:r>
      <w:r w:rsidR="00481F13" w:rsidRPr="00746F54">
        <w:rPr>
          <w:rFonts w:ascii="Arial" w:hAnsi="Arial"/>
        </w:rPr>
        <w:t xml:space="preserve">significant cost savings </w:t>
      </w:r>
      <w:r w:rsidR="00604F46" w:rsidRPr="00746F54">
        <w:rPr>
          <w:rFonts w:ascii="Arial" w:hAnsi="Arial"/>
        </w:rPr>
        <w:t xml:space="preserve">and </w:t>
      </w:r>
      <w:r w:rsidR="00E625BC" w:rsidRPr="00746F54">
        <w:rPr>
          <w:rFonts w:ascii="Arial" w:hAnsi="Arial"/>
        </w:rPr>
        <w:t xml:space="preserve">demonstrable benefits of the WEIM to increase regional coordination, meet demand cost-effectively, </w:t>
      </w:r>
      <w:r w:rsidR="00604F46" w:rsidRPr="00746F54">
        <w:rPr>
          <w:rFonts w:ascii="Arial" w:hAnsi="Arial"/>
        </w:rPr>
        <w:t xml:space="preserve">enhance </w:t>
      </w:r>
      <w:r w:rsidR="00E625BC" w:rsidRPr="00746F54">
        <w:rPr>
          <w:rFonts w:ascii="Arial" w:hAnsi="Arial"/>
        </w:rPr>
        <w:t xml:space="preserve">grid reliability through access to a diverse resource fleet, and support state policy goals through renewable resource integration.  </w:t>
      </w:r>
    </w:p>
    <w:p w14:paraId="0B14A53C" w14:textId="0818B2C7" w:rsidR="00777000" w:rsidRPr="00746F54" w:rsidRDefault="00F30478" w:rsidP="00E14135">
      <w:pPr>
        <w:pStyle w:val="BPM"/>
        <w:rPr>
          <w:rFonts w:ascii="Arial" w:hAnsi="Arial"/>
        </w:rPr>
      </w:pPr>
      <w:r w:rsidRPr="00746F54">
        <w:rPr>
          <w:rFonts w:ascii="Arial" w:hAnsi="Arial"/>
        </w:rPr>
        <w:t>The EDAM will optimize commitment of diverse supply, supported by transmission interconnectivity, to position the market footprint to meet</w:t>
      </w:r>
      <w:r w:rsidR="00356747" w:rsidRPr="00746F54">
        <w:rPr>
          <w:rFonts w:ascii="Arial" w:hAnsi="Arial"/>
        </w:rPr>
        <w:t xml:space="preserve"> next</w:t>
      </w:r>
      <w:r w:rsidR="00481F13" w:rsidRPr="00746F54">
        <w:rPr>
          <w:rFonts w:ascii="Arial" w:hAnsi="Arial"/>
        </w:rPr>
        <w:t>-</w:t>
      </w:r>
      <w:r w:rsidR="00356747" w:rsidRPr="00746F54">
        <w:rPr>
          <w:rFonts w:ascii="Arial" w:hAnsi="Arial"/>
        </w:rPr>
        <w:t>day forecasted demand cost</w:t>
      </w:r>
      <w:r w:rsidR="00481F13" w:rsidRPr="00746F54">
        <w:rPr>
          <w:rFonts w:ascii="Arial" w:hAnsi="Arial"/>
        </w:rPr>
        <w:t>-</w:t>
      </w:r>
      <w:r w:rsidR="00356747" w:rsidRPr="00746F54">
        <w:rPr>
          <w:rFonts w:ascii="Arial" w:hAnsi="Arial"/>
        </w:rPr>
        <w:t xml:space="preserve">effectively and </w:t>
      </w:r>
      <w:r w:rsidR="00A960C4" w:rsidRPr="00746F54">
        <w:rPr>
          <w:rFonts w:ascii="Arial" w:hAnsi="Arial"/>
        </w:rPr>
        <w:t>derive</w:t>
      </w:r>
      <w:r w:rsidR="00356747" w:rsidRPr="00746F54">
        <w:rPr>
          <w:rFonts w:ascii="Arial" w:hAnsi="Arial"/>
        </w:rPr>
        <w:t xml:space="preserve"> significant economic benefits for its participants.  </w:t>
      </w:r>
      <w:r w:rsidR="009754B5" w:rsidRPr="00746F54">
        <w:rPr>
          <w:rFonts w:ascii="Arial" w:hAnsi="Arial"/>
        </w:rPr>
        <w:t>Within the EDAM balancing area, all resources participate and operate through the market by submitting economic bids or self-schedules in both the Day-Ahead Market and the Real-Time Market.  Similarly, forecasted demand within the EDAM balancing area can be economically bid or self-scheduled in the Day-Ahead Market.</w:t>
      </w:r>
      <w:r w:rsidR="00356747" w:rsidRPr="00746F54">
        <w:rPr>
          <w:rFonts w:ascii="Arial" w:hAnsi="Arial"/>
        </w:rPr>
        <w:t xml:space="preserve">  </w:t>
      </w:r>
    </w:p>
    <w:p w14:paraId="7C11BB6A" w14:textId="3EAA5126" w:rsidR="00B84C5E" w:rsidRPr="00746F54" w:rsidRDefault="00777000" w:rsidP="00B1710C">
      <w:pPr>
        <w:pStyle w:val="BPM"/>
        <w:rPr>
          <w:rFonts w:ascii="Arial" w:hAnsi="Arial"/>
        </w:rPr>
      </w:pPr>
      <w:r w:rsidRPr="00746F54">
        <w:rPr>
          <w:rFonts w:ascii="Arial" w:hAnsi="Arial"/>
        </w:rPr>
        <w:lastRenderedPageBreak/>
        <w:t xml:space="preserve">The EDAM will support and enhance grid reliability of participating balancing authority areas.  Through robust supply bids across the EDAM footprint to serve forecasted demand, the Day-Ahead Market will position the market footprint </w:t>
      </w:r>
      <w:r w:rsidR="00481F13" w:rsidRPr="00746F54">
        <w:rPr>
          <w:rFonts w:ascii="Arial" w:hAnsi="Arial"/>
        </w:rPr>
        <w:t xml:space="preserve">most </w:t>
      </w:r>
      <w:r w:rsidRPr="00746F54">
        <w:rPr>
          <w:rFonts w:ascii="Arial" w:hAnsi="Arial"/>
        </w:rPr>
        <w:t>effectively to meet next</w:t>
      </w:r>
      <w:r w:rsidR="00D018D9" w:rsidRPr="00746F54">
        <w:rPr>
          <w:rFonts w:ascii="Arial" w:hAnsi="Arial"/>
        </w:rPr>
        <w:t>-</w:t>
      </w:r>
      <w:r w:rsidRPr="00746F54">
        <w:rPr>
          <w:rFonts w:ascii="Arial" w:hAnsi="Arial"/>
        </w:rPr>
        <w:t xml:space="preserve">day expected grid conditions.  </w:t>
      </w:r>
      <w:r w:rsidR="00981D6A" w:rsidRPr="00746F54">
        <w:rPr>
          <w:rFonts w:ascii="Arial" w:hAnsi="Arial"/>
        </w:rPr>
        <w:t>EDAM</w:t>
      </w:r>
      <w:r w:rsidR="00D018D9" w:rsidRPr="00746F54">
        <w:rPr>
          <w:rFonts w:ascii="Arial" w:hAnsi="Arial"/>
        </w:rPr>
        <w:t xml:space="preserve"> entities</w:t>
      </w:r>
      <w:r w:rsidRPr="00746F54">
        <w:rPr>
          <w:rFonts w:ascii="Arial" w:hAnsi="Arial"/>
        </w:rPr>
        <w:t xml:space="preserve"> </w:t>
      </w:r>
      <w:r w:rsidR="00FA39A0" w:rsidRPr="00746F54">
        <w:rPr>
          <w:rFonts w:ascii="Arial" w:hAnsi="Arial"/>
        </w:rPr>
        <w:t>and the market</w:t>
      </w:r>
      <w:r w:rsidRPr="00746F54">
        <w:rPr>
          <w:rFonts w:ascii="Arial" w:hAnsi="Arial"/>
        </w:rPr>
        <w:t xml:space="preserve"> will also have broader </w:t>
      </w:r>
      <w:r w:rsidR="00FD0307" w:rsidRPr="00746F54">
        <w:rPr>
          <w:rFonts w:ascii="Arial" w:hAnsi="Arial"/>
        </w:rPr>
        <w:t>operational</w:t>
      </w:r>
      <w:r w:rsidRPr="00746F54">
        <w:rPr>
          <w:rFonts w:ascii="Arial" w:hAnsi="Arial"/>
        </w:rPr>
        <w:t xml:space="preserve"> visibility</w:t>
      </w:r>
      <w:r w:rsidR="00D018D9" w:rsidRPr="00746F54">
        <w:rPr>
          <w:rFonts w:ascii="Arial" w:hAnsi="Arial"/>
        </w:rPr>
        <w:t xml:space="preserve"> and situational awareness</w:t>
      </w:r>
      <w:r w:rsidRPr="00746F54">
        <w:rPr>
          <w:rFonts w:ascii="Arial" w:hAnsi="Arial"/>
        </w:rPr>
        <w:t xml:space="preserve"> of grid conditions </w:t>
      </w:r>
      <w:r w:rsidR="00D018D9" w:rsidRPr="00746F54">
        <w:rPr>
          <w:rFonts w:ascii="Arial" w:hAnsi="Arial"/>
        </w:rPr>
        <w:t xml:space="preserve">in the </w:t>
      </w:r>
      <w:r w:rsidR="00750440" w:rsidRPr="00746F54">
        <w:rPr>
          <w:rFonts w:ascii="Arial" w:hAnsi="Arial"/>
        </w:rPr>
        <w:t>Day-Ahead</w:t>
      </w:r>
      <w:r w:rsidR="00A960C4" w:rsidRPr="00746F54">
        <w:rPr>
          <w:rFonts w:ascii="Arial" w:hAnsi="Arial"/>
        </w:rPr>
        <w:t xml:space="preserve"> </w:t>
      </w:r>
      <w:r w:rsidR="00D018D9" w:rsidRPr="00746F54">
        <w:rPr>
          <w:rFonts w:ascii="Arial" w:hAnsi="Arial"/>
        </w:rPr>
        <w:t>time</w:t>
      </w:r>
      <w:r w:rsidR="00A960C4" w:rsidRPr="00746F54">
        <w:rPr>
          <w:rFonts w:ascii="Arial" w:hAnsi="Arial"/>
        </w:rPr>
        <w:t xml:space="preserve"> </w:t>
      </w:r>
      <w:r w:rsidR="00D018D9" w:rsidRPr="00746F54">
        <w:rPr>
          <w:rFonts w:ascii="Arial" w:hAnsi="Arial"/>
        </w:rPr>
        <w:t xml:space="preserve">frame, </w:t>
      </w:r>
      <w:r w:rsidRPr="00746F54">
        <w:rPr>
          <w:rFonts w:ascii="Arial" w:hAnsi="Arial"/>
        </w:rPr>
        <w:t>including expected load conditions and resource availability</w:t>
      </w:r>
      <w:r w:rsidR="00D018D9" w:rsidRPr="00746F54">
        <w:rPr>
          <w:rFonts w:ascii="Arial" w:hAnsi="Arial"/>
        </w:rPr>
        <w:t xml:space="preserve">, improving the ability to respond to these conditions and reducing or mitigating the risk of emergency conditions.  </w:t>
      </w:r>
      <w:r w:rsidR="00045170" w:rsidRPr="00746F54">
        <w:rPr>
          <w:rFonts w:ascii="Arial" w:hAnsi="Arial"/>
        </w:rPr>
        <w:t>Additionally, the EDAM introduces a new reliability</w:t>
      </w:r>
      <w:r w:rsidR="00981D6A" w:rsidRPr="00746F54">
        <w:rPr>
          <w:rFonts w:ascii="Arial" w:hAnsi="Arial"/>
        </w:rPr>
        <w:t>-based</w:t>
      </w:r>
      <w:r w:rsidR="00045170" w:rsidRPr="00746F54">
        <w:rPr>
          <w:rFonts w:ascii="Arial" w:hAnsi="Arial"/>
        </w:rPr>
        <w:t xml:space="preserve"> product – imbalance reserves – which compensate and make available flexible resources to manage uncertainty between the day-ahead and real-time driven by load forecasts, and renewable resource forecasted output, allowing the market and footprint to effectively manage reliability if uncertainty materializes.</w:t>
      </w:r>
      <w:r w:rsidR="00D018D9" w:rsidRPr="00746F54">
        <w:rPr>
          <w:rFonts w:ascii="Arial" w:hAnsi="Arial"/>
        </w:rPr>
        <w:t xml:space="preserve">    </w:t>
      </w:r>
      <w:r w:rsidR="00B84C5E" w:rsidRPr="00746F54">
        <w:rPr>
          <w:rFonts w:ascii="Arial" w:hAnsi="Arial"/>
        </w:rPr>
        <w:br w:type="page"/>
      </w:r>
    </w:p>
    <w:p w14:paraId="3237EC8D" w14:textId="435B8EFE" w:rsidR="00F05E31" w:rsidRPr="00746F54" w:rsidRDefault="00B84C5E" w:rsidP="00BF47AA">
      <w:pPr>
        <w:pStyle w:val="Heading2"/>
        <w:numPr>
          <w:ilvl w:val="1"/>
          <w:numId w:val="83"/>
        </w:numPr>
        <w:rPr>
          <w:rFonts w:ascii="Arial" w:hAnsi="Arial" w:cs="Arial"/>
        </w:rPr>
      </w:pPr>
      <w:bookmarkStart w:id="26" w:name="_Toc211337864"/>
      <w:bookmarkStart w:id="27" w:name="_Toc212733034"/>
      <w:r w:rsidRPr="00746F54">
        <w:rPr>
          <w:rFonts w:ascii="Arial" w:hAnsi="Arial" w:cs="Arial"/>
        </w:rPr>
        <w:lastRenderedPageBreak/>
        <w:t xml:space="preserve">Structure of the Extended </w:t>
      </w:r>
      <w:r w:rsidR="00750440" w:rsidRPr="00746F54">
        <w:rPr>
          <w:rFonts w:ascii="Arial" w:hAnsi="Arial" w:cs="Arial"/>
        </w:rPr>
        <w:t>Day-Ahead</w:t>
      </w:r>
      <w:r w:rsidR="00175724" w:rsidRPr="00746F54">
        <w:rPr>
          <w:rFonts w:ascii="Arial" w:hAnsi="Arial" w:cs="Arial"/>
        </w:rPr>
        <w:t xml:space="preserve"> </w:t>
      </w:r>
      <w:r w:rsidRPr="00746F54">
        <w:rPr>
          <w:rFonts w:ascii="Arial" w:hAnsi="Arial" w:cs="Arial"/>
        </w:rPr>
        <w:t>Market</w:t>
      </w:r>
      <w:bookmarkEnd w:id="26"/>
      <w:bookmarkEnd w:id="27"/>
      <w:r w:rsidRPr="00746F54">
        <w:rPr>
          <w:rFonts w:ascii="Arial" w:hAnsi="Arial" w:cs="Arial"/>
        </w:rPr>
        <w:t xml:space="preserve"> </w:t>
      </w:r>
    </w:p>
    <w:p w14:paraId="62CA46CA" w14:textId="42CB76BF" w:rsidR="009B05DC" w:rsidRPr="00746F54" w:rsidRDefault="009B05DC" w:rsidP="009B05DC">
      <w:pPr>
        <w:rPr>
          <w:rFonts w:ascii="Arial" w:hAnsi="Arial" w:cs="Arial"/>
          <w:u w:val="single"/>
        </w:rPr>
      </w:pPr>
      <w:r w:rsidRPr="00746F54">
        <w:rPr>
          <w:rFonts w:ascii="Arial" w:hAnsi="Arial" w:cs="Arial"/>
          <w:u w:val="single"/>
        </w:rPr>
        <w:t xml:space="preserve">Reference </w:t>
      </w:r>
      <w:r w:rsidR="008625DC" w:rsidRPr="00746F54">
        <w:rPr>
          <w:rFonts w:ascii="Arial" w:hAnsi="Arial" w:cs="Arial"/>
          <w:u w:val="single"/>
        </w:rPr>
        <w:t xml:space="preserve">Tariff </w:t>
      </w:r>
      <w:r w:rsidRPr="00746F54">
        <w:rPr>
          <w:rFonts w:ascii="Arial" w:hAnsi="Arial" w:cs="Arial"/>
          <w:u w:val="single"/>
        </w:rPr>
        <w:t>Section 33</w:t>
      </w:r>
    </w:p>
    <w:p w14:paraId="7CF566B3" w14:textId="24D286DC" w:rsidR="00F05E31" w:rsidRPr="00746F54" w:rsidRDefault="00B84C5E" w:rsidP="00E14135">
      <w:pPr>
        <w:pStyle w:val="BPM"/>
        <w:rPr>
          <w:rFonts w:ascii="Arial" w:eastAsia="Calibri" w:hAnsi="Arial"/>
        </w:rPr>
      </w:pPr>
      <w:r w:rsidRPr="00746F54">
        <w:rPr>
          <w:rFonts w:ascii="Arial" w:eastAsia="Calibri" w:hAnsi="Arial"/>
        </w:rPr>
        <w:t>As provided in</w:t>
      </w:r>
      <w:r w:rsidR="00F05E31" w:rsidRPr="00746F54">
        <w:rPr>
          <w:rFonts w:ascii="Arial" w:eastAsia="Calibri" w:hAnsi="Arial"/>
        </w:rPr>
        <w:t xml:space="preserve"> Section 33 of the ISO Tariff, the </w:t>
      </w:r>
      <w:commentRangeStart w:id="28"/>
      <w:r w:rsidR="00F05E31" w:rsidRPr="00746F54">
        <w:rPr>
          <w:rFonts w:ascii="Arial" w:eastAsia="Calibri" w:hAnsi="Arial"/>
        </w:rPr>
        <w:t>CAISO</w:t>
      </w:r>
      <w:commentRangeEnd w:id="28"/>
      <w:r w:rsidR="00A960C4" w:rsidRPr="00746F54">
        <w:rPr>
          <w:rStyle w:val="CommentReference"/>
          <w:rFonts w:ascii="Arial" w:hAnsi="Arial"/>
        </w:rPr>
        <w:commentReference w:id="28"/>
      </w:r>
      <w:r w:rsidR="00684498" w:rsidRPr="00746F54">
        <w:rPr>
          <w:rFonts w:ascii="Arial" w:eastAsia="Calibri" w:hAnsi="Arial"/>
        </w:rPr>
        <w:t xml:space="preserve">, acting as the independent market operator, </w:t>
      </w:r>
      <w:r w:rsidR="00632978" w:rsidRPr="00746F54">
        <w:rPr>
          <w:rFonts w:ascii="Arial" w:eastAsia="Calibri" w:hAnsi="Arial"/>
        </w:rPr>
        <w:t xml:space="preserve">EDAM extends </w:t>
      </w:r>
      <w:r w:rsidR="00F05E31" w:rsidRPr="00746F54">
        <w:rPr>
          <w:rFonts w:ascii="Arial" w:eastAsia="Calibri" w:hAnsi="Arial"/>
        </w:rPr>
        <w:t xml:space="preserve">operation and </w:t>
      </w:r>
      <w:r w:rsidR="004513BF" w:rsidRPr="00746F54">
        <w:rPr>
          <w:rFonts w:ascii="Arial" w:eastAsia="Calibri" w:hAnsi="Arial"/>
        </w:rPr>
        <w:t>s</w:t>
      </w:r>
      <w:r w:rsidR="00F05E31" w:rsidRPr="00746F54">
        <w:rPr>
          <w:rFonts w:ascii="Arial" w:eastAsia="Calibri" w:hAnsi="Arial"/>
        </w:rPr>
        <w:t>ettlement of the Day-Ahead Market in an EIM</w:t>
      </w:r>
      <w:commentRangeStart w:id="29"/>
      <w:commentRangeEnd w:id="29"/>
      <w:r w:rsidR="001B2249" w:rsidRPr="00746F54">
        <w:rPr>
          <w:rStyle w:val="CommentReference"/>
          <w:rFonts w:ascii="Arial" w:hAnsi="Arial"/>
        </w:rPr>
        <w:commentReference w:id="29"/>
      </w:r>
      <w:r w:rsidR="00F05E31" w:rsidRPr="00746F54">
        <w:rPr>
          <w:rFonts w:ascii="Arial" w:eastAsia="Calibri" w:hAnsi="Arial"/>
        </w:rPr>
        <w:t xml:space="preserve"> Entity Balancing Authority Area for which the Balancing Authority executes an EDAM Addendum to EIM Entity Agreement with the CAISO. </w:t>
      </w:r>
      <w:r w:rsidRPr="00746F54">
        <w:rPr>
          <w:rFonts w:ascii="Arial" w:eastAsia="Calibri" w:hAnsi="Arial"/>
        </w:rPr>
        <w:t xml:space="preserve"> </w:t>
      </w:r>
      <w:r w:rsidR="00800CAE" w:rsidRPr="00746F54">
        <w:rPr>
          <w:rFonts w:ascii="Arial" w:eastAsia="Calibri" w:hAnsi="Arial"/>
        </w:rPr>
        <w:t>Only EIM Entities may be EDAM Entities, while EIM Entities</w:t>
      </w:r>
      <w:r w:rsidR="00800CAE" w:rsidRPr="00746F54">
        <w:rPr>
          <w:rFonts w:ascii="Arial" w:hAnsi="Arial"/>
        </w:rPr>
        <w:t xml:space="preserve"> </w:t>
      </w:r>
      <w:r w:rsidR="00800CAE" w:rsidRPr="00746F54">
        <w:rPr>
          <w:rFonts w:ascii="Arial" w:eastAsia="Calibri" w:hAnsi="Arial"/>
        </w:rPr>
        <w:t>who do not become EDAM Entities will have no obligation to participate in the Extended Day-Ahead Market and may continue to participate solely in the Energy Imbalance Market.</w:t>
      </w:r>
      <w:r w:rsidRPr="00746F54">
        <w:rPr>
          <w:rFonts w:ascii="Arial" w:eastAsia="Calibri" w:hAnsi="Arial"/>
        </w:rPr>
        <w:t xml:space="preserve">  </w:t>
      </w:r>
      <w:bookmarkStart w:id="30" w:name="_Hlk210045496"/>
      <w:r w:rsidRPr="00746F54">
        <w:rPr>
          <w:rFonts w:ascii="Arial" w:eastAsia="Calibri" w:hAnsi="Arial"/>
        </w:rPr>
        <w:t xml:space="preserve">Consistent with Section 27 of the ISO Tariff, the ISO Balancing Authority Area (“CISO BAA”) will participate as a balancing authority in the EDAM Area.  </w:t>
      </w:r>
      <w:bookmarkEnd w:id="30"/>
      <w:r w:rsidR="001366F2" w:rsidRPr="00746F54">
        <w:rPr>
          <w:rFonts w:ascii="Arial" w:eastAsia="Calibri" w:hAnsi="Arial"/>
        </w:rPr>
        <w:t>Further details about the CISO BAA participation are set forth in the CISO</w:t>
      </w:r>
      <w:r w:rsidR="00A307FD" w:rsidRPr="00746F54">
        <w:rPr>
          <w:rFonts w:ascii="Arial" w:eastAsia="Calibri" w:hAnsi="Arial"/>
        </w:rPr>
        <w:t xml:space="preserve"> BAA Supplement to this business practice manual.  </w:t>
      </w:r>
    </w:p>
    <w:p w14:paraId="24360ABB" w14:textId="7FF77E2E" w:rsidR="00F05E31" w:rsidRPr="00746F54" w:rsidRDefault="00800CAE" w:rsidP="005264B9">
      <w:pPr>
        <w:pStyle w:val="Heading2"/>
        <w:rPr>
          <w:rFonts w:ascii="Arial" w:eastAsia="Calibri" w:hAnsi="Arial" w:cs="Arial"/>
        </w:rPr>
      </w:pPr>
      <w:bookmarkStart w:id="31" w:name="_Toc211337865"/>
      <w:bookmarkStart w:id="32" w:name="_Toc212733035"/>
      <w:r w:rsidRPr="00746F54">
        <w:rPr>
          <w:rFonts w:ascii="Arial" w:hAnsi="Arial" w:cs="Arial"/>
        </w:rPr>
        <w:t xml:space="preserve">Applicability of </w:t>
      </w:r>
      <w:r w:rsidR="00B84C5E" w:rsidRPr="00746F54">
        <w:rPr>
          <w:rFonts w:ascii="Arial" w:hAnsi="Arial" w:cs="Arial"/>
        </w:rPr>
        <w:t>the ISO Tariff</w:t>
      </w:r>
      <w:r w:rsidRPr="00746F54">
        <w:rPr>
          <w:rFonts w:ascii="Arial" w:hAnsi="Arial" w:cs="Arial"/>
        </w:rPr>
        <w:t xml:space="preserve"> and this EDAM B</w:t>
      </w:r>
      <w:r w:rsidR="00B84C5E" w:rsidRPr="00746F54">
        <w:rPr>
          <w:rFonts w:ascii="Arial" w:hAnsi="Arial" w:cs="Arial"/>
        </w:rPr>
        <w:t>usiness Practice Manual</w:t>
      </w:r>
      <w:bookmarkEnd w:id="31"/>
      <w:bookmarkEnd w:id="32"/>
      <w:r w:rsidRPr="00746F54">
        <w:rPr>
          <w:rFonts w:ascii="Arial" w:hAnsi="Arial" w:cs="Arial"/>
        </w:rPr>
        <w:t xml:space="preserve"> </w:t>
      </w:r>
    </w:p>
    <w:p w14:paraId="0476EE9F" w14:textId="1506106F" w:rsidR="009B05DC" w:rsidRPr="00746F54" w:rsidRDefault="009B05DC" w:rsidP="009B05DC">
      <w:pPr>
        <w:rPr>
          <w:rFonts w:ascii="Arial" w:hAnsi="Arial" w:cs="Arial"/>
          <w:u w:val="single"/>
        </w:rPr>
      </w:pPr>
      <w:r w:rsidRPr="00746F54">
        <w:rPr>
          <w:rFonts w:ascii="Arial" w:hAnsi="Arial" w:cs="Arial"/>
          <w:u w:val="single"/>
        </w:rPr>
        <w:t>Reference</w:t>
      </w:r>
      <w:r w:rsidR="008625DC" w:rsidRPr="00746F54">
        <w:rPr>
          <w:rFonts w:ascii="Arial" w:hAnsi="Arial" w:cs="Arial"/>
          <w:u w:val="single"/>
        </w:rPr>
        <w:t xml:space="preserve"> </w:t>
      </w:r>
      <w:r w:rsidR="003C1353" w:rsidRPr="00746F54">
        <w:rPr>
          <w:rFonts w:ascii="Arial" w:hAnsi="Arial" w:cs="Arial"/>
          <w:u w:val="single"/>
        </w:rPr>
        <w:t>t</w:t>
      </w:r>
      <w:r w:rsidR="008625DC" w:rsidRPr="00746F54">
        <w:rPr>
          <w:rFonts w:ascii="Arial" w:hAnsi="Arial" w:cs="Arial"/>
          <w:u w:val="single"/>
        </w:rPr>
        <w:t>ariff</w:t>
      </w:r>
      <w:r w:rsidRPr="00746F54">
        <w:rPr>
          <w:rFonts w:ascii="Arial" w:hAnsi="Arial" w:cs="Arial"/>
          <w:u w:val="single"/>
        </w:rPr>
        <w:t xml:space="preserve"> Section 33.1 </w:t>
      </w:r>
    </w:p>
    <w:p w14:paraId="081BDE3D" w14:textId="27833DAA" w:rsidR="00800CAE" w:rsidRPr="00746F54" w:rsidRDefault="00B84C5E" w:rsidP="009B05DC">
      <w:pPr>
        <w:pStyle w:val="BPM"/>
        <w:rPr>
          <w:rFonts w:ascii="Arial" w:eastAsia="Calibri" w:hAnsi="Arial"/>
        </w:rPr>
      </w:pPr>
      <w:r w:rsidRPr="00746F54">
        <w:rPr>
          <w:rFonts w:ascii="Arial" w:eastAsia="Calibri" w:hAnsi="Arial"/>
        </w:rPr>
        <w:t>The</w:t>
      </w:r>
      <w:r w:rsidR="00800CAE" w:rsidRPr="00746F54">
        <w:rPr>
          <w:rFonts w:ascii="Arial" w:eastAsia="Calibri" w:hAnsi="Arial"/>
        </w:rPr>
        <w:t xml:space="preserve"> provisions of Section 33 </w:t>
      </w:r>
      <w:r w:rsidRPr="00746F54">
        <w:rPr>
          <w:rFonts w:ascii="Arial" w:eastAsia="Calibri" w:hAnsi="Arial"/>
        </w:rPr>
        <w:t>of the ISO Tariff</w:t>
      </w:r>
      <w:r w:rsidR="00800CAE" w:rsidRPr="00746F54">
        <w:rPr>
          <w:rFonts w:ascii="Arial" w:eastAsia="Calibri" w:hAnsi="Arial"/>
        </w:rPr>
        <w:t xml:space="preserve"> will apply only to the Extended Day-Ahead Market</w:t>
      </w:r>
      <w:r w:rsidRPr="00746F54">
        <w:rPr>
          <w:rFonts w:ascii="Arial" w:eastAsia="Calibri" w:hAnsi="Arial"/>
        </w:rPr>
        <w:t xml:space="preserve">, whose operation and implementation is further described in this business practice manual. </w:t>
      </w:r>
      <w:r w:rsidR="00800CAE" w:rsidRPr="00746F54">
        <w:rPr>
          <w:rFonts w:ascii="Arial" w:eastAsia="Calibri" w:hAnsi="Arial"/>
        </w:rPr>
        <w:t xml:space="preserve"> EDAM Market Participants must comply with the provisions of Section 33, and other applicable provisions of the </w:t>
      </w:r>
      <w:r w:rsidRPr="00746F54">
        <w:rPr>
          <w:rFonts w:ascii="Arial" w:eastAsia="Calibri" w:hAnsi="Arial"/>
        </w:rPr>
        <w:t>I</w:t>
      </w:r>
      <w:r w:rsidR="00800CAE" w:rsidRPr="00746F54">
        <w:rPr>
          <w:rFonts w:ascii="Arial" w:eastAsia="Calibri" w:hAnsi="Arial"/>
        </w:rPr>
        <w:t xml:space="preserve">SO Tariff to the extent such provisions: (a) expressly refer to Section 33 or EDAM Market Participants, (b) are cross-referenced in Section 33, or (c) are not limited in applicability to the CAISO Controlled Grid, the CAISO Balancing Authority Area, or CAISO Markets other than the Day-Ahead Market or Real-Time Market. </w:t>
      </w:r>
    </w:p>
    <w:p w14:paraId="0BBBEF9D" w14:textId="5A2370C6" w:rsidR="00675068" w:rsidRPr="00746F54" w:rsidRDefault="00B84C5E" w:rsidP="00FA407A">
      <w:pPr>
        <w:pStyle w:val="Heading3"/>
        <w:rPr>
          <w:rFonts w:ascii="Arial" w:hAnsi="Arial" w:cs="Arial"/>
        </w:rPr>
      </w:pPr>
      <w:r w:rsidRPr="00746F54">
        <w:rPr>
          <w:rFonts w:ascii="Arial" w:hAnsi="Arial" w:cs="Arial"/>
        </w:rPr>
        <w:t xml:space="preserve">The operation and implementation of other applicable provisions of the ISO Tariff (e.g., Section 30) are further described in the applicable business practice manual (e.g., Business Practice Manual for Market Operations).  </w:t>
      </w:r>
      <w:bookmarkStart w:id="33" w:name="_Toc211337866"/>
      <w:r w:rsidR="00675068" w:rsidRPr="00746F54">
        <w:rPr>
          <w:rFonts w:ascii="Arial" w:hAnsi="Arial" w:cs="Arial"/>
        </w:rPr>
        <w:t>EDAM Implementation Activities</w:t>
      </w:r>
      <w:bookmarkEnd w:id="33"/>
      <w:r w:rsidR="00675068" w:rsidRPr="00746F54">
        <w:rPr>
          <w:rFonts w:ascii="Arial" w:hAnsi="Arial" w:cs="Arial"/>
        </w:rPr>
        <w:t xml:space="preserve"> </w:t>
      </w:r>
    </w:p>
    <w:p w14:paraId="169E0204" w14:textId="019E6489" w:rsidR="00675068" w:rsidRPr="00746F54" w:rsidRDefault="00675068" w:rsidP="00675068">
      <w:pPr>
        <w:pStyle w:val="ParaText"/>
        <w:rPr>
          <w:rFonts w:ascii="Arial" w:hAnsi="Arial" w:cs="Arial"/>
          <w:u w:val="single"/>
        </w:rPr>
      </w:pPr>
      <w:r w:rsidRPr="00746F54">
        <w:rPr>
          <w:rFonts w:ascii="Arial" w:hAnsi="Arial" w:cs="Arial"/>
          <w:u w:val="single"/>
        </w:rPr>
        <w:t>Reference Tariff Sections 33.2.1 - 33.2.5</w:t>
      </w:r>
    </w:p>
    <w:p w14:paraId="6970BE0A" w14:textId="041EA01A" w:rsidR="00675068" w:rsidRPr="00746F54" w:rsidRDefault="000E1D67" w:rsidP="00675068">
      <w:pPr>
        <w:pStyle w:val="ParaText"/>
        <w:rPr>
          <w:rFonts w:ascii="Arial" w:hAnsi="Arial" w:cs="Arial"/>
        </w:rPr>
      </w:pPr>
      <w:r w:rsidRPr="00746F54">
        <w:rPr>
          <w:rFonts w:ascii="Arial" w:hAnsi="Arial" w:cs="Arial"/>
        </w:rPr>
        <w:t xml:space="preserve">Balancing authorities participating in the WEIM can elect to extend their participation in an open and non-discriminatory way to the Day-Ahead Market through the EDAM.  WEIM entities do not have an obligation to extend their participation to the EDAM and may continue to participate only in the WEIM.  </w:t>
      </w:r>
    </w:p>
    <w:p w14:paraId="7F177289" w14:textId="49094926" w:rsidR="000E1D67" w:rsidRPr="00746F54" w:rsidRDefault="000E1D67" w:rsidP="00675068">
      <w:pPr>
        <w:pStyle w:val="ParaText"/>
        <w:rPr>
          <w:rFonts w:ascii="Arial" w:hAnsi="Arial" w:cs="Arial"/>
        </w:rPr>
      </w:pPr>
      <w:r w:rsidRPr="00746F54">
        <w:rPr>
          <w:rFonts w:ascii="Arial" w:hAnsi="Arial" w:cs="Arial"/>
        </w:rPr>
        <w:lastRenderedPageBreak/>
        <w:t>Balancing authorities participating in the WEIM and seeing to become an EDAM entity much execute an EDAM Implementation Agreement with the CAISO.  This agreement establishes the EDAM entity implementation date, execution of an EDAM Addendum to the EIM Entity Agreement, the implementation fee, and the scope of work required for its participation in EDAM.  The CAISO and the prospective EDAM entity will work jointly to determine the implementation</w:t>
      </w:r>
      <w:r w:rsidR="0081140D" w:rsidRPr="00746F54">
        <w:rPr>
          <w:rFonts w:ascii="Arial" w:hAnsi="Arial" w:cs="Arial"/>
        </w:rPr>
        <w:t xml:space="preserve"> date consistent with tariff section 33.2.2.</w:t>
      </w:r>
    </w:p>
    <w:p w14:paraId="51ED108C" w14:textId="588EE7E8" w:rsidR="0081140D" w:rsidRPr="00746F54" w:rsidRDefault="0081140D" w:rsidP="00675068">
      <w:pPr>
        <w:pStyle w:val="ParaText"/>
        <w:rPr>
          <w:rFonts w:ascii="Arial" w:hAnsi="Arial" w:cs="Arial"/>
        </w:rPr>
      </w:pPr>
      <w:r w:rsidRPr="00746F54">
        <w:rPr>
          <w:rFonts w:ascii="Arial" w:hAnsi="Arial" w:cs="Arial"/>
        </w:rPr>
        <w:t xml:space="preserve">Upon execution of the EDAM Implementation Agreement, and as part of the implementation activities prior to onboarding, the CAISO and the prospective EDAM entity will engage in market simulation for the prospective EDAM entity implementation circumstances.  The CAISO and the EDAM entity will </w:t>
      </w:r>
      <w:r w:rsidR="00860E7D" w:rsidRPr="00746F54">
        <w:rPr>
          <w:rFonts w:ascii="Arial" w:hAnsi="Arial" w:cs="Arial"/>
        </w:rPr>
        <w:t xml:space="preserve">also engage in parallel operations of the EDAM for at least 30 days ahead of the EDAM entity implementation as described in tariff section 33.2.3. </w:t>
      </w:r>
    </w:p>
    <w:p w14:paraId="765AD670" w14:textId="36689363" w:rsidR="008D0D75" w:rsidRPr="00746F54" w:rsidRDefault="008D0D75" w:rsidP="00675068">
      <w:pPr>
        <w:pStyle w:val="ParaText"/>
        <w:rPr>
          <w:rFonts w:ascii="Arial" w:hAnsi="Arial" w:cs="Arial"/>
        </w:rPr>
      </w:pPr>
      <w:r w:rsidRPr="00746F54">
        <w:rPr>
          <w:rFonts w:ascii="Arial" w:hAnsi="Arial" w:cs="Arial"/>
        </w:rPr>
        <w:t>As part of the EDAM entity onboarding process, the CAISO and the EDAM entity will complete the following implementation activities as further described in section 33.2.5 of the tariff:</w:t>
      </w:r>
    </w:p>
    <w:p w14:paraId="01569F91" w14:textId="2C2ABC11" w:rsidR="008D0D75" w:rsidRPr="00746F54" w:rsidRDefault="008D0D75" w:rsidP="008D0D75">
      <w:pPr>
        <w:pStyle w:val="ParaText"/>
        <w:numPr>
          <w:ilvl w:val="0"/>
          <w:numId w:val="128"/>
        </w:numPr>
        <w:rPr>
          <w:rFonts w:ascii="Arial" w:hAnsi="Arial" w:cs="Arial"/>
        </w:rPr>
      </w:pPr>
      <w:r w:rsidRPr="00746F54">
        <w:rPr>
          <w:rFonts w:ascii="Arial" w:hAnsi="Arial" w:cs="Arial"/>
        </w:rPr>
        <w:t>Execution of the necessary agreements for operating as an EDAM entity.</w:t>
      </w:r>
    </w:p>
    <w:p w14:paraId="25FF9ABD" w14:textId="448B9156" w:rsidR="008D0D75" w:rsidRPr="00746F54" w:rsidRDefault="008D0D75" w:rsidP="008D0D75">
      <w:pPr>
        <w:pStyle w:val="ParaText"/>
        <w:numPr>
          <w:ilvl w:val="0"/>
          <w:numId w:val="128"/>
        </w:numPr>
        <w:rPr>
          <w:rFonts w:ascii="Arial" w:hAnsi="Arial" w:cs="Arial"/>
        </w:rPr>
      </w:pPr>
      <w:r w:rsidRPr="00746F54">
        <w:rPr>
          <w:rFonts w:ascii="Arial" w:hAnsi="Arial" w:cs="Arial"/>
        </w:rPr>
        <w:t>Operations training prior to the start of parallel operations.</w:t>
      </w:r>
    </w:p>
    <w:p w14:paraId="4EA6A9FC" w14:textId="1D53A63A" w:rsidR="008D0D75" w:rsidRPr="00746F54" w:rsidRDefault="008D0D75" w:rsidP="008D0D75">
      <w:pPr>
        <w:pStyle w:val="ParaText"/>
        <w:numPr>
          <w:ilvl w:val="0"/>
          <w:numId w:val="128"/>
        </w:numPr>
        <w:rPr>
          <w:rFonts w:ascii="Arial" w:hAnsi="Arial" w:cs="Arial"/>
        </w:rPr>
      </w:pPr>
      <w:r w:rsidRPr="00746F54">
        <w:rPr>
          <w:rFonts w:ascii="Arial" w:hAnsi="Arial" w:cs="Arial"/>
        </w:rPr>
        <w:t xml:space="preserve">Establishing forecasting </w:t>
      </w:r>
      <w:r w:rsidR="0099162E" w:rsidRPr="00746F54">
        <w:rPr>
          <w:rFonts w:ascii="Arial" w:hAnsi="Arial" w:cs="Arial"/>
        </w:rPr>
        <w:t>capabilities.</w:t>
      </w:r>
    </w:p>
    <w:p w14:paraId="424DA745" w14:textId="33297E2C" w:rsidR="0099162E" w:rsidRPr="00746F54" w:rsidRDefault="0099162E" w:rsidP="008D0D75">
      <w:pPr>
        <w:pStyle w:val="ParaText"/>
        <w:numPr>
          <w:ilvl w:val="0"/>
          <w:numId w:val="128"/>
        </w:numPr>
        <w:rPr>
          <w:rFonts w:ascii="Arial" w:hAnsi="Arial" w:cs="Arial"/>
        </w:rPr>
      </w:pPr>
      <w:r w:rsidRPr="00746F54">
        <w:rPr>
          <w:rFonts w:ascii="Arial" w:hAnsi="Arial" w:cs="Arial"/>
        </w:rPr>
        <w:t xml:space="preserve">Demonstrating the ability to pass the resource sufficiency evaluation for the EDAM entity balancing authority area.  </w:t>
      </w:r>
    </w:p>
    <w:p w14:paraId="2426651E" w14:textId="0A7374E1" w:rsidR="0099162E" w:rsidRPr="00746F54" w:rsidRDefault="0099162E" w:rsidP="008D0D75">
      <w:pPr>
        <w:pStyle w:val="ParaText"/>
        <w:numPr>
          <w:ilvl w:val="0"/>
          <w:numId w:val="128"/>
        </w:numPr>
        <w:rPr>
          <w:rFonts w:ascii="Arial" w:hAnsi="Arial" w:cs="Arial"/>
        </w:rPr>
      </w:pPr>
      <w:r w:rsidRPr="00746F54">
        <w:rPr>
          <w:rFonts w:ascii="Arial" w:hAnsi="Arial" w:cs="Arial"/>
        </w:rPr>
        <w:t>Confirmation of registration of transmission rights within the balancing authority area available for EDAM transfers or rights that may otherwise be scheduled in the Day-Ahead Market.</w:t>
      </w:r>
    </w:p>
    <w:p w14:paraId="5C0CC36D" w14:textId="2B53A575" w:rsidR="0099162E" w:rsidRPr="00746F54" w:rsidRDefault="0099162E" w:rsidP="008D0D75">
      <w:pPr>
        <w:pStyle w:val="ParaText"/>
        <w:numPr>
          <w:ilvl w:val="0"/>
          <w:numId w:val="128"/>
        </w:numPr>
        <w:rPr>
          <w:rFonts w:ascii="Arial" w:hAnsi="Arial" w:cs="Arial"/>
        </w:rPr>
      </w:pPr>
      <w:r w:rsidRPr="00746F54">
        <w:rPr>
          <w:rFonts w:ascii="Arial" w:hAnsi="Arial" w:cs="Arial"/>
        </w:rPr>
        <w:t>Defining, completing and testing operating procedures between the CAISO and the EDAM entity prior to the start of parallel operations.</w:t>
      </w:r>
    </w:p>
    <w:p w14:paraId="541C9775" w14:textId="7664124A" w:rsidR="0099162E" w:rsidRPr="00746F54" w:rsidRDefault="0099162E" w:rsidP="008D0D75">
      <w:pPr>
        <w:pStyle w:val="ParaText"/>
        <w:numPr>
          <w:ilvl w:val="0"/>
          <w:numId w:val="128"/>
        </w:numPr>
        <w:rPr>
          <w:rFonts w:ascii="Arial" w:hAnsi="Arial" w:cs="Arial"/>
        </w:rPr>
      </w:pPr>
      <w:r w:rsidRPr="00746F54">
        <w:rPr>
          <w:rFonts w:ascii="Arial" w:hAnsi="Arial" w:cs="Arial"/>
        </w:rPr>
        <w:t>Completion of system readiness and integration testing.</w:t>
      </w:r>
    </w:p>
    <w:p w14:paraId="486D2DE1" w14:textId="3157132B" w:rsidR="0099162E" w:rsidRPr="00746F54" w:rsidRDefault="00B33836" w:rsidP="008D0D75">
      <w:pPr>
        <w:pStyle w:val="ParaText"/>
        <w:numPr>
          <w:ilvl w:val="0"/>
          <w:numId w:val="128"/>
        </w:numPr>
        <w:rPr>
          <w:rFonts w:ascii="Arial" w:hAnsi="Arial" w:cs="Arial"/>
        </w:rPr>
      </w:pPr>
      <w:r w:rsidRPr="00746F54">
        <w:rPr>
          <w:rFonts w:ascii="Arial" w:hAnsi="Arial" w:cs="Arial"/>
        </w:rPr>
        <w:t xml:space="preserve">Completion of market simulation and structure scenario simulation.  </w:t>
      </w:r>
    </w:p>
    <w:p w14:paraId="39C58CD9" w14:textId="5D4893B1" w:rsidR="00B33836" w:rsidRPr="00746F54" w:rsidRDefault="00B33836" w:rsidP="008D0D75">
      <w:pPr>
        <w:pStyle w:val="ParaText"/>
        <w:numPr>
          <w:ilvl w:val="0"/>
          <w:numId w:val="128"/>
        </w:numPr>
        <w:rPr>
          <w:rFonts w:ascii="Arial" w:hAnsi="Arial" w:cs="Arial"/>
        </w:rPr>
      </w:pPr>
      <w:r w:rsidRPr="00746F54">
        <w:rPr>
          <w:rFonts w:ascii="Arial" w:hAnsi="Arial" w:cs="Arial"/>
        </w:rPr>
        <w:t>Demonstration of settlement system and process readiness.</w:t>
      </w:r>
    </w:p>
    <w:p w14:paraId="51C06F20" w14:textId="165F0302" w:rsidR="00B33836" w:rsidRPr="00746F54" w:rsidRDefault="00B33836" w:rsidP="008D0D75">
      <w:pPr>
        <w:pStyle w:val="ParaText"/>
        <w:numPr>
          <w:ilvl w:val="0"/>
          <w:numId w:val="128"/>
        </w:numPr>
        <w:rPr>
          <w:rFonts w:ascii="Arial" w:hAnsi="Arial" w:cs="Arial"/>
        </w:rPr>
      </w:pPr>
      <w:r w:rsidRPr="00746F54">
        <w:rPr>
          <w:rFonts w:ascii="Arial" w:hAnsi="Arial" w:cs="Arial"/>
        </w:rPr>
        <w:t>Establishment of a parallel operations plan.</w:t>
      </w:r>
    </w:p>
    <w:p w14:paraId="5BAE461A" w14:textId="496DAF73" w:rsidR="008D0D75" w:rsidRPr="00746F54" w:rsidRDefault="00B33836" w:rsidP="00636D40">
      <w:pPr>
        <w:pStyle w:val="ParaText"/>
        <w:numPr>
          <w:ilvl w:val="0"/>
          <w:numId w:val="128"/>
        </w:numPr>
        <w:rPr>
          <w:rFonts w:ascii="Arial" w:hAnsi="Arial" w:cs="Arial"/>
        </w:rPr>
      </w:pPr>
      <w:r w:rsidRPr="00746F54">
        <w:rPr>
          <w:rFonts w:ascii="Arial" w:hAnsi="Arial" w:cs="Arial"/>
        </w:rPr>
        <w:t xml:space="preserve">Exchange of necessary information regarding historical transmission revenue recovery. </w:t>
      </w:r>
    </w:p>
    <w:p w14:paraId="49DEF3CE" w14:textId="3C3D037F" w:rsidR="006016C0" w:rsidRPr="00746F54" w:rsidRDefault="006016C0" w:rsidP="00CC0F6C">
      <w:pPr>
        <w:pStyle w:val="Heading3"/>
        <w:rPr>
          <w:rFonts w:ascii="Arial" w:hAnsi="Arial" w:cs="Arial"/>
        </w:rPr>
      </w:pPr>
      <w:bookmarkStart w:id="34" w:name="_Toc211337867"/>
      <w:r w:rsidRPr="00746F54">
        <w:rPr>
          <w:rFonts w:ascii="Arial" w:hAnsi="Arial" w:cs="Arial"/>
        </w:rPr>
        <w:lastRenderedPageBreak/>
        <w:t xml:space="preserve">EDAM </w:t>
      </w:r>
      <w:r w:rsidR="007C02B9" w:rsidRPr="00746F54">
        <w:rPr>
          <w:rFonts w:ascii="Arial" w:hAnsi="Arial" w:cs="Arial"/>
        </w:rPr>
        <w:t>Readiness Criteria</w:t>
      </w:r>
      <w:bookmarkEnd w:id="34"/>
      <w:r w:rsidR="007C02B9" w:rsidRPr="00746F54">
        <w:rPr>
          <w:rFonts w:ascii="Arial" w:hAnsi="Arial" w:cs="Arial"/>
        </w:rPr>
        <w:t xml:space="preserve"> </w:t>
      </w:r>
      <w:r w:rsidR="006C4447" w:rsidRPr="00746F54">
        <w:rPr>
          <w:rFonts w:ascii="Arial" w:hAnsi="Arial" w:cs="Arial"/>
        </w:rPr>
        <w:t xml:space="preserve"> </w:t>
      </w:r>
    </w:p>
    <w:p w14:paraId="76A965A8" w14:textId="4B35EC3D" w:rsidR="006016C0" w:rsidRPr="00746F54" w:rsidRDefault="006016C0" w:rsidP="006016C0">
      <w:pPr>
        <w:pStyle w:val="ParaText"/>
        <w:rPr>
          <w:rFonts w:ascii="Arial" w:hAnsi="Arial" w:cs="Arial"/>
          <w:u w:val="single"/>
        </w:rPr>
      </w:pPr>
      <w:r w:rsidRPr="00746F54">
        <w:rPr>
          <w:rFonts w:ascii="Arial" w:hAnsi="Arial" w:cs="Arial"/>
          <w:u w:val="single"/>
        </w:rPr>
        <w:t>Reference</w:t>
      </w:r>
      <w:r w:rsidR="009E7E5B" w:rsidRPr="00746F54">
        <w:rPr>
          <w:rFonts w:ascii="Arial" w:hAnsi="Arial" w:cs="Arial"/>
          <w:u w:val="single"/>
        </w:rPr>
        <w:t xml:space="preserve"> </w:t>
      </w:r>
      <w:r w:rsidR="00411115" w:rsidRPr="00746F54">
        <w:rPr>
          <w:rFonts w:ascii="Arial" w:hAnsi="Arial" w:cs="Arial"/>
          <w:u w:val="single"/>
        </w:rPr>
        <w:t>t</w:t>
      </w:r>
      <w:r w:rsidR="009E7E5B" w:rsidRPr="00746F54">
        <w:rPr>
          <w:rFonts w:ascii="Arial" w:hAnsi="Arial" w:cs="Arial"/>
          <w:u w:val="single"/>
        </w:rPr>
        <w:t>ariff</w:t>
      </w:r>
      <w:r w:rsidRPr="00746F54">
        <w:rPr>
          <w:rFonts w:ascii="Arial" w:hAnsi="Arial" w:cs="Arial"/>
          <w:u w:val="single"/>
        </w:rPr>
        <w:t xml:space="preserve"> Section</w:t>
      </w:r>
      <w:r w:rsidRPr="00746F54" w:rsidDel="009E7E5B">
        <w:rPr>
          <w:rFonts w:ascii="Arial" w:hAnsi="Arial" w:cs="Arial"/>
          <w:u w:val="single"/>
        </w:rPr>
        <w:t xml:space="preserve"> </w:t>
      </w:r>
      <w:r w:rsidR="006C4447" w:rsidRPr="00746F54" w:rsidDel="009E7E5B">
        <w:rPr>
          <w:rFonts w:ascii="Arial" w:hAnsi="Arial" w:cs="Arial"/>
          <w:u w:val="single"/>
        </w:rPr>
        <w:t>33.</w:t>
      </w:r>
      <w:r w:rsidRPr="00746F54">
        <w:rPr>
          <w:rFonts w:ascii="Arial" w:hAnsi="Arial" w:cs="Arial"/>
          <w:u w:val="single"/>
        </w:rPr>
        <w:t>2</w:t>
      </w:r>
      <w:r w:rsidR="009E7E5B" w:rsidRPr="00746F54">
        <w:rPr>
          <w:rFonts w:ascii="Arial" w:hAnsi="Arial" w:cs="Arial"/>
          <w:u w:val="single"/>
        </w:rPr>
        <w:t>.6</w:t>
      </w:r>
      <w:r w:rsidRPr="00746F54">
        <w:rPr>
          <w:rFonts w:ascii="Arial" w:hAnsi="Arial" w:cs="Arial"/>
          <w:u w:val="single"/>
        </w:rPr>
        <w:t xml:space="preserve"> </w:t>
      </w:r>
      <w:r w:rsidR="00411115" w:rsidRPr="00746F54">
        <w:rPr>
          <w:rFonts w:ascii="Arial" w:hAnsi="Arial" w:cs="Arial"/>
          <w:u w:val="single"/>
        </w:rPr>
        <w:t>and 33.2.7</w:t>
      </w:r>
    </w:p>
    <w:p w14:paraId="282DB96B" w14:textId="2C2B8E36" w:rsidR="00535C72" w:rsidRPr="00746F54" w:rsidRDefault="00535C72" w:rsidP="00535C72">
      <w:pPr>
        <w:pStyle w:val="ParaText"/>
        <w:rPr>
          <w:rFonts w:ascii="Arial" w:hAnsi="Arial" w:cs="Arial"/>
        </w:rPr>
      </w:pPr>
      <w:r w:rsidRPr="00746F54">
        <w:rPr>
          <w:rFonts w:ascii="Arial" w:hAnsi="Arial" w:cs="Arial"/>
        </w:rPr>
        <w:t xml:space="preserve">The readiness criteria support certification </w:t>
      </w:r>
      <w:r w:rsidR="0002285D" w:rsidRPr="00746F54">
        <w:rPr>
          <w:rFonts w:ascii="Arial" w:hAnsi="Arial" w:cs="Arial"/>
        </w:rPr>
        <w:t xml:space="preserve">of readiness </w:t>
      </w:r>
      <w:r w:rsidRPr="00746F54">
        <w:rPr>
          <w:rFonts w:ascii="Arial" w:hAnsi="Arial" w:cs="Arial"/>
        </w:rPr>
        <w:t xml:space="preserve">prior to implementation. Leading to certification, the EDAM Entity and CAISO </w:t>
      </w:r>
      <w:r w:rsidR="007C02B9" w:rsidRPr="00746F54">
        <w:rPr>
          <w:rFonts w:ascii="Arial" w:hAnsi="Arial" w:cs="Arial"/>
        </w:rPr>
        <w:t>(as market operator)</w:t>
      </w:r>
      <w:r w:rsidRPr="00746F54">
        <w:rPr>
          <w:rFonts w:ascii="Arial" w:hAnsi="Arial" w:cs="Arial"/>
        </w:rPr>
        <w:t xml:space="preserve"> will conduct appropriate steps to ensure that each </w:t>
      </w:r>
      <w:r w:rsidR="00EB464D" w:rsidRPr="00746F54">
        <w:rPr>
          <w:rFonts w:ascii="Arial" w:hAnsi="Arial" w:cs="Arial"/>
        </w:rPr>
        <w:t>criterion</w:t>
      </w:r>
      <w:r w:rsidRPr="00746F54">
        <w:rPr>
          <w:rFonts w:ascii="Arial" w:hAnsi="Arial" w:cs="Arial"/>
        </w:rPr>
        <w:t xml:space="preserve"> is evaluated compared with the </w:t>
      </w:r>
      <w:r w:rsidR="0002285D" w:rsidRPr="00746F54">
        <w:rPr>
          <w:rFonts w:ascii="Arial" w:hAnsi="Arial" w:cs="Arial"/>
        </w:rPr>
        <w:t xml:space="preserve">requirements in the CAISO Tariff as outlined </w:t>
      </w:r>
      <w:commentRangeStart w:id="35"/>
      <w:commentRangeStart w:id="36"/>
      <w:r w:rsidR="0002285D" w:rsidRPr="00746F54">
        <w:rPr>
          <w:rFonts w:ascii="Arial" w:hAnsi="Arial" w:cs="Arial"/>
        </w:rPr>
        <w:t>below</w:t>
      </w:r>
      <w:commentRangeEnd w:id="35"/>
      <w:r w:rsidR="0002285D" w:rsidRPr="00746F54">
        <w:rPr>
          <w:rStyle w:val="CommentReference"/>
          <w:rFonts w:ascii="Arial" w:hAnsi="Arial" w:cs="Arial"/>
        </w:rPr>
        <w:commentReference w:id="35"/>
      </w:r>
      <w:commentRangeEnd w:id="36"/>
      <w:r w:rsidR="00DC1A68" w:rsidRPr="00746F54">
        <w:rPr>
          <w:rStyle w:val="CommentReference"/>
          <w:rFonts w:ascii="Arial" w:hAnsi="Arial" w:cs="Arial"/>
        </w:rPr>
        <w:commentReference w:id="36"/>
      </w:r>
      <w:r w:rsidR="0002285D" w:rsidRPr="00746F54">
        <w:rPr>
          <w:rFonts w:ascii="Arial" w:hAnsi="Arial" w:cs="Arial"/>
        </w:rPr>
        <w:t>.</w:t>
      </w:r>
    </w:p>
    <w:tbl>
      <w:tblPr>
        <w:tblW w:w="5000" w:type="pct"/>
        <w:tblLook w:val="04A0" w:firstRow="1" w:lastRow="0" w:firstColumn="1" w:lastColumn="0" w:noHBand="0" w:noVBand="1"/>
      </w:tblPr>
      <w:tblGrid>
        <w:gridCol w:w="439"/>
        <w:gridCol w:w="1517"/>
        <w:gridCol w:w="1406"/>
        <w:gridCol w:w="1739"/>
        <w:gridCol w:w="2296"/>
        <w:gridCol w:w="1953"/>
      </w:tblGrid>
      <w:tr w:rsidR="00BF44CA" w:rsidRPr="00746F54" w14:paraId="2040A4BE" w14:textId="77777777" w:rsidTr="00FA407A">
        <w:trPr>
          <w:trHeight w:val="675"/>
          <w:tblHeader/>
        </w:trPr>
        <w:tc>
          <w:tcPr>
            <w:tcW w:w="299" w:type="pct"/>
            <w:tcBorders>
              <w:top w:val="single" w:sz="4" w:space="0" w:color="auto"/>
              <w:left w:val="single" w:sz="4" w:space="0" w:color="auto"/>
              <w:bottom w:val="single" w:sz="4" w:space="0" w:color="auto"/>
              <w:right w:val="single" w:sz="4" w:space="0" w:color="auto"/>
            </w:tcBorders>
            <w:shd w:val="clear" w:color="000000" w:fill="B4C6E7"/>
            <w:hideMark/>
          </w:tcPr>
          <w:p w14:paraId="05D56BA5" w14:textId="77777777" w:rsidR="00BF44CA" w:rsidRPr="00746F54" w:rsidRDefault="00BF44CA" w:rsidP="00BF44CA">
            <w:pPr>
              <w:spacing w:after="0" w:line="240" w:lineRule="auto"/>
              <w:rPr>
                <w:rFonts w:ascii="Arial" w:eastAsia="Times New Roman" w:hAnsi="Arial" w:cs="Arial"/>
                <w:b/>
                <w:bCs/>
              </w:rPr>
            </w:pPr>
            <w:r w:rsidRPr="00746F54">
              <w:rPr>
                <w:rFonts w:ascii="Arial" w:eastAsia="Times New Roman" w:hAnsi="Arial" w:cs="Arial"/>
                <w:b/>
                <w:bCs/>
              </w:rPr>
              <w:t>#</w:t>
            </w:r>
          </w:p>
        </w:tc>
        <w:tc>
          <w:tcPr>
            <w:tcW w:w="555" w:type="pct"/>
            <w:tcBorders>
              <w:top w:val="single" w:sz="4" w:space="0" w:color="auto"/>
              <w:left w:val="nil"/>
              <w:bottom w:val="single" w:sz="4" w:space="0" w:color="auto"/>
              <w:right w:val="single" w:sz="4" w:space="0" w:color="auto"/>
            </w:tcBorders>
            <w:shd w:val="clear" w:color="000000" w:fill="B4C6E7"/>
            <w:hideMark/>
          </w:tcPr>
          <w:p w14:paraId="678F47B2" w14:textId="77777777" w:rsidR="00BF44CA" w:rsidRPr="00746F54" w:rsidRDefault="00BF44CA" w:rsidP="00BF44CA">
            <w:pPr>
              <w:spacing w:after="0" w:line="240" w:lineRule="auto"/>
              <w:rPr>
                <w:rFonts w:ascii="Arial" w:eastAsia="Times New Roman" w:hAnsi="Arial" w:cs="Arial"/>
                <w:b/>
                <w:bCs/>
              </w:rPr>
            </w:pPr>
            <w:r w:rsidRPr="00746F54">
              <w:rPr>
                <w:rFonts w:ascii="Arial" w:eastAsia="Times New Roman" w:hAnsi="Arial" w:cs="Arial"/>
                <w:b/>
                <w:bCs/>
              </w:rPr>
              <w:t>Readiness Category</w:t>
            </w:r>
          </w:p>
        </w:tc>
        <w:tc>
          <w:tcPr>
            <w:tcW w:w="742" w:type="pct"/>
            <w:tcBorders>
              <w:top w:val="single" w:sz="4" w:space="0" w:color="auto"/>
              <w:left w:val="nil"/>
              <w:bottom w:val="single" w:sz="4" w:space="0" w:color="auto"/>
              <w:right w:val="single" w:sz="4" w:space="0" w:color="auto"/>
            </w:tcBorders>
            <w:shd w:val="clear" w:color="000000" w:fill="B4C6E7"/>
            <w:hideMark/>
          </w:tcPr>
          <w:p w14:paraId="7EBE5EB0" w14:textId="77777777" w:rsidR="00BF44CA" w:rsidRPr="00746F54" w:rsidRDefault="00BF44CA" w:rsidP="00BF44CA">
            <w:pPr>
              <w:spacing w:after="0" w:line="240" w:lineRule="auto"/>
              <w:rPr>
                <w:rFonts w:ascii="Arial" w:eastAsia="Times New Roman" w:hAnsi="Arial" w:cs="Arial"/>
                <w:b/>
                <w:bCs/>
              </w:rPr>
            </w:pPr>
            <w:r w:rsidRPr="00746F54">
              <w:rPr>
                <w:rFonts w:ascii="Arial" w:eastAsia="Times New Roman" w:hAnsi="Arial" w:cs="Arial"/>
                <w:b/>
                <w:bCs/>
              </w:rPr>
              <w:t>Criteria</w:t>
            </w:r>
          </w:p>
        </w:tc>
        <w:tc>
          <w:tcPr>
            <w:tcW w:w="1016" w:type="pct"/>
            <w:tcBorders>
              <w:top w:val="single" w:sz="4" w:space="0" w:color="auto"/>
              <w:left w:val="nil"/>
              <w:bottom w:val="single" w:sz="4" w:space="0" w:color="auto"/>
              <w:right w:val="single" w:sz="4" w:space="0" w:color="auto"/>
            </w:tcBorders>
            <w:shd w:val="clear" w:color="000000" w:fill="B4C6E7"/>
            <w:hideMark/>
          </w:tcPr>
          <w:p w14:paraId="68437CC6" w14:textId="77777777" w:rsidR="00BF44CA" w:rsidRPr="00746F54" w:rsidRDefault="00BF44CA" w:rsidP="00BF44CA">
            <w:pPr>
              <w:spacing w:after="0" w:line="240" w:lineRule="auto"/>
              <w:rPr>
                <w:rFonts w:ascii="Arial" w:eastAsia="Times New Roman" w:hAnsi="Arial" w:cs="Arial"/>
                <w:b/>
                <w:bCs/>
              </w:rPr>
            </w:pPr>
            <w:r w:rsidRPr="00746F54">
              <w:rPr>
                <w:rFonts w:ascii="Arial" w:eastAsia="Times New Roman" w:hAnsi="Arial" w:cs="Arial"/>
                <w:b/>
                <w:bCs/>
              </w:rPr>
              <w:t>EDAM Measurable Elements (for tariff)</w:t>
            </w:r>
          </w:p>
        </w:tc>
        <w:tc>
          <w:tcPr>
            <w:tcW w:w="1060" w:type="pct"/>
            <w:tcBorders>
              <w:top w:val="single" w:sz="4" w:space="0" w:color="auto"/>
              <w:left w:val="nil"/>
              <w:bottom w:val="single" w:sz="4" w:space="0" w:color="auto"/>
              <w:right w:val="single" w:sz="4" w:space="0" w:color="auto"/>
            </w:tcBorders>
            <w:shd w:val="clear" w:color="000000" w:fill="B4C6E7"/>
            <w:hideMark/>
          </w:tcPr>
          <w:p w14:paraId="00169512" w14:textId="77777777" w:rsidR="00BF44CA" w:rsidRPr="00746F54" w:rsidRDefault="00BF44CA" w:rsidP="00BF44CA">
            <w:pPr>
              <w:spacing w:after="0" w:line="240" w:lineRule="auto"/>
              <w:rPr>
                <w:rFonts w:ascii="Arial" w:eastAsia="Times New Roman" w:hAnsi="Arial" w:cs="Arial"/>
                <w:b/>
                <w:bCs/>
              </w:rPr>
            </w:pPr>
            <w:r w:rsidRPr="00746F54">
              <w:rPr>
                <w:rFonts w:ascii="Arial" w:eastAsia="Times New Roman" w:hAnsi="Arial" w:cs="Arial"/>
                <w:b/>
                <w:bCs/>
              </w:rPr>
              <w:t>Threshold</w:t>
            </w:r>
          </w:p>
        </w:tc>
        <w:tc>
          <w:tcPr>
            <w:tcW w:w="1328" w:type="pct"/>
            <w:tcBorders>
              <w:top w:val="single" w:sz="4" w:space="0" w:color="auto"/>
              <w:left w:val="nil"/>
              <w:bottom w:val="single" w:sz="4" w:space="0" w:color="auto"/>
              <w:right w:val="single" w:sz="4" w:space="0" w:color="auto"/>
            </w:tcBorders>
            <w:shd w:val="clear" w:color="000000" w:fill="B4C6E7"/>
            <w:hideMark/>
          </w:tcPr>
          <w:p w14:paraId="7D617E8B" w14:textId="77777777" w:rsidR="00BF44CA" w:rsidRPr="00746F54" w:rsidRDefault="00BF44CA" w:rsidP="00BF44CA">
            <w:pPr>
              <w:spacing w:after="0" w:line="240" w:lineRule="auto"/>
              <w:rPr>
                <w:rFonts w:ascii="Arial" w:eastAsia="Times New Roman" w:hAnsi="Arial" w:cs="Arial"/>
                <w:b/>
                <w:bCs/>
              </w:rPr>
            </w:pPr>
            <w:r w:rsidRPr="00746F54">
              <w:rPr>
                <w:rFonts w:ascii="Arial" w:eastAsia="Times New Roman" w:hAnsi="Arial" w:cs="Arial"/>
                <w:b/>
                <w:bCs/>
              </w:rPr>
              <w:t>Description of Evidence</w:t>
            </w:r>
          </w:p>
        </w:tc>
      </w:tr>
      <w:tr w:rsidR="00BF44CA" w:rsidRPr="00746F54" w14:paraId="7B9514CB" w14:textId="77777777" w:rsidTr="00BF44CA">
        <w:trPr>
          <w:trHeight w:val="1785"/>
        </w:trPr>
        <w:tc>
          <w:tcPr>
            <w:tcW w:w="299" w:type="pct"/>
            <w:tcBorders>
              <w:top w:val="nil"/>
              <w:left w:val="single" w:sz="4" w:space="0" w:color="auto"/>
              <w:bottom w:val="single" w:sz="4" w:space="0" w:color="auto"/>
              <w:right w:val="single" w:sz="4" w:space="0" w:color="auto"/>
            </w:tcBorders>
            <w:shd w:val="clear" w:color="000000" w:fill="D9D9D9"/>
            <w:noWrap/>
            <w:hideMark/>
          </w:tcPr>
          <w:p w14:paraId="6AFCD314" w14:textId="77777777" w:rsidR="00BF44CA" w:rsidRPr="00746F54" w:rsidRDefault="00BF44CA" w:rsidP="00BF44CA">
            <w:pPr>
              <w:spacing w:after="0" w:line="240" w:lineRule="auto"/>
              <w:rPr>
                <w:rFonts w:ascii="Arial" w:eastAsia="Times New Roman" w:hAnsi="Arial" w:cs="Arial"/>
                <w:b/>
                <w:bCs/>
                <w:sz w:val="20"/>
                <w:szCs w:val="20"/>
              </w:rPr>
            </w:pPr>
            <w:r w:rsidRPr="00746F54">
              <w:rPr>
                <w:rFonts w:ascii="Arial" w:eastAsia="Times New Roman" w:hAnsi="Arial" w:cs="Arial"/>
                <w:b/>
                <w:bCs/>
                <w:sz w:val="20"/>
                <w:szCs w:val="20"/>
              </w:rPr>
              <w:t>1</w:t>
            </w:r>
          </w:p>
        </w:tc>
        <w:tc>
          <w:tcPr>
            <w:tcW w:w="555" w:type="pct"/>
            <w:tcBorders>
              <w:top w:val="nil"/>
              <w:left w:val="nil"/>
              <w:bottom w:val="single" w:sz="4" w:space="0" w:color="auto"/>
              <w:right w:val="single" w:sz="4" w:space="0" w:color="auto"/>
            </w:tcBorders>
            <w:shd w:val="clear" w:color="000000" w:fill="D9D9D9"/>
            <w:hideMark/>
          </w:tcPr>
          <w:p w14:paraId="003AA01A" w14:textId="77777777" w:rsidR="00BF44CA" w:rsidRPr="00746F54" w:rsidRDefault="00BF44CA" w:rsidP="00BF44CA">
            <w:pPr>
              <w:spacing w:after="0" w:line="240" w:lineRule="auto"/>
              <w:rPr>
                <w:rFonts w:ascii="Arial" w:eastAsia="Times New Roman" w:hAnsi="Arial" w:cs="Arial"/>
                <w:b/>
                <w:bCs/>
                <w:sz w:val="20"/>
                <w:szCs w:val="20"/>
              </w:rPr>
            </w:pPr>
            <w:r w:rsidRPr="00746F54">
              <w:rPr>
                <w:rFonts w:ascii="Arial" w:eastAsia="Times New Roman" w:hAnsi="Arial" w:cs="Arial"/>
                <w:b/>
                <w:bCs/>
                <w:sz w:val="20"/>
                <w:szCs w:val="20"/>
              </w:rPr>
              <w:t>Execution of Necessary Agreements</w:t>
            </w:r>
          </w:p>
        </w:tc>
        <w:tc>
          <w:tcPr>
            <w:tcW w:w="742" w:type="pct"/>
            <w:tcBorders>
              <w:top w:val="nil"/>
              <w:left w:val="nil"/>
              <w:bottom w:val="single" w:sz="4" w:space="0" w:color="auto"/>
              <w:right w:val="single" w:sz="4" w:space="0" w:color="auto"/>
            </w:tcBorders>
            <w:hideMark/>
          </w:tcPr>
          <w:p w14:paraId="641CC668" w14:textId="77777777" w:rsidR="00BF44CA" w:rsidRPr="00746F54" w:rsidRDefault="00BF44CA" w:rsidP="00BF44CA">
            <w:pPr>
              <w:spacing w:after="0" w:line="240" w:lineRule="auto"/>
              <w:rPr>
                <w:rFonts w:ascii="Arial" w:eastAsia="Times New Roman" w:hAnsi="Arial" w:cs="Arial"/>
                <w:sz w:val="20"/>
                <w:szCs w:val="20"/>
              </w:rPr>
            </w:pPr>
            <w:r w:rsidRPr="00746F54">
              <w:rPr>
                <w:rFonts w:ascii="Arial" w:eastAsia="Times New Roman" w:hAnsi="Arial" w:cs="Arial"/>
                <w:sz w:val="20"/>
                <w:szCs w:val="20"/>
              </w:rPr>
              <w:t>Execution of Necessary Agreements</w:t>
            </w:r>
          </w:p>
        </w:tc>
        <w:tc>
          <w:tcPr>
            <w:tcW w:w="1016" w:type="pct"/>
            <w:tcBorders>
              <w:top w:val="nil"/>
              <w:left w:val="nil"/>
              <w:bottom w:val="single" w:sz="4" w:space="0" w:color="auto"/>
              <w:right w:val="single" w:sz="4" w:space="0" w:color="auto"/>
            </w:tcBorders>
            <w:hideMark/>
          </w:tcPr>
          <w:p w14:paraId="3EF47021" w14:textId="77777777" w:rsidR="00BF44CA" w:rsidRPr="00746F54" w:rsidRDefault="00BF44CA" w:rsidP="00BF44CA">
            <w:pPr>
              <w:spacing w:after="0" w:line="240" w:lineRule="auto"/>
              <w:rPr>
                <w:rFonts w:ascii="Arial" w:eastAsia="Times New Roman" w:hAnsi="Arial" w:cs="Arial"/>
                <w:sz w:val="20"/>
                <w:szCs w:val="20"/>
              </w:rPr>
            </w:pPr>
            <w:r w:rsidRPr="00746F54">
              <w:rPr>
                <w:rFonts w:ascii="Arial" w:eastAsia="Times New Roman" w:hAnsi="Arial" w:cs="Arial"/>
                <w:sz w:val="20"/>
                <w:szCs w:val="20"/>
              </w:rPr>
              <w:t>The prospective EDAM Entity and others as applicable have executed all necessary agreements.</w:t>
            </w:r>
          </w:p>
        </w:tc>
        <w:tc>
          <w:tcPr>
            <w:tcW w:w="1060" w:type="pct"/>
            <w:tcBorders>
              <w:top w:val="nil"/>
              <w:left w:val="nil"/>
              <w:bottom w:val="single" w:sz="4" w:space="0" w:color="auto"/>
              <w:right w:val="single" w:sz="4" w:space="0" w:color="auto"/>
            </w:tcBorders>
            <w:hideMark/>
          </w:tcPr>
          <w:p w14:paraId="427E7CE0" w14:textId="77777777" w:rsidR="00BF44CA" w:rsidRPr="00746F54" w:rsidRDefault="00BF44CA" w:rsidP="00BF44CA">
            <w:pPr>
              <w:spacing w:after="0" w:line="240" w:lineRule="auto"/>
              <w:rPr>
                <w:rFonts w:ascii="Arial" w:eastAsia="Times New Roman" w:hAnsi="Arial" w:cs="Arial"/>
                <w:sz w:val="20"/>
                <w:szCs w:val="20"/>
              </w:rPr>
            </w:pPr>
            <w:r w:rsidRPr="00746F54">
              <w:rPr>
                <w:rFonts w:ascii="Arial" w:eastAsia="Times New Roman" w:hAnsi="Arial" w:cs="Arial"/>
                <w:sz w:val="20"/>
                <w:szCs w:val="20"/>
              </w:rPr>
              <w:t xml:space="preserve">The prospective EDAM Entity and others as applicable will execute all applicable agreements, as outlined in Section </w:t>
            </w:r>
            <w:r w:rsidRPr="00746F54">
              <w:rPr>
                <w:rFonts w:ascii="Arial" w:eastAsia="Times New Roman" w:hAnsi="Arial" w:cs="Arial"/>
                <w:b/>
                <w:bCs/>
                <w:sz w:val="20"/>
                <w:szCs w:val="20"/>
              </w:rPr>
              <w:t>2.2</w:t>
            </w:r>
            <w:r w:rsidRPr="00746F54">
              <w:rPr>
                <w:rFonts w:ascii="Arial" w:eastAsia="Times New Roman" w:hAnsi="Arial" w:cs="Arial"/>
                <w:sz w:val="20"/>
                <w:szCs w:val="20"/>
              </w:rPr>
              <w:t xml:space="preserve"> of the EDAM BPM within the required timelines </w:t>
            </w:r>
          </w:p>
        </w:tc>
        <w:tc>
          <w:tcPr>
            <w:tcW w:w="1328" w:type="pct"/>
            <w:tcBorders>
              <w:top w:val="nil"/>
              <w:left w:val="nil"/>
              <w:bottom w:val="single" w:sz="4" w:space="0" w:color="auto"/>
              <w:right w:val="single" w:sz="4" w:space="0" w:color="auto"/>
            </w:tcBorders>
            <w:hideMark/>
          </w:tcPr>
          <w:p w14:paraId="098983E1" w14:textId="77777777" w:rsidR="00BF44CA" w:rsidRPr="00746F54" w:rsidRDefault="00BF44CA" w:rsidP="00BF44CA">
            <w:pPr>
              <w:spacing w:after="0" w:line="240" w:lineRule="auto"/>
              <w:rPr>
                <w:rFonts w:ascii="Arial" w:eastAsia="Times New Roman" w:hAnsi="Arial" w:cs="Arial"/>
                <w:sz w:val="20"/>
                <w:szCs w:val="20"/>
              </w:rPr>
            </w:pPr>
            <w:r w:rsidRPr="00746F54">
              <w:rPr>
                <w:rFonts w:ascii="Arial" w:eastAsia="Times New Roman" w:hAnsi="Arial" w:cs="Arial"/>
                <w:sz w:val="20"/>
                <w:szCs w:val="20"/>
              </w:rPr>
              <w:t xml:space="preserve">EDAM Entity provide copies of all executed agreements. </w:t>
            </w:r>
            <w:r w:rsidRPr="00746F54">
              <w:rPr>
                <w:rFonts w:ascii="Arial" w:eastAsia="Times New Roman" w:hAnsi="Arial" w:cs="Arial"/>
                <w:sz w:val="20"/>
                <w:szCs w:val="20"/>
              </w:rPr>
              <w:br/>
            </w:r>
            <w:r w:rsidRPr="00746F54">
              <w:rPr>
                <w:rFonts w:ascii="Arial" w:eastAsia="Times New Roman" w:hAnsi="Arial" w:cs="Arial"/>
                <w:sz w:val="20"/>
                <w:szCs w:val="20"/>
              </w:rPr>
              <w:br/>
              <w:t>ISO provides evidence that the planned agreement tasks are all complete (Completed Agreements Checklist).</w:t>
            </w:r>
          </w:p>
        </w:tc>
      </w:tr>
      <w:tr w:rsidR="00BF44CA" w:rsidRPr="00746F54" w14:paraId="31ED0011" w14:textId="77777777" w:rsidTr="00BF44CA">
        <w:trPr>
          <w:trHeight w:val="4080"/>
        </w:trPr>
        <w:tc>
          <w:tcPr>
            <w:tcW w:w="299" w:type="pct"/>
            <w:tcBorders>
              <w:top w:val="nil"/>
              <w:left w:val="single" w:sz="4" w:space="0" w:color="auto"/>
              <w:bottom w:val="single" w:sz="4" w:space="0" w:color="auto"/>
              <w:right w:val="single" w:sz="4" w:space="0" w:color="auto"/>
            </w:tcBorders>
            <w:shd w:val="clear" w:color="000000" w:fill="D9D9D9"/>
            <w:noWrap/>
            <w:hideMark/>
          </w:tcPr>
          <w:p w14:paraId="214BA995" w14:textId="77777777" w:rsidR="00BF44CA" w:rsidRPr="00746F54" w:rsidRDefault="00BF44CA" w:rsidP="00BF44CA">
            <w:pPr>
              <w:spacing w:after="0" w:line="240" w:lineRule="auto"/>
              <w:rPr>
                <w:rFonts w:ascii="Arial" w:eastAsia="Times New Roman" w:hAnsi="Arial" w:cs="Arial"/>
                <w:b/>
                <w:bCs/>
                <w:sz w:val="20"/>
                <w:szCs w:val="20"/>
              </w:rPr>
            </w:pPr>
            <w:r w:rsidRPr="00746F54">
              <w:rPr>
                <w:rFonts w:ascii="Arial" w:eastAsia="Times New Roman" w:hAnsi="Arial" w:cs="Arial"/>
                <w:b/>
                <w:bCs/>
                <w:sz w:val="20"/>
                <w:szCs w:val="20"/>
              </w:rPr>
              <w:t>2</w:t>
            </w:r>
          </w:p>
        </w:tc>
        <w:tc>
          <w:tcPr>
            <w:tcW w:w="555" w:type="pct"/>
            <w:tcBorders>
              <w:top w:val="nil"/>
              <w:left w:val="nil"/>
              <w:bottom w:val="single" w:sz="4" w:space="0" w:color="auto"/>
              <w:right w:val="single" w:sz="4" w:space="0" w:color="auto"/>
            </w:tcBorders>
            <w:shd w:val="clear" w:color="000000" w:fill="D9D9D9"/>
            <w:hideMark/>
          </w:tcPr>
          <w:p w14:paraId="6EB57A17" w14:textId="77777777" w:rsidR="00BF44CA" w:rsidRPr="00746F54" w:rsidRDefault="00BF44CA" w:rsidP="00BF44CA">
            <w:pPr>
              <w:spacing w:after="0" w:line="240" w:lineRule="auto"/>
              <w:rPr>
                <w:rFonts w:ascii="Arial" w:eastAsia="Times New Roman" w:hAnsi="Arial" w:cs="Arial"/>
                <w:b/>
                <w:bCs/>
                <w:sz w:val="20"/>
                <w:szCs w:val="20"/>
              </w:rPr>
            </w:pPr>
            <w:r w:rsidRPr="00746F54">
              <w:rPr>
                <w:rFonts w:ascii="Arial" w:eastAsia="Times New Roman" w:hAnsi="Arial" w:cs="Arial"/>
                <w:b/>
                <w:bCs/>
                <w:sz w:val="20"/>
                <w:szCs w:val="20"/>
              </w:rPr>
              <w:t>Operations Training</w:t>
            </w:r>
          </w:p>
        </w:tc>
        <w:tc>
          <w:tcPr>
            <w:tcW w:w="742" w:type="pct"/>
            <w:tcBorders>
              <w:top w:val="nil"/>
              <w:left w:val="nil"/>
              <w:bottom w:val="single" w:sz="4" w:space="0" w:color="auto"/>
              <w:right w:val="single" w:sz="4" w:space="0" w:color="auto"/>
            </w:tcBorders>
            <w:hideMark/>
          </w:tcPr>
          <w:p w14:paraId="4319B0B4" w14:textId="77777777" w:rsidR="00BF44CA" w:rsidRPr="00746F54" w:rsidRDefault="00BF44CA" w:rsidP="00BF44CA">
            <w:pPr>
              <w:spacing w:after="0" w:line="240" w:lineRule="auto"/>
              <w:rPr>
                <w:rFonts w:ascii="Arial" w:eastAsia="Times New Roman" w:hAnsi="Arial" w:cs="Arial"/>
                <w:sz w:val="20"/>
                <w:szCs w:val="20"/>
              </w:rPr>
            </w:pPr>
            <w:r w:rsidRPr="00746F54">
              <w:rPr>
                <w:rFonts w:ascii="Arial" w:eastAsia="Times New Roman" w:hAnsi="Arial" w:cs="Arial"/>
                <w:sz w:val="20"/>
                <w:szCs w:val="20"/>
              </w:rPr>
              <w:t>All training as outlined in the EDAM Entity's Training Plan is complete</w:t>
            </w:r>
          </w:p>
        </w:tc>
        <w:tc>
          <w:tcPr>
            <w:tcW w:w="1016" w:type="pct"/>
            <w:tcBorders>
              <w:top w:val="nil"/>
              <w:left w:val="nil"/>
              <w:bottom w:val="nil"/>
              <w:right w:val="nil"/>
            </w:tcBorders>
            <w:hideMark/>
          </w:tcPr>
          <w:p w14:paraId="4B9CB60B" w14:textId="77777777" w:rsidR="00BF44CA" w:rsidRPr="00746F54" w:rsidRDefault="00BF44CA" w:rsidP="00BF44CA">
            <w:pPr>
              <w:spacing w:after="0" w:line="240" w:lineRule="auto"/>
              <w:rPr>
                <w:rFonts w:ascii="Arial" w:eastAsia="Times New Roman" w:hAnsi="Arial" w:cs="Arial"/>
                <w:sz w:val="20"/>
                <w:szCs w:val="20"/>
              </w:rPr>
            </w:pPr>
            <w:r w:rsidRPr="00746F54">
              <w:rPr>
                <w:rFonts w:ascii="Arial" w:eastAsia="Times New Roman" w:hAnsi="Arial" w:cs="Arial"/>
                <w:sz w:val="20"/>
                <w:szCs w:val="20"/>
              </w:rPr>
              <w:t>In preparation for EDAM implementation, the prospective EDAM Entity will develop a training plan to educate entity staff who will have responsibility for EDAM operations, market transactions, and settlements.</w:t>
            </w:r>
          </w:p>
        </w:tc>
        <w:tc>
          <w:tcPr>
            <w:tcW w:w="1060" w:type="pct"/>
            <w:tcBorders>
              <w:top w:val="nil"/>
              <w:left w:val="single" w:sz="4" w:space="0" w:color="auto"/>
              <w:bottom w:val="single" w:sz="4" w:space="0" w:color="auto"/>
              <w:right w:val="single" w:sz="4" w:space="0" w:color="auto"/>
            </w:tcBorders>
            <w:hideMark/>
          </w:tcPr>
          <w:p w14:paraId="560096DE" w14:textId="77777777" w:rsidR="00BF44CA" w:rsidRPr="00746F54" w:rsidRDefault="00BF44CA" w:rsidP="00BF44CA">
            <w:pPr>
              <w:spacing w:after="0" w:line="240" w:lineRule="auto"/>
              <w:rPr>
                <w:rFonts w:ascii="Arial" w:eastAsia="Times New Roman" w:hAnsi="Arial" w:cs="Arial"/>
                <w:sz w:val="20"/>
                <w:szCs w:val="20"/>
              </w:rPr>
            </w:pPr>
            <w:r w:rsidRPr="00746F54">
              <w:rPr>
                <w:rFonts w:ascii="Arial" w:eastAsia="Times New Roman" w:hAnsi="Arial" w:cs="Arial"/>
                <w:sz w:val="20"/>
                <w:szCs w:val="20"/>
              </w:rPr>
              <w:t xml:space="preserve">Prospective EDAM Entity staff will complete role-based training in the appropriate timeframes as outlined in the EDAM Entity's Training Plan and the EDAM Course Catalog. EDAM Entity provides that all identified staff have received training as required by the EDAM Entity's Training Plan and the EDAM Course Catalog. </w:t>
            </w:r>
          </w:p>
        </w:tc>
        <w:tc>
          <w:tcPr>
            <w:tcW w:w="1328" w:type="pct"/>
            <w:tcBorders>
              <w:top w:val="nil"/>
              <w:left w:val="nil"/>
              <w:bottom w:val="single" w:sz="4" w:space="0" w:color="auto"/>
              <w:right w:val="single" w:sz="4" w:space="0" w:color="auto"/>
            </w:tcBorders>
            <w:hideMark/>
          </w:tcPr>
          <w:p w14:paraId="6FA89870" w14:textId="77777777" w:rsidR="00BF44CA" w:rsidRPr="00746F54" w:rsidRDefault="00BF44CA" w:rsidP="00BF44CA">
            <w:pPr>
              <w:spacing w:after="0" w:line="240" w:lineRule="auto"/>
              <w:rPr>
                <w:rFonts w:ascii="Arial" w:eastAsia="Times New Roman" w:hAnsi="Arial" w:cs="Arial"/>
                <w:sz w:val="20"/>
                <w:szCs w:val="20"/>
              </w:rPr>
            </w:pPr>
            <w:r w:rsidRPr="00746F54">
              <w:rPr>
                <w:rFonts w:ascii="Arial" w:eastAsia="Times New Roman" w:hAnsi="Arial" w:cs="Arial"/>
                <w:sz w:val="20"/>
                <w:szCs w:val="20"/>
              </w:rPr>
              <w:t>Prospective EDAM Entity provides email evidence stating that all identified staff</w:t>
            </w:r>
            <w:r w:rsidRPr="00746F54">
              <w:rPr>
                <w:rFonts w:ascii="Arial" w:eastAsia="Times New Roman" w:hAnsi="Arial" w:cs="Arial"/>
                <w:strike/>
                <w:sz w:val="20"/>
                <w:szCs w:val="20"/>
              </w:rPr>
              <w:t xml:space="preserve"> </w:t>
            </w:r>
            <w:r w:rsidRPr="00746F54">
              <w:rPr>
                <w:rFonts w:ascii="Arial" w:eastAsia="Times New Roman" w:hAnsi="Arial" w:cs="Arial"/>
                <w:sz w:val="20"/>
                <w:szCs w:val="20"/>
              </w:rPr>
              <w:t>have received training as required by the EDAM Entity's Training Plan and the EDAM Course Catalog.</w:t>
            </w:r>
          </w:p>
        </w:tc>
      </w:tr>
      <w:tr w:rsidR="00BF44CA" w:rsidRPr="00746F54" w14:paraId="5F3CDCB1" w14:textId="77777777" w:rsidTr="00BF44CA">
        <w:trPr>
          <w:trHeight w:val="6630"/>
        </w:trPr>
        <w:tc>
          <w:tcPr>
            <w:tcW w:w="299" w:type="pct"/>
            <w:tcBorders>
              <w:top w:val="nil"/>
              <w:left w:val="single" w:sz="4" w:space="0" w:color="auto"/>
              <w:bottom w:val="single" w:sz="4" w:space="0" w:color="auto"/>
              <w:right w:val="single" w:sz="4" w:space="0" w:color="auto"/>
            </w:tcBorders>
            <w:shd w:val="clear" w:color="000000" w:fill="D9D9D9"/>
            <w:noWrap/>
            <w:hideMark/>
          </w:tcPr>
          <w:p w14:paraId="6C285DEC" w14:textId="77777777" w:rsidR="00BF44CA" w:rsidRPr="00746F54" w:rsidRDefault="00BF44CA" w:rsidP="00BF44CA">
            <w:pPr>
              <w:spacing w:after="0" w:line="240" w:lineRule="auto"/>
              <w:rPr>
                <w:rFonts w:ascii="Arial" w:eastAsia="Times New Roman" w:hAnsi="Arial" w:cs="Arial"/>
                <w:b/>
                <w:bCs/>
                <w:sz w:val="20"/>
                <w:szCs w:val="20"/>
              </w:rPr>
            </w:pPr>
            <w:r w:rsidRPr="00746F54">
              <w:rPr>
                <w:rFonts w:ascii="Arial" w:eastAsia="Times New Roman" w:hAnsi="Arial" w:cs="Arial"/>
                <w:b/>
                <w:bCs/>
                <w:sz w:val="20"/>
                <w:szCs w:val="20"/>
              </w:rPr>
              <w:lastRenderedPageBreak/>
              <w:t>3</w:t>
            </w:r>
          </w:p>
        </w:tc>
        <w:tc>
          <w:tcPr>
            <w:tcW w:w="555" w:type="pct"/>
            <w:tcBorders>
              <w:top w:val="nil"/>
              <w:left w:val="nil"/>
              <w:bottom w:val="single" w:sz="4" w:space="0" w:color="auto"/>
              <w:right w:val="single" w:sz="4" w:space="0" w:color="auto"/>
            </w:tcBorders>
            <w:shd w:val="clear" w:color="000000" w:fill="D9D9D9"/>
            <w:hideMark/>
          </w:tcPr>
          <w:p w14:paraId="63A80717" w14:textId="77777777" w:rsidR="00BF44CA" w:rsidRPr="00746F54" w:rsidRDefault="00BF44CA" w:rsidP="00BF44CA">
            <w:pPr>
              <w:spacing w:after="0" w:line="240" w:lineRule="auto"/>
              <w:rPr>
                <w:rFonts w:ascii="Arial" w:eastAsia="Times New Roman" w:hAnsi="Arial" w:cs="Arial"/>
                <w:b/>
                <w:bCs/>
                <w:sz w:val="20"/>
                <w:szCs w:val="20"/>
              </w:rPr>
            </w:pPr>
            <w:r w:rsidRPr="00746F54">
              <w:rPr>
                <w:rFonts w:ascii="Arial" w:eastAsia="Times New Roman" w:hAnsi="Arial" w:cs="Arial"/>
                <w:b/>
                <w:bCs/>
                <w:sz w:val="20"/>
                <w:szCs w:val="20"/>
              </w:rPr>
              <w:t>Forecasting Capability</w:t>
            </w:r>
          </w:p>
        </w:tc>
        <w:tc>
          <w:tcPr>
            <w:tcW w:w="742" w:type="pct"/>
            <w:tcBorders>
              <w:top w:val="nil"/>
              <w:left w:val="nil"/>
              <w:bottom w:val="single" w:sz="4" w:space="0" w:color="auto"/>
              <w:right w:val="single" w:sz="4" w:space="0" w:color="auto"/>
            </w:tcBorders>
            <w:hideMark/>
          </w:tcPr>
          <w:p w14:paraId="4024EDF9" w14:textId="77777777" w:rsidR="00BF44CA" w:rsidRPr="00746F54" w:rsidRDefault="00BF44CA" w:rsidP="00BF44CA">
            <w:pPr>
              <w:spacing w:after="0" w:line="240" w:lineRule="auto"/>
              <w:rPr>
                <w:rFonts w:ascii="Arial" w:eastAsia="Times New Roman" w:hAnsi="Arial" w:cs="Arial"/>
                <w:sz w:val="20"/>
                <w:szCs w:val="20"/>
              </w:rPr>
            </w:pPr>
            <w:r w:rsidRPr="00746F54">
              <w:rPr>
                <w:rFonts w:ascii="Arial" w:eastAsia="Times New Roman" w:hAnsi="Arial" w:cs="Arial"/>
                <w:sz w:val="20"/>
                <w:szCs w:val="20"/>
              </w:rPr>
              <w:t xml:space="preserve">Load forecast capability  </w:t>
            </w:r>
          </w:p>
        </w:tc>
        <w:tc>
          <w:tcPr>
            <w:tcW w:w="1016" w:type="pct"/>
            <w:tcBorders>
              <w:top w:val="single" w:sz="4" w:space="0" w:color="auto"/>
              <w:left w:val="nil"/>
              <w:bottom w:val="single" w:sz="4" w:space="0" w:color="auto"/>
              <w:right w:val="single" w:sz="4" w:space="0" w:color="auto"/>
            </w:tcBorders>
            <w:hideMark/>
          </w:tcPr>
          <w:p w14:paraId="63CA4385" w14:textId="77777777" w:rsidR="00BF44CA" w:rsidRPr="00746F54" w:rsidRDefault="00BF44CA" w:rsidP="00BF44CA">
            <w:pPr>
              <w:spacing w:after="0" w:line="240" w:lineRule="auto"/>
              <w:rPr>
                <w:rFonts w:ascii="Arial" w:eastAsia="Times New Roman" w:hAnsi="Arial" w:cs="Arial"/>
                <w:sz w:val="20"/>
                <w:szCs w:val="20"/>
              </w:rPr>
            </w:pPr>
            <w:r w:rsidRPr="00746F54">
              <w:rPr>
                <w:rFonts w:ascii="Arial" w:eastAsia="Times New Roman" w:hAnsi="Arial" w:cs="Arial"/>
                <w:sz w:val="20"/>
                <w:szCs w:val="20"/>
              </w:rPr>
              <w:t>·  Definition of EDAM demand day ahead forecast boundaries based on the conforming and non-conforming load characteristics, as applicable</w:t>
            </w:r>
            <w:r w:rsidRPr="00746F54">
              <w:rPr>
                <w:rFonts w:ascii="Arial" w:eastAsia="Times New Roman" w:hAnsi="Arial" w:cs="Arial"/>
                <w:sz w:val="20"/>
                <w:szCs w:val="20"/>
              </w:rPr>
              <w:br/>
              <w:t>·  Documentation of EDAM Entity’s choice of day-ahead demand forecast provider and how the demand forecast will be completed</w:t>
            </w:r>
            <w:r w:rsidRPr="00746F54">
              <w:rPr>
                <w:rFonts w:ascii="Arial" w:eastAsia="Times New Roman" w:hAnsi="Arial" w:cs="Arial"/>
                <w:sz w:val="20"/>
                <w:szCs w:val="20"/>
              </w:rPr>
              <w:br/>
              <w:t>·  If EDAM Entity chooses to self-submit a demand forecast for use in EDAM, WEIM, and RC West, and if Entity meets all ISO Tariff and forecast capability requirements</w:t>
            </w:r>
            <w:r w:rsidRPr="00746F54">
              <w:rPr>
                <w:rFonts w:ascii="Arial" w:eastAsia="Times New Roman" w:hAnsi="Arial" w:cs="Arial"/>
                <w:sz w:val="20"/>
                <w:szCs w:val="20"/>
              </w:rPr>
              <w:br/>
              <w:t>·   If entity provided day ahead demand forecast, then sign off on data flow of required demand forecast data from entity</w:t>
            </w:r>
            <w:r w:rsidRPr="00746F54">
              <w:rPr>
                <w:rFonts w:ascii="Arial" w:eastAsia="Times New Roman" w:hAnsi="Arial" w:cs="Arial"/>
                <w:sz w:val="20"/>
                <w:szCs w:val="20"/>
              </w:rPr>
              <w:br/>
              <w:t xml:space="preserve">·  Submittal of accuracy and evaluation of the ISO or entity provided day ahead demand forecast of EDAM demand based on </w:t>
            </w:r>
            <w:r w:rsidRPr="00746F54">
              <w:rPr>
                <w:rFonts w:ascii="Arial" w:eastAsia="Times New Roman" w:hAnsi="Arial" w:cs="Arial"/>
                <w:sz w:val="20"/>
                <w:szCs w:val="20"/>
              </w:rPr>
              <w:lastRenderedPageBreak/>
              <w:t>historical actual load data for the defined EIM demand forecast boundaries</w:t>
            </w:r>
            <w:r w:rsidRPr="00746F54">
              <w:rPr>
                <w:rFonts w:ascii="Arial" w:eastAsia="Times New Roman" w:hAnsi="Arial" w:cs="Arial"/>
                <w:sz w:val="20"/>
                <w:szCs w:val="20"/>
              </w:rPr>
              <w:br/>
              <w:t>·   Identification of weather station(s) locations used in forecasting, if applicable</w:t>
            </w:r>
          </w:p>
        </w:tc>
        <w:tc>
          <w:tcPr>
            <w:tcW w:w="1060" w:type="pct"/>
            <w:tcBorders>
              <w:top w:val="nil"/>
              <w:left w:val="nil"/>
              <w:bottom w:val="single" w:sz="4" w:space="0" w:color="auto"/>
              <w:right w:val="single" w:sz="4" w:space="0" w:color="auto"/>
            </w:tcBorders>
            <w:hideMark/>
          </w:tcPr>
          <w:p w14:paraId="618D2BE4" w14:textId="77777777" w:rsidR="00BF44CA" w:rsidRPr="00746F54" w:rsidRDefault="00BF44CA" w:rsidP="00BF44CA">
            <w:pPr>
              <w:spacing w:after="0" w:line="240" w:lineRule="auto"/>
              <w:rPr>
                <w:rFonts w:ascii="Arial" w:eastAsia="Times New Roman" w:hAnsi="Arial" w:cs="Arial"/>
                <w:sz w:val="20"/>
                <w:szCs w:val="20"/>
              </w:rPr>
            </w:pPr>
            <w:r w:rsidRPr="00746F54">
              <w:rPr>
                <w:rFonts w:ascii="Arial" w:eastAsia="Times New Roman" w:hAnsi="Arial" w:cs="Arial"/>
                <w:sz w:val="20"/>
                <w:szCs w:val="20"/>
              </w:rPr>
              <w:lastRenderedPageBreak/>
              <w:t>All Plant Information (PI) tags and historical data for defined load area(s), and non-conforming load, if applicable, compared with DA load forecasts provided. EDAM Entity provides confirmation via documentation provided stating demand forecast boundaries for its conforming and non-conforming load characteristics and choice of demand forecast provider for Market and RC. If ISO Forecasting is selected: EDAM BAA and ISO will provide document with weather stations utilized and weightings EDAM Entity providing external forecast must demonstrate delivery of Unit MW forecast by 6am for 1 day ahead through 7 days ahead.</w:t>
            </w:r>
          </w:p>
        </w:tc>
        <w:tc>
          <w:tcPr>
            <w:tcW w:w="1328" w:type="pct"/>
            <w:tcBorders>
              <w:top w:val="nil"/>
              <w:left w:val="nil"/>
              <w:bottom w:val="single" w:sz="4" w:space="0" w:color="auto"/>
              <w:right w:val="single" w:sz="4" w:space="0" w:color="auto"/>
            </w:tcBorders>
            <w:hideMark/>
          </w:tcPr>
          <w:p w14:paraId="7FD9BD37" w14:textId="77777777" w:rsidR="00BF44CA" w:rsidRPr="00746F54" w:rsidRDefault="00BF44CA" w:rsidP="00BF44CA">
            <w:pPr>
              <w:spacing w:after="0" w:line="240" w:lineRule="auto"/>
              <w:rPr>
                <w:rFonts w:ascii="Arial" w:eastAsia="Times New Roman" w:hAnsi="Arial" w:cs="Arial"/>
                <w:sz w:val="20"/>
                <w:szCs w:val="20"/>
              </w:rPr>
            </w:pPr>
            <w:r w:rsidRPr="00746F54">
              <w:rPr>
                <w:rFonts w:ascii="Arial" w:eastAsia="Times New Roman" w:hAnsi="Arial" w:cs="Arial"/>
                <w:sz w:val="20"/>
                <w:szCs w:val="20"/>
              </w:rPr>
              <w:t xml:space="preserve">ISO Short term Forecasting team provides Demand Forecasting Report analyzing hourly demand forecast accuracy. Note the forecast accuracy may be evaluated against STF-generated forecasts from prior years and/or the EDAM entity’s externally provided forecast. Multiple metrics across multiple evaluation horizons may be included, such as average MAPE across all hours or MAE during peak hour.  </w:t>
            </w:r>
          </w:p>
        </w:tc>
      </w:tr>
      <w:tr w:rsidR="00BF44CA" w:rsidRPr="00746F54" w14:paraId="0248D42F" w14:textId="77777777" w:rsidTr="00FA407A">
        <w:trPr>
          <w:trHeight w:val="3315"/>
        </w:trPr>
        <w:tc>
          <w:tcPr>
            <w:tcW w:w="299" w:type="pct"/>
            <w:tcBorders>
              <w:top w:val="nil"/>
              <w:left w:val="single" w:sz="4" w:space="0" w:color="auto"/>
              <w:bottom w:val="single" w:sz="4" w:space="0" w:color="auto"/>
              <w:right w:val="single" w:sz="4" w:space="0" w:color="auto"/>
            </w:tcBorders>
            <w:shd w:val="clear" w:color="000000" w:fill="D9D9D9"/>
            <w:noWrap/>
            <w:hideMark/>
          </w:tcPr>
          <w:p w14:paraId="3CEB59ED" w14:textId="77777777" w:rsidR="00BF44CA" w:rsidRPr="00746F54" w:rsidRDefault="00BF44CA" w:rsidP="00BF44CA">
            <w:pPr>
              <w:spacing w:after="0" w:line="240" w:lineRule="auto"/>
              <w:rPr>
                <w:rFonts w:ascii="Arial" w:eastAsia="Times New Roman" w:hAnsi="Arial" w:cs="Arial"/>
                <w:b/>
                <w:bCs/>
                <w:sz w:val="20"/>
                <w:szCs w:val="20"/>
              </w:rPr>
            </w:pPr>
            <w:r w:rsidRPr="00746F54">
              <w:rPr>
                <w:rFonts w:ascii="Arial" w:eastAsia="Times New Roman" w:hAnsi="Arial" w:cs="Arial"/>
                <w:b/>
                <w:bCs/>
                <w:sz w:val="20"/>
                <w:szCs w:val="20"/>
              </w:rPr>
              <w:t>4</w:t>
            </w:r>
          </w:p>
        </w:tc>
        <w:tc>
          <w:tcPr>
            <w:tcW w:w="555" w:type="pct"/>
            <w:tcBorders>
              <w:top w:val="nil"/>
              <w:left w:val="nil"/>
              <w:bottom w:val="single" w:sz="4" w:space="0" w:color="auto"/>
              <w:right w:val="single" w:sz="4" w:space="0" w:color="auto"/>
            </w:tcBorders>
            <w:shd w:val="clear" w:color="000000" w:fill="D9D9D9"/>
            <w:hideMark/>
          </w:tcPr>
          <w:p w14:paraId="2BE5BAF5" w14:textId="77777777" w:rsidR="00BF44CA" w:rsidRPr="00746F54" w:rsidRDefault="00BF44CA" w:rsidP="00BF44CA">
            <w:pPr>
              <w:spacing w:after="0" w:line="240" w:lineRule="auto"/>
              <w:rPr>
                <w:rFonts w:ascii="Arial" w:eastAsia="Times New Roman" w:hAnsi="Arial" w:cs="Arial"/>
                <w:b/>
                <w:bCs/>
                <w:sz w:val="20"/>
                <w:szCs w:val="20"/>
              </w:rPr>
            </w:pPr>
            <w:r w:rsidRPr="00746F54">
              <w:rPr>
                <w:rFonts w:ascii="Arial" w:eastAsia="Times New Roman" w:hAnsi="Arial" w:cs="Arial"/>
                <w:b/>
                <w:bCs/>
                <w:sz w:val="20"/>
                <w:szCs w:val="20"/>
              </w:rPr>
              <w:t>Forecasting Capability</w:t>
            </w:r>
          </w:p>
        </w:tc>
        <w:tc>
          <w:tcPr>
            <w:tcW w:w="742" w:type="pct"/>
            <w:tcBorders>
              <w:top w:val="nil"/>
              <w:left w:val="nil"/>
              <w:bottom w:val="single" w:sz="4" w:space="0" w:color="auto"/>
              <w:right w:val="single" w:sz="4" w:space="0" w:color="auto"/>
            </w:tcBorders>
            <w:hideMark/>
          </w:tcPr>
          <w:p w14:paraId="27420506" w14:textId="77777777" w:rsidR="00BF44CA" w:rsidRPr="00746F54" w:rsidRDefault="00BF44CA" w:rsidP="00BF44CA">
            <w:pPr>
              <w:spacing w:after="0" w:line="240" w:lineRule="auto"/>
              <w:rPr>
                <w:rFonts w:ascii="Arial" w:eastAsia="Times New Roman" w:hAnsi="Arial" w:cs="Arial"/>
                <w:sz w:val="20"/>
                <w:szCs w:val="20"/>
              </w:rPr>
            </w:pPr>
            <w:r w:rsidRPr="00746F54">
              <w:rPr>
                <w:rFonts w:ascii="Arial" w:eastAsia="Times New Roman" w:hAnsi="Arial" w:cs="Arial"/>
                <w:sz w:val="20"/>
                <w:szCs w:val="20"/>
              </w:rPr>
              <w:t xml:space="preserve">Variable Energy Resource (VER) forecast capability </w:t>
            </w:r>
          </w:p>
        </w:tc>
        <w:tc>
          <w:tcPr>
            <w:tcW w:w="1016" w:type="pct"/>
            <w:tcBorders>
              <w:top w:val="nil"/>
              <w:left w:val="nil"/>
              <w:bottom w:val="single" w:sz="4" w:space="0" w:color="auto"/>
              <w:right w:val="single" w:sz="4" w:space="0" w:color="auto"/>
            </w:tcBorders>
            <w:hideMark/>
          </w:tcPr>
          <w:p w14:paraId="2AC77D9D" w14:textId="77777777" w:rsidR="00BF44CA" w:rsidRPr="00746F54" w:rsidRDefault="00BF44CA" w:rsidP="00BF44CA">
            <w:pPr>
              <w:spacing w:after="0" w:line="240" w:lineRule="auto"/>
              <w:rPr>
                <w:rFonts w:ascii="Arial" w:eastAsia="Times New Roman" w:hAnsi="Arial" w:cs="Arial"/>
                <w:sz w:val="20"/>
                <w:szCs w:val="20"/>
              </w:rPr>
            </w:pPr>
            <w:r w:rsidRPr="00746F54">
              <w:rPr>
                <w:rFonts w:ascii="Arial" w:eastAsia="Times New Roman" w:hAnsi="Arial" w:cs="Arial"/>
                <w:sz w:val="20"/>
                <w:szCs w:val="20"/>
              </w:rPr>
              <w:t>·   Identification of the source of day ahead VER forecasts. (If a participating wind or solar unit requires a ISO forecast, then BPM and Tariff requirements apply.)</w:t>
            </w:r>
            <w:r w:rsidRPr="00746F54">
              <w:rPr>
                <w:rFonts w:ascii="Arial" w:eastAsia="Times New Roman" w:hAnsi="Arial" w:cs="Arial"/>
                <w:sz w:val="20"/>
                <w:szCs w:val="20"/>
              </w:rPr>
              <w:br/>
              <w:t>·   Accuracy of the ISO day ahead renewable forecast of EDAM VER resource</w:t>
            </w:r>
            <w:r w:rsidRPr="00746F54">
              <w:rPr>
                <w:rFonts w:ascii="Arial" w:eastAsia="Times New Roman" w:hAnsi="Arial" w:cs="Arial"/>
                <w:sz w:val="20"/>
                <w:szCs w:val="20"/>
              </w:rPr>
              <w:br/>
              <w:t xml:space="preserve">·   Identification of all Hybrid </w:t>
            </w:r>
            <w:r w:rsidRPr="00746F54">
              <w:rPr>
                <w:rFonts w:ascii="Arial" w:eastAsia="Times New Roman" w:hAnsi="Arial" w:cs="Arial"/>
                <w:sz w:val="20"/>
                <w:szCs w:val="20"/>
              </w:rPr>
              <w:lastRenderedPageBreak/>
              <w:t>Resources and applicable tariff and BPM requirements are met</w:t>
            </w:r>
          </w:p>
        </w:tc>
        <w:tc>
          <w:tcPr>
            <w:tcW w:w="1060" w:type="pct"/>
            <w:tcBorders>
              <w:top w:val="nil"/>
              <w:left w:val="nil"/>
              <w:bottom w:val="nil"/>
              <w:right w:val="single" w:sz="4" w:space="0" w:color="auto"/>
            </w:tcBorders>
            <w:hideMark/>
          </w:tcPr>
          <w:p w14:paraId="422ABFFC" w14:textId="77777777" w:rsidR="00BF44CA" w:rsidRPr="00746F54" w:rsidRDefault="00BF44CA" w:rsidP="00BF44CA">
            <w:pPr>
              <w:spacing w:after="0" w:line="240" w:lineRule="auto"/>
              <w:rPr>
                <w:rFonts w:ascii="Arial" w:eastAsia="Times New Roman" w:hAnsi="Arial" w:cs="Arial"/>
                <w:sz w:val="20"/>
                <w:szCs w:val="20"/>
              </w:rPr>
            </w:pPr>
            <w:r w:rsidRPr="00746F54">
              <w:rPr>
                <w:rFonts w:ascii="Arial" w:eastAsia="Times New Roman" w:hAnsi="Arial" w:cs="Arial"/>
                <w:sz w:val="20"/>
                <w:szCs w:val="20"/>
              </w:rPr>
              <w:lastRenderedPageBreak/>
              <w:t xml:space="preserve">Real-time MW production PI tags for all Resources, and metrological measurements required for Hybrid Resources, compared with DA VER forecasts provided. EDAM entity confirms via documentation stating selection of VER Forecast Provider. EDAM Entity providing external forecast must demonstrate delivery of Unit MW forecast by 6am for 1 day ahead through 7 days ahead. EDAM Entity providing </w:t>
            </w:r>
            <w:r w:rsidRPr="00746F54">
              <w:rPr>
                <w:rFonts w:ascii="Arial" w:eastAsia="Times New Roman" w:hAnsi="Arial" w:cs="Arial"/>
                <w:sz w:val="20"/>
                <w:szCs w:val="20"/>
              </w:rPr>
              <w:lastRenderedPageBreak/>
              <w:t>external forecast must also provide DAM schedule.</w:t>
            </w:r>
          </w:p>
        </w:tc>
        <w:tc>
          <w:tcPr>
            <w:tcW w:w="1328" w:type="pct"/>
            <w:tcBorders>
              <w:top w:val="nil"/>
              <w:left w:val="single" w:sz="4" w:space="0" w:color="auto"/>
              <w:bottom w:val="single" w:sz="4" w:space="0" w:color="auto"/>
              <w:right w:val="single" w:sz="4" w:space="0" w:color="auto"/>
            </w:tcBorders>
            <w:hideMark/>
          </w:tcPr>
          <w:p w14:paraId="7D13F91D" w14:textId="77777777" w:rsidR="00BF44CA" w:rsidRPr="00746F54" w:rsidRDefault="00BF44CA" w:rsidP="00BF44CA">
            <w:pPr>
              <w:spacing w:after="0" w:line="240" w:lineRule="auto"/>
              <w:rPr>
                <w:rFonts w:ascii="Arial" w:eastAsia="Times New Roman" w:hAnsi="Arial" w:cs="Arial"/>
                <w:sz w:val="20"/>
                <w:szCs w:val="20"/>
              </w:rPr>
            </w:pPr>
            <w:r w:rsidRPr="00746F54">
              <w:rPr>
                <w:rFonts w:ascii="Arial" w:eastAsia="Times New Roman" w:hAnsi="Arial" w:cs="Arial"/>
                <w:sz w:val="20"/>
                <w:szCs w:val="20"/>
              </w:rPr>
              <w:lastRenderedPageBreak/>
              <w:t>ISO short term forecasting provides VER Forecasting report, analyzing VER forecast accuracy.</w:t>
            </w:r>
          </w:p>
        </w:tc>
      </w:tr>
      <w:tr w:rsidR="00BF44CA" w:rsidRPr="00746F54" w14:paraId="4A217EBC" w14:textId="77777777" w:rsidTr="00BF44CA">
        <w:trPr>
          <w:trHeight w:val="3060"/>
        </w:trPr>
        <w:tc>
          <w:tcPr>
            <w:tcW w:w="299" w:type="pct"/>
            <w:tcBorders>
              <w:top w:val="nil"/>
              <w:left w:val="single" w:sz="4" w:space="0" w:color="auto"/>
              <w:bottom w:val="single" w:sz="4" w:space="0" w:color="auto"/>
              <w:right w:val="single" w:sz="4" w:space="0" w:color="auto"/>
            </w:tcBorders>
            <w:shd w:val="clear" w:color="000000" w:fill="D9D9D9"/>
            <w:noWrap/>
            <w:hideMark/>
          </w:tcPr>
          <w:p w14:paraId="3F00D249" w14:textId="77777777" w:rsidR="00BF44CA" w:rsidRPr="00746F54" w:rsidRDefault="00BF44CA" w:rsidP="00BF44CA">
            <w:pPr>
              <w:spacing w:after="0" w:line="240" w:lineRule="auto"/>
              <w:rPr>
                <w:rFonts w:ascii="Arial" w:eastAsia="Times New Roman" w:hAnsi="Arial" w:cs="Arial"/>
                <w:b/>
                <w:bCs/>
                <w:sz w:val="20"/>
                <w:szCs w:val="20"/>
              </w:rPr>
            </w:pPr>
            <w:r w:rsidRPr="00746F54">
              <w:rPr>
                <w:rFonts w:ascii="Arial" w:eastAsia="Times New Roman" w:hAnsi="Arial" w:cs="Arial"/>
                <w:b/>
                <w:bCs/>
                <w:sz w:val="20"/>
                <w:szCs w:val="20"/>
              </w:rPr>
              <w:t>5</w:t>
            </w:r>
          </w:p>
        </w:tc>
        <w:tc>
          <w:tcPr>
            <w:tcW w:w="555" w:type="pct"/>
            <w:tcBorders>
              <w:top w:val="nil"/>
              <w:left w:val="nil"/>
              <w:bottom w:val="single" w:sz="4" w:space="0" w:color="auto"/>
              <w:right w:val="single" w:sz="4" w:space="0" w:color="auto"/>
            </w:tcBorders>
            <w:shd w:val="clear" w:color="000000" w:fill="D9D9D9"/>
            <w:hideMark/>
          </w:tcPr>
          <w:p w14:paraId="1D9011BE" w14:textId="77777777" w:rsidR="00BF44CA" w:rsidRPr="00746F54" w:rsidRDefault="00BF44CA" w:rsidP="00BF44CA">
            <w:pPr>
              <w:spacing w:after="0" w:line="240" w:lineRule="auto"/>
              <w:rPr>
                <w:rFonts w:ascii="Arial" w:eastAsia="Times New Roman" w:hAnsi="Arial" w:cs="Arial"/>
                <w:b/>
                <w:bCs/>
                <w:sz w:val="20"/>
                <w:szCs w:val="20"/>
              </w:rPr>
            </w:pPr>
            <w:r w:rsidRPr="00746F54">
              <w:rPr>
                <w:rFonts w:ascii="Arial" w:eastAsia="Times New Roman" w:hAnsi="Arial" w:cs="Arial"/>
                <w:b/>
                <w:bCs/>
                <w:sz w:val="20"/>
                <w:szCs w:val="20"/>
              </w:rPr>
              <w:t>Forecasting Capability</w:t>
            </w:r>
          </w:p>
        </w:tc>
        <w:tc>
          <w:tcPr>
            <w:tcW w:w="742" w:type="pct"/>
            <w:tcBorders>
              <w:top w:val="nil"/>
              <w:left w:val="nil"/>
              <w:bottom w:val="single" w:sz="4" w:space="0" w:color="auto"/>
              <w:right w:val="single" w:sz="4" w:space="0" w:color="auto"/>
            </w:tcBorders>
            <w:hideMark/>
          </w:tcPr>
          <w:p w14:paraId="3B055AA0" w14:textId="77777777" w:rsidR="00BF44CA" w:rsidRPr="00746F54" w:rsidRDefault="00BF44CA" w:rsidP="00BF44CA">
            <w:pPr>
              <w:spacing w:after="0" w:line="240" w:lineRule="auto"/>
              <w:rPr>
                <w:rFonts w:ascii="Arial" w:eastAsia="Times New Roman" w:hAnsi="Arial" w:cs="Arial"/>
                <w:sz w:val="20"/>
                <w:szCs w:val="20"/>
              </w:rPr>
            </w:pPr>
            <w:r w:rsidRPr="00746F54">
              <w:rPr>
                <w:rFonts w:ascii="Arial" w:eastAsia="Times New Roman" w:hAnsi="Arial" w:cs="Arial"/>
                <w:sz w:val="20"/>
                <w:szCs w:val="20"/>
              </w:rPr>
              <w:t>Imbalance reserve requirements (IR)</w:t>
            </w:r>
          </w:p>
        </w:tc>
        <w:tc>
          <w:tcPr>
            <w:tcW w:w="1016" w:type="pct"/>
            <w:tcBorders>
              <w:top w:val="nil"/>
              <w:left w:val="nil"/>
              <w:bottom w:val="single" w:sz="4" w:space="0" w:color="auto"/>
              <w:right w:val="single" w:sz="4" w:space="0" w:color="auto"/>
            </w:tcBorders>
            <w:hideMark/>
          </w:tcPr>
          <w:p w14:paraId="5772733B" w14:textId="77777777" w:rsidR="00BF44CA" w:rsidRPr="00746F54" w:rsidRDefault="00BF44CA" w:rsidP="00BF44CA">
            <w:pPr>
              <w:spacing w:after="0" w:line="240" w:lineRule="auto"/>
              <w:rPr>
                <w:rFonts w:ascii="Arial" w:eastAsia="Times New Roman" w:hAnsi="Arial" w:cs="Arial"/>
                <w:sz w:val="20"/>
                <w:szCs w:val="20"/>
              </w:rPr>
            </w:pPr>
            <w:r w:rsidRPr="00746F54">
              <w:rPr>
                <w:rFonts w:ascii="Arial" w:eastAsia="Times New Roman" w:hAnsi="Arial" w:cs="Arial"/>
                <w:sz w:val="20"/>
                <w:szCs w:val="20"/>
              </w:rPr>
              <w:t>·   Provision of ISO Historical data on Day Ahead Demand and renewable forecast information to fill the needed historical data period to produce the imbalance requirements at the net load level</w:t>
            </w:r>
            <w:r w:rsidRPr="00746F54">
              <w:rPr>
                <w:rFonts w:ascii="Arial" w:eastAsia="Times New Roman" w:hAnsi="Arial" w:cs="Arial"/>
                <w:sz w:val="20"/>
                <w:szCs w:val="20"/>
              </w:rPr>
              <w:br/>
              <w:t xml:space="preserve">·   ISO has established imbalance requirements for the prospective EDAM Entity Balancing Authority Area and the combined EDAM Area including the prospective EDAM Entity </w:t>
            </w:r>
          </w:p>
        </w:tc>
        <w:tc>
          <w:tcPr>
            <w:tcW w:w="1060" w:type="pct"/>
            <w:tcBorders>
              <w:top w:val="single" w:sz="4" w:space="0" w:color="auto"/>
              <w:left w:val="nil"/>
              <w:bottom w:val="single" w:sz="4" w:space="0" w:color="auto"/>
              <w:right w:val="single" w:sz="4" w:space="0" w:color="auto"/>
            </w:tcBorders>
            <w:hideMark/>
          </w:tcPr>
          <w:p w14:paraId="5CBB86BB" w14:textId="77777777" w:rsidR="00BF44CA" w:rsidRPr="00746F54" w:rsidRDefault="00BF44CA" w:rsidP="00BF44CA">
            <w:pPr>
              <w:spacing w:after="0" w:line="240" w:lineRule="auto"/>
              <w:rPr>
                <w:rFonts w:ascii="Arial" w:eastAsia="Times New Roman" w:hAnsi="Arial" w:cs="Arial"/>
                <w:sz w:val="20"/>
                <w:szCs w:val="20"/>
              </w:rPr>
            </w:pPr>
            <w:r w:rsidRPr="00746F54">
              <w:rPr>
                <w:rFonts w:ascii="Arial" w:eastAsia="Times New Roman" w:hAnsi="Arial" w:cs="Arial"/>
                <w:sz w:val="20"/>
                <w:szCs w:val="20"/>
              </w:rPr>
              <w:t>The ISO has received a CIDI ticket with historical data needed for initializing mosaic IR requirement from the prospective/onboarding EIM/EDAM Entity.</w:t>
            </w:r>
            <w:r w:rsidRPr="00746F54">
              <w:rPr>
                <w:rFonts w:ascii="Arial" w:eastAsia="Times New Roman" w:hAnsi="Arial" w:cs="Arial"/>
                <w:sz w:val="20"/>
                <w:szCs w:val="20"/>
              </w:rPr>
              <w:br/>
              <w:t xml:space="preserve">Internal &amp; Partially External - ISO load forecast and external VER deliveries need to be streaming to BARC (To integrate ALFS and downstream applications regardless of external deliveries) </w:t>
            </w:r>
          </w:p>
        </w:tc>
        <w:tc>
          <w:tcPr>
            <w:tcW w:w="1328" w:type="pct"/>
            <w:tcBorders>
              <w:top w:val="nil"/>
              <w:left w:val="nil"/>
              <w:bottom w:val="single" w:sz="4" w:space="0" w:color="auto"/>
              <w:right w:val="single" w:sz="4" w:space="0" w:color="auto"/>
            </w:tcBorders>
            <w:hideMark/>
          </w:tcPr>
          <w:p w14:paraId="212CAE25" w14:textId="77777777" w:rsidR="00BF44CA" w:rsidRPr="00746F54" w:rsidRDefault="00BF44CA" w:rsidP="00BF44CA">
            <w:pPr>
              <w:spacing w:after="0" w:line="240" w:lineRule="auto"/>
              <w:rPr>
                <w:rFonts w:ascii="Arial" w:eastAsia="Times New Roman" w:hAnsi="Arial" w:cs="Arial"/>
                <w:sz w:val="20"/>
                <w:szCs w:val="20"/>
              </w:rPr>
            </w:pPr>
            <w:r w:rsidRPr="00746F54">
              <w:rPr>
                <w:rFonts w:ascii="Arial" w:eastAsia="Times New Roman" w:hAnsi="Arial" w:cs="Arial"/>
                <w:sz w:val="20"/>
                <w:szCs w:val="20"/>
              </w:rPr>
              <w:t xml:space="preserve">ISO Short term Forecasting team provides IR in stage environment market output and IR accuracy report. </w:t>
            </w:r>
          </w:p>
        </w:tc>
      </w:tr>
      <w:tr w:rsidR="00BF44CA" w:rsidRPr="00746F54" w14:paraId="26135EC0" w14:textId="77777777" w:rsidTr="00BF44CA">
        <w:trPr>
          <w:trHeight w:val="2040"/>
        </w:trPr>
        <w:tc>
          <w:tcPr>
            <w:tcW w:w="299" w:type="pct"/>
            <w:tcBorders>
              <w:top w:val="nil"/>
              <w:left w:val="single" w:sz="4" w:space="0" w:color="auto"/>
              <w:bottom w:val="single" w:sz="4" w:space="0" w:color="auto"/>
              <w:right w:val="single" w:sz="4" w:space="0" w:color="auto"/>
            </w:tcBorders>
            <w:shd w:val="clear" w:color="000000" w:fill="D9D9D9"/>
            <w:noWrap/>
            <w:hideMark/>
          </w:tcPr>
          <w:p w14:paraId="0207BC1B" w14:textId="77777777" w:rsidR="00BF44CA" w:rsidRPr="00746F54" w:rsidRDefault="00BF44CA" w:rsidP="00BF44CA">
            <w:pPr>
              <w:spacing w:after="0" w:line="240" w:lineRule="auto"/>
              <w:rPr>
                <w:rFonts w:ascii="Arial" w:eastAsia="Times New Roman" w:hAnsi="Arial" w:cs="Arial"/>
                <w:b/>
                <w:bCs/>
                <w:sz w:val="20"/>
                <w:szCs w:val="20"/>
              </w:rPr>
            </w:pPr>
            <w:r w:rsidRPr="00746F54">
              <w:rPr>
                <w:rFonts w:ascii="Arial" w:eastAsia="Times New Roman" w:hAnsi="Arial" w:cs="Arial"/>
                <w:b/>
                <w:bCs/>
                <w:sz w:val="20"/>
                <w:szCs w:val="20"/>
              </w:rPr>
              <w:lastRenderedPageBreak/>
              <w:t>6</w:t>
            </w:r>
          </w:p>
        </w:tc>
        <w:tc>
          <w:tcPr>
            <w:tcW w:w="555" w:type="pct"/>
            <w:tcBorders>
              <w:top w:val="nil"/>
              <w:left w:val="nil"/>
              <w:bottom w:val="single" w:sz="4" w:space="0" w:color="auto"/>
              <w:right w:val="single" w:sz="4" w:space="0" w:color="auto"/>
            </w:tcBorders>
            <w:shd w:val="clear" w:color="000000" w:fill="D9D9D9"/>
            <w:hideMark/>
          </w:tcPr>
          <w:p w14:paraId="7DC8080F" w14:textId="77777777" w:rsidR="00BF44CA" w:rsidRPr="00746F54" w:rsidRDefault="00BF44CA" w:rsidP="00BF44CA">
            <w:pPr>
              <w:spacing w:after="0" w:line="240" w:lineRule="auto"/>
              <w:rPr>
                <w:rFonts w:ascii="Arial" w:eastAsia="Times New Roman" w:hAnsi="Arial" w:cs="Arial"/>
                <w:b/>
                <w:bCs/>
                <w:sz w:val="20"/>
                <w:szCs w:val="20"/>
              </w:rPr>
            </w:pPr>
            <w:r w:rsidRPr="00746F54">
              <w:rPr>
                <w:rFonts w:ascii="Arial" w:eastAsia="Times New Roman" w:hAnsi="Arial" w:cs="Arial"/>
                <w:b/>
                <w:bCs/>
                <w:sz w:val="20"/>
                <w:szCs w:val="20"/>
              </w:rPr>
              <w:t>Resource Sufficiency Evaluation</w:t>
            </w:r>
          </w:p>
        </w:tc>
        <w:tc>
          <w:tcPr>
            <w:tcW w:w="742" w:type="pct"/>
            <w:tcBorders>
              <w:top w:val="nil"/>
              <w:left w:val="nil"/>
              <w:bottom w:val="single" w:sz="4" w:space="0" w:color="auto"/>
              <w:right w:val="single" w:sz="4" w:space="0" w:color="auto"/>
            </w:tcBorders>
            <w:hideMark/>
          </w:tcPr>
          <w:p w14:paraId="7DEA26C0" w14:textId="77777777" w:rsidR="00BF44CA" w:rsidRPr="00746F54" w:rsidRDefault="00BF44CA" w:rsidP="00BF44CA">
            <w:pPr>
              <w:spacing w:after="0" w:line="240" w:lineRule="auto"/>
              <w:rPr>
                <w:rFonts w:ascii="Arial" w:eastAsia="Times New Roman" w:hAnsi="Arial" w:cs="Arial"/>
                <w:sz w:val="20"/>
                <w:szCs w:val="20"/>
              </w:rPr>
            </w:pPr>
            <w:r w:rsidRPr="00746F54">
              <w:rPr>
                <w:rFonts w:ascii="Arial" w:eastAsia="Times New Roman" w:hAnsi="Arial" w:cs="Arial"/>
                <w:sz w:val="20"/>
                <w:szCs w:val="20"/>
              </w:rPr>
              <w:t>Resource Sufficiency Evaluation Test</w:t>
            </w:r>
          </w:p>
        </w:tc>
        <w:tc>
          <w:tcPr>
            <w:tcW w:w="1016" w:type="pct"/>
            <w:tcBorders>
              <w:top w:val="nil"/>
              <w:left w:val="nil"/>
              <w:bottom w:val="single" w:sz="4" w:space="0" w:color="auto"/>
              <w:right w:val="single" w:sz="4" w:space="0" w:color="auto"/>
            </w:tcBorders>
            <w:hideMark/>
          </w:tcPr>
          <w:p w14:paraId="1ADD9BE6" w14:textId="77777777" w:rsidR="00BF44CA" w:rsidRPr="00746F54" w:rsidRDefault="00BF44CA" w:rsidP="00BF44CA">
            <w:pPr>
              <w:spacing w:after="0" w:line="240" w:lineRule="auto"/>
              <w:rPr>
                <w:rFonts w:ascii="Arial" w:eastAsia="Times New Roman" w:hAnsi="Arial" w:cs="Arial"/>
                <w:sz w:val="20"/>
                <w:szCs w:val="20"/>
              </w:rPr>
            </w:pPr>
            <w:r w:rsidRPr="00746F54">
              <w:rPr>
                <w:rFonts w:ascii="Arial" w:eastAsia="Times New Roman" w:hAnsi="Arial" w:cs="Arial"/>
                <w:sz w:val="20"/>
                <w:szCs w:val="20"/>
              </w:rPr>
              <w:t>The prospective EDAM Entity Scheduling Coordinator demonstrates its ability to pass the resource sufficiency evaluation test for the prospective EDAM Entity’s Balancing Authority Area</w:t>
            </w:r>
          </w:p>
        </w:tc>
        <w:tc>
          <w:tcPr>
            <w:tcW w:w="1060" w:type="pct"/>
            <w:tcBorders>
              <w:top w:val="nil"/>
              <w:left w:val="nil"/>
              <w:bottom w:val="single" w:sz="4" w:space="0" w:color="auto"/>
              <w:right w:val="single" w:sz="4" w:space="0" w:color="auto"/>
            </w:tcBorders>
            <w:hideMark/>
          </w:tcPr>
          <w:p w14:paraId="42B27BAE" w14:textId="77777777" w:rsidR="00BF44CA" w:rsidRPr="00746F54" w:rsidRDefault="00BF44CA" w:rsidP="00BF44CA">
            <w:pPr>
              <w:spacing w:after="0" w:line="240" w:lineRule="auto"/>
              <w:rPr>
                <w:rFonts w:ascii="Arial" w:eastAsia="Times New Roman" w:hAnsi="Arial" w:cs="Arial"/>
                <w:sz w:val="20"/>
                <w:szCs w:val="20"/>
              </w:rPr>
            </w:pPr>
            <w:r w:rsidRPr="00746F54">
              <w:rPr>
                <w:rFonts w:ascii="Arial" w:eastAsia="Times New Roman" w:hAnsi="Arial" w:cs="Arial"/>
                <w:sz w:val="20"/>
                <w:szCs w:val="20"/>
              </w:rPr>
              <w:t>Resource Sufficiency Evaluation Test passes 90% of the time (22 hours of the 2- hour day) or greater, with failed hourly intervals within 5% for each failed hour for five non-consecutive days during Parallel Operations.</w:t>
            </w:r>
          </w:p>
        </w:tc>
        <w:tc>
          <w:tcPr>
            <w:tcW w:w="1328" w:type="pct"/>
            <w:tcBorders>
              <w:top w:val="nil"/>
              <w:left w:val="nil"/>
              <w:bottom w:val="single" w:sz="4" w:space="0" w:color="auto"/>
              <w:right w:val="single" w:sz="4" w:space="0" w:color="auto"/>
            </w:tcBorders>
            <w:hideMark/>
          </w:tcPr>
          <w:p w14:paraId="543F93BB" w14:textId="77777777" w:rsidR="00BF44CA" w:rsidRPr="00746F54" w:rsidRDefault="00BF44CA" w:rsidP="00BF44CA">
            <w:pPr>
              <w:spacing w:after="0" w:line="240" w:lineRule="auto"/>
              <w:rPr>
                <w:rFonts w:ascii="Arial" w:eastAsia="Times New Roman" w:hAnsi="Arial" w:cs="Arial"/>
                <w:sz w:val="20"/>
                <w:szCs w:val="20"/>
              </w:rPr>
            </w:pPr>
            <w:r w:rsidRPr="00746F54">
              <w:rPr>
                <w:rFonts w:ascii="Arial" w:eastAsia="Times New Roman" w:hAnsi="Arial" w:cs="Arial"/>
                <w:sz w:val="20"/>
                <w:szCs w:val="20"/>
              </w:rPr>
              <w:t>Screen shots of the RSE reports from CMRI report showing the 90% pass rate</w:t>
            </w:r>
          </w:p>
        </w:tc>
      </w:tr>
      <w:tr w:rsidR="00BF44CA" w:rsidRPr="00746F54" w14:paraId="58F43D0A" w14:textId="77777777" w:rsidTr="00BF44CA">
        <w:trPr>
          <w:trHeight w:val="1785"/>
        </w:trPr>
        <w:tc>
          <w:tcPr>
            <w:tcW w:w="299" w:type="pct"/>
            <w:tcBorders>
              <w:top w:val="nil"/>
              <w:left w:val="single" w:sz="4" w:space="0" w:color="auto"/>
              <w:bottom w:val="single" w:sz="4" w:space="0" w:color="auto"/>
              <w:right w:val="single" w:sz="4" w:space="0" w:color="auto"/>
            </w:tcBorders>
            <w:shd w:val="clear" w:color="000000" w:fill="D9D9D9"/>
            <w:noWrap/>
            <w:hideMark/>
          </w:tcPr>
          <w:p w14:paraId="5026C237" w14:textId="77777777" w:rsidR="00BF44CA" w:rsidRPr="00746F54" w:rsidRDefault="00BF44CA" w:rsidP="00BF44CA">
            <w:pPr>
              <w:spacing w:after="0" w:line="240" w:lineRule="auto"/>
              <w:rPr>
                <w:rFonts w:ascii="Arial" w:eastAsia="Times New Roman" w:hAnsi="Arial" w:cs="Arial"/>
                <w:b/>
                <w:bCs/>
                <w:sz w:val="20"/>
                <w:szCs w:val="20"/>
              </w:rPr>
            </w:pPr>
            <w:r w:rsidRPr="00746F54">
              <w:rPr>
                <w:rFonts w:ascii="Arial" w:eastAsia="Times New Roman" w:hAnsi="Arial" w:cs="Arial"/>
                <w:b/>
                <w:bCs/>
                <w:sz w:val="20"/>
                <w:szCs w:val="20"/>
              </w:rPr>
              <w:t>7</w:t>
            </w:r>
          </w:p>
        </w:tc>
        <w:tc>
          <w:tcPr>
            <w:tcW w:w="555" w:type="pct"/>
            <w:tcBorders>
              <w:top w:val="nil"/>
              <w:left w:val="nil"/>
              <w:bottom w:val="single" w:sz="4" w:space="0" w:color="auto"/>
              <w:right w:val="single" w:sz="4" w:space="0" w:color="auto"/>
            </w:tcBorders>
            <w:shd w:val="clear" w:color="000000" w:fill="D9D9D9"/>
            <w:hideMark/>
          </w:tcPr>
          <w:p w14:paraId="79F5A958" w14:textId="77777777" w:rsidR="00BF44CA" w:rsidRPr="00746F54" w:rsidRDefault="00BF44CA" w:rsidP="00BF44CA">
            <w:pPr>
              <w:spacing w:after="0" w:line="240" w:lineRule="auto"/>
              <w:rPr>
                <w:rFonts w:ascii="Arial" w:eastAsia="Times New Roman" w:hAnsi="Arial" w:cs="Arial"/>
                <w:b/>
                <w:bCs/>
                <w:sz w:val="20"/>
                <w:szCs w:val="20"/>
              </w:rPr>
            </w:pPr>
            <w:r w:rsidRPr="00746F54">
              <w:rPr>
                <w:rFonts w:ascii="Arial" w:eastAsia="Times New Roman" w:hAnsi="Arial" w:cs="Arial"/>
                <w:b/>
                <w:bCs/>
                <w:sz w:val="20"/>
                <w:szCs w:val="20"/>
              </w:rPr>
              <w:t>Transmission Availability</w:t>
            </w:r>
          </w:p>
        </w:tc>
        <w:tc>
          <w:tcPr>
            <w:tcW w:w="742" w:type="pct"/>
            <w:tcBorders>
              <w:top w:val="nil"/>
              <w:left w:val="nil"/>
              <w:bottom w:val="single" w:sz="4" w:space="0" w:color="auto"/>
              <w:right w:val="single" w:sz="4" w:space="0" w:color="auto"/>
            </w:tcBorders>
            <w:hideMark/>
          </w:tcPr>
          <w:p w14:paraId="606E8E5A" w14:textId="77777777" w:rsidR="00BF44CA" w:rsidRPr="00746F54" w:rsidRDefault="00BF44CA" w:rsidP="00BF44CA">
            <w:pPr>
              <w:spacing w:after="0" w:line="240" w:lineRule="auto"/>
              <w:rPr>
                <w:rFonts w:ascii="Arial" w:eastAsia="Times New Roman" w:hAnsi="Arial" w:cs="Arial"/>
                <w:sz w:val="20"/>
                <w:szCs w:val="20"/>
              </w:rPr>
            </w:pPr>
            <w:r w:rsidRPr="00746F54">
              <w:rPr>
                <w:rFonts w:ascii="Arial" w:eastAsia="Times New Roman" w:hAnsi="Arial" w:cs="Arial"/>
                <w:sz w:val="20"/>
                <w:szCs w:val="20"/>
              </w:rPr>
              <w:t>The prospective EDAM Entity registers with the ISO all the transfer path with other EDAM BAA that could be available for EDAM Transfers.</w:t>
            </w:r>
          </w:p>
        </w:tc>
        <w:tc>
          <w:tcPr>
            <w:tcW w:w="1016" w:type="pct"/>
            <w:tcBorders>
              <w:top w:val="nil"/>
              <w:left w:val="nil"/>
              <w:bottom w:val="single" w:sz="4" w:space="0" w:color="auto"/>
              <w:right w:val="single" w:sz="4" w:space="0" w:color="auto"/>
            </w:tcBorders>
            <w:hideMark/>
          </w:tcPr>
          <w:p w14:paraId="0C57F66E" w14:textId="77777777" w:rsidR="00BF44CA" w:rsidRPr="00746F54" w:rsidRDefault="00BF44CA" w:rsidP="00BF44CA">
            <w:pPr>
              <w:spacing w:after="0" w:line="240" w:lineRule="auto"/>
              <w:rPr>
                <w:rFonts w:ascii="Arial" w:eastAsia="Times New Roman" w:hAnsi="Arial" w:cs="Arial"/>
                <w:sz w:val="20"/>
                <w:szCs w:val="20"/>
              </w:rPr>
            </w:pPr>
            <w:r w:rsidRPr="00746F54">
              <w:rPr>
                <w:rFonts w:ascii="Arial" w:eastAsia="Times New Roman" w:hAnsi="Arial" w:cs="Arial"/>
                <w:sz w:val="20"/>
                <w:szCs w:val="20"/>
              </w:rPr>
              <w:t xml:space="preserve">Validation of the completed EDAM entity TSR definition template. </w:t>
            </w:r>
          </w:p>
        </w:tc>
        <w:tc>
          <w:tcPr>
            <w:tcW w:w="1060" w:type="pct"/>
            <w:tcBorders>
              <w:top w:val="nil"/>
              <w:left w:val="nil"/>
              <w:bottom w:val="single" w:sz="4" w:space="0" w:color="auto"/>
              <w:right w:val="single" w:sz="4" w:space="0" w:color="auto"/>
            </w:tcBorders>
            <w:hideMark/>
          </w:tcPr>
          <w:p w14:paraId="2595845F" w14:textId="77777777" w:rsidR="00BF44CA" w:rsidRPr="00746F54" w:rsidRDefault="00BF44CA" w:rsidP="00BF44CA">
            <w:pPr>
              <w:spacing w:after="0" w:line="240" w:lineRule="auto"/>
              <w:rPr>
                <w:rFonts w:ascii="Arial" w:eastAsia="Times New Roman" w:hAnsi="Arial" w:cs="Arial"/>
                <w:sz w:val="20"/>
                <w:szCs w:val="20"/>
              </w:rPr>
            </w:pPr>
            <w:r w:rsidRPr="00746F54">
              <w:rPr>
                <w:rFonts w:ascii="Arial" w:eastAsia="Times New Roman" w:hAnsi="Arial" w:cs="Arial"/>
                <w:sz w:val="20"/>
                <w:szCs w:val="20"/>
              </w:rPr>
              <w:t>The prospective EDAM entity submits the TSR definition template (before start of Market SIM) and it is approved by the ISO team, and successfully registered in advance of Parallel Operations.</w:t>
            </w:r>
          </w:p>
        </w:tc>
        <w:tc>
          <w:tcPr>
            <w:tcW w:w="1328" w:type="pct"/>
            <w:tcBorders>
              <w:top w:val="nil"/>
              <w:left w:val="nil"/>
              <w:bottom w:val="single" w:sz="4" w:space="0" w:color="auto"/>
              <w:right w:val="single" w:sz="4" w:space="0" w:color="auto"/>
            </w:tcBorders>
            <w:hideMark/>
          </w:tcPr>
          <w:p w14:paraId="74040301" w14:textId="77777777" w:rsidR="00BF44CA" w:rsidRPr="00746F54" w:rsidRDefault="00BF44CA" w:rsidP="00BF44CA">
            <w:pPr>
              <w:spacing w:after="0" w:line="240" w:lineRule="auto"/>
              <w:rPr>
                <w:rFonts w:ascii="Arial" w:eastAsia="Times New Roman" w:hAnsi="Arial" w:cs="Arial"/>
                <w:sz w:val="20"/>
                <w:szCs w:val="20"/>
              </w:rPr>
            </w:pPr>
            <w:r w:rsidRPr="00746F54">
              <w:rPr>
                <w:rFonts w:ascii="Arial" w:eastAsia="Times New Roman" w:hAnsi="Arial" w:cs="Arial"/>
                <w:sz w:val="20"/>
                <w:szCs w:val="20"/>
              </w:rPr>
              <w:t>TSR definition template approved by the ISO team</w:t>
            </w:r>
          </w:p>
        </w:tc>
      </w:tr>
      <w:tr w:rsidR="00BF44CA" w:rsidRPr="00746F54" w14:paraId="790B3ED6" w14:textId="77777777" w:rsidTr="00D173DE">
        <w:trPr>
          <w:trHeight w:val="4080"/>
        </w:trPr>
        <w:tc>
          <w:tcPr>
            <w:tcW w:w="299" w:type="pct"/>
            <w:tcBorders>
              <w:top w:val="nil"/>
              <w:left w:val="single" w:sz="4" w:space="0" w:color="auto"/>
              <w:bottom w:val="single" w:sz="4" w:space="0" w:color="auto"/>
              <w:right w:val="single" w:sz="4" w:space="0" w:color="auto"/>
            </w:tcBorders>
            <w:shd w:val="clear" w:color="000000" w:fill="D9D9D9"/>
            <w:noWrap/>
            <w:hideMark/>
          </w:tcPr>
          <w:p w14:paraId="2CD69641" w14:textId="77777777" w:rsidR="00BF44CA" w:rsidRPr="00746F54" w:rsidRDefault="00BF44CA" w:rsidP="00BF44CA">
            <w:pPr>
              <w:spacing w:after="0" w:line="240" w:lineRule="auto"/>
              <w:rPr>
                <w:rFonts w:ascii="Arial" w:eastAsia="Times New Roman" w:hAnsi="Arial" w:cs="Arial"/>
                <w:b/>
                <w:bCs/>
                <w:sz w:val="20"/>
                <w:szCs w:val="20"/>
              </w:rPr>
            </w:pPr>
            <w:r w:rsidRPr="00746F54">
              <w:rPr>
                <w:rFonts w:ascii="Arial" w:eastAsia="Times New Roman" w:hAnsi="Arial" w:cs="Arial"/>
                <w:b/>
                <w:bCs/>
                <w:sz w:val="20"/>
                <w:szCs w:val="20"/>
              </w:rPr>
              <w:t>8</w:t>
            </w:r>
          </w:p>
        </w:tc>
        <w:tc>
          <w:tcPr>
            <w:tcW w:w="555" w:type="pct"/>
            <w:tcBorders>
              <w:top w:val="nil"/>
              <w:left w:val="nil"/>
              <w:bottom w:val="single" w:sz="4" w:space="0" w:color="auto"/>
              <w:right w:val="single" w:sz="4" w:space="0" w:color="auto"/>
            </w:tcBorders>
            <w:shd w:val="clear" w:color="000000" w:fill="D9D9D9"/>
            <w:hideMark/>
          </w:tcPr>
          <w:p w14:paraId="3F4F0B7D" w14:textId="77777777" w:rsidR="00BF44CA" w:rsidRPr="00746F54" w:rsidRDefault="00BF44CA" w:rsidP="00BF44CA">
            <w:pPr>
              <w:spacing w:after="0" w:line="240" w:lineRule="auto"/>
              <w:rPr>
                <w:rFonts w:ascii="Arial" w:eastAsia="Times New Roman" w:hAnsi="Arial" w:cs="Arial"/>
                <w:b/>
                <w:bCs/>
                <w:sz w:val="20"/>
                <w:szCs w:val="20"/>
              </w:rPr>
            </w:pPr>
            <w:r w:rsidRPr="00746F54">
              <w:rPr>
                <w:rFonts w:ascii="Arial" w:eastAsia="Times New Roman" w:hAnsi="Arial" w:cs="Arial"/>
                <w:b/>
                <w:bCs/>
                <w:sz w:val="20"/>
                <w:szCs w:val="20"/>
              </w:rPr>
              <w:t>Operating Procedures</w:t>
            </w:r>
          </w:p>
        </w:tc>
        <w:tc>
          <w:tcPr>
            <w:tcW w:w="742" w:type="pct"/>
            <w:tcBorders>
              <w:top w:val="nil"/>
              <w:left w:val="nil"/>
              <w:bottom w:val="single" w:sz="4" w:space="0" w:color="auto"/>
              <w:right w:val="single" w:sz="4" w:space="0" w:color="auto"/>
            </w:tcBorders>
            <w:hideMark/>
          </w:tcPr>
          <w:p w14:paraId="56788603" w14:textId="77777777" w:rsidR="00BF44CA" w:rsidRPr="00746F54" w:rsidRDefault="00BF44CA" w:rsidP="00BF44CA">
            <w:pPr>
              <w:spacing w:after="0" w:line="240" w:lineRule="auto"/>
              <w:rPr>
                <w:rFonts w:ascii="Arial" w:eastAsia="Times New Roman" w:hAnsi="Arial" w:cs="Arial"/>
                <w:sz w:val="20"/>
                <w:szCs w:val="20"/>
              </w:rPr>
            </w:pPr>
            <w:r w:rsidRPr="00746F54">
              <w:rPr>
                <w:rFonts w:ascii="Arial" w:eastAsia="Times New Roman" w:hAnsi="Arial" w:cs="Arial"/>
                <w:sz w:val="20"/>
                <w:szCs w:val="20"/>
              </w:rPr>
              <w:t>Prospective EDAM Entity operating procedures</w:t>
            </w:r>
          </w:p>
        </w:tc>
        <w:tc>
          <w:tcPr>
            <w:tcW w:w="1016" w:type="pct"/>
            <w:tcBorders>
              <w:top w:val="nil"/>
              <w:left w:val="nil"/>
              <w:bottom w:val="single" w:sz="4" w:space="0" w:color="auto"/>
              <w:right w:val="single" w:sz="4" w:space="0" w:color="auto"/>
            </w:tcBorders>
            <w:hideMark/>
          </w:tcPr>
          <w:p w14:paraId="68BA057E" w14:textId="77777777" w:rsidR="00BF44CA" w:rsidRPr="00746F54" w:rsidRDefault="00BF44CA" w:rsidP="00BF44CA">
            <w:pPr>
              <w:spacing w:after="0" w:line="240" w:lineRule="auto"/>
              <w:rPr>
                <w:rFonts w:ascii="Arial" w:eastAsia="Times New Roman" w:hAnsi="Arial" w:cs="Arial"/>
                <w:sz w:val="20"/>
                <w:szCs w:val="20"/>
              </w:rPr>
            </w:pPr>
            <w:r w:rsidRPr="00746F54">
              <w:rPr>
                <w:rFonts w:ascii="Arial" w:eastAsia="Times New Roman" w:hAnsi="Arial" w:cs="Arial"/>
                <w:sz w:val="20"/>
                <w:szCs w:val="20"/>
              </w:rPr>
              <w:t>The prospective EDAM Entity’s operating procedures are defined, updated, and tested. If any EDAM Entity operating procedures may impact Entity customers’ participation in EDAM, then customers are properly notified.</w:t>
            </w:r>
          </w:p>
        </w:tc>
        <w:tc>
          <w:tcPr>
            <w:tcW w:w="1060" w:type="pct"/>
            <w:tcBorders>
              <w:top w:val="nil"/>
              <w:left w:val="nil"/>
              <w:bottom w:val="nil"/>
              <w:right w:val="single" w:sz="4" w:space="0" w:color="auto"/>
            </w:tcBorders>
            <w:hideMark/>
          </w:tcPr>
          <w:p w14:paraId="43719BE6" w14:textId="77777777" w:rsidR="00BF44CA" w:rsidRPr="00746F54" w:rsidRDefault="00BF44CA" w:rsidP="00BF44CA">
            <w:pPr>
              <w:spacing w:after="0" w:line="240" w:lineRule="auto"/>
              <w:rPr>
                <w:rFonts w:ascii="Arial" w:eastAsia="Times New Roman" w:hAnsi="Arial" w:cs="Arial"/>
                <w:sz w:val="20"/>
                <w:szCs w:val="20"/>
              </w:rPr>
            </w:pPr>
            <w:r w:rsidRPr="00746F54">
              <w:rPr>
                <w:rFonts w:ascii="Arial" w:eastAsia="Times New Roman" w:hAnsi="Arial" w:cs="Arial"/>
                <w:sz w:val="20"/>
                <w:szCs w:val="20"/>
              </w:rPr>
              <w:t>Prior to parallel operations, the prospective EDAM Entity’s operating procedures are defined, updated, and tested</w:t>
            </w:r>
            <w:r w:rsidRPr="00746F54">
              <w:rPr>
                <w:rFonts w:ascii="Arial" w:eastAsia="Times New Roman" w:hAnsi="Arial" w:cs="Arial"/>
                <w:strike/>
                <w:sz w:val="20"/>
                <w:szCs w:val="20"/>
              </w:rPr>
              <w:t>.</w:t>
            </w:r>
          </w:p>
        </w:tc>
        <w:tc>
          <w:tcPr>
            <w:tcW w:w="1328" w:type="pct"/>
            <w:tcBorders>
              <w:top w:val="nil"/>
              <w:left w:val="single" w:sz="4" w:space="0" w:color="auto"/>
              <w:bottom w:val="single" w:sz="4" w:space="0" w:color="auto"/>
              <w:right w:val="single" w:sz="4" w:space="0" w:color="auto"/>
            </w:tcBorders>
            <w:hideMark/>
          </w:tcPr>
          <w:p w14:paraId="78769A52" w14:textId="77777777" w:rsidR="00BF44CA" w:rsidRPr="00746F54" w:rsidRDefault="00BF44CA" w:rsidP="00BF44CA">
            <w:pPr>
              <w:spacing w:after="0" w:line="240" w:lineRule="auto"/>
              <w:rPr>
                <w:rFonts w:ascii="Arial" w:eastAsia="Times New Roman" w:hAnsi="Arial" w:cs="Arial"/>
                <w:sz w:val="20"/>
                <w:szCs w:val="20"/>
              </w:rPr>
            </w:pPr>
            <w:r w:rsidRPr="00746F54">
              <w:rPr>
                <w:rFonts w:ascii="Arial" w:eastAsia="Times New Roman" w:hAnsi="Arial" w:cs="Arial"/>
                <w:sz w:val="20"/>
                <w:szCs w:val="20"/>
              </w:rPr>
              <w:t>EDAM Entity provides screenshots and an email confirming the documentation is complete and updated, and that customers have been properly informed.</w:t>
            </w:r>
          </w:p>
        </w:tc>
      </w:tr>
      <w:tr w:rsidR="00BF44CA" w:rsidRPr="00746F54" w14:paraId="542E2961" w14:textId="77777777" w:rsidTr="00BF44CA">
        <w:trPr>
          <w:trHeight w:val="3060"/>
        </w:trPr>
        <w:tc>
          <w:tcPr>
            <w:tcW w:w="299" w:type="pct"/>
            <w:tcBorders>
              <w:top w:val="nil"/>
              <w:left w:val="single" w:sz="4" w:space="0" w:color="auto"/>
              <w:bottom w:val="single" w:sz="4" w:space="0" w:color="auto"/>
              <w:right w:val="single" w:sz="4" w:space="0" w:color="auto"/>
            </w:tcBorders>
            <w:shd w:val="clear" w:color="000000" w:fill="D9D9D9"/>
            <w:noWrap/>
            <w:hideMark/>
          </w:tcPr>
          <w:p w14:paraId="3F768C1B" w14:textId="77777777" w:rsidR="00BF44CA" w:rsidRPr="00746F54" w:rsidRDefault="00BF44CA" w:rsidP="00BF44CA">
            <w:pPr>
              <w:spacing w:after="0" w:line="240" w:lineRule="auto"/>
              <w:rPr>
                <w:rFonts w:ascii="Arial" w:eastAsia="Times New Roman" w:hAnsi="Arial" w:cs="Arial"/>
                <w:b/>
                <w:bCs/>
                <w:sz w:val="20"/>
                <w:szCs w:val="20"/>
              </w:rPr>
            </w:pPr>
            <w:r w:rsidRPr="00746F54">
              <w:rPr>
                <w:rFonts w:ascii="Arial" w:eastAsia="Times New Roman" w:hAnsi="Arial" w:cs="Arial"/>
                <w:b/>
                <w:bCs/>
                <w:sz w:val="20"/>
                <w:szCs w:val="20"/>
              </w:rPr>
              <w:lastRenderedPageBreak/>
              <w:t>9</w:t>
            </w:r>
          </w:p>
        </w:tc>
        <w:tc>
          <w:tcPr>
            <w:tcW w:w="555" w:type="pct"/>
            <w:tcBorders>
              <w:top w:val="nil"/>
              <w:left w:val="nil"/>
              <w:bottom w:val="single" w:sz="4" w:space="0" w:color="auto"/>
              <w:right w:val="single" w:sz="4" w:space="0" w:color="auto"/>
            </w:tcBorders>
            <w:shd w:val="clear" w:color="000000" w:fill="D9D9D9"/>
            <w:hideMark/>
          </w:tcPr>
          <w:p w14:paraId="41E9C518" w14:textId="77777777" w:rsidR="00BF44CA" w:rsidRPr="00746F54" w:rsidRDefault="00BF44CA" w:rsidP="00BF44CA">
            <w:pPr>
              <w:spacing w:after="0" w:line="240" w:lineRule="auto"/>
              <w:rPr>
                <w:rFonts w:ascii="Arial" w:eastAsia="Times New Roman" w:hAnsi="Arial" w:cs="Arial"/>
                <w:b/>
                <w:bCs/>
                <w:sz w:val="20"/>
                <w:szCs w:val="20"/>
              </w:rPr>
            </w:pPr>
            <w:r w:rsidRPr="00746F54">
              <w:rPr>
                <w:rFonts w:ascii="Arial" w:eastAsia="Times New Roman" w:hAnsi="Arial" w:cs="Arial"/>
                <w:b/>
                <w:bCs/>
                <w:sz w:val="20"/>
                <w:szCs w:val="20"/>
              </w:rPr>
              <w:t>System Readiness &amp; Integration</w:t>
            </w:r>
          </w:p>
        </w:tc>
        <w:tc>
          <w:tcPr>
            <w:tcW w:w="742" w:type="pct"/>
            <w:tcBorders>
              <w:top w:val="nil"/>
              <w:left w:val="nil"/>
              <w:bottom w:val="single" w:sz="4" w:space="0" w:color="auto"/>
              <w:right w:val="single" w:sz="4" w:space="0" w:color="auto"/>
            </w:tcBorders>
            <w:hideMark/>
          </w:tcPr>
          <w:p w14:paraId="403B0907" w14:textId="77777777" w:rsidR="00BF44CA" w:rsidRPr="00746F54" w:rsidRDefault="00BF44CA" w:rsidP="00BF44CA">
            <w:pPr>
              <w:spacing w:after="0" w:line="240" w:lineRule="auto"/>
              <w:rPr>
                <w:rFonts w:ascii="Arial" w:eastAsia="Times New Roman" w:hAnsi="Arial" w:cs="Arial"/>
                <w:sz w:val="20"/>
                <w:szCs w:val="20"/>
              </w:rPr>
            </w:pPr>
            <w:r w:rsidRPr="00746F54">
              <w:rPr>
                <w:rFonts w:ascii="Arial" w:eastAsia="Times New Roman" w:hAnsi="Arial" w:cs="Arial"/>
                <w:sz w:val="20"/>
                <w:szCs w:val="20"/>
              </w:rPr>
              <w:t xml:space="preserve">Prospective EDAM Entity Identification and system certificates and access  </w:t>
            </w:r>
          </w:p>
        </w:tc>
        <w:tc>
          <w:tcPr>
            <w:tcW w:w="1016" w:type="pct"/>
            <w:tcBorders>
              <w:top w:val="nil"/>
              <w:left w:val="nil"/>
              <w:bottom w:val="single" w:sz="4" w:space="0" w:color="auto"/>
              <w:right w:val="single" w:sz="4" w:space="0" w:color="auto"/>
            </w:tcBorders>
            <w:hideMark/>
          </w:tcPr>
          <w:p w14:paraId="33D62D2E" w14:textId="77777777" w:rsidR="00BF44CA" w:rsidRPr="00746F54" w:rsidRDefault="00BF44CA" w:rsidP="00BF44CA">
            <w:pPr>
              <w:spacing w:after="0" w:line="240" w:lineRule="auto"/>
              <w:rPr>
                <w:rFonts w:ascii="Arial" w:eastAsia="Times New Roman" w:hAnsi="Arial" w:cs="Arial"/>
                <w:sz w:val="20"/>
                <w:szCs w:val="20"/>
              </w:rPr>
            </w:pPr>
            <w:r w:rsidRPr="00746F54">
              <w:rPr>
                <w:rFonts w:ascii="Arial" w:eastAsia="Times New Roman" w:hAnsi="Arial" w:cs="Arial"/>
                <w:sz w:val="20"/>
                <w:szCs w:val="20"/>
              </w:rPr>
              <w:t>Validation of SCID’s and Resource ID’s. All prospective EDAM Entity employees who require system access to perform EDAM-related job functions identified and have necessary certificates.</w:t>
            </w:r>
          </w:p>
        </w:tc>
        <w:tc>
          <w:tcPr>
            <w:tcW w:w="1060" w:type="pct"/>
            <w:tcBorders>
              <w:top w:val="single" w:sz="4" w:space="0" w:color="auto"/>
              <w:left w:val="nil"/>
              <w:bottom w:val="single" w:sz="4" w:space="0" w:color="auto"/>
              <w:right w:val="single" w:sz="4" w:space="0" w:color="auto"/>
            </w:tcBorders>
            <w:hideMark/>
          </w:tcPr>
          <w:p w14:paraId="3A901D2C" w14:textId="77777777" w:rsidR="00BF44CA" w:rsidRPr="00746F54" w:rsidRDefault="00BF44CA" w:rsidP="00BF44CA">
            <w:pPr>
              <w:spacing w:after="0" w:line="240" w:lineRule="auto"/>
              <w:rPr>
                <w:rFonts w:ascii="Arial" w:eastAsia="Times New Roman" w:hAnsi="Arial" w:cs="Arial"/>
                <w:sz w:val="20"/>
                <w:szCs w:val="20"/>
              </w:rPr>
            </w:pPr>
            <w:r w:rsidRPr="00746F54">
              <w:rPr>
                <w:rFonts w:ascii="Arial" w:eastAsia="Times New Roman" w:hAnsi="Arial" w:cs="Arial"/>
                <w:sz w:val="20"/>
                <w:szCs w:val="20"/>
              </w:rPr>
              <w:t>All prospective EDAM Employees performing job functions for EDAM market are identified.</w:t>
            </w:r>
            <w:r w:rsidRPr="00746F54">
              <w:rPr>
                <w:rFonts w:ascii="Arial" w:eastAsia="Times New Roman" w:hAnsi="Arial" w:cs="Arial"/>
                <w:sz w:val="20"/>
                <w:szCs w:val="20"/>
              </w:rPr>
              <w:br/>
              <w:t xml:space="preserve">All ISO issued certificates are requested within the appropriate timeframes. </w:t>
            </w:r>
            <w:r w:rsidRPr="00746F54">
              <w:rPr>
                <w:rFonts w:ascii="Arial" w:eastAsia="Times New Roman" w:hAnsi="Arial" w:cs="Arial"/>
                <w:sz w:val="20"/>
                <w:szCs w:val="20"/>
              </w:rPr>
              <w:br/>
              <w:t>All identified employees provided the necessary EDAM system access certificates.</w:t>
            </w:r>
          </w:p>
        </w:tc>
        <w:tc>
          <w:tcPr>
            <w:tcW w:w="1328" w:type="pct"/>
            <w:tcBorders>
              <w:top w:val="nil"/>
              <w:left w:val="nil"/>
              <w:bottom w:val="single" w:sz="4" w:space="0" w:color="auto"/>
              <w:right w:val="single" w:sz="4" w:space="0" w:color="auto"/>
            </w:tcBorders>
            <w:hideMark/>
          </w:tcPr>
          <w:p w14:paraId="45BBE432" w14:textId="77777777" w:rsidR="00BF44CA" w:rsidRPr="00746F54" w:rsidRDefault="00BF44CA" w:rsidP="00BF44CA">
            <w:pPr>
              <w:spacing w:after="0" w:line="240" w:lineRule="auto"/>
              <w:rPr>
                <w:rFonts w:ascii="Arial" w:eastAsia="Times New Roman" w:hAnsi="Arial" w:cs="Arial"/>
                <w:sz w:val="20"/>
                <w:szCs w:val="20"/>
              </w:rPr>
            </w:pPr>
            <w:r w:rsidRPr="00746F54">
              <w:rPr>
                <w:rFonts w:ascii="Arial" w:eastAsia="Times New Roman" w:hAnsi="Arial" w:cs="Arial"/>
                <w:sz w:val="20"/>
                <w:szCs w:val="20"/>
              </w:rPr>
              <w:t xml:space="preserve">EDAM Entity provides an email stating that all access is in place for Market SIM and a plan is in place to ensure all access is in place for production. </w:t>
            </w:r>
            <w:r w:rsidRPr="00746F54">
              <w:rPr>
                <w:rFonts w:ascii="Arial" w:eastAsia="Times New Roman" w:hAnsi="Arial" w:cs="Arial"/>
                <w:sz w:val="20"/>
                <w:szCs w:val="20"/>
              </w:rPr>
              <w:br/>
            </w:r>
            <w:r w:rsidRPr="00746F54">
              <w:rPr>
                <w:rFonts w:ascii="Arial" w:eastAsia="Times New Roman" w:hAnsi="Arial" w:cs="Arial"/>
                <w:sz w:val="20"/>
                <w:szCs w:val="20"/>
              </w:rPr>
              <w:br/>
              <w:t>Customer Onboarding specialist provides an email confirming that access is in place and there is a plan for ensuring access for Production.</w:t>
            </w:r>
          </w:p>
        </w:tc>
      </w:tr>
      <w:tr w:rsidR="00BF44CA" w:rsidRPr="00746F54" w14:paraId="67A97454" w14:textId="77777777" w:rsidTr="00BF44CA">
        <w:trPr>
          <w:trHeight w:val="6630"/>
        </w:trPr>
        <w:tc>
          <w:tcPr>
            <w:tcW w:w="299" w:type="pct"/>
            <w:tcBorders>
              <w:top w:val="nil"/>
              <w:left w:val="single" w:sz="4" w:space="0" w:color="auto"/>
              <w:bottom w:val="single" w:sz="4" w:space="0" w:color="auto"/>
              <w:right w:val="single" w:sz="4" w:space="0" w:color="auto"/>
            </w:tcBorders>
            <w:shd w:val="clear" w:color="000000" w:fill="D9D9D9"/>
            <w:noWrap/>
            <w:hideMark/>
          </w:tcPr>
          <w:p w14:paraId="09F65891" w14:textId="77777777" w:rsidR="00BF44CA" w:rsidRPr="00746F54" w:rsidRDefault="00BF44CA" w:rsidP="00BF44CA">
            <w:pPr>
              <w:spacing w:after="0" w:line="240" w:lineRule="auto"/>
              <w:rPr>
                <w:rFonts w:ascii="Arial" w:eastAsia="Times New Roman" w:hAnsi="Arial" w:cs="Arial"/>
                <w:b/>
                <w:bCs/>
                <w:sz w:val="20"/>
                <w:szCs w:val="20"/>
              </w:rPr>
            </w:pPr>
            <w:r w:rsidRPr="00746F54">
              <w:rPr>
                <w:rFonts w:ascii="Arial" w:eastAsia="Times New Roman" w:hAnsi="Arial" w:cs="Arial"/>
                <w:b/>
                <w:bCs/>
                <w:sz w:val="20"/>
                <w:szCs w:val="20"/>
              </w:rPr>
              <w:t>10</w:t>
            </w:r>
          </w:p>
        </w:tc>
        <w:tc>
          <w:tcPr>
            <w:tcW w:w="555" w:type="pct"/>
            <w:tcBorders>
              <w:top w:val="nil"/>
              <w:left w:val="nil"/>
              <w:bottom w:val="single" w:sz="4" w:space="0" w:color="auto"/>
              <w:right w:val="single" w:sz="4" w:space="0" w:color="auto"/>
            </w:tcBorders>
            <w:shd w:val="clear" w:color="000000" w:fill="D9D9D9"/>
            <w:hideMark/>
          </w:tcPr>
          <w:p w14:paraId="4AB05C7C" w14:textId="77777777" w:rsidR="00BF44CA" w:rsidRPr="00746F54" w:rsidRDefault="00BF44CA" w:rsidP="00BF44CA">
            <w:pPr>
              <w:spacing w:after="0" w:line="240" w:lineRule="auto"/>
              <w:rPr>
                <w:rFonts w:ascii="Arial" w:eastAsia="Times New Roman" w:hAnsi="Arial" w:cs="Arial"/>
                <w:b/>
                <w:bCs/>
                <w:sz w:val="20"/>
                <w:szCs w:val="20"/>
              </w:rPr>
            </w:pPr>
            <w:r w:rsidRPr="00746F54">
              <w:rPr>
                <w:rFonts w:ascii="Arial" w:eastAsia="Times New Roman" w:hAnsi="Arial" w:cs="Arial"/>
                <w:b/>
                <w:bCs/>
                <w:sz w:val="20"/>
                <w:szCs w:val="20"/>
              </w:rPr>
              <w:t xml:space="preserve">Market Simulation  </w:t>
            </w:r>
          </w:p>
        </w:tc>
        <w:tc>
          <w:tcPr>
            <w:tcW w:w="742" w:type="pct"/>
            <w:tcBorders>
              <w:top w:val="nil"/>
              <w:left w:val="nil"/>
              <w:bottom w:val="single" w:sz="4" w:space="0" w:color="auto"/>
              <w:right w:val="single" w:sz="4" w:space="0" w:color="auto"/>
            </w:tcBorders>
            <w:hideMark/>
          </w:tcPr>
          <w:p w14:paraId="6AD8E885" w14:textId="77777777" w:rsidR="00BF44CA" w:rsidRPr="00746F54" w:rsidRDefault="00BF44CA" w:rsidP="00BF44CA">
            <w:pPr>
              <w:spacing w:after="0" w:line="240" w:lineRule="auto"/>
              <w:rPr>
                <w:rFonts w:ascii="Arial" w:eastAsia="Times New Roman" w:hAnsi="Arial" w:cs="Arial"/>
                <w:sz w:val="20"/>
                <w:szCs w:val="20"/>
              </w:rPr>
            </w:pPr>
            <w:r w:rsidRPr="00746F54">
              <w:rPr>
                <w:rFonts w:ascii="Arial" w:eastAsia="Times New Roman" w:hAnsi="Arial" w:cs="Arial"/>
                <w:sz w:val="20"/>
                <w:szCs w:val="20"/>
              </w:rPr>
              <w:t>Market Simulation and structured scenario execution</w:t>
            </w:r>
          </w:p>
        </w:tc>
        <w:tc>
          <w:tcPr>
            <w:tcW w:w="1016" w:type="pct"/>
            <w:tcBorders>
              <w:top w:val="nil"/>
              <w:left w:val="nil"/>
              <w:bottom w:val="single" w:sz="4" w:space="0" w:color="auto"/>
              <w:right w:val="single" w:sz="4" w:space="0" w:color="auto"/>
            </w:tcBorders>
            <w:hideMark/>
          </w:tcPr>
          <w:p w14:paraId="1E5D309A" w14:textId="77777777" w:rsidR="00BF44CA" w:rsidRPr="00746F54" w:rsidRDefault="00BF44CA" w:rsidP="00BF44CA">
            <w:pPr>
              <w:spacing w:after="0" w:line="240" w:lineRule="auto"/>
              <w:rPr>
                <w:rFonts w:ascii="Arial" w:eastAsia="Times New Roman" w:hAnsi="Arial" w:cs="Arial"/>
                <w:sz w:val="20"/>
                <w:szCs w:val="20"/>
              </w:rPr>
            </w:pPr>
            <w:r w:rsidRPr="00746F54">
              <w:rPr>
                <w:rFonts w:ascii="Arial" w:eastAsia="Times New Roman" w:hAnsi="Arial" w:cs="Arial"/>
                <w:sz w:val="20"/>
                <w:szCs w:val="20"/>
              </w:rPr>
              <w:t>The prospective EDAM Entity operators execute and pass all structured scenarios provided by ISO.</w:t>
            </w:r>
          </w:p>
        </w:tc>
        <w:tc>
          <w:tcPr>
            <w:tcW w:w="1060" w:type="pct"/>
            <w:tcBorders>
              <w:top w:val="nil"/>
              <w:left w:val="nil"/>
              <w:bottom w:val="single" w:sz="4" w:space="0" w:color="auto"/>
              <w:right w:val="single" w:sz="4" w:space="0" w:color="auto"/>
            </w:tcBorders>
            <w:hideMark/>
          </w:tcPr>
          <w:p w14:paraId="781E4834" w14:textId="77777777" w:rsidR="00BF44CA" w:rsidRPr="00746F54" w:rsidRDefault="00BF44CA" w:rsidP="00BF44CA">
            <w:pPr>
              <w:spacing w:after="0" w:line="240" w:lineRule="auto"/>
              <w:rPr>
                <w:rFonts w:ascii="Arial" w:eastAsia="Times New Roman" w:hAnsi="Arial" w:cs="Arial"/>
                <w:sz w:val="20"/>
                <w:szCs w:val="20"/>
              </w:rPr>
            </w:pPr>
            <w:r w:rsidRPr="00746F54">
              <w:rPr>
                <w:rFonts w:ascii="Arial" w:eastAsia="Times New Roman" w:hAnsi="Arial" w:cs="Arial"/>
                <w:sz w:val="20"/>
                <w:szCs w:val="20"/>
              </w:rPr>
              <w:t xml:space="preserve">All significant issues resolved or have an interim solution that is functionally equivalent. </w:t>
            </w:r>
          </w:p>
        </w:tc>
        <w:tc>
          <w:tcPr>
            <w:tcW w:w="1328" w:type="pct"/>
            <w:tcBorders>
              <w:top w:val="nil"/>
              <w:left w:val="nil"/>
              <w:bottom w:val="single" w:sz="4" w:space="0" w:color="auto"/>
              <w:right w:val="single" w:sz="4" w:space="0" w:color="auto"/>
            </w:tcBorders>
            <w:hideMark/>
          </w:tcPr>
          <w:p w14:paraId="3CC4DEF0" w14:textId="77777777" w:rsidR="00BF44CA" w:rsidRPr="00746F54" w:rsidRDefault="00BF44CA" w:rsidP="00BF44CA">
            <w:pPr>
              <w:spacing w:after="0" w:line="240" w:lineRule="auto"/>
              <w:rPr>
                <w:rFonts w:ascii="Arial" w:eastAsia="Times New Roman" w:hAnsi="Arial" w:cs="Arial"/>
                <w:sz w:val="20"/>
                <w:szCs w:val="20"/>
              </w:rPr>
            </w:pPr>
            <w:r w:rsidRPr="00746F54">
              <w:rPr>
                <w:rFonts w:ascii="Arial" w:eastAsia="Times New Roman" w:hAnsi="Arial" w:cs="Arial"/>
                <w:sz w:val="20"/>
                <w:szCs w:val="20"/>
              </w:rPr>
              <w:t>ISO provides a completed Structured Scenario Reports (Detailed Input-Output for Structured Scenarios by week) and a Structured Scenario Status matrix.</w:t>
            </w:r>
            <w:r w:rsidRPr="00746F54">
              <w:rPr>
                <w:rFonts w:ascii="Arial" w:eastAsia="Times New Roman" w:hAnsi="Arial" w:cs="Arial"/>
                <w:sz w:val="20"/>
                <w:szCs w:val="20"/>
              </w:rPr>
              <w:br/>
            </w:r>
            <w:r w:rsidRPr="00746F54">
              <w:rPr>
                <w:rFonts w:ascii="Arial" w:eastAsia="Times New Roman" w:hAnsi="Arial" w:cs="Arial"/>
                <w:sz w:val="20"/>
                <w:szCs w:val="20"/>
              </w:rPr>
              <w:br/>
              <w:t>EDAM Entity sends a confirmation email identifying any approved incomplete cases/validations.</w:t>
            </w:r>
            <w:r w:rsidRPr="00746F54">
              <w:rPr>
                <w:rFonts w:ascii="Arial" w:eastAsia="Times New Roman" w:hAnsi="Arial" w:cs="Arial"/>
                <w:sz w:val="20"/>
                <w:szCs w:val="20"/>
              </w:rPr>
              <w:br/>
            </w:r>
            <w:r w:rsidRPr="00746F54">
              <w:rPr>
                <w:rFonts w:ascii="Arial" w:eastAsia="Times New Roman" w:hAnsi="Arial" w:cs="Arial"/>
                <w:sz w:val="20"/>
                <w:szCs w:val="20"/>
              </w:rPr>
              <w:br/>
              <w:t>ISO sends confirmation email.</w:t>
            </w:r>
          </w:p>
        </w:tc>
      </w:tr>
      <w:tr w:rsidR="00BF44CA" w:rsidRPr="00746F54" w14:paraId="417EA01E" w14:textId="77777777" w:rsidTr="00BF44CA">
        <w:trPr>
          <w:trHeight w:val="2295"/>
        </w:trPr>
        <w:tc>
          <w:tcPr>
            <w:tcW w:w="299" w:type="pct"/>
            <w:tcBorders>
              <w:top w:val="nil"/>
              <w:left w:val="single" w:sz="4" w:space="0" w:color="auto"/>
              <w:bottom w:val="single" w:sz="4" w:space="0" w:color="auto"/>
              <w:right w:val="single" w:sz="4" w:space="0" w:color="auto"/>
            </w:tcBorders>
            <w:shd w:val="clear" w:color="000000" w:fill="D9D9D9"/>
            <w:noWrap/>
            <w:hideMark/>
          </w:tcPr>
          <w:p w14:paraId="6AE09DDE" w14:textId="77777777" w:rsidR="00BF44CA" w:rsidRPr="00746F54" w:rsidRDefault="00BF44CA" w:rsidP="00BF44CA">
            <w:pPr>
              <w:spacing w:after="0" w:line="240" w:lineRule="auto"/>
              <w:rPr>
                <w:rFonts w:ascii="Arial" w:eastAsia="Times New Roman" w:hAnsi="Arial" w:cs="Arial"/>
                <w:b/>
                <w:bCs/>
                <w:sz w:val="20"/>
                <w:szCs w:val="20"/>
              </w:rPr>
            </w:pPr>
            <w:r w:rsidRPr="00746F54">
              <w:rPr>
                <w:rFonts w:ascii="Arial" w:eastAsia="Times New Roman" w:hAnsi="Arial" w:cs="Arial"/>
                <w:b/>
                <w:bCs/>
                <w:sz w:val="20"/>
                <w:szCs w:val="20"/>
              </w:rPr>
              <w:lastRenderedPageBreak/>
              <w:t>11</w:t>
            </w:r>
          </w:p>
        </w:tc>
        <w:tc>
          <w:tcPr>
            <w:tcW w:w="555" w:type="pct"/>
            <w:tcBorders>
              <w:top w:val="nil"/>
              <w:left w:val="nil"/>
              <w:bottom w:val="single" w:sz="4" w:space="0" w:color="auto"/>
              <w:right w:val="single" w:sz="4" w:space="0" w:color="auto"/>
            </w:tcBorders>
            <w:shd w:val="clear" w:color="000000" w:fill="D9D9D9"/>
            <w:hideMark/>
          </w:tcPr>
          <w:p w14:paraId="4615484E" w14:textId="77777777" w:rsidR="00BF44CA" w:rsidRPr="00746F54" w:rsidRDefault="00BF44CA" w:rsidP="00BF44CA">
            <w:pPr>
              <w:spacing w:after="0" w:line="240" w:lineRule="auto"/>
              <w:rPr>
                <w:rFonts w:ascii="Arial" w:eastAsia="Times New Roman" w:hAnsi="Arial" w:cs="Arial"/>
                <w:b/>
                <w:bCs/>
                <w:sz w:val="20"/>
                <w:szCs w:val="20"/>
              </w:rPr>
            </w:pPr>
            <w:r w:rsidRPr="00746F54">
              <w:rPr>
                <w:rFonts w:ascii="Arial" w:eastAsia="Times New Roman" w:hAnsi="Arial" w:cs="Arial"/>
                <w:b/>
                <w:bCs/>
                <w:sz w:val="20"/>
                <w:szCs w:val="20"/>
              </w:rPr>
              <w:t>System Readiness &amp; Integration</w:t>
            </w:r>
          </w:p>
        </w:tc>
        <w:tc>
          <w:tcPr>
            <w:tcW w:w="742" w:type="pct"/>
            <w:tcBorders>
              <w:top w:val="nil"/>
              <w:left w:val="nil"/>
              <w:bottom w:val="single" w:sz="4" w:space="0" w:color="auto"/>
              <w:right w:val="single" w:sz="4" w:space="0" w:color="auto"/>
            </w:tcBorders>
            <w:hideMark/>
          </w:tcPr>
          <w:p w14:paraId="3983BF83" w14:textId="77777777" w:rsidR="00BF44CA" w:rsidRPr="00746F54" w:rsidRDefault="00BF44CA" w:rsidP="00BF44CA">
            <w:pPr>
              <w:spacing w:after="0" w:line="240" w:lineRule="auto"/>
              <w:rPr>
                <w:rFonts w:ascii="Arial" w:eastAsia="Times New Roman" w:hAnsi="Arial" w:cs="Arial"/>
                <w:sz w:val="20"/>
                <w:szCs w:val="20"/>
              </w:rPr>
            </w:pPr>
            <w:r w:rsidRPr="00746F54">
              <w:rPr>
                <w:rFonts w:ascii="Arial" w:eastAsia="Times New Roman" w:hAnsi="Arial" w:cs="Arial"/>
                <w:sz w:val="20"/>
                <w:szCs w:val="20"/>
              </w:rPr>
              <w:t xml:space="preserve">System and Functional Testing </w:t>
            </w:r>
          </w:p>
        </w:tc>
        <w:tc>
          <w:tcPr>
            <w:tcW w:w="1016" w:type="pct"/>
            <w:tcBorders>
              <w:top w:val="nil"/>
              <w:left w:val="nil"/>
              <w:bottom w:val="single" w:sz="4" w:space="0" w:color="auto"/>
              <w:right w:val="single" w:sz="4" w:space="0" w:color="auto"/>
            </w:tcBorders>
            <w:hideMark/>
          </w:tcPr>
          <w:p w14:paraId="0E56E301" w14:textId="77777777" w:rsidR="00BF44CA" w:rsidRPr="00746F54" w:rsidRDefault="00BF44CA" w:rsidP="00BF44CA">
            <w:pPr>
              <w:spacing w:after="0" w:line="240" w:lineRule="auto"/>
              <w:rPr>
                <w:rFonts w:ascii="Arial" w:eastAsia="Times New Roman" w:hAnsi="Arial" w:cs="Arial"/>
                <w:sz w:val="20"/>
                <w:szCs w:val="20"/>
              </w:rPr>
            </w:pPr>
            <w:r w:rsidRPr="00746F54">
              <w:rPr>
                <w:rFonts w:ascii="Arial" w:eastAsia="Times New Roman" w:hAnsi="Arial" w:cs="Arial"/>
                <w:sz w:val="20"/>
                <w:szCs w:val="20"/>
              </w:rPr>
              <w:t>The prospective EDAM Entity will test the functional and system elements, including all interfaces between ISO and the EDAM Entity, in accordance with  functional and system testing documentation posted on the ISO website.</w:t>
            </w:r>
          </w:p>
        </w:tc>
        <w:tc>
          <w:tcPr>
            <w:tcW w:w="1060" w:type="pct"/>
            <w:tcBorders>
              <w:top w:val="nil"/>
              <w:left w:val="nil"/>
              <w:bottom w:val="single" w:sz="4" w:space="0" w:color="auto"/>
              <w:right w:val="single" w:sz="4" w:space="0" w:color="auto"/>
            </w:tcBorders>
            <w:hideMark/>
          </w:tcPr>
          <w:p w14:paraId="364F4BBF" w14:textId="77777777" w:rsidR="00BF44CA" w:rsidRPr="00746F54" w:rsidRDefault="00BF44CA" w:rsidP="00BF44CA">
            <w:pPr>
              <w:spacing w:after="0" w:line="240" w:lineRule="auto"/>
              <w:rPr>
                <w:rFonts w:ascii="Arial" w:eastAsia="Times New Roman" w:hAnsi="Arial" w:cs="Arial"/>
                <w:sz w:val="20"/>
                <w:szCs w:val="20"/>
              </w:rPr>
            </w:pPr>
            <w:r w:rsidRPr="00746F54">
              <w:rPr>
                <w:rFonts w:ascii="Arial" w:eastAsia="Times New Roman" w:hAnsi="Arial" w:cs="Arial"/>
                <w:sz w:val="20"/>
                <w:szCs w:val="20"/>
              </w:rPr>
              <w:t xml:space="preserve">All tasks identified in the functional and system testing documentation are complete and will not have any issues deemed significant. </w:t>
            </w:r>
            <w:r w:rsidRPr="00746F54">
              <w:rPr>
                <w:rFonts w:ascii="Arial" w:eastAsia="Times New Roman" w:hAnsi="Arial" w:cs="Arial"/>
                <w:sz w:val="20"/>
                <w:szCs w:val="20"/>
              </w:rPr>
              <w:br/>
              <w:t xml:space="preserve">Any exceptions will be explained or have an interim solution that is functionally equivalent. </w:t>
            </w:r>
          </w:p>
        </w:tc>
        <w:tc>
          <w:tcPr>
            <w:tcW w:w="1328" w:type="pct"/>
            <w:tcBorders>
              <w:top w:val="nil"/>
              <w:left w:val="nil"/>
              <w:bottom w:val="single" w:sz="4" w:space="0" w:color="auto"/>
              <w:right w:val="single" w:sz="4" w:space="0" w:color="auto"/>
            </w:tcBorders>
            <w:hideMark/>
          </w:tcPr>
          <w:p w14:paraId="1B19A293" w14:textId="77777777" w:rsidR="00BF44CA" w:rsidRPr="00746F54" w:rsidRDefault="00BF44CA" w:rsidP="00BF44CA">
            <w:pPr>
              <w:spacing w:after="0" w:line="240" w:lineRule="auto"/>
              <w:rPr>
                <w:rFonts w:ascii="Arial" w:eastAsia="Times New Roman" w:hAnsi="Arial" w:cs="Arial"/>
                <w:sz w:val="20"/>
                <w:szCs w:val="20"/>
              </w:rPr>
            </w:pPr>
            <w:r w:rsidRPr="00746F54">
              <w:rPr>
                <w:rFonts w:ascii="Arial" w:eastAsia="Times New Roman" w:hAnsi="Arial" w:cs="Arial"/>
                <w:sz w:val="20"/>
                <w:szCs w:val="20"/>
              </w:rPr>
              <w:t>EDAM Entity provides the EDAM Testing Timeline Summary indicating that the Functional Testing is complete. EDAM Entity may also include reports from their test system showing that all test cases were executed and passed, identifying any approved incomplete cases and interim solution.</w:t>
            </w:r>
            <w:r w:rsidRPr="00746F54">
              <w:rPr>
                <w:rFonts w:ascii="Arial" w:eastAsia="Times New Roman" w:hAnsi="Arial" w:cs="Arial"/>
                <w:sz w:val="20"/>
                <w:szCs w:val="20"/>
              </w:rPr>
              <w:br/>
            </w:r>
            <w:r w:rsidRPr="00746F54">
              <w:rPr>
                <w:rFonts w:ascii="Arial" w:eastAsia="Times New Roman" w:hAnsi="Arial" w:cs="Arial"/>
                <w:sz w:val="20"/>
                <w:szCs w:val="20"/>
              </w:rPr>
              <w:br/>
              <w:t>ISO Integration Lead sends confirmation email.</w:t>
            </w:r>
          </w:p>
        </w:tc>
      </w:tr>
      <w:tr w:rsidR="00BF44CA" w:rsidRPr="00746F54" w14:paraId="3DF32554" w14:textId="77777777" w:rsidTr="00BF44CA">
        <w:trPr>
          <w:trHeight w:val="1785"/>
        </w:trPr>
        <w:tc>
          <w:tcPr>
            <w:tcW w:w="299" w:type="pct"/>
            <w:tcBorders>
              <w:top w:val="nil"/>
              <w:left w:val="single" w:sz="4" w:space="0" w:color="auto"/>
              <w:bottom w:val="single" w:sz="4" w:space="0" w:color="auto"/>
              <w:right w:val="single" w:sz="4" w:space="0" w:color="auto"/>
            </w:tcBorders>
            <w:shd w:val="clear" w:color="000000" w:fill="D9D9D9"/>
            <w:noWrap/>
            <w:hideMark/>
          </w:tcPr>
          <w:p w14:paraId="31D17A03" w14:textId="77777777" w:rsidR="00BF44CA" w:rsidRPr="00746F54" w:rsidRDefault="00BF44CA" w:rsidP="00BF44CA">
            <w:pPr>
              <w:spacing w:after="0" w:line="240" w:lineRule="auto"/>
              <w:rPr>
                <w:rFonts w:ascii="Arial" w:eastAsia="Times New Roman" w:hAnsi="Arial" w:cs="Arial"/>
                <w:b/>
                <w:bCs/>
                <w:sz w:val="20"/>
                <w:szCs w:val="20"/>
              </w:rPr>
            </w:pPr>
            <w:r w:rsidRPr="00746F54">
              <w:rPr>
                <w:rFonts w:ascii="Arial" w:eastAsia="Times New Roman" w:hAnsi="Arial" w:cs="Arial"/>
                <w:b/>
                <w:bCs/>
                <w:sz w:val="20"/>
                <w:szCs w:val="20"/>
              </w:rPr>
              <w:t>12</w:t>
            </w:r>
          </w:p>
        </w:tc>
        <w:tc>
          <w:tcPr>
            <w:tcW w:w="555" w:type="pct"/>
            <w:tcBorders>
              <w:top w:val="nil"/>
              <w:left w:val="nil"/>
              <w:bottom w:val="single" w:sz="4" w:space="0" w:color="auto"/>
              <w:right w:val="single" w:sz="4" w:space="0" w:color="auto"/>
            </w:tcBorders>
            <w:shd w:val="clear" w:color="000000" w:fill="D9D9D9"/>
            <w:hideMark/>
          </w:tcPr>
          <w:p w14:paraId="4C429A22" w14:textId="77777777" w:rsidR="00BF44CA" w:rsidRPr="00746F54" w:rsidRDefault="00BF44CA" w:rsidP="00BF44CA">
            <w:pPr>
              <w:spacing w:after="0" w:line="240" w:lineRule="auto"/>
              <w:rPr>
                <w:rFonts w:ascii="Arial" w:eastAsia="Times New Roman" w:hAnsi="Arial" w:cs="Arial"/>
                <w:b/>
                <w:bCs/>
                <w:sz w:val="20"/>
                <w:szCs w:val="20"/>
              </w:rPr>
            </w:pPr>
            <w:r w:rsidRPr="00746F54">
              <w:rPr>
                <w:rFonts w:ascii="Arial" w:eastAsia="Times New Roman" w:hAnsi="Arial" w:cs="Arial"/>
                <w:b/>
                <w:bCs/>
                <w:sz w:val="20"/>
                <w:szCs w:val="20"/>
              </w:rPr>
              <w:t>Settlements</w:t>
            </w:r>
          </w:p>
        </w:tc>
        <w:tc>
          <w:tcPr>
            <w:tcW w:w="742" w:type="pct"/>
            <w:tcBorders>
              <w:top w:val="nil"/>
              <w:left w:val="nil"/>
              <w:bottom w:val="single" w:sz="4" w:space="0" w:color="auto"/>
              <w:right w:val="single" w:sz="4" w:space="0" w:color="auto"/>
            </w:tcBorders>
            <w:hideMark/>
          </w:tcPr>
          <w:p w14:paraId="321FEA69" w14:textId="77777777" w:rsidR="00BF44CA" w:rsidRPr="00746F54" w:rsidRDefault="00BF44CA" w:rsidP="00BF44CA">
            <w:pPr>
              <w:spacing w:after="0" w:line="240" w:lineRule="auto"/>
              <w:rPr>
                <w:rFonts w:ascii="Arial" w:eastAsia="Times New Roman" w:hAnsi="Arial" w:cs="Arial"/>
                <w:sz w:val="20"/>
                <w:szCs w:val="20"/>
              </w:rPr>
            </w:pPr>
            <w:r w:rsidRPr="00746F54">
              <w:rPr>
                <w:rFonts w:ascii="Arial" w:eastAsia="Times New Roman" w:hAnsi="Arial" w:cs="Arial"/>
                <w:sz w:val="20"/>
                <w:szCs w:val="20"/>
              </w:rPr>
              <w:t>EDAM Scheduling coordinators (Entity or PRSC) direct settlement with ISO.</w:t>
            </w:r>
          </w:p>
        </w:tc>
        <w:tc>
          <w:tcPr>
            <w:tcW w:w="1016" w:type="pct"/>
            <w:tcBorders>
              <w:top w:val="nil"/>
              <w:left w:val="nil"/>
              <w:bottom w:val="single" w:sz="4" w:space="0" w:color="auto"/>
              <w:right w:val="single" w:sz="4" w:space="0" w:color="auto"/>
            </w:tcBorders>
            <w:hideMark/>
          </w:tcPr>
          <w:p w14:paraId="0D7092BE" w14:textId="77777777" w:rsidR="00BF44CA" w:rsidRPr="00746F54" w:rsidRDefault="00BF44CA" w:rsidP="00BF44CA">
            <w:pPr>
              <w:spacing w:after="0" w:line="240" w:lineRule="auto"/>
              <w:rPr>
                <w:rFonts w:ascii="Arial" w:eastAsia="Times New Roman" w:hAnsi="Arial" w:cs="Arial"/>
                <w:sz w:val="20"/>
                <w:szCs w:val="20"/>
              </w:rPr>
            </w:pPr>
            <w:r w:rsidRPr="00746F54">
              <w:rPr>
                <w:rFonts w:ascii="Arial" w:eastAsia="Times New Roman" w:hAnsi="Arial" w:cs="Arial"/>
                <w:sz w:val="20"/>
                <w:szCs w:val="20"/>
              </w:rPr>
              <w:t>The ISO Settlement statements and invoices match the operational data published to stakeholders or fed into settlement system and the resulting calculations correspond to the formulas defined in ISO’s tariff and BPMs</w:t>
            </w:r>
          </w:p>
        </w:tc>
        <w:tc>
          <w:tcPr>
            <w:tcW w:w="1060" w:type="pct"/>
            <w:tcBorders>
              <w:top w:val="nil"/>
              <w:left w:val="nil"/>
              <w:bottom w:val="single" w:sz="4" w:space="0" w:color="auto"/>
              <w:right w:val="single" w:sz="4" w:space="0" w:color="auto"/>
            </w:tcBorders>
            <w:hideMark/>
          </w:tcPr>
          <w:p w14:paraId="32BA3946" w14:textId="77777777" w:rsidR="00BF44CA" w:rsidRPr="00746F54" w:rsidRDefault="00BF44CA" w:rsidP="00BF44CA">
            <w:pPr>
              <w:spacing w:after="0" w:line="240" w:lineRule="auto"/>
              <w:rPr>
                <w:rFonts w:ascii="Arial" w:eastAsia="Times New Roman" w:hAnsi="Arial" w:cs="Arial"/>
                <w:sz w:val="20"/>
                <w:szCs w:val="20"/>
              </w:rPr>
            </w:pPr>
            <w:r w:rsidRPr="00746F54">
              <w:rPr>
                <w:rFonts w:ascii="Arial" w:eastAsia="Times New Roman" w:hAnsi="Arial" w:cs="Arial"/>
                <w:sz w:val="20"/>
                <w:szCs w:val="20"/>
              </w:rPr>
              <w:t xml:space="preserve">Daily and /or Monthly settlement statement and Weekly invoice that correspond with appropriate Settlement statements. Settlements produced during parallel operations are verifiably accurate against available data. </w:t>
            </w:r>
          </w:p>
        </w:tc>
        <w:tc>
          <w:tcPr>
            <w:tcW w:w="1328" w:type="pct"/>
            <w:tcBorders>
              <w:top w:val="nil"/>
              <w:left w:val="nil"/>
              <w:bottom w:val="single" w:sz="4" w:space="0" w:color="auto"/>
              <w:right w:val="single" w:sz="4" w:space="0" w:color="auto"/>
            </w:tcBorders>
            <w:hideMark/>
          </w:tcPr>
          <w:p w14:paraId="2D33F963" w14:textId="77777777" w:rsidR="00BF44CA" w:rsidRPr="00746F54" w:rsidRDefault="00BF44CA" w:rsidP="00BF44CA">
            <w:pPr>
              <w:spacing w:after="0" w:line="240" w:lineRule="auto"/>
              <w:rPr>
                <w:rFonts w:ascii="Arial" w:eastAsia="Times New Roman" w:hAnsi="Arial" w:cs="Arial"/>
                <w:sz w:val="20"/>
                <w:szCs w:val="20"/>
              </w:rPr>
            </w:pPr>
            <w:r w:rsidRPr="00746F54">
              <w:rPr>
                <w:rFonts w:ascii="Arial" w:eastAsia="Times New Roman" w:hAnsi="Arial" w:cs="Arial"/>
                <w:sz w:val="20"/>
                <w:szCs w:val="20"/>
              </w:rPr>
              <w:t>ISO will ensure that we publish all the related Settlement Statements and Invoices during Market Sim and Parallel Ops.  We also confirm through Track 5 calls, Entity email that they understood all the changes related to charge codes with regard to DAME/EDAM.</w:t>
            </w:r>
          </w:p>
        </w:tc>
      </w:tr>
      <w:tr w:rsidR="00BF44CA" w:rsidRPr="00746F54" w14:paraId="6CF7CEF7" w14:textId="77777777" w:rsidTr="00BF44CA">
        <w:trPr>
          <w:trHeight w:val="1530"/>
        </w:trPr>
        <w:tc>
          <w:tcPr>
            <w:tcW w:w="299" w:type="pct"/>
            <w:tcBorders>
              <w:top w:val="nil"/>
              <w:left w:val="single" w:sz="4" w:space="0" w:color="auto"/>
              <w:bottom w:val="single" w:sz="4" w:space="0" w:color="auto"/>
              <w:right w:val="single" w:sz="4" w:space="0" w:color="auto"/>
            </w:tcBorders>
            <w:shd w:val="clear" w:color="000000" w:fill="D9D9D9"/>
            <w:noWrap/>
            <w:hideMark/>
          </w:tcPr>
          <w:p w14:paraId="33EBE39B" w14:textId="77777777" w:rsidR="00BF44CA" w:rsidRPr="00746F54" w:rsidRDefault="00BF44CA" w:rsidP="00BF44CA">
            <w:pPr>
              <w:spacing w:after="0" w:line="240" w:lineRule="auto"/>
              <w:rPr>
                <w:rFonts w:ascii="Arial" w:eastAsia="Times New Roman" w:hAnsi="Arial" w:cs="Arial"/>
                <w:b/>
                <w:bCs/>
                <w:sz w:val="20"/>
                <w:szCs w:val="20"/>
              </w:rPr>
            </w:pPr>
            <w:r w:rsidRPr="00746F54">
              <w:rPr>
                <w:rFonts w:ascii="Arial" w:eastAsia="Times New Roman" w:hAnsi="Arial" w:cs="Arial"/>
                <w:b/>
                <w:bCs/>
                <w:sz w:val="20"/>
                <w:szCs w:val="20"/>
              </w:rPr>
              <w:t>13</w:t>
            </w:r>
          </w:p>
        </w:tc>
        <w:tc>
          <w:tcPr>
            <w:tcW w:w="555" w:type="pct"/>
            <w:tcBorders>
              <w:top w:val="nil"/>
              <w:left w:val="nil"/>
              <w:bottom w:val="single" w:sz="4" w:space="0" w:color="auto"/>
              <w:right w:val="single" w:sz="4" w:space="0" w:color="auto"/>
            </w:tcBorders>
            <w:shd w:val="clear" w:color="000000" w:fill="D9D9D9"/>
            <w:hideMark/>
          </w:tcPr>
          <w:p w14:paraId="7B876DD9" w14:textId="77777777" w:rsidR="00BF44CA" w:rsidRPr="00746F54" w:rsidRDefault="00BF44CA" w:rsidP="00BF44CA">
            <w:pPr>
              <w:spacing w:after="0" w:line="240" w:lineRule="auto"/>
              <w:rPr>
                <w:rFonts w:ascii="Arial" w:eastAsia="Times New Roman" w:hAnsi="Arial" w:cs="Arial"/>
                <w:b/>
                <w:bCs/>
                <w:sz w:val="20"/>
                <w:szCs w:val="20"/>
              </w:rPr>
            </w:pPr>
            <w:r w:rsidRPr="00746F54">
              <w:rPr>
                <w:rFonts w:ascii="Arial" w:eastAsia="Times New Roman" w:hAnsi="Arial" w:cs="Arial"/>
                <w:b/>
                <w:bCs/>
                <w:sz w:val="20"/>
                <w:szCs w:val="20"/>
              </w:rPr>
              <w:t>Settlements</w:t>
            </w:r>
          </w:p>
        </w:tc>
        <w:tc>
          <w:tcPr>
            <w:tcW w:w="742" w:type="pct"/>
            <w:tcBorders>
              <w:top w:val="nil"/>
              <w:left w:val="nil"/>
              <w:bottom w:val="single" w:sz="4" w:space="0" w:color="auto"/>
              <w:right w:val="single" w:sz="4" w:space="0" w:color="auto"/>
            </w:tcBorders>
            <w:hideMark/>
          </w:tcPr>
          <w:p w14:paraId="158E150C" w14:textId="77777777" w:rsidR="00BF44CA" w:rsidRPr="00746F54" w:rsidRDefault="00BF44CA" w:rsidP="00BF44CA">
            <w:pPr>
              <w:spacing w:after="0" w:line="240" w:lineRule="auto"/>
              <w:rPr>
                <w:rFonts w:ascii="Arial" w:eastAsia="Times New Roman" w:hAnsi="Arial" w:cs="Arial"/>
                <w:sz w:val="20"/>
                <w:szCs w:val="20"/>
              </w:rPr>
            </w:pPr>
            <w:r w:rsidRPr="00746F54">
              <w:rPr>
                <w:rFonts w:ascii="Arial" w:eastAsia="Times New Roman" w:hAnsi="Arial" w:cs="Arial"/>
                <w:sz w:val="20"/>
                <w:szCs w:val="20"/>
              </w:rPr>
              <w:t>EDAM entities Settlement sub-allocations of Costs assigned to the EDAM entity.</w:t>
            </w:r>
          </w:p>
        </w:tc>
        <w:tc>
          <w:tcPr>
            <w:tcW w:w="1016" w:type="pct"/>
            <w:tcBorders>
              <w:top w:val="nil"/>
              <w:left w:val="nil"/>
              <w:bottom w:val="single" w:sz="4" w:space="0" w:color="auto"/>
              <w:right w:val="single" w:sz="4" w:space="0" w:color="auto"/>
            </w:tcBorders>
            <w:hideMark/>
          </w:tcPr>
          <w:p w14:paraId="06CA208A" w14:textId="77777777" w:rsidR="00BF44CA" w:rsidRPr="00746F54" w:rsidRDefault="00BF44CA" w:rsidP="00BF44CA">
            <w:pPr>
              <w:spacing w:after="0" w:line="240" w:lineRule="auto"/>
              <w:rPr>
                <w:rFonts w:ascii="Arial" w:eastAsia="Times New Roman" w:hAnsi="Arial" w:cs="Arial"/>
                <w:sz w:val="20"/>
                <w:szCs w:val="20"/>
              </w:rPr>
            </w:pPr>
            <w:r w:rsidRPr="00746F54">
              <w:rPr>
                <w:rFonts w:ascii="Arial" w:eastAsia="Times New Roman" w:hAnsi="Arial" w:cs="Arial"/>
                <w:sz w:val="20"/>
                <w:szCs w:val="20"/>
              </w:rPr>
              <w:t>Verification that settlement statements and invoices allocates charges and credits to its customers accurately reflecting system and market data.</w:t>
            </w:r>
          </w:p>
        </w:tc>
        <w:tc>
          <w:tcPr>
            <w:tcW w:w="1060" w:type="pct"/>
            <w:tcBorders>
              <w:top w:val="nil"/>
              <w:left w:val="nil"/>
              <w:bottom w:val="single" w:sz="4" w:space="0" w:color="auto"/>
              <w:right w:val="single" w:sz="4" w:space="0" w:color="auto"/>
            </w:tcBorders>
            <w:hideMark/>
          </w:tcPr>
          <w:p w14:paraId="134F03EF" w14:textId="77777777" w:rsidR="00BF44CA" w:rsidRPr="00746F54" w:rsidRDefault="00BF44CA" w:rsidP="00BF44CA">
            <w:pPr>
              <w:spacing w:after="0" w:line="240" w:lineRule="auto"/>
              <w:rPr>
                <w:rFonts w:ascii="Arial" w:eastAsia="Times New Roman" w:hAnsi="Arial" w:cs="Arial"/>
                <w:sz w:val="20"/>
                <w:szCs w:val="20"/>
              </w:rPr>
            </w:pPr>
            <w:r w:rsidRPr="00746F54">
              <w:rPr>
                <w:rFonts w:ascii="Arial" w:eastAsia="Times New Roman" w:hAnsi="Arial" w:cs="Arial"/>
                <w:sz w:val="20"/>
                <w:szCs w:val="20"/>
              </w:rPr>
              <w:t xml:space="preserve">The prospective Entity settlement statements and invoices that allocate charges and credits to its customers accurately reflect system and market data during parallel operations.  </w:t>
            </w:r>
          </w:p>
        </w:tc>
        <w:tc>
          <w:tcPr>
            <w:tcW w:w="1328" w:type="pct"/>
            <w:tcBorders>
              <w:top w:val="nil"/>
              <w:left w:val="nil"/>
              <w:bottom w:val="single" w:sz="4" w:space="0" w:color="auto"/>
              <w:right w:val="single" w:sz="4" w:space="0" w:color="auto"/>
            </w:tcBorders>
            <w:hideMark/>
          </w:tcPr>
          <w:p w14:paraId="5956AB55" w14:textId="77777777" w:rsidR="00BF44CA" w:rsidRPr="00746F54" w:rsidRDefault="00BF44CA" w:rsidP="00BF44CA">
            <w:pPr>
              <w:spacing w:after="0" w:line="240" w:lineRule="auto"/>
              <w:rPr>
                <w:rFonts w:ascii="Arial" w:eastAsia="Times New Roman" w:hAnsi="Arial" w:cs="Arial"/>
                <w:sz w:val="20"/>
                <w:szCs w:val="20"/>
              </w:rPr>
            </w:pPr>
            <w:r w:rsidRPr="00746F54">
              <w:rPr>
                <w:rFonts w:ascii="Arial" w:eastAsia="Times New Roman" w:hAnsi="Arial" w:cs="Arial"/>
                <w:sz w:val="20"/>
                <w:szCs w:val="20"/>
              </w:rPr>
              <w:t xml:space="preserve">ISO will ensure that we publish all the related Settlement Statements and Invoices during Market Sim and Parallel Ops. We also confirm through Track 5 calls, Entity email that they </w:t>
            </w:r>
            <w:r w:rsidRPr="00746F54">
              <w:rPr>
                <w:rFonts w:ascii="Arial" w:eastAsia="Times New Roman" w:hAnsi="Arial" w:cs="Arial"/>
                <w:sz w:val="20"/>
                <w:szCs w:val="20"/>
              </w:rPr>
              <w:lastRenderedPageBreak/>
              <w:t>understood all the changes related to charge codes with regard to DAME/EDAM.</w:t>
            </w:r>
          </w:p>
        </w:tc>
      </w:tr>
      <w:tr w:rsidR="00BF44CA" w:rsidRPr="00746F54" w14:paraId="2DFF9ADD" w14:textId="77777777" w:rsidTr="00BF44CA">
        <w:trPr>
          <w:trHeight w:val="6120"/>
        </w:trPr>
        <w:tc>
          <w:tcPr>
            <w:tcW w:w="299" w:type="pct"/>
            <w:tcBorders>
              <w:top w:val="nil"/>
              <w:left w:val="single" w:sz="4" w:space="0" w:color="auto"/>
              <w:bottom w:val="single" w:sz="4" w:space="0" w:color="auto"/>
              <w:right w:val="single" w:sz="4" w:space="0" w:color="auto"/>
            </w:tcBorders>
            <w:shd w:val="clear" w:color="000000" w:fill="D9D9D9"/>
            <w:noWrap/>
            <w:hideMark/>
          </w:tcPr>
          <w:p w14:paraId="79CBD9EE" w14:textId="77777777" w:rsidR="00BF44CA" w:rsidRPr="00746F54" w:rsidRDefault="00BF44CA" w:rsidP="00BF44CA">
            <w:pPr>
              <w:spacing w:after="0" w:line="240" w:lineRule="auto"/>
              <w:rPr>
                <w:rFonts w:ascii="Arial" w:eastAsia="Times New Roman" w:hAnsi="Arial" w:cs="Arial"/>
                <w:b/>
                <w:bCs/>
                <w:sz w:val="20"/>
                <w:szCs w:val="20"/>
              </w:rPr>
            </w:pPr>
            <w:r w:rsidRPr="00746F54">
              <w:rPr>
                <w:rFonts w:ascii="Arial" w:eastAsia="Times New Roman" w:hAnsi="Arial" w:cs="Arial"/>
                <w:b/>
                <w:bCs/>
                <w:sz w:val="20"/>
                <w:szCs w:val="20"/>
              </w:rPr>
              <w:lastRenderedPageBreak/>
              <w:t>14</w:t>
            </w:r>
          </w:p>
        </w:tc>
        <w:tc>
          <w:tcPr>
            <w:tcW w:w="555" w:type="pct"/>
            <w:tcBorders>
              <w:top w:val="nil"/>
              <w:left w:val="nil"/>
              <w:bottom w:val="single" w:sz="4" w:space="0" w:color="auto"/>
              <w:right w:val="single" w:sz="4" w:space="0" w:color="auto"/>
            </w:tcBorders>
            <w:shd w:val="clear" w:color="000000" w:fill="D9D9D9"/>
            <w:hideMark/>
          </w:tcPr>
          <w:p w14:paraId="1C747793" w14:textId="77777777" w:rsidR="00BF44CA" w:rsidRPr="00746F54" w:rsidRDefault="00BF44CA" w:rsidP="00BF44CA">
            <w:pPr>
              <w:spacing w:after="0" w:line="240" w:lineRule="auto"/>
              <w:rPr>
                <w:rFonts w:ascii="Arial" w:eastAsia="Times New Roman" w:hAnsi="Arial" w:cs="Arial"/>
                <w:b/>
                <w:bCs/>
                <w:sz w:val="20"/>
                <w:szCs w:val="20"/>
              </w:rPr>
            </w:pPr>
            <w:r w:rsidRPr="00746F54">
              <w:rPr>
                <w:rFonts w:ascii="Arial" w:eastAsia="Times New Roman" w:hAnsi="Arial" w:cs="Arial"/>
                <w:b/>
                <w:bCs/>
                <w:sz w:val="20"/>
                <w:szCs w:val="20"/>
              </w:rPr>
              <w:t>Historical Transmission Revenue Recovery</w:t>
            </w:r>
          </w:p>
        </w:tc>
        <w:tc>
          <w:tcPr>
            <w:tcW w:w="742" w:type="pct"/>
            <w:tcBorders>
              <w:top w:val="nil"/>
              <w:left w:val="nil"/>
              <w:bottom w:val="single" w:sz="4" w:space="0" w:color="auto"/>
              <w:right w:val="single" w:sz="4" w:space="0" w:color="auto"/>
            </w:tcBorders>
            <w:hideMark/>
          </w:tcPr>
          <w:p w14:paraId="3B1BFC79" w14:textId="77777777" w:rsidR="00BF44CA" w:rsidRPr="00746F54" w:rsidRDefault="00BF44CA" w:rsidP="00BF44CA">
            <w:pPr>
              <w:spacing w:after="0" w:line="240" w:lineRule="auto"/>
              <w:rPr>
                <w:rFonts w:ascii="Arial" w:eastAsia="Times New Roman" w:hAnsi="Arial" w:cs="Arial"/>
                <w:sz w:val="20"/>
                <w:szCs w:val="20"/>
              </w:rPr>
            </w:pPr>
            <w:r w:rsidRPr="00746F54">
              <w:rPr>
                <w:rFonts w:ascii="Arial" w:eastAsia="Times New Roman" w:hAnsi="Arial" w:cs="Arial"/>
                <w:sz w:val="20"/>
                <w:szCs w:val="20"/>
              </w:rPr>
              <w:t>The EDAM Entity provides the ISO with the information necessary to account for the EDAM recoverable revenue associated with the EDAM Transmission Service Providers in its Balancing Authority Area.</w:t>
            </w:r>
            <w:r w:rsidRPr="00746F54">
              <w:rPr>
                <w:rFonts w:ascii="Arial" w:eastAsia="Times New Roman" w:hAnsi="Arial" w:cs="Arial"/>
                <w:sz w:val="20"/>
                <w:szCs w:val="20"/>
              </w:rPr>
              <w:br/>
            </w:r>
            <w:r w:rsidRPr="00746F54">
              <w:rPr>
                <w:rFonts w:ascii="Arial" w:eastAsia="Times New Roman" w:hAnsi="Arial" w:cs="Arial"/>
                <w:sz w:val="20"/>
                <w:szCs w:val="20"/>
              </w:rPr>
              <w:br/>
              <w:t>If they are not going to provide, it should not prevent go-live.</w:t>
            </w:r>
            <w:r w:rsidRPr="00746F54">
              <w:rPr>
                <w:rFonts w:ascii="Arial" w:eastAsia="Times New Roman" w:hAnsi="Arial" w:cs="Arial"/>
                <w:sz w:val="20"/>
                <w:szCs w:val="20"/>
              </w:rPr>
              <w:br/>
            </w:r>
            <w:r w:rsidRPr="00746F54">
              <w:rPr>
                <w:rFonts w:ascii="Arial" w:eastAsia="Times New Roman" w:hAnsi="Arial" w:cs="Arial"/>
                <w:sz w:val="20"/>
                <w:szCs w:val="20"/>
              </w:rPr>
              <w:br/>
              <w:t>Note: If the entity does not provide us the information, we will use mock up information for parallel operations; however, it will not be updated to production.</w:t>
            </w:r>
            <w:r w:rsidRPr="00746F54">
              <w:rPr>
                <w:rFonts w:ascii="Arial" w:eastAsia="Times New Roman" w:hAnsi="Arial" w:cs="Arial"/>
                <w:sz w:val="20"/>
                <w:szCs w:val="20"/>
              </w:rPr>
              <w:br/>
            </w:r>
            <w:r w:rsidRPr="00746F54">
              <w:rPr>
                <w:rFonts w:ascii="Arial" w:eastAsia="Times New Roman" w:hAnsi="Arial" w:cs="Arial"/>
                <w:sz w:val="20"/>
                <w:szCs w:val="20"/>
              </w:rPr>
              <w:br/>
            </w:r>
            <w:r w:rsidRPr="00746F54">
              <w:rPr>
                <w:rFonts w:ascii="Arial" w:eastAsia="Times New Roman" w:hAnsi="Arial" w:cs="Arial"/>
                <w:sz w:val="20"/>
                <w:szCs w:val="20"/>
              </w:rPr>
              <w:lastRenderedPageBreak/>
              <w:t>(EDAM access charge).</w:t>
            </w:r>
          </w:p>
        </w:tc>
        <w:tc>
          <w:tcPr>
            <w:tcW w:w="1016" w:type="pct"/>
            <w:tcBorders>
              <w:top w:val="nil"/>
              <w:left w:val="nil"/>
              <w:bottom w:val="single" w:sz="4" w:space="0" w:color="auto"/>
              <w:right w:val="single" w:sz="4" w:space="0" w:color="auto"/>
            </w:tcBorders>
            <w:hideMark/>
          </w:tcPr>
          <w:p w14:paraId="3BB17F08" w14:textId="77777777" w:rsidR="00BF44CA" w:rsidRPr="00746F54" w:rsidRDefault="00BF44CA" w:rsidP="00BF44CA">
            <w:pPr>
              <w:spacing w:after="0" w:line="240" w:lineRule="auto"/>
              <w:rPr>
                <w:rFonts w:ascii="Arial" w:eastAsia="Times New Roman" w:hAnsi="Arial" w:cs="Arial"/>
                <w:sz w:val="20"/>
                <w:szCs w:val="20"/>
              </w:rPr>
            </w:pPr>
            <w:r w:rsidRPr="00746F54">
              <w:rPr>
                <w:rFonts w:ascii="Arial" w:eastAsia="Times New Roman" w:hAnsi="Arial" w:cs="Arial"/>
                <w:sz w:val="20"/>
                <w:szCs w:val="20"/>
              </w:rPr>
              <w:lastRenderedPageBreak/>
              <w:t>Verification that the EDAM Entity submitted EDAM recoverable revenue has been incorporated into the EDAM recoverable charge codes including EDAM recoverable rates and assessment to gross load.</w:t>
            </w:r>
          </w:p>
        </w:tc>
        <w:tc>
          <w:tcPr>
            <w:tcW w:w="1060" w:type="pct"/>
            <w:tcBorders>
              <w:top w:val="nil"/>
              <w:left w:val="nil"/>
              <w:bottom w:val="single" w:sz="4" w:space="0" w:color="auto"/>
              <w:right w:val="single" w:sz="4" w:space="0" w:color="auto"/>
            </w:tcBorders>
            <w:hideMark/>
          </w:tcPr>
          <w:p w14:paraId="23631DEA" w14:textId="77777777" w:rsidR="00BF44CA" w:rsidRPr="00746F54" w:rsidRDefault="00BF44CA" w:rsidP="00BF44CA">
            <w:pPr>
              <w:spacing w:after="0" w:line="240" w:lineRule="auto"/>
              <w:rPr>
                <w:rFonts w:ascii="Arial" w:eastAsia="Times New Roman" w:hAnsi="Arial" w:cs="Arial"/>
                <w:sz w:val="20"/>
                <w:szCs w:val="20"/>
              </w:rPr>
            </w:pPr>
            <w:r w:rsidRPr="00746F54">
              <w:rPr>
                <w:rFonts w:ascii="Arial" w:eastAsia="Times New Roman" w:hAnsi="Arial" w:cs="Arial"/>
                <w:sz w:val="20"/>
                <w:szCs w:val="20"/>
              </w:rPr>
              <w:t xml:space="preserve">Daily settlement statement and Weekly invoice that correspond with appropriate Settlement statements. Settlements produced during parallel operations are verifiably accurate against available data. </w:t>
            </w:r>
          </w:p>
        </w:tc>
        <w:tc>
          <w:tcPr>
            <w:tcW w:w="1328" w:type="pct"/>
            <w:tcBorders>
              <w:top w:val="nil"/>
              <w:left w:val="nil"/>
              <w:bottom w:val="single" w:sz="4" w:space="0" w:color="auto"/>
              <w:right w:val="single" w:sz="4" w:space="0" w:color="auto"/>
            </w:tcBorders>
            <w:hideMark/>
          </w:tcPr>
          <w:p w14:paraId="2C7F62D7" w14:textId="77777777" w:rsidR="00BF44CA" w:rsidRPr="00746F54" w:rsidRDefault="00BF44CA" w:rsidP="00BF44CA">
            <w:pPr>
              <w:spacing w:after="0" w:line="240" w:lineRule="auto"/>
              <w:rPr>
                <w:rFonts w:ascii="Arial" w:eastAsia="Times New Roman" w:hAnsi="Arial" w:cs="Arial"/>
                <w:sz w:val="20"/>
                <w:szCs w:val="20"/>
              </w:rPr>
            </w:pPr>
            <w:r w:rsidRPr="00746F54">
              <w:rPr>
                <w:rFonts w:ascii="Arial" w:eastAsia="Times New Roman" w:hAnsi="Arial" w:cs="Arial"/>
                <w:sz w:val="20"/>
                <w:szCs w:val="20"/>
              </w:rPr>
              <w:t>ISO calculates the EDAM Access charge based upon EDAM recoverable amount provided by entity.  Confirmation provided via email.</w:t>
            </w:r>
          </w:p>
        </w:tc>
      </w:tr>
      <w:tr w:rsidR="00BF44CA" w:rsidRPr="00746F54" w14:paraId="2573F03A" w14:textId="77777777" w:rsidTr="00BF44CA">
        <w:trPr>
          <w:trHeight w:val="1530"/>
        </w:trPr>
        <w:tc>
          <w:tcPr>
            <w:tcW w:w="299" w:type="pct"/>
            <w:tcBorders>
              <w:top w:val="nil"/>
              <w:left w:val="single" w:sz="4" w:space="0" w:color="auto"/>
              <w:bottom w:val="single" w:sz="4" w:space="0" w:color="auto"/>
              <w:right w:val="single" w:sz="4" w:space="0" w:color="auto"/>
            </w:tcBorders>
            <w:shd w:val="clear" w:color="000000" w:fill="D9D9D9"/>
            <w:noWrap/>
            <w:hideMark/>
          </w:tcPr>
          <w:p w14:paraId="41E4D213" w14:textId="77777777" w:rsidR="00BF44CA" w:rsidRPr="00746F54" w:rsidRDefault="00BF44CA" w:rsidP="00BF44CA">
            <w:pPr>
              <w:spacing w:after="0" w:line="240" w:lineRule="auto"/>
              <w:rPr>
                <w:rFonts w:ascii="Arial" w:eastAsia="Times New Roman" w:hAnsi="Arial" w:cs="Arial"/>
                <w:b/>
                <w:bCs/>
                <w:sz w:val="20"/>
                <w:szCs w:val="20"/>
              </w:rPr>
            </w:pPr>
            <w:r w:rsidRPr="00746F54">
              <w:rPr>
                <w:rFonts w:ascii="Arial" w:eastAsia="Times New Roman" w:hAnsi="Arial" w:cs="Arial"/>
                <w:b/>
                <w:bCs/>
                <w:sz w:val="20"/>
                <w:szCs w:val="20"/>
              </w:rPr>
              <w:t>15</w:t>
            </w:r>
          </w:p>
        </w:tc>
        <w:tc>
          <w:tcPr>
            <w:tcW w:w="555" w:type="pct"/>
            <w:tcBorders>
              <w:top w:val="nil"/>
              <w:left w:val="nil"/>
              <w:bottom w:val="single" w:sz="4" w:space="0" w:color="auto"/>
              <w:right w:val="single" w:sz="4" w:space="0" w:color="auto"/>
            </w:tcBorders>
            <w:shd w:val="clear" w:color="000000" w:fill="D9D9D9"/>
            <w:hideMark/>
          </w:tcPr>
          <w:p w14:paraId="025BE8D1" w14:textId="77777777" w:rsidR="00BF44CA" w:rsidRPr="00746F54" w:rsidRDefault="00BF44CA" w:rsidP="00BF44CA">
            <w:pPr>
              <w:spacing w:after="0" w:line="240" w:lineRule="auto"/>
              <w:rPr>
                <w:rFonts w:ascii="Arial" w:eastAsia="Times New Roman" w:hAnsi="Arial" w:cs="Arial"/>
                <w:b/>
                <w:bCs/>
                <w:sz w:val="20"/>
                <w:szCs w:val="20"/>
              </w:rPr>
            </w:pPr>
            <w:r w:rsidRPr="00746F54">
              <w:rPr>
                <w:rFonts w:ascii="Arial" w:eastAsia="Times New Roman" w:hAnsi="Arial" w:cs="Arial"/>
                <w:b/>
                <w:bCs/>
                <w:sz w:val="20"/>
                <w:szCs w:val="20"/>
              </w:rPr>
              <w:t>Parallel Operations</w:t>
            </w:r>
          </w:p>
        </w:tc>
        <w:tc>
          <w:tcPr>
            <w:tcW w:w="742" w:type="pct"/>
            <w:tcBorders>
              <w:top w:val="nil"/>
              <w:left w:val="nil"/>
              <w:bottom w:val="single" w:sz="4" w:space="0" w:color="auto"/>
              <w:right w:val="single" w:sz="4" w:space="0" w:color="auto"/>
            </w:tcBorders>
            <w:hideMark/>
          </w:tcPr>
          <w:p w14:paraId="1AFF3919" w14:textId="77777777" w:rsidR="00BF44CA" w:rsidRPr="00746F54" w:rsidRDefault="00BF44CA" w:rsidP="00BF44CA">
            <w:pPr>
              <w:spacing w:after="0" w:line="240" w:lineRule="auto"/>
              <w:rPr>
                <w:rFonts w:ascii="Arial" w:eastAsia="Times New Roman" w:hAnsi="Arial" w:cs="Arial"/>
                <w:sz w:val="20"/>
                <w:szCs w:val="20"/>
              </w:rPr>
            </w:pPr>
            <w:r w:rsidRPr="00746F54">
              <w:rPr>
                <w:rFonts w:ascii="Arial" w:eastAsia="Times New Roman" w:hAnsi="Arial" w:cs="Arial"/>
                <w:sz w:val="20"/>
                <w:szCs w:val="20"/>
              </w:rPr>
              <w:t>Parallel Operations Technology Criteria</w:t>
            </w:r>
          </w:p>
        </w:tc>
        <w:tc>
          <w:tcPr>
            <w:tcW w:w="1016" w:type="pct"/>
            <w:tcBorders>
              <w:top w:val="nil"/>
              <w:left w:val="nil"/>
              <w:bottom w:val="single" w:sz="4" w:space="0" w:color="auto"/>
              <w:right w:val="single" w:sz="4" w:space="0" w:color="auto"/>
            </w:tcBorders>
            <w:hideMark/>
          </w:tcPr>
          <w:p w14:paraId="4C3E3D24" w14:textId="77777777" w:rsidR="00BF44CA" w:rsidRPr="00746F54" w:rsidRDefault="00BF44CA" w:rsidP="00BF44CA">
            <w:pPr>
              <w:spacing w:after="0" w:line="240" w:lineRule="auto"/>
              <w:rPr>
                <w:rFonts w:ascii="Arial" w:eastAsia="Times New Roman" w:hAnsi="Arial" w:cs="Arial"/>
                <w:sz w:val="20"/>
                <w:szCs w:val="20"/>
              </w:rPr>
            </w:pPr>
            <w:r w:rsidRPr="00746F54">
              <w:rPr>
                <w:rFonts w:ascii="Arial" w:eastAsia="Times New Roman" w:hAnsi="Arial" w:cs="Arial"/>
                <w:sz w:val="20"/>
                <w:szCs w:val="20"/>
              </w:rPr>
              <w:t>Ensures all transfers between neighboring BAs, EDAM and WEIM entities are configured accurately for market operations and settled correctly.</w:t>
            </w:r>
          </w:p>
        </w:tc>
        <w:tc>
          <w:tcPr>
            <w:tcW w:w="1060" w:type="pct"/>
            <w:tcBorders>
              <w:top w:val="nil"/>
              <w:left w:val="nil"/>
              <w:bottom w:val="single" w:sz="4" w:space="0" w:color="auto"/>
              <w:right w:val="single" w:sz="4" w:space="0" w:color="auto"/>
            </w:tcBorders>
            <w:hideMark/>
          </w:tcPr>
          <w:p w14:paraId="0ABC5C62" w14:textId="77777777" w:rsidR="00BF44CA" w:rsidRPr="00746F54" w:rsidRDefault="00BF44CA" w:rsidP="00BF44CA">
            <w:pPr>
              <w:spacing w:after="0" w:line="240" w:lineRule="auto"/>
              <w:rPr>
                <w:rFonts w:ascii="Arial" w:eastAsia="Times New Roman" w:hAnsi="Arial" w:cs="Arial"/>
                <w:sz w:val="20"/>
                <w:szCs w:val="20"/>
              </w:rPr>
            </w:pPr>
            <w:r w:rsidRPr="00746F54">
              <w:rPr>
                <w:rFonts w:ascii="Arial" w:eastAsia="Times New Roman" w:hAnsi="Arial" w:cs="Arial"/>
                <w:sz w:val="20"/>
                <w:szCs w:val="20"/>
              </w:rPr>
              <w:t>DA market Completion within timeline 90% of the time</w:t>
            </w:r>
            <w:r w:rsidRPr="00746F54">
              <w:rPr>
                <w:rFonts w:ascii="Arial" w:eastAsia="Times New Roman" w:hAnsi="Arial" w:cs="Arial"/>
                <w:sz w:val="20"/>
                <w:szCs w:val="20"/>
              </w:rPr>
              <w:br/>
            </w:r>
            <w:r w:rsidRPr="00746F54">
              <w:rPr>
                <w:rFonts w:ascii="Arial" w:eastAsia="Times New Roman" w:hAnsi="Arial" w:cs="Arial"/>
                <w:sz w:val="20"/>
                <w:szCs w:val="20"/>
              </w:rPr>
              <w:br/>
              <w:t>All significant issues resolved or have an interim solution that is functionally equivalent.</w:t>
            </w:r>
          </w:p>
        </w:tc>
        <w:tc>
          <w:tcPr>
            <w:tcW w:w="1328" w:type="pct"/>
            <w:tcBorders>
              <w:top w:val="nil"/>
              <w:left w:val="nil"/>
              <w:bottom w:val="single" w:sz="4" w:space="0" w:color="auto"/>
              <w:right w:val="single" w:sz="4" w:space="0" w:color="auto"/>
            </w:tcBorders>
            <w:hideMark/>
          </w:tcPr>
          <w:p w14:paraId="7730C7F5" w14:textId="77777777" w:rsidR="00BF44CA" w:rsidRPr="00746F54" w:rsidRDefault="00BF44CA" w:rsidP="00BF44CA">
            <w:pPr>
              <w:spacing w:after="0" w:line="240" w:lineRule="auto"/>
              <w:rPr>
                <w:rFonts w:ascii="Arial" w:eastAsia="Times New Roman" w:hAnsi="Arial" w:cs="Arial"/>
                <w:sz w:val="20"/>
                <w:szCs w:val="20"/>
              </w:rPr>
            </w:pPr>
            <w:r w:rsidRPr="00746F54">
              <w:rPr>
                <w:rFonts w:ascii="Arial" w:eastAsia="Times New Roman" w:hAnsi="Arial" w:cs="Arial"/>
                <w:sz w:val="20"/>
                <w:szCs w:val="20"/>
              </w:rPr>
              <w:t>No SEV 3 defects remain; tracking the DA market completion time. ISO provides confirmation via email.</w:t>
            </w:r>
          </w:p>
        </w:tc>
      </w:tr>
      <w:tr w:rsidR="00BF44CA" w:rsidRPr="00746F54" w14:paraId="7A470819" w14:textId="77777777" w:rsidTr="00BF44CA">
        <w:trPr>
          <w:trHeight w:val="1275"/>
        </w:trPr>
        <w:tc>
          <w:tcPr>
            <w:tcW w:w="299" w:type="pct"/>
            <w:tcBorders>
              <w:top w:val="nil"/>
              <w:left w:val="single" w:sz="4" w:space="0" w:color="auto"/>
              <w:bottom w:val="single" w:sz="4" w:space="0" w:color="auto"/>
              <w:right w:val="single" w:sz="4" w:space="0" w:color="auto"/>
            </w:tcBorders>
            <w:shd w:val="clear" w:color="000000" w:fill="D9D9D9"/>
            <w:noWrap/>
            <w:hideMark/>
          </w:tcPr>
          <w:p w14:paraId="6BD39C09" w14:textId="77777777" w:rsidR="00BF44CA" w:rsidRPr="00746F54" w:rsidRDefault="00BF44CA" w:rsidP="00BF44CA">
            <w:pPr>
              <w:spacing w:after="0" w:line="240" w:lineRule="auto"/>
              <w:rPr>
                <w:rFonts w:ascii="Arial" w:eastAsia="Times New Roman" w:hAnsi="Arial" w:cs="Arial"/>
                <w:b/>
                <w:bCs/>
                <w:sz w:val="20"/>
                <w:szCs w:val="20"/>
              </w:rPr>
            </w:pPr>
            <w:r w:rsidRPr="00746F54">
              <w:rPr>
                <w:rFonts w:ascii="Arial" w:eastAsia="Times New Roman" w:hAnsi="Arial" w:cs="Arial"/>
                <w:b/>
                <w:bCs/>
                <w:sz w:val="20"/>
                <w:szCs w:val="20"/>
              </w:rPr>
              <w:t>16</w:t>
            </w:r>
          </w:p>
        </w:tc>
        <w:tc>
          <w:tcPr>
            <w:tcW w:w="555" w:type="pct"/>
            <w:tcBorders>
              <w:top w:val="nil"/>
              <w:left w:val="nil"/>
              <w:bottom w:val="single" w:sz="4" w:space="0" w:color="auto"/>
              <w:right w:val="single" w:sz="4" w:space="0" w:color="auto"/>
            </w:tcBorders>
            <w:shd w:val="clear" w:color="000000" w:fill="D9D9D9"/>
            <w:hideMark/>
          </w:tcPr>
          <w:p w14:paraId="3016039A" w14:textId="77777777" w:rsidR="00BF44CA" w:rsidRPr="00746F54" w:rsidRDefault="00BF44CA" w:rsidP="00BF44CA">
            <w:pPr>
              <w:spacing w:after="0" w:line="240" w:lineRule="auto"/>
              <w:rPr>
                <w:rFonts w:ascii="Arial" w:eastAsia="Times New Roman" w:hAnsi="Arial" w:cs="Arial"/>
                <w:b/>
                <w:bCs/>
                <w:sz w:val="20"/>
                <w:szCs w:val="20"/>
              </w:rPr>
            </w:pPr>
            <w:r w:rsidRPr="00746F54">
              <w:rPr>
                <w:rFonts w:ascii="Arial" w:eastAsia="Times New Roman" w:hAnsi="Arial" w:cs="Arial"/>
                <w:b/>
                <w:bCs/>
                <w:sz w:val="20"/>
                <w:szCs w:val="20"/>
              </w:rPr>
              <w:t>Parallel Operations</w:t>
            </w:r>
          </w:p>
        </w:tc>
        <w:tc>
          <w:tcPr>
            <w:tcW w:w="742" w:type="pct"/>
            <w:tcBorders>
              <w:top w:val="nil"/>
              <w:left w:val="nil"/>
              <w:bottom w:val="single" w:sz="4" w:space="0" w:color="auto"/>
              <w:right w:val="single" w:sz="4" w:space="0" w:color="auto"/>
            </w:tcBorders>
            <w:hideMark/>
          </w:tcPr>
          <w:p w14:paraId="5794E803" w14:textId="77777777" w:rsidR="00BF44CA" w:rsidRPr="00746F54" w:rsidRDefault="00BF44CA" w:rsidP="00BF44CA">
            <w:pPr>
              <w:spacing w:after="0" w:line="240" w:lineRule="auto"/>
              <w:rPr>
                <w:rFonts w:ascii="Arial" w:eastAsia="Times New Roman" w:hAnsi="Arial" w:cs="Arial"/>
                <w:sz w:val="20"/>
                <w:szCs w:val="20"/>
              </w:rPr>
            </w:pPr>
            <w:r w:rsidRPr="00746F54">
              <w:rPr>
                <w:rFonts w:ascii="Arial" w:eastAsia="Times New Roman" w:hAnsi="Arial" w:cs="Arial"/>
                <w:sz w:val="20"/>
                <w:szCs w:val="20"/>
              </w:rPr>
              <w:t>Parallel Operations market quality review</w:t>
            </w:r>
          </w:p>
        </w:tc>
        <w:tc>
          <w:tcPr>
            <w:tcW w:w="1016" w:type="pct"/>
            <w:tcBorders>
              <w:top w:val="nil"/>
              <w:left w:val="nil"/>
              <w:bottom w:val="single" w:sz="4" w:space="0" w:color="auto"/>
              <w:right w:val="single" w:sz="4" w:space="0" w:color="auto"/>
            </w:tcBorders>
            <w:hideMark/>
          </w:tcPr>
          <w:p w14:paraId="0695965B" w14:textId="77777777" w:rsidR="00BF44CA" w:rsidRPr="00746F54" w:rsidRDefault="00BF44CA" w:rsidP="00BF44CA">
            <w:pPr>
              <w:spacing w:after="0" w:line="240" w:lineRule="auto"/>
              <w:rPr>
                <w:rFonts w:ascii="Arial" w:eastAsia="Times New Roman" w:hAnsi="Arial" w:cs="Arial"/>
                <w:sz w:val="20"/>
                <w:szCs w:val="20"/>
              </w:rPr>
            </w:pPr>
            <w:r w:rsidRPr="00746F54">
              <w:rPr>
                <w:rFonts w:ascii="Arial" w:eastAsia="Times New Roman" w:hAnsi="Arial" w:cs="Arial"/>
                <w:sz w:val="20"/>
                <w:szCs w:val="20"/>
              </w:rPr>
              <w:t xml:space="preserve">Market results are appropriate and prices are validated based on input data during Parallel Operations. </w:t>
            </w:r>
          </w:p>
        </w:tc>
        <w:tc>
          <w:tcPr>
            <w:tcW w:w="1060" w:type="pct"/>
            <w:tcBorders>
              <w:top w:val="nil"/>
              <w:left w:val="nil"/>
              <w:bottom w:val="single" w:sz="4" w:space="0" w:color="auto"/>
              <w:right w:val="single" w:sz="4" w:space="0" w:color="auto"/>
            </w:tcBorders>
            <w:hideMark/>
          </w:tcPr>
          <w:p w14:paraId="33B5DDAD" w14:textId="77777777" w:rsidR="00BF44CA" w:rsidRPr="00746F54" w:rsidRDefault="00BF44CA" w:rsidP="00BF44CA">
            <w:pPr>
              <w:spacing w:after="0" w:line="240" w:lineRule="auto"/>
              <w:rPr>
                <w:rFonts w:ascii="Arial" w:eastAsia="Times New Roman" w:hAnsi="Arial" w:cs="Arial"/>
                <w:sz w:val="20"/>
                <w:szCs w:val="20"/>
              </w:rPr>
            </w:pPr>
            <w:r w:rsidRPr="00746F54">
              <w:rPr>
                <w:rFonts w:ascii="Arial" w:eastAsia="Times New Roman" w:hAnsi="Arial" w:cs="Arial"/>
                <w:sz w:val="20"/>
                <w:szCs w:val="20"/>
              </w:rPr>
              <w:t>The ISO Market Quality team validates Parallel Operations prices and megawatt schedules/dispatches.</w:t>
            </w:r>
          </w:p>
        </w:tc>
        <w:tc>
          <w:tcPr>
            <w:tcW w:w="1328" w:type="pct"/>
            <w:tcBorders>
              <w:top w:val="nil"/>
              <w:left w:val="nil"/>
              <w:bottom w:val="single" w:sz="4" w:space="0" w:color="auto"/>
              <w:right w:val="single" w:sz="4" w:space="0" w:color="auto"/>
            </w:tcBorders>
            <w:hideMark/>
          </w:tcPr>
          <w:p w14:paraId="63060DA9" w14:textId="77777777" w:rsidR="00BF44CA" w:rsidRPr="00746F54" w:rsidRDefault="00BF44CA" w:rsidP="00BF44CA">
            <w:pPr>
              <w:spacing w:after="0" w:line="240" w:lineRule="auto"/>
              <w:rPr>
                <w:rFonts w:ascii="Arial" w:eastAsia="Times New Roman" w:hAnsi="Arial" w:cs="Arial"/>
                <w:sz w:val="20"/>
                <w:szCs w:val="20"/>
              </w:rPr>
            </w:pPr>
            <w:r w:rsidRPr="00746F54">
              <w:rPr>
                <w:rFonts w:ascii="Arial" w:eastAsia="Times New Roman" w:hAnsi="Arial" w:cs="Arial"/>
                <w:sz w:val="20"/>
                <w:szCs w:val="20"/>
              </w:rPr>
              <w:t>ISO Market Quality team provides analysis report on the Market Solution, prices, and quality of data.</w:t>
            </w:r>
          </w:p>
        </w:tc>
      </w:tr>
    </w:tbl>
    <w:p w14:paraId="4C61B3B5" w14:textId="77777777" w:rsidR="00862BFD" w:rsidRPr="00746F54" w:rsidRDefault="00862BFD" w:rsidP="00862BFD">
      <w:pPr>
        <w:spacing w:after="0" w:line="240" w:lineRule="auto"/>
        <w:rPr>
          <w:rFonts w:ascii="Arial" w:eastAsia="Times New Roman" w:hAnsi="Arial" w:cs="Arial"/>
          <w:sz w:val="24"/>
          <w:szCs w:val="24"/>
        </w:rPr>
      </w:pPr>
    </w:p>
    <w:p w14:paraId="30DA27BD" w14:textId="77777777" w:rsidR="00862BFD" w:rsidRPr="00746F54" w:rsidRDefault="00862BFD" w:rsidP="00535C72">
      <w:pPr>
        <w:pStyle w:val="ParaText"/>
        <w:rPr>
          <w:rFonts w:ascii="Arial" w:hAnsi="Arial" w:cs="Arial"/>
        </w:rPr>
      </w:pPr>
    </w:p>
    <w:p w14:paraId="7562A8C8" w14:textId="581A4BA2" w:rsidR="00535C72" w:rsidRPr="00746F54" w:rsidRDefault="00535C72" w:rsidP="00B948B7">
      <w:pPr>
        <w:pStyle w:val="ParaText"/>
        <w:ind w:left="720"/>
        <w:rPr>
          <w:rFonts w:ascii="Arial" w:hAnsi="Arial" w:cs="Arial"/>
        </w:rPr>
      </w:pPr>
      <w:r w:rsidRPr="00746F54">
        <w:rPr>
          <w:rFonts w:ascii="Arial" w:hAnsi="Arial" w:cs="Arial"/>
          <w:b/>
        </w:rPr>
        <w:lastRenderedPageBreak/>
        <w:t>EDAM Entity Full Network Model Integration</w:t>
      </w:r>
      <w:r w:rsidRPr="00746F54">
        <w:rPr>
          <w:rFonts w:ascii="Arial" w:hAnsi="Arial" w:cs="Arial"/>
        </w:rPr>
        <w:t xml:space="preserve"> – </w:t>
      </w:r>
      <w:r w:rsidR="009967FA" w:rsidRPr="00746F54">
        <w:rPr>
          <w:rFonts w:ascii="Arial" w:hAnsi="Arial" w:cs="Arial"/>
        </w:rPr>
        <w:t>to</w:t>
      </w:r>
      <w:r w:rsidRPr="00746F54">
        <w:rPr>
          <w:rFonts w:ascii="Arial" w:hAnsi="Arial" w:cs="Arial"/>
        </w:rPr>
        <w:t xml:space="preserve"> participate in EDAM, the entity must be an  EIM Entity </w:t>
      </w:r>
      <w:r w:rsidR="004513BF" w:rsidRPr="00746F54">
        <w:rPr>
          <w:rFonts w:ascii="Arial" w:hAnsi="Arial" w:cs="Arial"/>
        </w:rPr>
        <w:t>with the</w:t>
      </w:r>
      <w:r w:rsidR="00A960C4" w:rsidRPr="00746F54">
        <w:rPr>
          <w:rFonts w:ascii="Arial" w:hAnsi="Arial" w:cs="Arial"/>
        </w:rPr>
        <w:t xml:space="preserve"> </w:t>
      </w:r>
      <w:r w:rsidRPr="00746F54">
        <w:rPr>
          <w:rFonts w:ascii="Arial" w:hAnsi="Arial" w:cs="Arial"/>
        </w:rPr>
        <w:t>full network model integrated into CAISO full network model from EIM.</w:t>
      </w:r>
    </w:p>
    <w:p w14:paraId="08DC113F" w14:textId="2A81DEDA" w:rsidR="00535C72" w:rsidRPr="00746F54" w:rsidRDefault="00535C72" w:rsidP="00B948B7">
      <w:pPr>
        <w:pStyle w:val="ParaText"/>
        <w:ind w:left="720"/>
        <w:rPr>
          <w:rFonts w:ascii="Arial" w:hAnsi="Arial" w:cs="Arial"/>
        </w:rPr>
      </w:pPr>
      <w:r w:rsidRPr="00746F54">
        <w:rPr>
          <w:rFonts w:ascii="Arial" w:hAnsi="Arial" w:cs="Arial"/>
          <w:b/>
        </w:rPr>
        <w:t xml:space="preserve">Agreements </w:t>
      </w:r>
      <w:r w:rsidRPr="00746F54">
        <w:rPr>
          <w:rFonts w:ascii="Arial" w:hAnsi="Arial" w:cs="Arial"/>
        </w:rPr>
        <w:t xml:space="preserve">– prior to the established implementation date, the prospective EDAM Entity must execute all necessary agreements in accordance with the timelines described in </w:t>
      </w:r>
      <w:r w:rsidR="007C02B9" w:rsidRPr="00746F54">
        <w:rPr>
          <w:rFonts w:ascii="Arial" w:hAnsi="Arial" w:cs="Arial"/>
        </w:rPr>
        <w:t>[????]</w:t>
      </w:r>
    </w:p>
    <w:p w14:paraId="21CB009D" w14:textId="03D47B1E" w:rsidR="00535C72" w:rsidRPr="00746F54" w:rsidRDefault="00535C72" w:rsidP="00B948B7">
      <w:pPr>
        <w:pStyle w:val="ParaText"/>
        <w:ind w:left="720"/>
        <w:rPr>
          <w:rFonts w:ascii="Arial" w:hAnsi="Arial" w:cs="Arial"/>
        </w:rPr>
      </w:pPr>
      <w:r w:rsidRPr="00746F54">
        <w:rPr>
          <w:rFonts w:ascii="Arial" w:hAnsi="Arial" w:cs="Arial"/>
          <w:b/>
        </w:rPr>
        <w:t>Training</w:t>
      </w:r>
      <w:r w:rsidRPr="00746F54">
        <w:rPr>
          <w:rFonts w:ascii="Arial" w:hAnsi="Arial" w:cs="Arial"/>
        </w:rPr>
        <w:t xml:space="preserve"> –CAISO provides training for prospective EDAM </w:t>
      </w:r>
      <w:r w:rsidR="004513BF" w:rsidRPr="00746F54">
        <w:rPr>
          <w:rFonts w:ascii="Arial" w:hAnsi="Arial" w:cs="Arial"/>
        </w:rPr>
        <w:t>e</w:t>
      </w:r>
      <w:r w:rsidRPr="00746F54">
        <w:rPr>
          <w:rFonts w:ascii="Arial" w:hAnsi="Arial" w:cs="Arial"/>
        </w:rPr>
        <w:t>ntity</w:t>
      </w:r>
      <w:commentRangeStart w:id="37"/>
      <w:commentRangeEnd w:id="37"/>
      <w:r w:rsidR="003D7AEA" w:rsidRPr="00746F54">
        <w:rPr>
          <w:rStyle w:val="CommentReference"/>
          <w:rFonts w:ascii="Arial" w:hAnsi="Arial" w:cs="Arial"/>
        </w:rPr>
        <w:commentReference w:id="37"/>
      </w:r>
      <w:r w:rsidRPr="00746F54">
        <w:rPr>
          <w:rFonts w:ascii="Arial" w:hAnsi="Arial" w:cs="Arial"/>
        </w:rPr>
        <w:t xml:space="preserve"> operators before and during market simulation. All training is to be completed prior to the start of parallel operations.</w:t>
      </w:r>
      <w:r w:rsidR="007C02B9" w:rsidRPr="00746F54">
        <w:rPr>
          <w:rFonts w:ascii="Arial" w:hAnsi="Arial" w:cs="Arial"/>
        </w:rPr>
        <w:t xml:space="preserve"> </w:t>
      </w:r>
    </w:p>
    <w:p w14:paraId="17F73581" w14:textId="77777777" w:rsidR="00535C72" w:rsidRPr="00746F54" w:rsidRDefault="00535C72" w:rsidP="00B948B7">
      <w:pPr>
        <w:pStyle w:val="ParaText"/>
        <w:ind w:left="720"/>
        <w:rPr>
          <w:rFonts w:ascii="Arial" w:hAnsi="Arial" w:cs="Arial"/>
        </w:rPr>
      </w:pPr>
      <w:r w:rsidRPr="00746F54">
        <w:rPr>
          <w:rFonts w:ascii="Arial" w:hAnsi="Arial" w:cs="Arial"/>
          <w:b/>
        </w:rPr>
        <w:t>Forecasts</w:t>
      </w:r>
      <w:r w:rsidRPr="00746F54">
        <w:rPr>
          <w:rFonts w:ascii="Arial" w:hAnsi="Arial" w:cs="Arial"/>
        </w:rPr>
        <w:t xml:space="preserve"> – forecasting capabilities are established and measured during the market simulation.</w:t>
      </w:r>
    </w:p>
    <w:p w14:paraId="4094EAC8" w14:textId="0983EBA5" w:rsidR="00535C72" w:rsidRPr="00746F54" w:rsidRDefault="00535C72" w:rsidP="00B948B7">
      <w:pPr>
        <w:pStyle w:val="ParaText"/>
        <w:ind w:left="720"/>
        <w:rPr>
          <w:rFonts w:ascii="Arial" w:hAnsi="Arial" w:cs="Arial"/>
        </w:rPr>
      </w:pPr>
      <w:r w:rsidRPr="00746F54">
        <w:rPr>
          <w:rFonts w:ascii="Arial" w:hAnsi="Arial" w:cs="Arial"/>
          <w:b/>
        </w:rPr>
        <w:t>Operating Procedures</w:t>
      </w:r>
      <w:r w:rsidRPr="00746F54">
        <w:rPr>
          <w:rFonts w:ascii="Arial" w:hAnsi="Arial" w:cs="Arial"/>
        </w:rPr>
        <w:t xml:space="preserve"> - the prospective EDAM </w:t>
      </w:r>
      <w:r w:rsidR="003D7AEA" w:rsidRPr="00746F54">
        <w:rPr>
          <w:rFonts w:ascii="Arial" w:hAnsi="Arial" w:cs="Arial"/>
        </w:rPr>
        <w:t>e</w:t>
      </w:r>
      <w:r w:rsidRPr="00746F54">
        <w:rPr>
          <w:rFonts w:ascii="Arial" w:hAnsi="Arial" w:cs="Arial"/>
        </w:rPr>
        <w:t>ntity and CAISO will review and test applicable operating procedures prior to the start of parallel operations.</w:t>
      </w:r>
    </w:p>
    <w:p w14:paraId="548B4123" w14:textId="36130C45" w:rsidR="00535C72" w:rsidRPr="00746F54" w:rsidRDefault="00535C72" w:rsidP="00B948B7">
      <w:pPr>
        <w:pStyle w:val="ParaText"/>
        <w:ind w:left="720"/>
        <w:rPr>
          <w:rFonts w:ascii="Arial" w:hAnsi="Arial" w:cs="Arial"/>
        </w:rPr>
      </w:pPr>
      <w:r w:rsidRPr="00746F54">
        <w:rPr>
          <w:rFonts w:ascii="Arial" w:hAnsi="Arial" w:cs="Arial"/>
          <w:b/>
        </w:rPr>
        <w:t xml:space="preserve">System Readiness </w:t>
      </w:r>
      <w:r w:rsidR="003D7AEA" w:rsidRPr="00746F54">
        <w:rPr>
          <w:rFonts w:ascii="Arial" w:hAnsi="Arial" w:cs="Arial"/>
          <w:b/>
        </w:rPr>
        <w:t xml:space="preserve">and </w:t>
      </w:r>
      <w:r w:rsidRPr="00746F54">
        <w:rPr>
          <w:rFonts w:ascii="Arial" w:hAnsi="Arial" w:cs="Arial"/>
          <w:b/>
        </w:rPr>
        <w:t>Integration</w:t>
      </w:r>
      <w:r w:rsidRPr="00746F54">
        <w:rPr>
          <w:rFonts w:ascii="Arial" w:hAnsi="Arial" w:cs="Arial"/>
        </w:rPr>
        <w:t xml:space="preserve"> - the prospective EDAM </w:t>
      </w:r>
      <w:r w:rsidR="003D7AEA" w:rsidRPr="00746F54">
        <w:rPr>
          <w:rFonts w:ascii="Arial" w:hAnsi="Arial" w:cs="Arial"/>
        </w:rPr>
        <w:t>e</w:t>
      </w:r>
      <w:r w:rsidRPr="00746F54">
        <w:rPr>
          <w:rFonts w:ascii="Arial" w:hAnsi="Arial" w:cs="Arial"/>
        </w:rPr>
        <w:t xml:space="preserve">ntity and CAISO will perform functional and system testing and system integration testing. </w:t>
      </w:r>
    </w:p>
    <w:p w14:paraId="3D4E54A7" w14:textId="35CCDFC8" w:rsidR="00535C72" w:rsidRPr="00746F54" w:rsidRDefault="00535C72" w:rsidP="00B948B7">
      <w:pPr>
        <w:pStyle w:val="ParaText"/>
        <w:ind w:left="720"/>
        <w:rPr>
          <w:rFonts w:ascii="Arial" w:hAnsi="Arial" w:cs="Arial"/>
        </w:rPr>
      </w:pPr>
      <w:r w:rsidRPr="00746F54">
        <w:rPr>
          <w:rFonts w:ascii="Arial" w:hAnsi="Arial" w:cs="Arial"/>
          <w:b/>
        </w:rPr>
        <w:t>Market Simulation</w:t>
      </w:r>
      <w:r w:rsidRPr="00746F54">
        <w:rPr>
          <w:rFonts w:ascii="Arial" w:hAnsi="Arial" w:cs="Arial"/>
        </w:rPr>
        <w:t xml:space="preserve"> - the CAISO will conduct a market simulation for the prospective EDAM </w:t>
      </w:r>
      <w:r w:rsidR="003D7AEA" w:rsidRPr="00746F54">
        <w:rPr>
          <w:rFonts w:ascii="Arial" w:hAnsi="Arial" w:cs="Arial"/>
        </w:rPr>
        <w:t>e</w:t>
      </w:r>
      <w:r w:rsidRPr="00746F54">
        <w:rPr>
          <w:rFonts w:ascii="Arial" w:hAnsi="Arial" w:cs="Arial"/>
        </w:rPr>
        <w:t>ntity and any</w:t>
      </w:r>
      <w:r w:rsidR="002C19A7" w:rsidRPr="00746F54">
        <w:rPr>
          <w:rFonts w:ascii="Arial" w:hAnsi="Arial" w:cs="Arial"/>
        </w:rPr>
        <w:t xml:space="preserve"> </w:t>
      </w:r>
      <w:r w:rsidRPr="00746F54" w:rsidDel="002C19A7">
        <w:rPr>
          <w:rFonts w:ascii="Arial" w:hAnsi="Arial" w:cs="Arial"/>
        </w:rPr>
        <w:t xml:space="preserve"> </w:t>
      </w:r>
      <w:r w:rsidRPr="00746F54">
        <w:rPr>
          <w:rFonts w:ascii="Arial" w:hAnsi="Arial" w:cs="Arial"/>
        </w:rPr>
        <w:t xml:space="preserve">resource scheduling </w:t>
      </w:r>
      <w:commentRangeStart w:id="38"/>
      <w:r w:rsidRPr="00746F54">
        <w:rPr>
          <w:rFonts w:ascii="Arial" w:hAnsi="Arial" w:cs="Arial"/>
        </w:rPr>
        <w:t>coordinators</w:t>
      </w:r>
      <w:commentRangeEnd w:id="38"/>
      <w:r w:rsidR="007C02B9" w:rsidRPr="00746F54">
        <w:rPr>
          <w:rStyle w:val="CommentReference"/>
          <w:rFonts w:ascii="Arial" w:hAnsi="Arial" w:cs="Arial"/>
        </w:rPr>
        <w:commentReference w:id="38"/>
      </w:r>
      <w:r w:rsidRPr="00746F54">
        <w:rPr>
          <w:rFonts w:ascii="Arial" w:hAnsi="Arial" w:cs="Arial"/>
        </w:rPr>
        <w:t xml:space="preserve"> registered with the prospective EDAM </w:t>
      </w:r>
      <w:r w:rsidR="003D7AEA" w:rsidRPr="00746F54">
        <w:rPr>
          <w:rFonts w:ascii="Arial" w:hAnsi="Arial" w:cs="Arial"/>
        </w:rPr>
        <w:t>e</w:t>
      </w:r>
      <w:r w:rsidRPr="00746F54">
        <w:rPr>
          <w:rFonts w:ascii="Arial" w:hAnsi="Arial" w:cs="Arial"/>
        </w:rPr>
        <w:t xml:space="preserve">ntity prior to that new prospective </w:t>
      </w:r>
      <w:r w:rsidR="003D7AEA" w:rsidRPr="00746F54">
        <w:rPr>
          <w:rFonts w:ascii="Arial" w:hAnsi="Arial" w:cs="Arial"/>
        </w:rPr>
        <w:t>e</w:t>
      </w:r>
      <w:r w:rsidRPr="00746F54">
        <w:rPr>
          <w:rFonts w:ascii="Arial" w:hAnsi="Arial" w:cs="Arial"/>
        </w:rPr>
        <w:t>ntity entering EDAM</w:t>
      </w:r>
      <w:r w:rsidR="00D14B8C" w:rsidRPr="00746F54">
        <w:rPr>
          <w:rFonts w:ascii="Arial" w:hAnsi="Arial" w:cs="Arial"/>
        </w:rPr>
        <w:t>.</w:t>
      </w:r>
    </w:p>
    <w:p w14:paraId="1D844AAB" w14:textId="2214673D" w:rsidR="00535C72" w:rsidRPr="00746F54" w:rsidRDefault="00535C72" w:rsidP="00B948B7">
      <w:pPr>
        <w:pStyle w:val="ParaText"/>
        <w:ind w:left="720"/>
        <w:rPr>
          <w:rFonts w:ascii="Arial" w:hAnsi="Arial" w:cs="Arial"/>
        </w:rPr>
      </w:pPr>
      <w:r w:rsidRPr="00746F54">
        <w:rPr>
          <w:rFonts w:ascii="Arial" w:hAnsi="Arial" w:cs="Arial"/>
          <w:b/>
        </w:rPr>
        <w:t>Settlements</w:t>
      </w:r>
      <w:r w:rsidRPr="00746F54">
        <w:rPr>
          <w:rFonts w:ascii="Arial" w:hAnsi="Arial" w:cs="Arial"/>
        </w:rPr>
        <w:t xml:space="preserve"> – the CAISO submits a settlement statement to the prospective EDAM </w:t>
      </w:r>
      <w:r w:rsidR="003D7AEA" w:rsidRPr="00746F54">
        <w:rPr>
          <w:rFonts w:ascii="Arial" w:hAnsi="Arial" w:cs="Arial"/>
        </w:rPr>
        <w:t>e</w:t>
      </w:r>
      <w:r w:rsidRPr="00746F54">
        <w:rPr>
          <w:rFonts w:ascii="Arial" w:hAnsi="Arial" w:cs="Arial"/>
        </w:rPr>
        <w:t>ntity including</w:t>
      </w:r>
      <w:r w:rsidRPr="00746F54" w:rsidDel="00B11FF2">
        <w:rPr>
          <w:rFonts w:ascii="Arial" w:hAnsi="Arial" w:cs="Arial"/>
        </w:rPr>
        <w:t xml:space="preserve"> </w:t>
      </w:r>
      <w:r w:rsidRPr="00746F54">
        <w:rPr>
          <w:rFonts w:ascii="Arial" w:hAnsi="Arial" w:cs="Arial"/>
        </w:rPr>
        <w:t>resources and load. Prior to financially binding operations, the prospective EDAM Entity will demonstrate it can produce allocations of the CAISO settlement to its customers that are verifiably accurate against available data.</w:t>
      </w:r>
    </w:p>
    <w:p w14:paraId="2CFE24A3" w14:textId="77777777" w:rsidR="00535C72" w:rsidRPr="00746F54" w:rsidRDefault="00535C72" w:rsidP="00636D40">
      <w:pPr>
        <w:pStyle w:val="ParaText"/>
        <w:ind w:left="720"/>
        <w:rPr>
          <w:rFonts w:ascii="Arial" w:hAnsi="Arial" w:cs="Arial"/>
        </w:rPr>
      </w:pPr>
      <w:r w:rsidRPr="00746F54">
        <w:rPr>
          <w:rFonts w:ascii="Arial" w:hAnsi="Arial" w:cs="Arial"/>
          <w:b/>
        </w:rPr>
        <w:t>Monitoring</w:t>
      </w:r>
      <w:r w:rsidRPr="00746F54">
        <w:rPr>
          <w:rFonts w:ascii="Arial" w:hAnsi="Arial" w:cs="Arial"/>
        </w:rPr>
        <w:t xml:space="preserve"> – the CAISO ensures that the CAISO Market Analysis Team and the Department of Market Monitoring have the data that is required to adequately monitor market performance.</w:t>
      </w:r>
    </w:p>
    <w:p w14:paraId="1FEEB4A9" w14:textId="500A3A94" w:rsidR="00535C72" w:rsidRPr="00746F54" w:rsidRDefault="00535C72" w:rsidP="00636D40">
      <w:pPr>
        <w:pStyle w:val="ParaText"/>
        <w:ind w:left="720"/>
        <w:rPr>
          <w:rFonts w:ascii="Arial" w:hAnsi="Arial" w:cs="Arial"/>
        </w:rPr>
      </w:pPr>
      <w:r w:rsidRPr="00746F54">
        <w:rPr>
          <w:rFonts w:ascii="Arial" w:hAnsi="Arial" w:cs="Arial"/>
          <w:b/>
        </w:rPr>
        <w:t>Parallel Operations Planning</w:t>
      </w:r>
      <w:r w:rsidRPr="00746F54">
        <w:rPr>
          <w:rFonts w:ascii="Arial" w:hAnsi="Arial" w:cs="Arial"/>
        </w:rPr>
        <w:t xml:space="preserve"> – the CAISO and prospective EDAM </w:t>
      </w:r>
      <w:r w:rsidR="003D7AEA" w:rsidRPr="00746F54">
        <w:rPr>
          <w:rFonts w:ascii="Arial" w:hAnsi="Arial" w:cs="Arial"/>
        </w:rPr>
        <w:t>e</w:t>
      </w:r>
      <w:r w:rsidRPr="00746F54">
        <w:rPr>
          <w:rFonts w:ascii="Arial" w:hAnsi="Arial" w:cs="Arial"/>
        </w:rPr>
        <w:t>ntity ensure that systems, processes and staff are prepared for deployment of systems, parallel operations, and support beyond parallel operations for issues that may arise.</w:t>
      </w:r>
    </w:p>
    <w:p w14:paraId="5CFEB344" w14:textId="337623F2" w:rsidR="002A6A88" w:rsidRPr="00746F54" w:rsidRDefault="00535C72" w:rsidP="00636D40">
      <w:pPr>
        <w:ind w:left="720"/>
        <w:rPr>
          <w:rFonts w:ascii="Arial" w:hAnsi="Arial" w:cs="Arial"/>
        </w:rPr>
      </w:pPr>
      <w:r w:rsidRPr="00746F54">
        <w:rPr>
          <w:rFonts w:ascii="Arial" w:hAnsi="Arial" w:cs="Arial"/>
          <w:b/>
        </w:rPr>
        <w:t>Communication</w:t>
      </w:r>
      <w:r w:rsidRPr="00746F54">
        <w:rPr>
          <w:rFonts w:ascii="Arial" w:hAnsi="Arial" w:cs="Arial"/>
        </w:rPr>
        <w:t xml:space="preserve"> - the CAISO and prospective EDAM </w:t>
      </w:r>
      <w:r w:rsidR="003D7AEA" w:rsidRPr="00746F54">
        <w:rPr>
          <w:rFonts w:ascii="Arial" w:hAnsi="Arial" w:cs="Arial"/>
        </w:rPr>
        <w:t>e</w:t>
      </w:r>
      <w:r w:rsidRPr="00746F54">
        <w:rPr>
          <w:rFonts w:ascii="Arial" w:hAnsi="Arial" w:cs="Arial"/>
        </w:rPr>
        <w:t xml:space="preserve">ntity ensure all tools and procedures used for communication between the CAISO and prospective EDAM </w:t>
      </w:r>
      <w:r w:rsidR="003D7AEA" w:rsidRPr="00746F54">
        <w:rPr>
          <w:rFonts w:ascii="Arial" w:hAnsi="Arial" w:cs="Arial"/>
        </w:rPr>
        <w:t>e</w:t>
      </w:r>
      <w:r w:rsidRPr="00746F54">
        <w:rPr>
          <w:rFonts w:ascii="Arial" w:hAnsi="Arial" w:cs="Arial"/>
        </w:rPr>
        <w:t>ntity are in place and tested before the implementation date</w:t>
      </w:r>
      <w:r w:rsidR="00732099" w:rsidRPr="00746F54">
        <w:rPr>
          <w:rFonts w:ascii="Arial" w:hAnsi="Arial" w:cs="Arial"/>
        </w:rPr>
        <w:t>.</w:t>
      </w:r>
    </w:p>
    <w:p w14:paraId="751614E0" w14:textId="77777777" w:rsidR="00947B7F" w:rsidRPr="00746F54" w:rsidRDefault="002A6A88" w:rsidP="00947B7F">
      <w:pPr>
        <w:pStyle w:val="Paragraph"/>
        <w:rPr>
          <w:rFonts w:ascii="Arial" w:hAnsi="Arial" w:cs="Arial"/>
          <w:sz w:val="22"/>
        </w:rPr>
      </w:pPr>
      <w:r w:rsidRPr="00746F54">
        <w:rPr>
          <w:rFonts w:ascii="Arial" w:hAnsi="Arial" w:cs="Arial"/>
          <w:sz w:val="22"/>
        </w:rPr>
        <w:lastRenderedPageBreak/>
        <w:t xml:space="preserve">If the CAISO or the prospective EDAM entity determines that either cannot proceed with implementation on the implementation date identified in the EDAM Entity Implementation Agreement, the CAISO and the prospective EDAM entity will establish a new EDAM Entity Implementation Date and will reflect that date in the amended version of the EDAM Entity Implementation Agreement.  </w:t>
      </w:r>
      <w:bookmarkStart w:id="39" w:name="_Toc211337868"/>
    </w:p>
    <w:p w14:paraId="04B4A080" w14:textId="77777777" w:rsidR="00947B7F" w:rsidRPr="00746F54" w:rsidRDefault="00947B7F" w:rsidP="00776EBF">
      <w:pPr>
        <w:pStyle w:val="Paragraph"/>
        <w:rPr>
          <w:rFonts w:ascii="Arial" w:hAnsi="Arial" w:cs="Arial"/>
          <w:sz w:val="22"/>
        </w:rPr>
      </w:pPr>
    </w:p>
    <w:p w14:paraId="1F98B006" w14:textId="22F6E759" w:rsidR="006016C0" w:rsidRPr="00746F54" w:rsidRDefault="00724DE9" w:rsidP="00947B7F">
      <w:pPr>
        <w:pStyle w:val="Heading3"/>
        <w:rPr>
          <w:rFonts w:ascii="Arial" w:hAnsi="Arial" w:cs="Arial"/>
        </w:rPr>
      </w:pPr>
      <w:r w:rsidRPr="00746F54">
        <w:rPr>
          <w:rFonts w:ascii="Arial" w:hAnsi="Arial" w:cs="Arial"/>
        </w:rPr>
        <w:t>Suspension of EDAM Entity Participation</w:t>
      </w:r>
      <w:bookmarkEnd w:id="39"/>
    </w:p>
    <w:p w14:paraId="2AE78957" w14:textId="1C4107A5" w:rsidR="00724DE9" w:rsidRPr="00746F54" w:rsidRDefault="00724DE9" w:rsidP="006016C0">
      <w:pPr>
        <w:pStyle w:val="ParaText"/>
        <w:rPr>
          <w:rFonts w:ascii="Arial" w:hAnsi="Arial" w:cs="Arial"/>
          <w:u w:val="single"/>
        </w:rPr>
      </w:pPr>
      <w:r w:rsidRPr="00746F54">
        <w:rPr>
          <w:rFonts w:ascii="Arial" w:hAnsi="Arial" w:cs="Arial"/>
          <w:u w:val="single"/>
        </w:rPr>
        <w:t>Reference tariff section 33.1</w:t>
      </w:r>
    </w:p>
    <w:p w14:paraId="481652DD" w14:textId="5FB12BBB" w:rsidR="006016C0" w:rsidRPr="00746F54" w:rsidRDefault="007C658B" w:rsidP="006016C0">
      <w:pPr>
        <w:pStyle w:val="ParaText"/>
        <w:rPr>
          <w:rFonts w:ascii="Arial" w:hAnsi="Arial" w:cs="Arial"/>
        </w:rPr>
      </w:pPr>
      <w:r w:rsidRPr="00746F54">
        <w:rPr>
          <w:rFonts w:ascii="Arial" w:hAnsi="Arial" w:cs="Arial"/>
        </w:rPr>
        <w:t xml:space="preserve">Pursuant to Tariff Section 33.1.1, the CAISO may, within 60 days following an EDAM Entity Implementation Date, temporarily suspend the participation of an EDAM Entity in the Day-Ahead Market within the EDAM Entity Balancing Authority Area for a period not to exceed 60 days if </w:t>
      </w:r>
      <w:r w:rsidR="009653CC" w:rsidRPr="00746F54">
        <w:rPr>
          <w:rFonts w:ascii="Arial" w:hAnsi="Arial" w:cs="Arial"/>
        </w:rPr>
        <w:t xml:space="preserve">any </w:t>
      </w:r>
      <w:r w:rsidRPr="00746F54">
        <w:rPr>
          <w:rFonts w:ascii="Arial" w:hAnsi="Arial" w:cs="Arial"/>
        </w:rPr>
        <w:t>market or system operational issue adversely impact</w:t>
      </w:r>
      <w:r w:rsidR="009653CC" w:rsidRPr="00746F54">
        <w:rPr>
          <w:rFonts w:ascii="Arial" w:hAnsi="Arial" w:cs="Arial"/>
        </w:rPr>
        <w:t>s</w:t>
      </w:r>
      <w:r w:rsidRPr="00746F54">
        <w:rPr>
          <w:rFonts w:ascii="Arial" w:hAnsi="Arial" w:cs="Arial"/>
        </w:rPr>
        <w:t xml:space="preserve"> any portion of the EDAM Area.  The term</w:t>
      </w:r>
      <w:r w:rsidR="006E3CE8" w:rsidRPr="00746F54">
        <w:rPr>
          <w:rFonts w:ascii="Arial" w:hAnsi="Arial" w:cs="Arial"/>
        </w:rPr>
        <w:t>s</w:t>
      </w:r>
      <w:r w:rsidRPr="00746F54">
        <w:rPr>
          <w:rFonts w:ascii="Arial" w:hAnsi="Arial" w:cs="Arial"/>
        </w:rPr>
        <w:t xml:space="preserve"> of the temporary suspension </w:t>
      </w:r>
      <w:r w:rsidR="006E3CE8" w:rsidRPr="00746F54">
        <w:rPr>
          <w:rFonts w:ascii="Arial" w:hAnsi="Arial" w:cs="Arial"/>
        </w:rPr>
        <w:t>shall be pursuant to a CAISO issued Market Notice</w:t>
      </w:r>
      <w:r w:rsidRPr="00746F54">
        <w:rPr>
          <w:rFonts w:ascii="Arial" w:hAnsi="Arial" w:cs="Arial"/>
        </w:rPr>
        <w:t xml:space="preserve"> </w:t>
      </w:r>
      <w:r w:rsidR="006E3CE8" w:rsidRPr="00746F54">
        <w:rPr>
          <w:rFonts w:ascii="Arial" w:hAnsi="Arial" w:cs="Arial"/>
        </w:rPr>
        <w:t>to include the expected timeline of the temporary suspension and the impacted entities.  CAISO may continue operation of the Day-Ahead Market</w:t>
      </w:r>
      <w:r w:rsidR="009654A4" w:rsidRPr="00746F54">
        <w:rPr>
          <w:rFonts w:ascii="Arial" w:hAnsi="Arial" w:cs="Arial"/>
        </w:rPr>
        <w:t xml:space="preserve"> in the rest of the EDAM Area without participation of the suspended EDAM Entity for a reasonable period to facilitate resolution to the market or operational issue(s).  </w:t>
      </w:r>
      <w:r w:rsidR="00732099" w:rsidRPr="00746F54">
        <w:rPr>
          <w:rFonts w:ascii="Arial" w:hAnsi="Arial" w:cs="Arial"/>
        </w:rPr>
        <w:t xml:space="preserve">  </w:t>
      </w:r>
      <w:commentRangeStart w:id="40"/>
      <w:r w:rsidR="00732099" w:rsidRPr="00746F54">
        <w:rPr>
          <w:rFonts w:ascii="Arial" w:hAnsi="Arial" w:cs="Arial"/>
        </w:rPr>
        <w:t xml:space="preserve">See EDAM Disruption for further details. </w:t>
      </w:r>
      <w:commentRangeEnd w:id="40"/>
      <w:r w:rsidR="00687063" w:rsidRPr="00746F54">
        <w:rPr>
          <w:rStyle w:val="CommentReference"/>
          <w:rFonts w:ascii="Arial" w:hAnsi="Arial" w:cs="Arial"/>
        </w:rPr>
        <w:commentReference w:id="40"/>
      </w:r>
    </w:p>
    <w:p w14:paraId="4C16E342" w14:textId="0037940D" w:rsidR="00A156CF" w:rsidRPr="00746F54" w:rsidRDefault="006016C0" w:rsidP="005264B9">
      <w:pPr>
        <w:pStyle w:val="Heading2"/>
        <w:rPr>
          <w:rFonts w:ascii="Arial" w:hAnsi="Arial" w:cs="Arial"/>
        </w:rPr>
      </w:pPr>
      <w:bookmarkStart w:id="41" w:name="_Toc211337869"/>
      <w:bookmarkStart w:id="42" w:name="_Toc212733036"/>
      <w:r w:rsidRPr="00746F54">
        <w:rPr>
          <w:rFonts w:ascii="Arial" w:hAnsi="Arial" w:cs="Arial"/>
        </w:rPr>
        <w:t xml:space="preserve">Additional </w:t>
      </w:r>
      <w:r w:rsidR="00B84C5E" w:rsidRPr="00746F54">
        <w:rPr>
          <w:rFonts w:ascii="Arial" w:hAnsi="Arial" w:cs="Arial"/>
        </w:rPr>
        <w:t xml:space="preserve">Roles and Responsibilities </w:t>
      </w:r>
      <w:r w:rsidRPr="00746F54">
        <w:rPr>
          <w:rFonts w:ascii="Arial" w:hAnsi="Arial" w:cs="Arial"/>
        </w:rPr>
        <w:t xml:space="preserve">under </w:t>
      </w:r>
      <w:r w:rsidR="00B84C5E" w:rsidRPr="00746F54">
        <w:rPr>
          <w:rFonts w:ascii="Arial" w:hAnsi="Arial" w:cs="Arial"/>
        </w:rPr>
        <w:t>EDAM</w:t>
      </w:r>
      <w:bookmarkEnd w:id="41"/>
      <w:bookmarkEnd w:id="42"/>
    </w:p>
    <w:p w14:paraId="41582A44" w14:textId="6D2BC565" w:rsidR="005A5990" w:rsidRPr="00746F54" w:rsidRDefault="005A5990" w:rsidP="00636D40">
      <w:pPr>
        <w:spacing w:after="240" w:line="300" w:lineRule="auto"/>
        <w:rPr>
          <w:rFonts w:ascii="Arial" w:eastAsia="Calibri" w:hAnsi="Arial" w:cs="Arial"/>
          <w:kern w:val="2"/>
          <w:u w:val="single"/>
          <w14:ligatures w14:val="standardContextual"/>
        </w:rPr>
      </w:pPr>
      <w:r w:rsidRPr="00746F54">
        <w:rPr>
          <w:rFonts w:ascii="Arial" w:eastAsia="Calibri" w:hAnsi="Arial" w:cs="Arial"/>
          <w:kern w:val="2"/>
          <w:u w:val="single"/>
          <w14:ligatures w14:val="standardContextual"/>
        </w:rPr>
        <w:t>Reference tariff section 4, 33.4</w:t>
      </w:r>
    </w:p>
    <w:p w14:paraId="191ECE4C" w14:textId="4C8ACB21" w:rsidR="00A156CF" w:rsidRPr="00746F54" w:rsidRDefault="00A156CF" w:rsidP="00A156CF">
      <w:pPr>
        <w:numPr>
          <w:ilvl w:val="0"/>
          <w:numId w:val="73"/>
        </w:numPr>
        <w:spacing w:after="240" w:line="300" w:lineRule="auto"/>
        <w:rPr>
          <w:rFonts w:ascii="Arial" w:eastAsia="Calibri" w:hAnsi="Arial" w:cs="Arial"/>
          <w:kern w:val="2"/>
          <w14:ligatures w14:val="standardContextual"/>
        </w:rPr>
      </w:pPr>
      <w:r w:rsidRPr="00746F54">
        <w:rPr>
          <w:rFonts w:ascii="Arial" w:eastAsia="Calibri" w:hAnsi="Arial" w:cs="Arial"/>
          <w:kern w:val="2"/>
          <w14:ligatures w14:val="standardContextual"/>
        </w:rPr>
        <w:t xml:space="preserve">This section identifies and describes the basic </w:t>
      </w:r>
      <w:r w:rsidRPr="00746F54">
        <w:rPr>
          <w:rFonts w:ascii="Arial" w:eastAsia="Calibri" w:hAnsi="Arial" w:cs="Arial"/>
          <w:i/>
          <w:kern w:val="2"/>
          <w14:ligatures w14:val="standardContextual"/>
        </w:rPr>
        <w:t>Roles and Responsibilities</w:t>
      </w:r>
      <w:r w:rsidRPr="00746F54">
        <w:rPr>
          <w:rFonts w:ascii="Arial" w:eastAsia="Calibri" w:hAnsi="Arial" w:cs="Arial"/>
          <w:kern w:val="2"/>
          <w14:ligatures w14:val="standardContextual"/>
        </w:rPr>
        <w:t xml:space="preserve"> of the entities that participate in the CAISO Extended </w:t>
      </w:r>
      <w:r w:rsidR="00750440" w:rsidRPr="00746F54">
        <w:rPr>
          <w:rFonts w:ascii="Arial" w:eastAsia="Calibri" w:hAnsi="Arial" w:cs="Arial"/>
          <w:kern w:val="2"/>
          <w14:ligatures w14:val="standardContextual"/>
        </w:rPr>
        <w:t>Day-Ahead</w:t>
      </w:r>
      <w:r w:rsidR="001266A7" w:rsidRPr="00746F54">
        <w:rPr>
          <w:rFonts w:ascii="Arial" w:eastAsia="Calibri" w:hAnsi="Arial" w:cs="Arial"/>
          <w:kern w:val="2"/>
          <w14:ligatures w14:val="standardContextual"/>
        </w:rPr>
        <w:t xml:space="preserve"> </w:t>
      </w:r>
      <w:r w:rsidRPr="00746F54">
        <w:rPr>
          <w:rFonts w:ascii="Arial" w:eastAsia="Calibri" w:hAnsi="Arial" w:cs="Arial"/>
          <w:kern w:val="2"/>
          <w14:ligatures w14:val="standardContextual"/>
        </w:rPr>
        <w:t xml:space="preserve">Market.  </w:t>
      </w:r>
    </w:p>
    <w:p w14:paraId="4DDCF387" w14:textId="410F9FFB" w:rsidR="00A156CF" w:rsidRPr="00746F54" w:rsidRDefault="00A156CF" w:rsidP="00A156CF">
      <w:pPr>
        <w:numPr>
          <w:ilvl w:val="0"/>
          <w:numId w:val="73"/>
        </w:numPr>
        <w:spacing w:after="240" w:line="300" w:lineRule="auto"/>
        <w:rPr>
          <w:rFonts w:ascii="Arial" w:eastAsia="Calibri" w:hAnsi="Arial" w:cs="Arial"/>
          <w:kern w:val="2"/>
          <w14:ligatures w14:val="standardContextual"/>
        </w:rPr>
      </w:pPr>
      <w:r w:rsidRPr="00746F54">
        <w:rPr>
          <w:rFonts w:ascii="Arial" w:eastAsia="Calibri" w:hAnsi="Arial" w:cs="Arial"/>
          <w:kern w:val="2"/>
          <w14:ligatures w14:val="standardContextual"/>
        </w:rPr>
        <w:t xml:space="preserve">This section introduces </w:t>
      </w:r>
      <w:r w:rsidR="001C5C20" w:rsidRPr="00746F54">
        <w:rPr>
          <w:rFonts w:ascii="Arial" w:eastAsia="Calibri" w:hAnsi="Arial" w:cs="Arial"/>
          <w:kern w:val="2"/>
          <w14:ligatures w14:val="standardContextual"/>
        </w:rPr>
        <w:t xml:space="preserve">four types of participants that are extensions of existing EIM functions, as well as </w:t>
      </w:r>
      <w:r w:rsidR="0038528E" w:rsidRPr="00746F54">
        <w:rPr>
          <w:rFonts w:ascii="Arial" w:eastAsia="Calibri" w:hAnsi="Arial" w:cs="Arial"/>
          <w:kern w:val="2"/>
          <w14:ligatures w14:val="standardContextual"/>
        </w:rPr>
        <w:t>three</w:t>
      </w:r>
      <w:r w:rsidRPr="00746F54">
        <w:rPr>
          <w:rFonts w:ascii="Arial" w:eastAsia="Calibri" w:hAnsi="Arial" w:cs="Arial"/>
          <w:kern w:val="2"/>
          <w14:ligatures w14:val="standardContextual"/>
        </w:rPr>
        <w:t xml:space="preserve"> new types of participants</w:t>
      </w:r>
      <w:r w:rsidR="0038528E" w:rsidRPr="00746F54">
        <w:rPr>
          <w:rFonts w:ascii="Arial" w:eastAsia="Calibri" w:hAnsi="Arial" w:cs="Arial"/>
          <w:kern w:val="2"/>
          <w14:ligatures w14:val="standardContextual"/>
        </w:rPr>
        <w:t>,</w:t>
      </w:r>
      <w:r w:rsidRPr="00746F54">
        <w:rPr>
          <w:rFonts w:ascii="Arial" w:eastAsia="Calibri" w:hAnsi="Arial" w:cs="Arial"/>
          <w:kern w:val="2"/>
          <w14:ligatures w14:val="standardContextual"/>
        </w:rPr>
        <w:t xml:space="preserve"> in the Extended </w:t>
      </w:r>
      <w:r w:rsidR="00750440" w:rsidRPr="00746F54">
        <w:rPr>
          <w:rFonts w:ascii="Arial" w:eastAsia="Calibri" w:hAnsi="Arial" w:cs="Arial"/>
          <w:kern w:val="2"/>
          <w14:ligatures w14:val="standardContextual"/>
        </w:rPr>
        <w:t>Day-Ahead</w:t>
      </w:r>
      <w:r w:rsidR="001266A7" w:rsidRPr="00746F54">
        <w:rPr>
          <w:rFonts w:ascii="Arial" w:eastAsia="Calibri" w:hAnsi="Arial" w:cs="Arial"/>
          <w:kern w:val="2"/>
          <w14:ligatures w14:val="standardContextual"/>
        </w:rPr>
        <w:t xml:space="preserve"> </w:t>
      </w:r>
      <w:r w:rsidRPr="00746F54">
        <w:rPr>
          <w:rFonts w:ascii="Arial" w:eastAsia="Calibri" w:hAnsi="Arial" w:cs="Arial"/>
          <w:kern w:val="2"/>
          <w14:ligatures w14:val="standardContextual"/>
        </w:rPr>
        <w:t xml:space="preserve">Market, which are collectively known as EDAM </w:t>
      </w:r>
      <w:r w:rsidR="003D7AEA" w:rsidRPr="00746F54">
        <w:rPr>
          <w:rFonts w:ascii="Arial" w:eastAsia="Calibri" w:hAnsi="Arial" w:cs="Arial"/>
          <w:kern w:val="2"/>
          <w14:ligatures w14:val="standardContextual"/>
        </w:rPr>
        <w:t>m</w:t>
      </w:r>
      <w:r w:rsidRPr="00746F54">
        <w:rPr>
          <w:rFonts w:ascii="Arial" w:eastAsia="Calibri" w:hAnsi="Arial" w:cs="Arial"/>
          <w:kern w:val="2"/>
          <w14:ligatures w14:val="standardContextual"/>
        </w:rPr>
        <w:t xml:space="preserve">arket </w:t>
      </w:r>
      <w:r w:rsidR="003D7AEA" w:rsidRPr="00746F54">
        <w:rPr>
          <w:rFonts w:ascii="Arial" w:eastAsia="Calibri" w:hAnsi="Arial" w:cs="Arial"/>
          <w:kern w:val="2"/>
          <w14:ligatures w14:val="standardContextual"/>
        </w:rPr>
        <w:t>p</w:t>
      </w:r>
      <w:r w:rsidRPr="00746F54">
        <w:rPr>
          <w:rFonts w:ascii="Arial" w:eastAsia="Calibri" w:hAnsi="Arial" w:cs="Arial"/>
          <w:kern w:val="2"/>
          <w14:ligatures w14:val="standardContextual"/>
        </w:rPr>
        <w:t xml:space="preserve">articipants. </w:t>
      </w:r>
    </w:p>
    <w:p w14:paraId="77918E90" w14:textId="22994777" w:rsidR="006016C0" w:rsidRPr="00746F54" w:rsidRDefault="006016C0" w:rsidP="00A156CF">
      <w:pPr>
        <w:numPr>
          <w:ilvl w:val="0"/>
          <w:numId w:val="73"/>
        </w:numPr>
        <w:spacing w:after="240" w:line="300" w:lineRule="auto"/>
        <w:rPr>
          <w:rFonts w:ascii="Arial" w:eastAsia="Calibri" w:hAnsi="Arial" w:cs="Arial"/>
          <w:kern w:val="2"/>
          <w14:ligatures w14:val="standardContextual"/>
        </w:rPr>
      </w:pPr>
      <w:r w:rsidRPr="00746F54">
        <w:rPr>
          <w:rFonts w:ascii="Arial" w:eastAsia="Calibri" w:hAnsi="Arial" w:cs="Arial"/>
          <w:kern w:val="2"/>
          <w14:ligatures w14:val="standardContextual"/>
        </w:rPr>
        <w:t>Entities should also review ISO Tariff Section 4</w:t>
      </w:r>
      <w:r w:rsidR="00821EA3" w:rsidRPr="00746F54">
        <w:rPr>
          <w:rFonts w:ascii="Arial" w:eastAsia="Calibri" w:hAnsi="Arial" w:cs="Arial"/>
          <w:kern w:val="2"/>
          <w14:ligatures w14:val="standardContextual"/>
        </w:rPr>
        <w:t>, Section 33.4</w:t>
      </w:r>
      <w:r w:rsidRPr="00746F54">
        <w:rPr>
          <w:rFonts w:ascii="Arial" w:eastAsia="Calibri" w:hAnsi="Arial" w:cs="Arial"/>
          <w:kern w:val="2"/>
          <w14:ligatures w14:val="standardContextual"/>
        </w:rPr>
        <w:t xml:space="preserve"> and the implementing business practice manual</w:t>
      </w:r>
      <w:r w:rsidR="00EB464D" w:rsidRPr="00746F54">
        <w:rPr>
          <w:rFonts w:ascii="Arial" w:eastAsia="Calibri" w:hAnsi="Arial" w:cs="Arial"/>
          <w:kern w:val="2"/>
          <w14:ligatures w14:val="standardContextual"/>
        </w:rPr>
        <w:t>s</w:t>
      </w:r>
      <w:r w:rsidRPr="00746F54">
        <w:rPr>
          <w:rFonts w:ascii="Arial" w:eastAsia="Calibri" w:hAnsi="Arial" w:cs="Arial"/>
          <w:kern w:val="2"/>
          <w14:ligatures w14:val="standardContextual"/>
        </w:rPr>
        <w:t xml:space="preserve">.  </w:t>
      </w:r>
    </w:p>
    <w:p w14:paraId="7021BA4C" w14:textId="15DCDFE4" w:rsidR="00317FB4" w:rsidRPr="00746F54" w:rsidRDefault="00317FB4" w:rsidP="00317FB4">
      <w:pPr>
        <w:spacing w:after="240" w:line="300" w:lineRule="auto"/>
        <w:rPr>
          <w:rFonts w:ascii="Arial" w:eastAsia="Calibri" w:hAnsi="Arial" w:cs="Arial"/>
          <w:kern w:val="2"/>
          <w14:ligatures w14:val="standardContextual"/>
        </w:rPr>
      </w:pPr>
      <w:r w:rsidRPr="00746F54">
        <w:rPr>
          <w:rFonts w:ascii="Arial" w:eastAsia="Calibri" w:hAnsi="Arial" w:cs="Arial"/>
          <w:b/>
          <w:bCs/>
          <w:kern w:val="2"/>
          <w14:ligatures w14:val="standardContextual"/>
        </w:rPr>
        <w:t>EDAM Entity</w:t>
      </w:r>
      <w:r w:rsidRPr="00746F54">
        <w:rPr>
          <w:rFonts w:ascii="Arial" w:eastAsia="Calibri" w:hAnsi="Arial" w:cs="Arial"/>
          <w:kern w:val="2"/>
          <w14:ligatures w14:val="standardContextual"/>
        </w:rPr>
        <w:t>: The</w:t>
      </w:r>
      <w:r w:rsidR="00175724" w:rsidRPr="00746F54">
        <w:rPr>
          <w:rFonts w:ascii="Arial" w:eastAsia="Calibri" w:hAnsi="Arial" w:cs="Arial"/>
          <w:kern w:val="2"/>
          <w14:ligatures w14:val="standardContextual"/>
        </w:rPr>
        <w:t xml:space="preserve"> </w:t>
      </w:r>
      <w:r w:rsidR="003D7AEA" w:rsidRPr="00746F54">
        <w:rPr>
          <w:rFonts w:ascii="Arial" w:eastAsia="Calibri" w:hAnsi="Arial" w:cs="Arial"/>
          <w:kern w:val="2"/>
          <w14:ligatures w14:val="standardContextual"/>
        </w:rPr>
        <w:t xml:space="preserve">EDAM entity </w:t>
      </w:r>
      <w:r w:rsidRPr="00746F54">
        <w:rPr>
          <w:rFonts w:ascii="Arial" w:eastAsia="Calibri" w:hAnsi="Arial" w:cs="Arial"/>
          <w:kern w:val="2"/>
          <w14:ligatures w14:val="standardContextual"/>
        </w:rPr>
        <w:t xml:space="preserve">is a </w:t>
      </w:r>
      <w:r w:rsidR="003D7AEA" w:rsidRPr="00746F54">
        <w:rPr>
          <w:rFonts w:ascii="Arial" w:eastAsia="Calibri" w:hAnsi="Arial" w:cs="Arial"/>
          <w:kern w:val="2"/>
          <w14:ligatures w14:val="standardContextual"/>
        </w:rPr>
        <w:t>b</w:t>
      </w:r>
      <w:r w:rsidRPr="00746F54">
        <w:rPr>
          <w:rFonts w:ascii="Arial" w:eastAsia="Calibri" w:hAnsi="Arial" w:cs="Arial"/>
          <w:kern w:val="2"/>
          <w14:ligatures w14:val="standardContextual"/>
        </w:rPr>
        <w:t xml:space="preserve">alancing </w:t>
      </w:r>
      <w:r w:rsidR="003D7AEA" w:rsidRPr="00746F54">
        <w:rPr>
          <w:rFonts w:ascii="Arial" w:eastAsia="Calibri" w:hAnsi="Arial" w:cs="Arial"/>
          <w:kern w:val="2"/>
          <w14:ligatures w14:val="standardContextual"/>
        </w:rPr>
        <w:t>a</w:t>
      </w:r>
      <w:r w:rsidRPr="00746F54">
        <w:rPr>
          <w:rFonts w:ascii="Arial" w:eastAsia="Calibri" w:hAnsi="Arial" w:cs="Arial"/>
          <w:kern w:val="2"/>
          <w14:ligatures w14:val="standardContextual"/>
        </w:rPr>
        <w:t xml:space="preserve">uthority and existing EIM </w:t>
      </w:r>
      <w:r w:rsidR="003D7AEA" w:rsidRPr="00746F54">
        <w:rPr>
          <w:rFonts w:ascii="Arial" w:eastAsia="Calibri" w:hAnsi="Arial" w:cs="Arial"/>
          <w:kern w:val="2"/>
          <w14:ligatures w14:val="standardContextual"/>
        </w:rPr>
        <w:t>e</w:t>
      </w:r>
      <w:r w:rsidRPr="00746F54">
        <w:rPr>
          <w:rFonts w:ascii="Arial" w:eastAsia="Calibri" w:hAnsi="Arial" w:cs="Arial"/>
          <w:kern w:val="2"/>
          <w14:ligatures w14:val="standardContextual"/>
        </w:rPr>
        <w:t xml:space="preserve">ntity that elects to participate in the Extended </w:t>
      </w:r>
      <w:r w:rsidR="00750440" w:rsidRPr="00746F54">
        <w:rPr>
          <w:rFonts w:ascii="Arial" w:eastAsia="Calibri" w:hAnsi="Arial" w:cs="Arial"/>
          <w:kern w:val="2"/>
          <w14:ligatures w14:val="standardContextual"/>
        </w:rPr>
        <w:t>Day-Ahead</w:t>
      </w:r>
      <w:r w:rsidR="00175724" w:rsidRPr="00746F54">
        <w:rPr>
          <w:rFonts w:ascii="Arial" w:eastAsia="Calibri" w:hAnsi="Arial" w:cs="Arial"/>
          <w:kern w:val="2"/>
          <w14:ligatures w14:val="standardContextual"/>
        </w:rPr>
        <w:t xml:space="preserve"> </w:t>
      </w:r>
      <w:r w:rsidRPr="00746F54">
        <w:rPr>
          <w:rFonts w:ascii="Arial" w:eastAsia="Calibri" w:hAnsi="Arial" w:cs="Arial"/>
          <w:kern w:val="2"/>
          <w14:ligatures w14:val="standardContextual"/>
        </w:rPr>
        <w:t xml:space="preserve">Market.  As an EDAM </w:t>
      </w:r>
      <w:r w:rsidR="003D7AEA" w:rsidRPr="00746F54">
        <w:rPr>
          <w:rFonts w:ascii="Arial" w:eastAsia="Calibri" w:hAnsi="Arial" w:cs="Arial"/>
          <w:kern w:val="2"/>
          <w14:ligatures w14:val="standardContextual"/>
        </w:rPr>
        <w:t>m</w:t>
      </w:r>
      <w:r w:rsidRPr="00746F54">
        <w:rPr>
          <w:rFonts w:ascii="Arial" w:eastAsia="Calibri" w:hAnsi="Arial" w:cs="Arial"/>
          <w:kern w:val="2"/>
          <w14:ligatures w14:val="standardContextual"/>
        </w:rPr>
        <w:t xml:space="preserve">arket </w:t>
      </w:r>
      <w:r w:rsidR="003D7AEA" w:rsidRPr="00746F54">
        <w:rPr>
          <w:rFonts w:ascii="Arial" w:eastAsia="Calibri" w:hAnsi="Arial" w:cs="Arial"/>
          <w:kern w:val="2"/>
          <w14:ligatures w14:val="standardContextual"/>
        </w:rPr>
        <w:t>p</w:t>
      </w:r>
      <w:r w:rsidRPr="00746F54">
        <w:rPr>
          <w:rFonts w:ascii="Arial" w:eastAsia="Calibri" w:hAnsi="Arial" w:cs="Arial"/>
          <w:kern w:val="2"/>
          <w14:ligatures w14:val="standardContextual"/>
        </w:rPr>
        <w:t xml:space="preserve">articipant, the EDAM </w:t>
      </w:r>
      <w:r w:rsidR="003D7AEA" w:rsidRPr="00746F54">
        <w:rPr>
          <w:rFonts w:ascii="Arial" w:eastAsia="Calibri" w:hAnsi="Arial" w:cs="Arial"/>
          <w:kern w:val="2"/>
          <w14:ligatures w14:val="standardContextual"/>
        </w:rPr>
        <w:t>e</w:t>
      </w:r>
      <w:r w:rsidRPr="00746F54">
        <w:rPr>
          <w:rFonts w:ascii="Arial" w:eastAsia="Calibri" w:hAnsi="Arial" w:cs="Arial"/>
          <w:kern w:val="2"/>
          <w14:ligatures w14:val="standardContextual"/>
        </w:rPr>
        <w:t xml:space="preserve">ntity is responsible: (1) for identifying available transmission intertie capacity in its balancing authority area for use in CAISO’s Extended </w:t>
      </w:r>
      <w:r w:rsidR="00750440" w:rsidRPr="00746F54">
        <w:rPr>
          <w:rFonts w:ascii="Arial" w:eastAsia="Calibri" w:hAnsi="Arial" w:cs="Arial"/>
          <w:kern w:val="2"/>
          <w14:ligatures w14:val="standardContextual"/>
        </w:rPr>
        <w:t>Day-Ahead</w:t>
      </w:r>
      <w:r w:rsidR="00175724" w:rsidRPr="00746F54">
        <w:rPr>
          <w:rFonts w:ascii="Arial" w:eastAsia="Calibri" w:hAnsi="Arial" w:cs="Arial"/>
          <w:kern w:val="2"/>
          <w14:ligatures w14:val="standardContextual"/>
        </w:rPr>
        <w:t xml:space="preserve"> </w:t>
      </w:r>
      <w:r w:rsidRPr="00746F54">
        <w:rPr>
          <w:rFonts w:ascii="Arial" w:eastAsia="Calibri" w:hAnsi="Arial" w:cs="Arial"/>
          <w:kern w:val="2"/>
          <w14:ligatures w14:val="standardContextual"/>
        </w:rPr>
        <w:t xml:space="preserve">Market and, (2) through its EDAM </w:t>
      </w:r>
      <w:r w:rsidR="003D7AEA" w:rsidRPr="00746F54">
        <w:rPr>
          <w:rFonts w:ascii="Arial" w:eastAsia="Calibri" w:hAnsi="Arial" w:cs="Arial"/>
          <w:kern w:val="2"/>
          <w14:ligatures w14:val="standardContextual"/>
        </w:rPr>
        <w:t>e</w:t>
      </w:r>
      <w:r w:rsidRPr="00746F54">
        <w:rPr>
          <w:rFonts w:ascii="Arial" w:eastAsia="Calibri" w:hAnsi="Arial" w:cs="Arial"/>
          <w:kern w:val="2"/>
          <w14:ligatures w14:val="standardContextual"/>
        </w:rPr>
        <w:t xml:space="preserve">ntity Scheduling Coordinator, for scheduling all </w:t>
      </w:r>
      <w:r w:rsidR="00813EF0" w:rsidRPr="00746F54">
        <w:rPr>
          <w:rFonts w:ascii="Arial" w:eastAsia="Calibri" w:hAnsi="Arial" w:cs="Arial"/>
          <w:kern w:val="2"/>
          <w14:ligatures w14:val="standardContextual"/>
        </w:rPr>
        <w:t>load serving entities</w:t>
      </w:r>
      <w:r w:rsidRPr="00746F54">
        <w:rPr>
          <w:rFonts w:ascii="Arial" w:eastAsia="Calibri" w:hAnsi="Arial" w:cs="Arial"/>
          <w:kern w:val="2"/>
          <w14:ligatures w14:val="standardContextual"/>
        </w:rPr>
        <w:t xml:space="preserve"> in its balancing authority area </w:t>
      </w:r>
      <w:r w:rsidR="00813EF0" w:rsidRPr="00746F54">
        <w:rPr>
          <w:rFonts w:ascii="Arial" w:eastAsia="Calibri" w:hAnsi="Arial" w:cs="Arial"/>
          <w:kern w:val="2"/>
          <w14:ligatures w14:val="standardContextual"/>
        </w:rPr>
        <w:t xml:space="preserve">participating in the </w:t>
      </w:r>
      <w:r w:rsidR="003D7AEA" w:rsidRPr="00746F54">
        <w:rPr>
          <w:rFonts w:ascii="Arial" w:eastAsia="Calibri" w:hAnsi="Arial" w:cs="Arial"/>
          <w:kern w:val="2"/>
          <w14:ligatures w14:val="standardContextual"/>
        </w:rPr>
        <w:t xml:space="preserve">EDAM </w:t>
      </w:r>
      <w:r w:rsidR="00AC1DAF" w:rsidRPr="00746F54">
        <w:rPr>
          <w:rFonts w:ascii="Arial" w:eastAsia="Calibri" w:hAnsi="Arial" w:cs="Arial"/>
          <w:kern w:val="2"/>
          <w14:ligatures w14:val="standardContextual"/>
        </w:rPr>
        <w:t xml:space="preserve">and, (3) identify, coordinate and implement accurate market </w:t>
      </w:r>
      <w:r w:rsidR="00AC1DAF" w:rsidRPr="00746F54">
        <w:rPr>
          <w:rFonts w:ascii="Arial" w:eastAsia="Calibri" w:hAnsi="Arial" w:cs="Arial"/>
          <w:kern w:val="2"/>
          <w14:ligatures w14:val="standardContextual"/>
        </w:rPr>
        <w:lastRenderedPageBreak/>
        <w:t>constraints used in EDAM processes.</w:t>
      </w:r>
      <w:r w:rsidR="00EB464D" w:rsidRPr="00746F54">
        <w:rPr>
          <w:rFonts w:ascii="Arial" w:eastAsia="Calibri" w:hAnsi="Arial" w:cs="Arial"/>
          <w:kern w:val="2"/>
          <w14:ligatures w14:val="standardContextual"/>
        </w:rPr>
        <w:t xml:space="preserve">  The CAISO BA is also participating in EDAM but not referred to as an “EDAM Entity.”</w:t>
      </w:r>
    </w:p>
    <w:p w14:paraId="60233AE7" w14:textId="42AA6EB4" w:rsidR="00175724" w:rsidRPr="00746F54" w:rsidRDefault="00317FB4" w:rsidP="00317FB4">
      <w:pPr>
        <w:spacing w:after="240" w:line="300" w:lineRule="auto"/>
        <w:rPr>
          <w:rFonts w:ascii="Arial" w:eastAsia="Calibri" w:hAnsi="Arial" w:cs="Arial"/>
          <w:kern w:val="2"/>
          <w14:ligatures w14:val="standardContextual"/>
        </w:rPr>
      </w:pPr>
      <w:r w:rsidRPr="00746F54">
        <w:rPr>
          <w:rFonts w:ascii="Arial" w:eastAsia="Calibri" w:hAnsi="Arial" w:cs="Arial"/>
          <w:b/>
          <w:bCs/>
          <w:kern w:val="2"/>
          <w14:ligatures w14:val="standardContextual"/>
        </w:rPr>
        <w:t>EDAM Entity Scheduling Coordinator</w:t>
      </w:r>
      <w:r w:rsidRPr="00746F54">
        <w:rPr>
          <w:rFonts w:ascii="Arial" w:eastAsia="Calibri" w:hAnsi="Arial" w:cs="Arial"/>
          <w:kern w:val="2"/>
          <w14:ligatures w14:val="standardContextual"/>
        </w:rPr>
        <w:t xml:space="preserve">: The EDAM Entity Scheduling Coordinator is the entity through which the EDAM </w:t>
      </w:r>
      <w:r w:rsidR="003D7AEA" w:rsidRPr="00746F54">
        <w:rPr>
          <w:rFonts w:ascii="Arial" w:eastAsia="Calibri" w:hAnsi="Arial" w:cs="Arial"/>
          <w:kern w:val="2"/>
          <w14:ligatures w14:val="standardContextual"/>
        </w:rPr>
        <w:t>e</w:t>
      </w:r>
      <w:r w:rsidRPr="00746F54">
        <w:rPr>
          <w:rFonts w:ascii="Arial" w:eastAsia="Calibri" w:hAnsi="Arial" w:cs="Arial"/>
          <w:kern w:val="2"/>
          <w14:ligatures w14:val="standardContextual"/>
        </w:rPr>
        <w:t xml:space="preserve">ntity participates in the </w:t>
      </w:r>
      <w:r w:rsidR="00750440" w:rsidRPr="00746F54">
        <w:rPr>
          <w:rFonts w:ascii="Arial" w:eastAsia="Calibri" w:hAnsi="Arial" w:cs="Arial"/>
          <w:kern w:val="2"/>
          <w14:ligatures w14:val="standardContextual"/>
        </w:rPr>
        <w:t>Day-Ahead</w:t>
      </w:r>
      <w:r w:rsidR="00175724" w:rsidRPr="00746F54">
        <w:rPr>
          <w:rFonts w:ascii="Arial" w:eastAsia="Calibri" w:hAnsi="Arial" w:cs="Arial"/>
          <w:kern w:val="2"/>
          <w14:ligatures w14:val="standardContextual"/>
        </w:rPr>
        <w:t xml:space="preserve"> </w:t>
      </w:r>
      <w:r w:rsidRPr="00746F54">
        <w:rPr>
          <w:rFonts w:ascii="Arial" w:eastAsia="Calibri" w:hAnsi="Arial" w:cs="Arial"/>
          <w:kern w:val="2"/>
          <w14:ligatures w14:val="standardContextual"/>
        </w:rPr>
        <w:t xml:space="preserve">Market.  </w:t>
      </w:r>
      <w:r w:rsidR="003D7AEA" w:rsidRPr="00746F54">
        <w:rPr>
          <w:rFonts w:ascii="Arial" w:eastAsia="Calibri" w:hAnsi="Arial" w:cs="Arial"/>
          <w:kern w:val="2"/>
          <w14:ligatures w14:val="standardContextual"/>
        </w:rPr>
        <w:t xml:space="preserve">To </w:t>
      </w:r>
      <w:r w:rsidRPr="00746F54">
        <w:rPr>
          <w:rFonts w:ascii="Arial" w:eastAsia="Calibri" w:hAnsi="Arial" w:cs="Arial"/>
          <w:kern w:val="2"/>
          <w14:ligatures w14:val="standardContextual"/>
        </w:rPr>
        <w:t>prevent the inappropriate sharing of information regarding transmission and generation, an EDAM Entity Scheduling Coordinator cannot be a scheduling coordinator for a supply resource unless it is a transmission provider subject to the Commission’s standards of conduct set forth in 18 C.F.R. § 358.</w:t>
      </w:r>
      <w:r w:rsidR="00150922" w:rsidRPr="00746F54">
        <w:rPr>
          <w:rFonts w:ascii="Arial" w:eastAsia="Calibri" w:hAnsi="Arial" w:cs="Arial"/>
          <w:kern w:val="2"/>
          <w14:ligatures w14:val="standardContextual"/>
        </w:rPr>
        <w:t xml:space="preserve">  The EDAM Entity Scheduling Coordinator for an EDAM </w:t>
      </w:r>
      <w:r w:rsidR="003D7AEA" w:rsidRPr="00746F54">
        <w:rPr>
          <w:rFonts w:ascii="Arial" w:eastAsia="Calibri" w:hAnsi="Arial" w:cs="Arial"/>
          <w:kern w:val="2"/>
          <w14:ligatures w14:val="standardContextual"/>
        </w:rPr>
        <w:t>e</w:t>
      </w:r>
      <w:r w:rsidR="00150922" w:rsidRPr="00746F54">
        <w:rPr>
          <w:rFonts w:ascii="Arial" w:eastAsia="Calibri" w:hAnsi="Arial" w:cs="Arial"/>
          <w:kern w:val="2"/>
          <w14:ligatures w14:val="standardContextual"/>
        </w:rPr>
        <w:t xml:space="preserve">ntity must be the same as the EIM Scheduling Coordinator to ensure alignment between </w:t>
      </w:r>
      <w:r w:rsidR="00CC63A2" w:rsidRPr="00746F54">
        <w:rPr>
          <w:rFonts w:ascii="Arial" w:eastAsia="Calibri" w:hAnsi="Arial" w:cs="Arial"/>
          <w:kern w:val="2"/>
          <w14:ligatures w14:val="standardContextual"/>
        </w:rPr>
        <w:t>the day-</w:t>
      </w:r>
      <w:r w:rsidR="00175724" w:rsidRPr="00746F54">
        <w:rPr>
          <w:rFonts w:ascii="Arial" w:eastAsia="Calibri" w:hAnsi="Arial" w:cs="Arial"/>
          <w:kern w:val="2"/>
          <w14:ligatures w14:val="standardContextual"/>
        </w:rPr>
        <w:t>ahe</w:t>
      </w:r>
      <w:r w:rsidR="00CC63A2" w:rsidRPr="00746F54">
        <w:rPr>
          <w:rFonts w:ascii="Arial" w:eastAsia="Calibri" w:hAnsi="Arial" w:cs="Arial"/>
          <w:kern w:val="2"/>
          <w14:ligatures w14:val="standardContextual"/>
        </w:rPr>
        <w:t>ad and real-time market.</w:t>
      </w:r>
      <w:r w:rsidR="00175724" w:rsidRPr="00746F54">
        <w:rPr>
          <w:rFonts w:ascii="Arial" w:eastAsia="Calibri" w:hAnsi="Arial" w:cs="Arial"/>
          <w:kern w:val="2"/>
          <w14:ligatures w14:val="standardContextual"/>
        </w:rPr>
        <w:t xml:space="preserve"> </w:t>
      </w:r>
    </w:p>
    <w:p w14:paraId="646B721E" w14:textId="78B3C8F4" w:rsidR="00813EF0" w:rsidRPr="00746F54" w:rsidRDefault="00813EF0" w:rsidP="00317FB4">
      <w:pPr>
        <w:spacing w:after="240" w:line="300" w:lineRule="auto"/>
        <w:rPr>
          <w:rFonts w:ascii="Arial" w:eastAsia="Calibri" w:hAnsi="Arial" w:cs="Arial"/>
          <w:kern w:val="2"/>
          <w14:ligatures w14:val="standardContextual"/>
        </w:rPr>
      </w:pPr>
      <w:r w:rsidRPr="00746F54">
        <w:rPr>
          <w:rFonts w:ascii="Arial" w:eastAsia="Calibri" w:hAnsi="Arial" w:cs="Arial"/>
          <w:b/>
          <w:bCs/>
          <w:kern w:val="2"/>
          <w14:ligatures w14:val="standardContextual"/>
        </w:rPr>
        <w:t>EDAM Resource</w:t>
      </w:r>
      <w:r w:rsidRPr="00746F54">
        <w:rPr>
          <w:rFonts w:ascii="Arial" w:eastAsia="Calibri" w:hAnsi="Arial" w:cs="Arial"/>
          <w:kern w:val="2"/>
          <w14:ligatures w14:val="standardContextual"/>
        </w:rPr>
        <w:t>:</w:t>
      </w:r>
      <w:r w:rsidR="00E22E1C" w:rsidRPr="00746F54">
        <w:rPr>
          <w:rFonts w:ascii="Arial" w:eastAsia="Calibri" w:hAnsi="Arial" w:cs="Arial"/>
          <w:kern w:val="2"/>
          <w14:ligatures w14:val="standardContextual"/>
        </w:rPr>
        <w:t xml:space="preserve"> </w:t>
      </w:r>
      <w:r w:rsidR="00E70405" w:rsidRPr="00746F54">
        <w:rPr>
          <w:rFonts w:ascii="Arial" w:eastAsia="Calibri" w:hAnsi="Arial" w:cs="Arial"/>
          <w:kern w:val="2"/>
          <w14:ligatures w14:val="standardContextual"/>
        </w:rPr>
        <w:t xml:space="preserve">Each resource within an EDAM </w:t>
      </w:r>
      <w:r w:rsidR="00CC63A2" w:rsidRPr="00746F54">
        <w:rPr>
          <w:rFonts w:ascii="Arial" w:eastAsia="Calibri" w:hAnsi="Arial" w:cs="Arial"/>
          <w:kern w:val="2"/>
          <w14:ligatures w14:val="standardContextual"/>
        </w:rPr>
        <w:t>e</w:t>
      </w:r>
      <w:r w:rsidR="00E70405" w:rsidRPr="00746F54">
        <w:rPr>
          <w:rFonts w:ascii="Arial" w:eastAsia="Calibri" w:hAnsi="Arial" w:cs="Arial"/>
          <w:kern w:val="2"/>
          <w14:ligatures w14:val="standardContextual"/>
        </w:rPr>
        <w:t xml:space="preserve">ntity </w:t>
      </w:r>
      <w:r w:rsidR="00CC63A2" w:rsidRPr="00746F54">
        <w:rPr>
          <w:rFonts w:ascii="Arial" w:eastAsia="Calibri" w:hAnsi="Arial" w:cs="Arial"/>
          <w:kern w:val="2"/>
          <w14:ligatures w14:val="standardContextual"/>
        </w:rPr>
        <w:t>b</w:t>
      </w:r>
      <w:r w:rsidR="00E70405" w:rsidRPr="00746F54">
        <w:rPr>
          <w:rFonts w:ascii="Arial" w:eastAsia="Calibri" w:hAnsi="Arial" w:cs="Arial"/>
          <w:kern w:val="2"/>
          <w14:ligatures w14:val="standardContextual"/>
        </w:rPr>
        <w:t xml:space="preserve">alancing </w:t>
      </w:r>
      <w:r w:rsidR="00CC63A2" w:rsidRPr="00746F54">
        <w:rPr>
          <w:rFonts w:ascii="Arial" w:eastAsia="Calibri" w:hAnsi="Arial" w:cs="Arial"/>
          <w:kern w:val="2"/>
          <w14:ligatures w14:val="standardContextual"/>
        </w:rPr>
        <w:t>a</w:t>
      </w:r>
      <w:r w:rsidR="00E70405" w:rsidRPr="00746F54">
        <w:rPr>
          <w:rFonts w:ascii="Arial" w:eastAsia="Calibri" w:hAnsi="Arial" w:cs="Arial"/>
          <w:kern w:val="2"/>
          <w14:ligatures w14:val="standardContextual"/>
        </w:rPr>
        <w:t xml:space="preserve">uthority area that </w:t>
      </w:r>
      <w:r w:rsidR="009967FA" w:rsidRPr="00746F54">
        <w:rPr>
          <w:rFonts w:ascii="Arial" w:eastAsia="Calibri" w:hAnsi="Arial" w:cs="Arial"/>
          <w:kern w:val="2"/>
          <w14:ligatures w14:val="standardContextual"/>
        </w:rPr>
        <w:t>can deliver</w:t>
      </w:r>
      <w:r w:rsidR="00E70405" w:rsidRPr="00746F54">
        <w:rPr>
          <w:rFonts w:ascii="Arial" w:eastAsia="Calibri" w:hAnsi="Arial" w:cs="Arial"/>
          <w:kern w:val="2"/>
          <w14:ligatures w14:val="standardContextual"/>
        </w:rPr>
        <w:t xml:space="preserve"> Energy, Imbalance Reserves, Reliability Capacity, Flexible Ramping Product, other Ancillary Services, curtailable Demand, or Demand Response Services (or similar services) and can be committed in the Day-Ahead Market is required to participate in EDAM.  All participating EDAM resources must also participate in the Real-Time Market as a registered EIM resource.  Note that resource non-participation in EIM is no longer an option </w:t>
      </w:r>
      <w:r w:rsidR="001A5979" w:rsidRPr="00746F54">
        <w:rPr>
          <w:rFonts w:ascii="Arial" w:eastAsia="Calibri" w:hAnsi="Arial" w:cs="Arial"/>
          <w:kern w:val="2"/>
          <w14:ligatures w14:val="standardContextual"/>
        </w:rPr>
        <w:t>for EDAM resources.</w:t>
      </w:r>
    </w:p>
    <w:p w14:paraId="452C33CB" w14:textId="6750E359" w:rsidR="00150922" w:rsidRPr="00746F54" w:rsidRDefault="00813EF0" w:rsidP="00150922">
      <w:pPr>
        <w:spacing w:after="240" w:line="300" w:lineRule="auto"/>
        <w:rPr>
          <w:rFonts w:ascii="Arial" w:eastAsia="Calibri" w:hAnsi="Arial" w:cs="Arial"/>
          <w:kern w:val="2"/>
          <w14:ligatures w14:val="standardContextual"/>
        </w:rPr>
      </w:pPr>
      <w:r w:rsidRPr="00746F54">
        <w:rPr>
          <w:rFonts w:ascii="Arial" w:eastAsia="Calibri" w:hAnsi="Arial" w:cs="Arial"/>
          <w:b/>
          <w:bCs/>
          <w:kern w:val="2"/>
          <w14:ligatures w14:val="standardContextual"/>
        </w:rPr>
        <w:t>EDAM Resource Scheduling Coordinator</w:t>
      </w:r>
      <w:r w:rsidR="009967FA" w:rsidRPr="00746F54">
        <w:rPr>
          <w:rFonts w:ascii="Arial" w:eastAsia="Calibri" w:hAnsi="Arial" w:cs="Arial"/>
          <w:kern w:val="2"/>
          <w14:ligatures w14:val="standardContextual"/>
        </w:rPr>
        <w:t>: Each</w:t>
      </w:r>
      <w:r w:rsidR="00E41D92" w:rsidRPr="00746F54">
        <w:rPr>
          <w:rFonts w:ascii="Arial" w:eastAsia="Calibri" w:hAnsi="Arial" w:cs="Arial"/>
          <w:kern w:val="2"/>
          <w14:ligatures w14:val="standardContextual"/>
        </w:rPr>
        <w:t xml:space="preserve"> EDAM </w:t>
      </w:r>
      <w:r w:rsidR="00CC63A2" w:rsidRPr="00746F54">
        <w:rPr>
          <w:rFonts w:ascii="Arial" w:eastAsia="Calibri" w:hAnsi="Arial" w:cs="Arial"/>
          <w:kern w:val="2"/>
          <w14:ligatures w14:val="standardContextual"/>
        </w:rPr>
        <w:t>r</w:t>
      </w:r>
      <w:r w:rsidR="00E41D92" w:rsidRPr="00746F54">
        <w:rPr>
          <w:rFonts w:ascii="Arial" w:eastAsia="Calibri" w:hAnsi="Arial" w:cs="Arial"/>
          <w:kern w:val="2"/>
          <w14:ligatures w14:val="standardContextual"/>
        </w:rPr>
        <w:t>esource must be represented by an EDAM Resource Scheduling Coordinator</w:t>
      </w:r>
      <w:r w:rsidR="004D0723" w:rsidRPr="00746F54">
        <w:rPr>
          <w:rFonts w:ascii="Arial" w:eastAsia="Calibri" w:hAnsi="Arial" w:cs="Arial"/>
          <w:kern w:val="2"/>
          <w14:ligatures w14:val="standardContextual"/>
        </w:rPr>
        <w:t xml:space="preserve">, which may represent multiple EDAM </w:t>
      </w:r>
      <w:r w:rsidR="00CC63A2" w:rsidRPr="00746F54">
        <w:rPr>
          <w:rFonts w:ascii="Arial" w:eastAsia="Calibri" w:hAnsi="Arial" w:cs="Arial"/>
          <w:kern w:val="2"/>
          <w14:ligatures w14:val="standardContextual"/>
        </w:rPr>
        <w:t>r</w:t>
      </w:r>
      <w:r w:rsidR="004D0723" w:rsidRPr="00746F54">
        <w:rPr>
          <w:rFonts w:ascii="Arial" w:eastAsia="Calibri" w:hAnsi="Arial" w:cs="Arial"/>
          <w:kern w:val="2"/>
          <w14:ligatures w14:val="standardContextual"/>
        </w:rPr>
        <w:t xml:space="preserve">esources or </w:t>
      </w:r>
      <w:r w:rsidR="00CC63A2" w:rsidRPr="00746F54">
        <w:rPr>
          <w:rFonts w:ascii="Arial" w:eastAsia="Calibri" w:hAnsi="Arial" w:cs="Arial"/>
          <w:kern w:val="2"/>
          <w14:ligatures w14:val="standardContextual"/>
        </w:rPr>
        <w:t>m</w:t>
      </w:r>
      <w:r w:rsidR="004D0723" w:rsidRPr="00746F54">
        <w:rPr>
          <w:rFonts w:ascii="Arial" w:eastAsia="Calibri" w:hAnsi="Arial" w:cs="Arial"/>
          <w:kern w:val="2"/>
          <w14:ligatures w14:val="standardContextual"/>
        </w:rPr>
        <w:t xml:space="preserve">arket </w:t>
      </w:r>
      <w:r w:rsidR="00CC63A2" w:rsidRPr="00746F54">
        <w:rPr>
          <w:rFonts w:ascii="Arial" w:eastAsia="Calibri" w:hAnsi="Arial" w:cs="Arial"/>
          <w:kern w:val="2"/>
          <w14:ligatures w14:val="standardContextual"/>
        </w:rPr>
        <w:t>p</w:t>
      </w:r>
      <w:r w:rsidR="004D0723" w:rsidRPr="00746F54">
        <w:rPr>
          <w:rFonts w:ascii="Arial" w:eastAsia="Calibri" w:hAnsi="Arial" w:cs="Arial"/>
          <w:kern w:val="2"/>
          <w14:ligatures w14:val="standardContextual"/>
        </w:rPr>
        <w:t>articipants</w:t>
      </w:r>
      <w:r w:rsidR="00E41D92" w:rsidRPr="00746F54">
        <w:rPr>
          <w:rFonts w:ascii="Arial" w:eastAsia="Calibri" w:hAnsi="Arial" w:cs="Arial"/>
          <w:kern w:val="2"/>
          <w14:ligatures w14:val="standardContextual"/>
        </w:rPr>
        <w:t xml:space="preserve">.  The EDAM Resource Scheduling Coordinator is responsible for bidding and scheduling </w:t>
      </w:r>
      <w:r w:rsidR="004D0723" w:rsidRPr="00746F54">
        <w:rPr>
          <w:rFonts w:ascii="Arial" w:eastAsia="Calibri" w:hAnsi="Arial" w:cs="Arial"/>
          <w:kern w:val="2"/>
          <w14:ligatures w14:val="standardContextual"/>
        </w:rPr>
        <w:t xml:space="preserve">of </w:t>
      </w:r>
      <w:r w:rsidR="00E41D92" w:rsidRPr="00746F54">
        <w:rPr>
          <w:rFonts w:ascii="Arial" w:eastAsia="Calibri" w:hAnsi="Arial" w:cs="Arial"/>
          <w:kern w:val="2"/>
          <w14:ligatures w14:val="standardContextual"/>
        </w:rPr>
        <w:t xml:space="preserve">EDAM </w:t>
      </w:r>
      <w:r w:rsidR="00981D6A" w:rsidRPr="00746F54">
        <w:rPr>
          <w:rFonts w:ascii="Arial" w:eastAsia="Calibri" w:hAnsi="Arial" w:cs="Arial"/>
          <w:kern w:val="2"/>
          <w14:ligatures w14:val="standardContextual"/>
        </w:rPr>
        <w:t>Resources</w:t>
      </w:r>
      <w:r w:rsidR="00E41D92" w:rsidRPr="00746F54">
        <w:rPr>
          <w:rFonts w:ascii="Arial" w:eastAsia="Calibri" w:hAnsi="Arial" w:cs="Arial"/>
          <w:kern w:val="2"/>
          <w14:ligatures w14:val="standardContextual"/>
        </w:rPr>
        <w:t xml:space="preserve"> in the Day-Ahead Market and Real-Time Market</w:t>
      </w:r>
      <w:r w:rsidR="004B3B8A" w:rsidRPr="00746F54">
        <w:rPr>
          <w:rFonts w:ascii="Arial" w:eastAsia="Calibri" w:hAnsi="Arial" w:cs="Arial"/>
          <w:kern w:val="2"/>
          <w14:ligatures w14:val="standardContextual"/>
        </w:rPr>
        <w:t>, as well as ensuring that the entity it represents has obtained any necessary transmission service necessary for participation.</w:t>
      </w:r>
      <w:r w:rsidR="00150922" w:rsidRPr="00746F54">
        <w:rPr>
          <w:rFonts w:ascii="Arial" w:eastAsia="Calibri" w:hAnsi="Arial" w:cs="Arial"/>
          <w:kern w:val="2"/>
          <w14:ligatures w14:val="standardContextual"/>
        </w:rPr>
        <w:t xml:space="preserve">  The EDAM Resource Scheduling Coordinator for an EDAM </w:t>
      </w:r>
      <w:r w:rsidR="00CC63A2" w:rsidRPr="00746F54">
        <w:rPr>
          <w:rFonts w:ascii="Arial" w:eastAsia="Calibri" w:hAnsi="Arial" w:cs="Arial"/>
          <w:kern w:val="2"/>
          <w14:ligatures w14:val="standardContextual"/>
        </w:rPr>
        <w:t>e</w:t>
      </w:r>
      <w:r w:rsidR="00150922" w:rsidRPr="00746F54">
        <w:rPr>
          <w:rFonts w:ascii="Arial" w:eastAsia="Calibri" w:hAnsi="Arial" w:cs="Arial"/>
          <w:kern w:val="2"/>
          <w14:ligatures w14:val="standardContextual"/>
        </w:rPr>
        <w:t xml:space="preserve">ntity must be the same as the EIM Resource Scheduling Coordinator to ensure alignment between </w:t>
      </w:r>
      <w:r w:rsidR="00CC63A2" w:rsidRPr="00746F54">
        <w:rPr>
          <w:rFonts w:ascii="Arial" w:eastAsia="Calibri" w:hAnsi="Arial" w:cs="Arial"/>
          <w:kern w:val="2"/>
          <w14:ligatures w14:val="standardContextual"/>
        </w:rPr>
        <w:t xml:space="preserve">the day-ahead and real-time markets. </w:t>
      </w:r>
      <w:commentRangeStart w:id="43"/>
      <w:commentRangeEnd w:id="43"/>
      <w:r w:rsidR="00CC63A2" w:rsidRPr="00746F54">
        <w:rPr>
          <w:rStyle w:val="CommentReference"/>
          <w:rFonts w:ascii="Arial" w:hAnsi="Arial" w:cs="Arial"/>
        </w:rPr>
        <w:commentReference w:id="43"/>
      </w:r>
    </w:p>
    <w:p w14:paraId="5319D914" w14:textId="7EA414AB" w:rsidR="00813EF0" w:rsidRPr="00746F54" w:rsidRDefault="00813EF0" w:rsidP="00317FB4">
      <w:pPr>
        <w:spacing w:after="240" w:line="300" w:lineRule="auto"/>
        <w:rPr>
          <w:rFonts w:ascii="Arial" w:eastAsia="Calibri" w:hAnsi="Arial" w:cs="Arial"/>
          <w:kern w:val="2"/>
          <w14:ligatures w14:val="standardContextual"/>
        </w:rPr>
      </w:pPr>
      <w:r w:rsidRPr="00746F54">
        <w:rPr>
          <w:rFonts w:ascii="Arial" w:eastAsia="Calibri" w:hAnsi="Arial" w:cs="Arial"/>
          <w:b/>
          <w:bCs/>
          <w:kern w:val="2"/>
          <w14:ligatures w14:val="standardContextual"/>
        </w:rPr>
        <w:t>EDAM Load</w:t>
      </w:r>
      <w:r w:rsidR="00CC63A2" w:rsidRPr="00746F54">
        <w:rPr>
          <w:rFonts w:ascii="Arial" w:eastAsia="Calibri" w:hAnsi="Arial" w:cs="Arial"/>
          <w:b/>
          <w:bCs/>
          <w:kern w:val="2"/>
          <w14:ligatures w14:val="standardContextual"/>
        </w:rPr>
        <w:t>-</w:t>
      </w:r>
      <w:r w:rsidRPr="00746F54">
        <w:rPr>
          <w:rFonts w:ascii="Arial" w:eastAsia="Calibri" w:hAnsi="Arial" w:cs="Arial"/>
          <w:b/>
          <w:bCs/>
          <w:kern w:val="2"/>
          <w14:ligatures w14:val="standardContextual"/>
        </w:rPr>
        <w:t>Serving Entity</w:t>
      </w:r>
      <w:r w:rsidRPr="00746F54">
        <w:rPr>
          <w:rFonts w:ascii="Arial" w:eastAsia="Calibri" w:hAnsi="Arial" w:cs="Arial"/>
          <w:kern w:val="2"/>
          <w14:ligatures w14:val="standardContextual"/>
        </w:rPr>
        <w:t>:</w:t>
      </w:r>
      <w:r w:rsidR="00B76E7E" w:rsidRPr="00746F54">
        <w:rPr>
          <w:rFonts w:ascii="Arial" w:eastAsia="Calibri" w:hAnsi="Arial" w:cs="Arial"/>
          <w:kern w:val="2"/>
          <w14:ligatures w14:val="standardContextual"/>
        </w:rPr>
        <w:t xml:space="preserve"> The EDAM Load</w:t>
      </w:r>
      <w:r w:rsidR="00CC63A2" w:rsidRPr="00746F54">
        <w:rPr>
          <w:rFonts w:ascii="Arial" w:eastAsia="Calibri" w:hAnsi="Arial" w:cs="Arial"/>
          <w:kern w:val="2"/>
          <w14:ligatures w14:val="standardContextual"/>
        </w:rPr>
        <w:t>-</w:t>
      </w:r>
      <w:r w:rsidR="00B76E7E" w:rsidRPr="00746F54">
        <w:rPr>
          <w:rFonts w:ascii="Arial" w:eastAsia="Calibri" w:hAnsi="Arial" w:cs="Arial"/>
          <w:kern w:val="2"/>
          <w14:ligatures w14:val="standardContextual"/>
        </w:rPr>
        <w:t xml:space="preserve">Serving Entity is responsible for </w:t>
      </w:r>
      <w:r w:rsidR="00CC63A2" w:rsidRPr="00746F54">
        <w:rPr>
          <w:rFonts w:ascii="Arial" w:eastAsia="Calibri" w:hAnsi="Arial" w:cs="Arial"/>
          <w:kern w:val="2"/>
          <w14:ligatures w14:val="standardContextual"/>
        </w:rPr>
        <w:t>l</w:t>
      </w:r>
      <w:r w:rsidR="004A134E" w:rsidRPr="00746F54">
        <w:rPr>
          <w:rFonts w:ascii="Arial" w:eastAsia="Calibri" w:hAnsi="Arial" w:cs="Arial"/>
          <w:kern w:val="2"/>
          <w14:ligatures w14:val="standardContextual"/>
        </w:rPr>
        <w:t xml:space="preserve">oad </w:t>
      </w:r>
      <w:r w:rsidR="00B76E7E" w:rsidRPr="00746F54">
        <w:rPr>
          <w:rFonts w:ascii="Arial" w:eastAsia="Calibri" w:hAnsi="Arial" w:cs="Arial"/>
          <w:kern w:val="2"/>
          <w14:ligatures w14:val="standardContextual"/>
        </w:rPr>
        <w:t>the in the Day-Ahead and Real-Time markets.  The EDAM Load</w:t>
      </w:r>
      <w:r w:rsidR="00CC63A2" w:rsidRPr="00746F54">
        <w:rPr>
          <w:rFonts w:ascii="Arial" w:eastAsia="Calibri" w:hAnsi="Arial" w:cs="Arial"/>
          <w:kern w:val="2"/>
          <w14:ligatures w14:val="standardContextual"/>
        </w:rPr>
        <w:t>-</w:t>
      </w:r>
      <w:r w:rsidR="00B76E7E" w:rsidRPr="00746F54">
        <w:rPr>
          <w:rFonts w:ascii="Arial" w:eastAsia="Calibri" w:hAnsi="Arial" w:cs="Arial"/>
          <w:kern w:val="2"/>
          <w14:ligatures w14:val="standardContextual"/>
        </w:rPr>
        <w:t>Serving Entity must be represented by an EDAM Load</w:t>
      </w:r>
      <w:r w:rsidR="00CC63A2" w:rsidRPr="00746F54">
        <w:rPr>
          <w:rFonts w:ascii="Arial" w:eastAsia="Calibri" w:hAnsi="Arial" w:cs="Arial"/>
          <w:kern w:val="2"/>
          <w14:ligatures w14:val="standardContextual"/>
        </w:rPr>
        <w:t>-</w:t>
      </w:r>
      <w:r w:rsidR="00B76E7E" w:rsidRPr="00746F54">
        <w:rPr>
          <w:rFonts w:ascii="Arial" w:eastAsia="Calibri" w:hAnsi="Arial" w:cs="Arial"/>
          <w:kern w:val="2"/>
          <w14:ligatures w14:val="standardContextual"/>
        </w:rPr>
        <w:t xml:space="preserve">Serving Entity Scheduling Coordinator. </w:t>
      </w:r>
    </w:p>
    <w:p w14:paraId="0C39C6F9" w14:textId="3E03F952" w:rsidR="00317FB4" w:rsidRPr="00746F54" w:rsidRDefault="00813EF0" w:rsidP="003E69AF">
      <w:pPr>
        <w:spacing w:after="240" w:line="300" w:lineRule="auto"/>
        <w:rPr>
          <w:rFonts w:ascii="Arial" w:eastAsia="Calibri" w:hAnsi="Arial" w:cs="Arial"/>
          <w:kern w:val="2"/>
          <w14:ligatures w14:val="standardContextual"/>
        </w:rPr>
      </w:pPr>
      <w:r w:rsidRPr="00746F54">
        <w:rPr>
          <w:rFonts w:ascii="Arial" w:eastAsia="Calibri" w:hAnsi="Arial" w:cs="Arial"/>
          <w:b/>
          <w:bCs/>
          <w:kern w:val="2"/>
          <w14:ligatures w14:val="standardContextual"/>
        </w:rPr>
        <w:t>EDAM Load</w:t>
      </w:r>
      <w:r w:rsidR="00CC63A2" w:rsidRPr="00746F54">
        <w:rPr>
          <w:rFonts w:ascii="Arial" w:eastAsia="Calibri" w:hAnsi="Arial" w:cs="Arial"/>
          <w:b/>
          <w:bCs/>
          <w:kern w:val="2"/>
          <w14:ligatures w14:val="standardContextual"/>
        </w:rPr>
        <w:t>-</w:t>
      </w:r>
      <w:r w:rsidRPr="00746F54">
        <w:rPr>
          <w:rFonts w:ascii="Arial" w:eastAsia="Calibri" w:hAnsi="Arial" w:cs="Arial"/>
          <w:b/>
          <w:bCs/>
          <w:kern w:val="2"/>
          <w14:ligatures w14:val="standardContextual"/>
        </w:rPr>
        <w:t>Serving Entity Scheduling Coordinator</w:t>
      </w:r>
      <w:r w:rsidRPr="00746F54">
        <w:rPr>
          <w:rFonts w:ascii="Arial" w:eastAsia="Calibri" w:hAnsi="Arial" w:cs="Arial"/>
          <w:kern w:val="2"/>
          <w14:ligatures w14:val="standardContextual"/>
        </w:rPr>
        <w:t>:</w:t>
      </w:r>
      <w:r w:rsidR="00B76E7E" w:rsidRPr="00746F54">
        <w:rPr>
          <w:rFonts w:ascii="Arial" w:eastAsia="Calibri" w:hAnsi="Arial" w:cs="Arial"/>
          <w:kern w:val="2"/>
          <w14:ligatures w14:val="standardContextual"/>
        </w:rPr>
        <w:t xml:space="preserve"> </w:t>
      </w:r>
      <w:r w:rsidR="007F51E1" w:rsidRPr="00746F54">
        <w:rPr>
          <w:rFonts w:ascii="Arial" w:eastAsia="Calibri" w:hAnsi="Arial" w:cs="Arial"/>
          <w:kern w:val="2"/>
          <w14:ligatures w14:val="standardContextual"/>
        </w:rPr>
        <w:t>Each EDAM Load</w:t>
      </w:r>
      <w:r w:rsidR="00CC63A2" w:rsidRPr="00746F54">
        <w:rPr>
          <w:rFonts w:ascii="Arial" w:eastAsia="Calibri" w:hAnsi="Arial" w:cs="Arial"/>
          <w:kern w:val="2"/>
          <w14:ligatures w14:val="standardContextual"/>
        </w:rPr>
        <w:t>-</w:t>
      </w:r>
      <w:r w:rsidR="007F51E1" w:rsidRPr="00746F54">
        <w:rPr>
          <w:rFonts w:ascii="Arial" w:eastAsia="Calibri" w:hAnsi="Arial" w:cs="Arial"/>
          <w:kern w:val="2"/>
          <w14:ligatures w14:val="standardContextual"/>
        </w:rPr>
        <w:t>Serving Entity must be represented by an EDAM Load</w:t>
      </w:r>
      <w:r w:rsidR="00CC63A2" w:rsidRPr="00746F54">
        <w:rPr>
          <w:rFonts w:ascii="Arial" w:eastAsia="Calibri" w:hAnsi="Arial" w:cs="Arial"/>
          <w:kern w:val="2"/>
          <w14:ligatures w14:val="standardContextual"/>
        </w:rPr>
        <w:t>-</w:t>
      </w:r>
      <w:r w:rsidR="007F51E1" w:rsidRPr="00746F54">
        <w:rPr>
          <w:rFonts w:ascii="Arial" w:eastAsia="Calibri" w:hAnsi="Arial" w:cs="Arial"/>
          <w:kern w:val="2"/>
          <w14:ligatures w14:val="standardContextual"/>
        </w:rPr>
        <w:t>Serving Entity Scheduling Coordinator, which may represent multiple EDAM Load</w:t>
      </w:r>
      <w:r w:rsidR="00CC63A2" w:rsidRPr="00746F54">
        <w:rPr>
          <w:rFonts w:ascii="Arial" w:eastAsia="Calibri" w:hAnsi="Arial" w:cs="Arial"/>
          <w:kern w:val="2"/>
          <w14:ligatures w14:val="standardContextual"/>
        </w:rPr>
        <w:t>-</w:t>
      </w:r>
      <w:r w:rsidR="007F51E1" w:rsidRPr="00746F54">
        <w:rPr>
          <w:rFonts w:ascii="Arial" w:eastAsia="Calibri" w:hAnsi="Arial" w:cs="Arial"/>
          <w:kern w:val="2"/>
          <w14:ligatures w14:val="standardContextual"/>
        </w:rPr>
        <w:t xml:space="preserve">Serving </w:t>
      </w:r>
      <w:r w:rsidR="00CC63A2" w:rsidRPr="00746F54">
        <w:rPr>
          <w:rFonts w:ascii="Arial" w:eastAsia="Calibri" w:hAnsi="Arial" w:cs="Arial"/>
          <w:kern w:val="2"/>
          <w14:ligatures w14:val="standardContextual"/>
        </w:rPr>
        <w:t>e</w:t>
      </w:r>
      <w:r w:rsidR="007F51E1" w:rsidRPr="00746F54">
        <w:rPr>
          <w:rFonts w:ascii="Arial" w:eastAsia="Calibri" w:hAnsi="Arial" w:cs="Arial"/>
          <w:kern w:val="2"/>
          <w14:ligatures w14:val="standardContextual"/>
        </w:rPr>
        <w:t xml:space="preserve">ntities or </w:t>
      </w:r>
      <w:r w:rsidR="00CC63A2" w:rsidRPr="00746F54">
        <w:rPr>
          <w:rFonts w:ascii="Arial" w:eastAsia="Calibri" w:hAnsi="Arial" w:cs="Arial"/>
          <w:kern w:val="2"/>
          <w14:ligatures w14:val="standardContextual"/>
        </w:rPr>
        <w:t>m</w:t>
      </w:r>
      <w:r w:rsidR="007F51E1" w:rsidRPr="00746F54">
        <w:rPr>
          <w:rFonts w:ascii="Arial" w:eastAsia="Calibri" w:hAnsi="Arial" w:cs="Arial"/>
          <w:kern w:val="2"/>
          <w14:ligatures w14:val="standardContextual"/>
        </w:rPr>
        <w:t xml:space="preserve">arket </w:t>
      </w:r>
      <w:r w:rsidR="00CC63A2" w:rsidRPr="00746F54">
        <w:rPr>
          <w:rFonts w:ascii="Arial" w:eastAsia="Calibri" w:hAnsi="Arial" w:cs="Arial"/>
          <w:kern w:val="2"/>
          <w14:ligatures w14:val="standardContextual"/>
        </w:rPr>
        <w:t>p</w:t>
      </w:r>
      <w:r w:rsidR="007F51E1" w:rsidRPr="00746F54">
        <w:rPr>
          <w:rFonts w:ascii="Arial" w:eastAsia="Calibri" w:hAnsi="Arial" w:cs="Arial"/>
          <w:kern w:val="2"/>
          <w14:ligatures w14:val="standardContextual"/>
        </w:rPr>
        <w:t>articipants.  The EDAM Loa</w:t>
      </w:r>
      <w:r w:rsidR="00AE6EA7" w:rsidRPr="00746F54">
        <w:rPr>
          <w:rFonts w:ascii="Arial" w:eastAsia="Calibri" w:hAnsi="Arial" w:cs="Arial"/>
          <w:kern w:val="2"/>
          <w14:ligatures w14:val="standardContextual"/>
        </w:rPr>
        <w:t xml:space="preserve">d </w:t>
      </w:r>
      <w:r w:rsidR="007F51E1" w:rsidRPr="00746F54">
        <w:rPr>
          <w:rFonts w:ascii="Arial" w:eastAsia="Calibri" w:hAnsi="Arial" w:cs="Arial"/>
          <w:kern w:val="2"/>
          <w14:ligatures w14:val="standardContextual"/>
        </w:rPr>
        <w:t xml:space="preserve">Serving Entity Scheduling Coordinator is responsible for bidding and scheduling of EDAM </w:t>
      </w:r>
      <w:r w:rsidR="00CC63A2" w:rsidRPr="00746F54">
        <w:rPr>
          <w:rFonts w:ascii="Arial" w:eastAsia="Calibri" w:hAnsi="Arial" w:cs="Arial"/>
          <w:kern w:val="2"/>
          <w14:ligatures w14:val="standardContextual"/>
        </w:rPr>
        <w:t>d</w:t>
      </w:r>
      <w:r w:rsidR="007F51E1" w:rsidRPr="00746F54">
        <w:rPr>
          <w:rFonts w:ascii="Arial" w:eastAsia="Calibri" w:hAnsi="Arial" w:cs="Arial"/>
          <w:kern w:val="2"/>
          <w14:ligatures w14:val="standardContextual"/>
        </w:rPr>
        <w:t>emand in the Day-Ahead Market and Real-Time Market, as well as ensuring that the entity it represents has obtained any necessary transmission service n</w:t>
      </w:r>
      <w:r w:rsidR="00CC63A2" w:rsidRPr="00746F54">
        <w:rPr>
          <w:rFonts w:ascii="Arial" w:eastAsia="Calibri" w:hAnsi="Arial" w:cs="Arial"/>
          <w:kern w:val="2"/>
          <w14:ligatures w14:val="standardContextual"/>
        </w:rPr>
        <w:t>eeded</w:t>
      </w:r>
      <w:r w:rsidR="00C03530" w:rsidRPr="00746F54">
        <w:rPr>
          <w:rFonts w:ascii="Arial" w:eastAsia="Calibri" w:hAnsi="Arial" w:cs="Arial"/>
          <w:kern w:val="2"/>
          <w14:ligatures w14:val="standardContextual"/>
        </w:rPr>
        <w:t xml:space="preserve"> </w:t>
      </w:r>
      <w:r w:rsidR="007F51E1" w:rsidRPr="00746F54">
        <w:rPr>
          <w:rFonts w:ascii="Arial" w:eastAsia="Calibri" w:hAnsi="Arial" w:cs="Arial"/>
          <w:kern w:val="2"/>
          <w14:ligatures w14:val="standardContextual"/>
        </w:rPr>
        <w:t>for participation.</w:t>
      </w:r>
      <w:r w:rsidR="00150922" w:rsidRPr="00746F54">
        <w:rPr>
          <w:rFonts w:ascii="Arial" w:eastAsia="Calibri" w:hAnsi="Arial" w:cs="Arial"/>
          <w:kern w:val="2"/>
          <w14:ligatures w14:val="standardContextual"/>
        </w:rPr>
        <w:t xml:space="preserve">  The EDAM Load</w:t>
      </w:r>
      <w:r w:rsidR="00CC63A2" w:rsidRPr="00746F54">
        <w:rPr>
          <w:rFonts w:ascii="Arial" w:eastAsia="Calibri" w:hAnsi="Arial" w:cs="Arial"/>
          <w:kern w:val="2"/>
          <w14:ligatures w14:val="standardContextual"/>
        </w:rPr>
        <w:t>-</w:t>
      </w:r>
      <w:r w:rsidR="00150922" w:rsidRPr="00746F54">
        <w:rPr>
          <w:rFonts w:ascii="Arial" w:eastAsia="Calibri" w:hAnsi="Arial" w:cs="Arial"/>
          <w:kern w:val="2"/>
          <w14:ligatures w14:val="standardContextual"/>
        </w:rPr>
        <w:t>Serving Entity Scheduling Coordinator for an EDAM Entity must be the same as the EIM Load Serving Entity Scheduling Coordinator to ensure alignment between DAM and RTM.</w:t>
      </w:r>
      <w:r w:rsidRPr="00746F54">
        <w:rPr>
          <w:rFonts w:ascii="Arial" w:eastAsia="Calibri" w:hAnsi="Arial" w:cs="Arial"/>
          <w:b/>
          <w:bCs/>
          <w:kern w:val="2"/>
          <w14:ligatures w14:val="standardContextual"/>
        </w:rPr>
        <w:t>EDAM Transmission Service Provider</w:t>
      </w:r>
      <w:r w:rsidR="009967FA" w:rsidRPr="00746F54">
        <w:rPr>
          <w:rFonts w:ascii="Arial" w:eastAsia="Calibri" w:hAnsi="Arial" w:cs="Arial"/>
          <w:kern w:val="2"/>
          <w14:ligatures w14:val="standardContextual"/>
        </w:rPr>
        <w:t>: An</w:t>
      </w:r>
      <w:r w:rsidR="003E69AF" w:rsidRPr="00746F54">
        <w:rPr>
          <w:rFonts w:ascii="Arial" w:eastAsia="Calibri" w:hAnsi="Arial" w:cs="Arial"/>
          <w:kern w:val="2"/>
          <w14:ligatures w14:val="standardContextual"/>
        </w:rPr>
        <w:t xml:space="preserve"> EIM </w:t>
      </w:r>
      <w:r w:rsidR="00CC63A2" w:rsidRPr="00746F54">
        <w:rPr>
          <w:rFonts w:ascii="Arial" w:eastAsia="Calibri" w:hAnsi="Arial" w:cs="Arial"/>
          <w:kern w:val="2"/>
          <w14:ligatures w14:val="standardContextual"/>
        </w:rPr>
        <w:t>e</w:t>
      </w:r>
      <w:r w:rsidR="003E69AF" w:rsidRPr="00746F54">
        <w:rPr>
          <w:rFonts w:ascii="Arial" w:eastAsia="Calibri" w:hAnsi="Arial" w:cs="Arial"/>
          <w:kern w:val="2"/>
          <w14:ligatures w14:val="standardContextual"/>
        </w:rPr>
        <w:t xml:space="preserve">ntity, or EIM </w:t>
      </w:r>
      <w:r w:rsidR="00CC63A2" w:rsidRPr="00746F54">
        <w:rPr>
          <w:rFonts w:ascii="Arial" w:eastAsia="Calibri" w:hAnsi="Arial" w:cs="Arial"/>
          <w:kern w:val="2"/>
          <w14:ligatures w14:val="standardContextual"/>
        </w:rPr>
        <w:t>s</w:t>
      </w:r>
      <w:r w:rsidR="003E69AF" w:rsidRPr="00746F54">
        <w:rPr>
          <w:rFonts w:ascii="Arial" w:eastAsia="Calibri" w:hAnsi="Arial" w:cs="Arial"/>
          <w:kern w:val="2"/>
          <w14:ligatures w14:val="standardContextual"/>
        </w:rPr>
        <w:t>ub-</w:t>
      </w:r>
      <w:r w:rsidR="00CC63A2" w:rsidRPr="00746F54">
        <w:rPr>
          <w:rFonts w:ascii="Arial" w:eastAsia="Calibri" w:hAnsi="Arial" w:cs="Arial"/>
          <w:kern w:val="2"/>
          <w14:ligatures w14:val="standardContextual"/>
        </w:rPr>
        <w:t>entity</w:t>
      </w:r>
      <w:r w:rsidR="003E69AF" w:rsidRPr="00746F54">
        <w:rPr>
          <w:rFonts w:ascii="Arial" w:eastAsia="Calibri" w:hAnsi="Arial" w:cs="Arial"/>
          <w:kern w:val="2"/>
          <w14:ligatures w14:val="standardContextual"/>
        </w:rPr>
        <w:t xml:space="preserve"> or third party that owns </w:t>
      </w:r>
      <w:r w:rsidR="003E69AF" w:rsidRPr="00746F54">
        <w:rPr>
          <w:rFonts w:ascii="Arial" w:eastAsia="Calibri" w:hAnsi="Arial" w:cs="Arial"/>
          <w:kern w:val="2"/>
          <w14:ligatures w14:val="standardContextual"/>
        </w:rPr>
        <w:lastRenderedPageBreak/>
        <w:t xml:space="preserve">transmission or has transmission service rights on an EIM Intertie that makes transmission service available for use in the Day-Time Market through an EDAM Entity. </w:t>
      </w:r>
      <w:r w:rsidR="00327065" w:rsidRPr="00746F54">
        <w:rPr>
          <w:rFonts w:ascii="Arial" w:eastAsia="Calibri" w:hAnsi="Arial" w:cs="Arial"/>
          <w:kern w:val="2"/>
          <w14:ligatures w14:val="standardContextual"/>
        </w:rPr>
        <w:t>The EDAM Transmission Service Provider manages transmission sales, reservations, and schedules on its transmission system.</w:t>
      </w:r>
    </w:p>
    <w:p w14:paraId="0276FF55" w14:textId="0D39FCA5" w:rsidR="00A564E0" w:rsidRPr="00746F54" w:rsidRDefault="00EB464D" w:rsidP="003E69AF">
      <w:pPr>
        <w:spacing w:after="240" w:line="300" w:lineRule="auto"/>
        <w:rPr>
          <w:rFonts w:ascii="Arial" w:hAnsi="Arial" w:cs="Arial"/>
        </w:rPr>
      </w:pPr>
      <w:r w:rsidRPr="00746F54">
        <w:rPr>
          <w:rFonts w:ascii="Arial" w:eastAsia="Calibri" w:hAnsi="Arial" w:cs="Arial"/>
          <w:b/>
          <w:bCs/>
          <w:kern w:val="2"/>
          <w14:ligatures w14:val="standardContextual"/>
        </w:rPr>
        <w:t>Integrated Balancing Authority Areas</w:t>
      </w:r>
      <w:r w:rsidRPr="00746F54">
        <w:rPr>
          <w:rFonts w:ascii="Arial" w:eastAsia="Calibri" w:hAnsi="Arial" w:cs="Arial"/>
          <w:kern w:val="2"/>
          <w14:ligatures w14:val="standardContextual"/>
        </w:rPr>
        <w:t xml:space="preserve"> (“IBAAs”) are those Balancing Authority Areas that are not part of the CAISO but are closely interconnected/integrated with the EDAM Full Network Model through multiple free-flowing AC interconnections.  While power flows on an IBAA’s system can result in parallel flows and otherwise more complex interactions with the EDAM solution, IBAAs do not apply to BAAs that join EDAM.   EDAM shall model and capture the effect of power flows internal to the IBAAs’ systems in the same manner as WEIM by utilizing a network model to represent flows within the IBAA, adding market resources to the model of the IBAA, mapping the Intertie Schedules to System Resources, and using distribution factors to attribute schedules submitted at the intertie points.  For more information on IBAA’s, refer to the Balancing Authority Area section of the Market Operations BPM.</w:t>
      </w:r>
    </w:p>
    <w:p w14:paraId="259D5775" w14:textId="140BB4A0" w:rsidR="006C4447" w:rsidRPr="00746F54" w:rsidRDefault="006C4447" w:rsidP="006C4447">
      <w:pPr>
        <w:pStyle w:val="Heading2"/>
        <w:rPr>
          <w:rFonts w:ascii="Arial" w:hAnsi="Arial" w:cs="Arial"/>
        </w:rPr>
      </w:pPr>
      <w:bookmarkStart w:id="44" w:name="_Toc211337870"/>
      <w:bookmarkStart w:id="45" w:name="_Toc212733037"/>
      <w:bookmarkStart w:id="46" w:name="_Hlk209771762"/>
      <w:r w:rsidRPr="00746F54">
        <w:rPr>
          <w:rFonts w:ascii="Arial" w:hAnsi="Arial" w:cs="Arial"/>
        </w:rPr>
        <w:t>Communication Provisions of ISO Tariff in EDAM</w:t>
      </w:r>
      <w:bookmarkEnd w:id="44"/>
      <w:bookmarkEnd w:id="45"/>
      <w:r w:rsidRPr="00746F54">
        <w:rPr>
          <w:rFonts w:ascii="Arial" w:hAnsi="Arial" w:cs="Arial"/>
        </w:rPr>
        <w:t xml:space="preserve"> </w:t>
      </w:r>
    </w:p>
    <w:p w14:paraId="239D26ED" w14:textId="18329F78" w:rsidR="006C4447" w:rsidRPr="00746F54" w:rsidRDefault="006C4447" w:rsidP="006C4447">
      <w:pPr>
        <w:pStyle w:val="ParaText"/>
        <w:rPr>
          <w:rFonts w:ascii="Arial" w:hAnsi="Arial" w:cs="Arial"/>
          <w:u w:val="single"/>
        </w:rPr>
      </w:pPr>
      <w:r w:rsidRPr="00746F54">
        <w:rPr>
          <w:rFonts w:ascii="Arial" w:hAnsi="Arial" w:cs="Arial"/>
          <w:u w:val="single"/>
        </w:rPr>
        <w:t xml:space="preserve">Reference </w:t>
      </w:r>
      <w:r w:rsidR="00220660" w:rsidRPr="00746F54">
        <w:rPr>
          <w:rFonts w:ascii="Arial" w:hAnsi="Arial" w:cs="Arial"/>
          <w:u w:val="single"/>
        </w:rPr>
        <w:t>tariff s</w:t>
      </w:r>
      <w:r w:rsidRPr="00746F54">
        <w:rPr>
          <w:rFonts w:ascii="Arial" w:hAnsi="Arial" w:cs="Arial"/>
          <w:u w:val="single"/>
        </w:rPr>
        <w:t>ection</w:t>
      </w:r>
      <w:r w:rsidR="00220660" w:rsidRPr="00746F54">
        <w:rPr>
          <w:rFonts w:ascii="Arial" w:hAnsi="Arial" w:cs="Arial"/>
          <w:u w:val="single"/>
        </w:rPr>
        <w:t xml:space="preserve"> 6 and</w:t>
      </w:r>
      <w:r w:rsidRPr="00746F54">
        <w:rPr>
          <w:rFonts w:ascii="Arial" w:hAnsi="Arial" w:cs="Arial"/>
          <w:u w:val="single"/>
        </w:rPr>
        <w:t xml:space="preserve"> 33.6</w:t>
      </w:r>
    </w:p>
    <w:bookmarkEnd w:id="46"/>
    <w:p w14:paraId="1A01C709" w14:textId="03D91875" w:rsidR="006C4447" w:rsidRPr="00746F54" w:rsidRDefault="006C4447" w:rsidP="006C4447">
      <w:pPr>
        <w:pStyle w:val="ParaText"/>
        <w:rPr>
          <w:rFonts w:ascii="Arial" w:hAnsi="Arial" w:cs="Arial"/>
        </w:rPr>
      </w:pPr>
      <w:r w:rsidRPr="00746F54">
        <w:rPr>
          <w:rFonts w:ascii="Arial" w:hAnsi="Arial" w:cs="Arial"/>
        </w:rPr>
        <w:t xml:space="preserve">The provisions of Section 6 of the ISO Tariff, and associated implementing business practice manuals, will apply to EDAM Participants.  </w:t>
      </w:r>
    </w:p>
    <w:p w14:paraId="3406198D" w14:textId="6F17E3D9" w:rsidR="006C4447" w:rsidRPr="00746F54" w:rsidRDefault="006C4447" w:rsidP="006C4447">
      <w:pPr>
        <w:pStyle w:val="Heading3"/>
        <w:rPr>
          <w:rFonts w:ascii="Arial" w:hAnsi="Arial" w:cs="Arial"/>
        </w:rPr>
      </w:pPr>
      <w:bookmarkStart w:id="47" w:name="_Toc211337871"/>
      <w:r w:rsidRPr="00746F54">
        <w:rPr>
          <w:rFonts w:ascii="Arial" w:hAnsi="Arial" w:cs="Arial"/>
        </w:rPr>
        <w:t>Technical Requirements</w:t>
      </w:r>
      <w:bookmarkEnd w:id="47"/>
    </w:p>
    <w:p w14:paraId="72499E12" w14:textId="6675C970" w:rsidR="006C4447" w:rsidRPr="00746F54" w:rsidRDefault="006C4447" w:rsidP="006C4447">
      <w:pPr>
        <w:pStyle w:val="ParaText"/>
        <w:rPr>
          <w:rFonts w:ascii="Arial" w:hAnsi="Arial" w:cs="Arial"/>
          <w:u w:val="single"/>
        </w:rPr>
      </w:pPr>
      <w:r w:rsidRPr="00746F54">
        <w:rPr>
          <w:rFonts w:ascii="Arial" w:hAnsi="Arial" w:cs="Arial"/>
          <w:u w:val="single"/>
        </w:rPr>
        <w:t>Reference Section 33.6.1</w:t>
      </w:r>
    </w:p>
    <w:p w14:paraId="01C6A885" w14:textId="7C430707" w:rsidR="00562C57" w:rsidRPr="00746F54" w:rsidRDefault="006C4447" w:rsidP="00960498">
      <w:pPr>
        <w:pStyle w:val="ParaText"/>
        <w:rPr>
          <w:rFonts w:ascii="Arial" w:hAnsi="Arial" w:cs="Arial"/>
        </w:rPr>
      </w:pPr>
      <w:r w:rsidRPr="00746F54">
        <w:rPr>
          <w:rFonts w:ascii="Arial" w:hAnsi="Arial" w:cs="Arial"/>
        </w:rPr>
        <w:t xml:space="preserve">The EDAM </w:t>
      </w:r>
      <w:r w:rsidR="00CC63A2" w:rsidRPr="00746F54">
        <w:rPr>
          <w:rFonts w:ascii="Arial" w:hAnsi="Arial" w:cs="Arial"/>
        </w:rPr>
        <w:t>e</w:t>
      </w:r>
      <w:r w:rsidRPr="00746F54">
        <w:rPr>
          <w:rFonts w:ascii="Arial" w:hAnsi="Arial" w:cs="Arial"/>
        </w:rPr>
        <w:t xml:space="preserve">ntity must satisfy the technical and communication requirements specified in the Business Practice Manual for the Extended Day-Ahead Market, which will be based on </w:t>
      </w:r>
      <w:r w:rsidR="00960498" w:rsidRPr="00746F54">
        <w:rPr>
          <w:rFonts w:ascii="Arial" w:hAnsi="Arial" w:cs="Arial"/>
        </w:rPr>
        <w:t xml:space="preserve">several technologies not limited to </w:t>
      </w:r>
      <w:r w:rsidRPr="00746F54">
        <w:rPr>
          <w:rFonts w:ascii="Arial" w:hAnsi="Arial" w:cs="Arial"/>
        </w:rPr>
        <w:t>the Inter</w:t>
      </w:r>
      <w:r w:rsidR="006D7F00" w:rsidRPr="00746F54">
        <w:rPr>
          <w:rFonts w:ascii="Arial" w:hAnsi="Arial" w:cs="Arial"/>
        </w:rPr>
        <w:t xml:space="preserve"> </w:t>
      </w:r>
      <w:r w:rsidRPr="00746F54">
        <w:rPr>
          <w:rFonts w:ascii="Arial" w:hAnsi="Arial" w:cs="Arial"/>
        </w:rPr>
        <w:t xml:space="preserve">Control Center Communication Protocol </w:t>
      </w:r>
      <w:r w:rsidR="006D7F00" w:rsidRPr="00746F54">
        <w:rPr>
          <w:rFonts w:ascii="Arial" w:hAnsi="Arial" w:cs="Arial"/>
        </w:rPr>
        <w:t xml:space="preserve">(ICCP) </w:t>
      </w:r>
      <w:r w:rsidRPr="00746F54">
        <w:rPr>
          <w:rFonts w:ascii="Arial" w:hAnsi="Arial" w:cs="Arial"/>
        </w:rPr>
        <w:t>and Reliability Standards.</w:t>
      </w:r>
      <w:r w:rsidR="00960498" w:rsidRPr="00746F54">
        <w:rPr>
          <w:rFonts w:ascii="Arial" w:hAnsi="Arial" w:cs="Arial"/>
        </w:rPr>
        <w:t xml:space="preserve">   </w:t>
      </w:r>
    </w:p>
    <w:p w14:paraId="3F7E341F" w14:textId="70DAA20F" w:rsidR="00960498" w:rsidRPr="00746F54" w:rsidRDefault="00960498" w:rsidP="00960498">
      <w:pPr>
        <w:pStyle w:val="ParaText"/>
        <w:rPr>
          <w:rFonts w:ascii="Arial" w:hAnsi="Arial" w:cs="Arial"/>
        </w:rPr>
      </w:pPr>
      <w:r w:rsidRPr="00746F54">
        <w:rPr>
          <w:rFonts w:ascii="Arial" w:hAnsi="Arial" w:cs="Arial"/>
        </w:rPr>
        <w:t xml:space="preserve">ICCP is industry standardized communication protocol but does not eliminate the need for a direct Energy Communication Network (ECN) connectivity.  </w:t>
      </w:r>
      <w:r w:rsidR="00562C57" w:rsidRPr="00746F54">
        <w:rPr>
          <w:rFonts w:ascii="Arial" w:hAnsi="Arial" w:cs="Arial"/>
        </w:rPr>
        <w:t>A</w:t>
      </w:r>
      <w:r w:rsidRPr="00746F54">
        <w:rPr>
          <w:rFonts w:ascii="Arial" w:hAnsi="Arial" w:cs="Arial"/>
        </w:rPr>
        <w:t>ll other information security requirements remain effective as set forth in CAISO Information Security Requirements for the ECN.</w:t>
      </w:r>
    </w:p>
    <w:p w14:paraId="0766DD2E" w14:textId="7AB4D764" w:rsidR="00960498" w:rsidRPr="00746F54" w:rsidRDefault="00960498" w:rsidP="006C4447">
      <w:pPr>
        <w:pStyle w:val="ParaText"/>
        <w:rPr>
          <w:rFonts w:ascii="Arial" w:hAnsi="Arial" w:cs="Arial"/>
        </w:rPr>
      </w:pPr>
      <w:r w:rsidRPr="00746F54">
        <w:rPr>
          <w:rFonts w:ascii="Arial" w:hAnsi="Arial" w:cs="Arial"/>
        </w:rPr>
        <w:t>If additional requirements are required and agreed to between CAISO and EDAM Entit</w:t>
      </w:r>
      <w:r w:rsidR="005C4584" w:rsidRPr="00746F54">
        <w:rPr>
          <w:rFonts w:ascii="Arial" w:hAnsi="Arial" w:cs="Arial"/>
        </w:rPr>
        <w:t>ies</w:t>
      </w:r>
      <w:r w:rsidRPr="00746F54">
        <w:rPr>
          <w:rFonts w:ascii="Arial" w:hAnsi="Arial" w:cs="Arial"/>
        </w:rPr>
        <w:t xml:space="preserve">, a schedule of implementation of the additional requirements will be agreed to as well.  </w:t>
      </w:r>
    </w:p>
    <w:p w14:paraId="15C77A45" w14:textId="6A519749" w:rsidR="006C4447" w:rsidRPr="00746F54" w:rsidRDefault="009560FB" w:rsidP="006C4447">
      <w:pPr>
        <w:pStyle w:val="Heading3"/>
        <w:rPr>
          <w:rFonts w:ascii="Arial" w:hAnsi="Arial" w:cs="Arial"/>
        </w:rPr>
      </w:pPr>
      <w:bookmarkStart w:id="48" w:name="_Toc211337872"/>
      <w:r w:rsidRPr="00746F54">
        <w:rPr>
          <w:rFonts w:ascii="Arial" w:hAnsi="Arial" w:cs="Arial"/>
        </w:rPr>
        <w:lastRenderedPageBreak/>
        <w:t>Communications and OASIS</w:t>
      </w:r>
      <w:bookmarkEnd w:id="48"/>
    </w:p>
    <w:p w14:paraId="280033C3" w14:textId="77777777" w:rsidR="006C4447" w:rsidRPr="00746F54" w:rsidRDefault="006C4447" w:rsidP="006C4447">
      <w:pPr>
        <w:pStyle w:val="ParaText"/>
        <w:rPr>
          <w:rFonts w:ascii="Arial" w:hAnsi="Arial" w:cs="Arial"/>
          <w:bCs/>
          <w:u w:val="single"/>
        </w:rPr>
      </w:pPr>
      <w:r w:rsidRPr="00746F54">
        <w:rPr>
          <w:rFonts w:ascii="Arial" w:hAnsi="Arial" w:cs="Arial"/>
          <w:bCs/>
          <w:u w:val="single"/>
        </w:rPr>
        <w:t xml:space="preserve">Reference Section 33.6.2. </w:t>
      </w:r>
    </w:p>
    <w:p w14:paraId="1D15639E" w14:textId="3A4DFDD8" w:rsidR="00272C87" w:rsidRPr="00746F54" w:rsidRDefault="006C4447" w:rsidP="006C4447">
      <w:pPr>
        <w:pStyle w:val="ParaText"/>
        <w:rPr>
          <w:rFonts w:ascii="Arial" w:hAnsi="Arial" w:cs="Arial"/>
          <w:bCs/>
        </w:rPr>
      </w:pPr>
      <w:r w:rsidRPr="00746F54">
        <w:rPr>
          <w:rFonts w:ascii="Arial" w:hAnsi="Arial" w:cs="Arial"/>
          <w:bCs/>
        </w:rPr>
        <w:t xml:space="preserve">Unless </w:t>
      </w:r>
      <w:r w:rsidR="00DC7BBC" w:rsidRPr="00746F54">
        <w:rPr>
          <w:rFonts w:ascii="Arial" w:hAnsi="Arial" w:cs="Arial"/>
          <w:bCs/>
        </w:rPr>
        <w:t xml:space="preserve">directed otherwise, </w:t>
      </w:r>
      <w:r w:rsidRPr="00746F54">
        <w:rPr>
          <w:rFonts w:ascii="Arial" w:hAnsi="Arial" w:cs="Arial"/>
          <w:bCs/>
        </w:rPr>
        <w:t xml:space="preserve">the </w:t>
      </w:r>
      <w:r w:rsidR="00584C03" w:rsidRPr="00746F54">
        <w:rPr>
          <w:rFonts w:ascii="Arial" w:hAnsi="Arial" w:cs="Arial"/>
          <w:bCs/>
        </w:rPr>
        <w:t>market operator</w:t>
      </w:r>
      <w:r w:rsidRPr="00746F54">
        <w:rPr>
          <w:rFonts w:ascii="Arial" w:hAnsi="Arial" w:cs="Arial"/>
          <w:bCs/>
        </w:rPr>
        <w:t xml:space="preserve"> will not communicate directly with Generators and Demand Response Providers in an EDAM Entity’s Balancing Authority Area or those that are pseudo-tied from an external Balancing Authority Area to the EDAM Entity Balancing Authority Area</w:t>
      </w:r>
      <w:r w:rsidR="00DC7BBC" w:rsidRPr="00746F54">
        <w:rPr>
          <w:rFonts w:ascii="Arial" w:hAnsi="Arial" w:cs="Arial"/>
          <w:bCs/>
        </w:rPr>
        <w:t xml:space="preserve"> in the manner described for </w:t>
      </w:r>
      <w:r w:rsidR="00584C03" w:rsidRPr="00746F54">
        <w:rPr>
          <w:rFonts w:ascii="Arial" w:hAnsi="Arial" w:cs="Arial"/>
          <w:bCs/>
        </w:rPr>
        <w:t>market operator</w:t>
      </w:r>
      <w:r w:rsidR="00DC7BBC" w:rsidRPr="00746F54">
        <w:rPr>
          <w:rFonts w:ascii="Arial" w:hAnsi="Arial" w:cs="Arial"/>
          <w:bCs/>
        </w:rPr>
        <w:t xml:space="preserve"> communications in Section 6.3.1 of the ISO Tariff</w:t>
      </w:r>
      <w:r w:rsidRPr="00746F54">
        <w:rPr>
          <w:rFonts w:ascii="Arial" w:hAnsi="Arial" w:cs="Arial"/>
          <w:bCs/>
        </w:rPr>
        <w:t>.  T</w:t>
      </w:r>
      <w:r w:rsidR="00DC7BBC" w:rsidRPr="00746F54">
        <w:rPr>
          <w:rFonts w:ascii="Arial" w:hAnsi="Arial" w:cs="Arial"/>
          <w:bCs/>
        </w:rPr>
        <w:t>o ensure system reliability, the EDAM Entity will fulfill these needs</w:t>
      </w:r>
      <w:r w:rsidR="00A70C02" w:rsidRPr="00746F54">
        <w:rPr>
          <w:rFonts w:ascii="Arial" w:hAnsi="Arial" w:cs="Arial"/>
          <w:bCs/>
        </w:rPr>
        <w:t xml:space="preserve"> between any sub-BA, market participant or facility own in the</w:t>
      </w:r>
      <w:r w:rsidR="00AD014D" w:rsidRPr="00746F54">
        <w:rPr>
          <w:rFonts w:ascii="Arial" w:hAnsi="Arial" w:cs="Arial"/>
          <w:bCs/>
        </w:rPr>
        <w:t>ir</w:t>
      </w:r>
      <w:r w:rsidR="00A70C02" w:rsidRPr="00746F54">
        <w:rPr>
          <w:rFonts w:ascii="Arial" w:hAnsi="Arial" w:cs="Arial"/>
          <w:bCs/>
        </w:rPr>
        <w:t xml:space="preserve"> Balancing Authority</w:t>
      </w:r>
      <w:r w:rsidR="00DD1B39" w:rsidRPr="00746F54">
        <w:rPr>
          <w:rFonts w:ascii="Arial" w:hAnsi="Arial" w:cs="Arial"/>
          <w:bCs/>
        </w:rPr>
        <w:t>.</w:t>
      </w:r>
      <w:r w:rsidR="00272C87" w:rsidRPr="00746F54">
        <w:rPr>
          <w:rFonts w:ascii="Arial" w:hAnsi="Arial" w:cs="Arial"/>
          <w:bCs/>
        </w:rPr>
        <w:t xml:space="preserve"> </w:t>
      </w:r>
    </w:p>
    <w:p w14:paraId="7F992502" w14:textId="7D3E075C" w:rsidR="00771D1D" w:rsidRPr="00746F54" w:rsidRDefault="00272C87" w:rsidP="006C4447">
      <w:pPr>
        <w:pStyle w:val="ParaText"/>
        <w:rPr>
          <w:rFonts w:ascii="Arial" w:hAnsi="Arial" w:cs="Arial"/>
          <w:bCs/>
        </w:rPr>
      </w:pPr>
      <w:r w:rsidRPr="00746F54">
        <w:rPr>
          <w:rFonts w:ascii="Arial" w:hAnsi="Arial" w:cs="Arial"/>
          <w:bCs/>
        </w:rPr>
        <w:t>With the introduction of the EDAM, t</w:t>
      </w:r>
      <w:r w:rsidR="00662C26" w:rsidRPr="00746F54">
        <w:rPr>
          <w:rFonts w:ascii="Arial" w:hAnsi="Arial" w:cs="Arial"/>
          <w:bCs/>
        </w:rPr>
        <w:t xml:space="preserve">he market operator will </w:t>
      </w:r>
      <w:r w:rsidR="001B565B" w:rsidRPr="00746F54">
        <w:rPr>
          <w:rFonts w:ascii="Arial" w:hAnsi="Arial" w:cs="Arial"/>
          <w:bCs/>
        </w:rPr>
        <w:t xml:space="preserve">make certain market information </w:t>
      </w:r>
      <w:r w:rsidR="00300CF5" w:rsidRPr="00746F54">
        <w:rPr>
          <w:rFonts w:ascii="Arial" w:hAnsi="Arial" w:cs="Arial"/>
          <w:bCs/>
        </w:rPr>
        <w:t xml:space="preserve">and reports </w:t>
      </w:r>
      <w:r w:rsidR="001B565B" w:rsidRPr="00746F54">
        <w:rPr>
          <w:rFonts w:ascii="Arial" w:hAnsi="Arial" w:cs="Arial"/>
          <w:bCs/>
        </w:rPr>
        <w:t>publicly available on the CAISO Open Access Same Time Information System (OASIS)</w:t>
      </w:r>
      <w:r w:rsidR="00662C26" w:rsidRPr="00746F54">
        <w:rPr>
          <w:rFonts w:ascii="Arial" w:hAnsi="Arial" w:cs="Arial"/>
          <w:bCs/>
        </w:rPr>
        <w:t xml:space="preserve"> </w:t>
      </w:r>
      <w:r w:rsidR="001B565B" w:rsidRPr="00746F54">
        <w:rPr>
          <w:rFonts w:ascii="Arial" w:hAnsi="Arial" w:cs="Arial"/>
          <w:bCs/>
        </w:rPr>
        <w:t>page.  This information reported on OASIS includes</w:t>
      </w:r>
      <w:r w:rsidR="004433CF" w:rsidRPr="00746F54">
        <w:rPr>
          <w:rFonts w:ascii="Arial" w:hAnsi="Arial" w:cs="Arial"/>
          <w:bCs/>
        </w:rPr>
        <w:t>, but not limited to</w:t>
      </w:r>
      <w:r w:rsidR="001B565B" w:rsidRPr="00746F54">
        <w:rPr>
          <w:rFonts w:ascii="Arial" w:hAnsi="Arial" w:cs="Arial"/>
          <w:bCs/>
        </w:rPr>
        <w:t>:</w:t>
      </w:r>
    </w:p>
    <w:p w14:paraId="61897971" w14:textId="3B137EED" w:rsidR="001B565B" w:rsidRPr="00746F54" w:rsidRDefault="00300CF5" w:rsidP="001B565B">
      <w:pPr>
        <w:pStyle w:val="ParaText"/>
        <w:numPr>
          <w:ilvl w:val="0"/>
          <w:numId w:val="130"/>
        </w:numPr>
        <w:rPr>
          <w:rFonts w:ascii="Arial" w:hAnsi="Arial" w:cs="Arial"/>
          <w:bCs/>
        </w:rPr>
      </w:pPr>
      <w:r w:rsidRPr="00746F54">
        <w:rPr>
          <w:rFonts w:ascii="Arial" w:hAnsi="Arial" w:cs="Arial"/>
          <w:bCs/>
        </w:rPr>
        <w:t>Report on day-ahead binding resource sufficiency evaluation results</w:t>
      </w:r>
    </w:p>
    <w:p w14:paraId="463B258C" w14:textId="3EDFEAEB" w:rsidR="00300CF5" w:rsidRPr="00746F54" w:rsidRDefault="00300CF5" w:rsidP="001B565B">
      <w:pPr>
        <w:pStyle w:val="ParaText"/>
        <w:numPr>
          <w:ilvl w:val="0"/>
          <w:numId w:val="130"/>
        </w:numPr>
        <w:rPr>
          <w:rFonts w:ascii="Arial" w:hAnsi="Arial" w:cs="Arial"/>
          <w:bCs/>
        </w:rPr>
      </w:pPr>
      <w:r w:rsidRPr="00746F54">
        <w:rPr>
          <w:rFonts w:ascii="Arial" w:hAnsi="Arial" w:cs="Arial"/>
          <w:bCs/>
        </w:rPr>
        <w:t>Report on Imbalance Reserve results from the day ahead resource sufficiency evaluation</w:t>
      </w:r>
    </w:p>
    <w:p w14:paraId="6E3DEA93" w14:textId="22CD902E" w:rsidR="00300CF5" w:rsidRPr="00746F54" w:rsidRDefault="00300CF5" w:rsidP="001B565B">
      <w:pPr>
        <w:pStyle w:val="ParaText"/>
        <w:numPr>
          <w:ilvl w:val="0"/>
          <w:numId w:val="130"/>
        </w:numPr>
        <w:rPr>
          <w:rFonts w:ascii="Arial" w:hAnsi="Arial" w:cs="Arial"/>
          <w:bCs/>
        </w:rPr>
      </w:pPr>
      <w:r w:rsidRPr="00746F54">
        <w:rPr>
          <w:rFonts w:ascii="Arial" w:hAnsi="Arial" w:cs="Arial"/>
          <w:bCs/>
        </w:rPr>
        <w:t>Publication of net day-ahead transfers between EDAM balancing areas</w:t>
      </w:r>
    </w:p>
    <w:p w14:paraId="295891CF" w14:textId="05779BE6" w:rsidR="00300CF5" w:rsidRPr="00746F54" w:rsidRDefault="00300CF5" w:rsidP="001B565B">
      <w:pPr>
        <w:pStyle w:val="ParaText"/>
        <w:numPr>
          <w:ilvl w:val="0"/>
          <w:numId w:val="130"/>
        </w:numPr>
        <w:rPr>
          <w:rFonts w:ascii="Arial" w:hAnsi="Arial" w:cs="Arial"/>
          <w:bCs/>
        </w:rPr>
      </w:pPr>
      <w:r w:rsidRPr="00746F54">
        <w:rPr>
          <w:rFonts w:ascii="Arial" w:hAnsi="Arial" w:cs="Arial"/>
          <w:bCs/>
        </w:rPr>
        <w:t>Publication of total net greenhouse gas (GHG) import transfers deemed for each GHG regulation area</w:t>
      </w:r>
    </w:p>
    <w:p w14:paraId="060AD7CE" w14:textId="7AFC83C4" w:rsidR="000C4603" w:rsidRPr="00746F54" w:rsidRDefault="000C4603" w:rsidP="001B565B">
      <w:pPr>
        <w:pStyle w:val="ParaText"/>
        <w:numPr>
          <w:ilvl w:val="0"/>
          <w:numId w:val="130"/>
        </w:numPr>
        <w:rPr>
          <w:rFonts w:ascii="Arial" w:hAnsi="Arial" w:cs="Arial"/>
          <w:bCs/>
        </w:rPr>
      </w:pPr>
      <w:r w:rsidRPr="00746F54">
        <w:rPr>
          <w:rFonts w:ascii="Arial" w:hAnsi="Arial" w:cs="Arial"/>
          <w:bCs/>
        </w:rPr>
        <w:t>Publication of GHG clearing price reporting by GHG regulation area</w:t>
      </w:r>
    </w:p>
    <w:p w14:paraId="2734C076" w14:textId="351FEF64" w:rsidR="000C4603" w:rsidRPr="00746F54" w:rsidRDefault="000C4603" w:rsidP="001B565B">
      <w:pPr>
        <w:pStyle w:val="ParaText"/>
        <w:numPr>
          <w:ilvl w:val="0"/>
          <w:numId w:val="130"/>
        </w:numPr>
        <w:rPr>
          <w:rFonts w:ascii="Arial" w:hAnsi="Arial" w:cs="Arial"/>
          <w:bCs/>
        </w:rPr>
      </w:pPr>
      <w:r w:rsidRPr="00746F54">
        <w:rPr>
          <w:rFonts w:ascii="Arial" w:hAnsi="Arial" w:cs="Arial"/>
          <w:bCs/>
        </w:rPr>
        <w:t>Publication of EDAM net export transfer constraint input parameters (if applicable)</w:t>
      </w:r>
    </w:p>
    <w:p w14:paraId="3020337A" w14:textId="5AC05971" w:rsidR="004433CF" w:rsidRPr="00746F54" w:rsidRDefault="00272C87" w:rsidP="004433CF">
      <w:pPr>
        <w:pStyle w:val="ParaText"/>
        <w:rPr>
          <w:rFonts w:ascii="Arial" w:hAnsi="Arial" w:cs="Arial"/>
          <w:bCs/>
        </w:rPr>
      </w:pPr>
      <w:r w:rsidRPr="00746F54">
        <w:rPr>
          <w:rFonts w:ascii="Arial" w:hAnsi="Arial" w:cs="Arial"/>
          <w:bCs/>
        </w:rPr>
        <w:t>Each EDAM entity will also receive additional information unique to its balancing authority area through the Customer Market Results Interface (CMRI)</w:t>
      </w:r>
      <w:r w:rsidR="009013BE" w:rsidRPr="00746F54">
        <w:rPr>
          <w:rFonts w:ascii="Arial" w:hAnsi="Arial" w:cs="Arial"/>
          <w:bCs/>
        </w:rPr>
        <w:t xml:space="preserve"> to support its participation in the market.  </w:t>
      </w:r>
    </w:p>
    <w:p w14:paraId="0F2ED229" w14:textId="5D101565" w:rsidR="004433CF" w:rsidRPr="00746F54" w:rsidRDefault="004433CF" w:rsidP="004433CF">
      <w:pPr>
        <w:pStyle w:val="ParaText"/>
        <w:rPr>
          <w:rFonts w:ascii="Arial" w:hAnsi="Arial" w:cs="Arial"/>
          <w:bCs/>
        </w:rPr>
      </w:pPr>
      <w:r w:rsidRPr="00746F54">
        <w:rPr>
          <w:rFonts w:ascii="Arial" w:hAnsi="Arial" w:cs="Arial"/>
          <w:bCs/>
        </w:rPr>
        <w:t>For further details on OASIS reports publicly available or CMRU reports available only to EDAM Entities, see the Market Instruments BPM</w:t>
      </w:r>
      <w:r w:rsidR="00AC0E4B" w:rsidRPr="00746F54">
        <w:rPr>
          <w:rFonts w:ascii="Arial" w:hAnsi="Arial" w:cs="Arial"/>
          <w:bCs/>
        </w:rPr>
        <w:t>.</w:t>
      </w:r>
    </w:p>
    <w:p w14:paraId="50368654" w14:textId="6DE5C19C" w:rsidR="00A156CF" w:rsidRPr="00746F54" w:rsidRDefault="00DC7BBC" w:rsidP="00DC7BBC">
      <w:pPr>
        <w:pStyle w:val="Heading3"/>
        <w:rPr>
          <w:rFonts w:ascii="Arial" w:hAnsi="Arial" w:cs="Arial"/>
        </w:rPr>
      </w:pPr>
      <w:bookmarkStart w:id="49" w:name="_Toc211337873"/>
      <w:r w:rsidRPr="00746F54">
        <w:rPr>
          <w:rFonts w:ascii="Arial" w:hAnsi="Arial" w:cs="Arial"/>
        </w:rPr>
        <w:t>Procedures in Event of Lost Communication</w:t>
      </w:r>
      <w:bookmarkEnd w:id="49"/>
      <w:r w:rsidRPr="00746F54">
        <w:rPr>
          <w:rFonts w:ascii="Arial" w:hAnsi="Arial" w:cs="Arial"/>
        </w:rPr>
        <w:t xml:space="preserve"> </w:t>
      </w:r>
    </w:p>
    <w:p w14:paraId="69B24F87" w14:textId="6D35B870" w:rsidR="006D7F00" w:rsidRPr="00746F54" w:rsidRDefault="00DC7BBC" w:rsidP="00636D40">
      <w:pPr>
        <w:pStyle w:val="ParaText"/>
        <w:spacing w:line="360" w:lineRule="auto"/>
        <w:rPr>
          <w:rFonts w:ascii="Arial" w:hAnsi="Arial" w:cs="Arial"/>
          <w:u w:val="single"/>
        </w:rPr>
      </w:pPr>
      <w:r w:rsidRPr="00746F54">
        <w:rPr>
          <w:rFonts w:ascii="Arial" w:hAnsi="Arial" w:cs="Arial"/>
          <w:u w:val="single"/>
        </w:rPr>
        <w:t>Reference Section 33.6.</w:t>
      </w:r>
      <w:r w:rsidR="00D8106E" w:rsidRPr="00746F54">
        <w:rPr>
          <w:rFonts w:ascii="Arial" w:hAnsi="Arial" w:cs="Arial"/>
          <w:u w:val="single"/>
        </w:rPr>
        <w:t>3</w:t>
      </w:r>
      <w:r w:rsidR="00CE112C" w:rsidRPr="00746F54">
        <w:rPr>
          <w:rFonts w:ascii="Arial" w:hAnsi="Arial" w:cs="Arial"/>
          <w:u w:val="single"/>
        </w:rPr>
        <w:t xml:space="preserve"> </w:t>
      </w:r>
    </w:p>
    <w:p w14:paraId="471694B2" w14:textId="24770C2A" w:rsidR="007F3E91" w:rsidRPr="00746F54" w:rsidRDefault="00DC7BBC" w:rsidP="00AC0E4B">
      <w:pPr>
        <w:pStyle w:val="ParaText"/>
        <w:spacing w:line="360" w:lineRule="auto"/>
        <w:rPr>
          <w:rFonts w:ascii="Arial" w:hAnsi="Arial" w:cs="Arial"/>
        </w:rPr>
      </w:pPr>
      <w:r w:rsidRPr="00746F54">
        <w:rPr>
          <w:rFonts w:ascii="Arial" w:hAnsi="Arial" w:cs="Arial"/>
        </w:rPr>
        <w:t xml:space="preserve">The CAISO and each EDAM Entity, EDAM Entity Scheduling Coordinator, and EDAM Load Serving Entity Scheduling Coordinator will establish procedures to address an interruption of </w:t>
      </w:r>
      <w:r w:rsidR="00750440" w:rsidRPr="00746F54">
        <w:rPr>
          <w:rFonts w:ascii="Arial" w:hAnsi="Arial" w:cs="Arial"/>
        </w:rPr>
        <w:lastRenderedPageBreak/>
        <w:t>Day-Ahead</w:t>
      </w:r>
      <w:r w:rsidR="00981D6A" w:rsidRPr="00746F54">
        <w:rPr>
          <w:rFonts w:ascii="Arial" w:hAnsi="Arial" w:cs="Arial"/>
        </w:rPr>
        <w:t xml:space="preserve"> </w:t>
      </w:r>
      <w:r w:rsidRPr="00746F54">
        <w:rPr>
          <w:rFonts w:ascii="Arial" w:hAnsi="Arial" w:cs="Arial"/>
        </w:rPr>
        <w:t>Market communications, which will include steps to be taken to restore communications and address any impact on system or market operations.</w:t>
      </w:r>
      <w:r w:rsidR="00826E23" w:rsidRPr="00746F54">
        <w:rPr>
          <w:rFonts w:ascii="Arial" w:hAnsi="Arial" w:cs="Arial"/>
        </w:rPr>
        <w:t xml:space="preserve">  </w:t>
      </w:r>
      <w:r w:rsidR="007F3E91" w:rsidRPr="00746F54">
        <w:rPr>
          <w:rFonts w:ascii="Arial" w:hAnsi="Arial" w:cs="Arial"/>
        </w:rPr>
        <w:t xml:space="preserve">In the event that the EDAM systems are not operational, </w:t>
      </w:r>
      <w:r w:rsidR="00FE6CE7" w:rsidRPr="00746F54">
        <w:rPr>
          <w:rFonts w:ascii="Arial" w:hAnsi="Arial" w:cs="Arial"/>
        </w:rPr>
        <w:t xml:space="preserve">as described in Tariff section 7.7.10, </w:t>
      </w:r>
      <w:r w:rsidR="007F3E91" w:rsidRPr="00746F54">
        <w:rPr>
          <w:rFonts w:ascii="Arial" w:hAnsi="Arial" w:cs="Arial"/>
        </w:rPr>
        <w:t xml:space="preserve">emergency capabilities may be required to communicate with the </w:t>
      </w:r>
      <w:r w:rsidR="00684498" w:rsidRPr="00746F54">
        <w:rPr>
          <w:rFonts w:ascii="Arial" w:hAnsi="Arial" w:cs="Arial"/>
        </w:rPr>
        <w:t>m</w:t>
      </w:r>
      <w:r w:rsidR="007F3E91" w:rsidRPr="00746F54">
        <w:rPr>
          <w:rFonts w:ascii="Arial" w:hAnsi="Arial" w:cs="Arial"/>
        </w:rPr>
        <w:t xml:space="preserve">arket </w:t>
      </w:r>
      <w:r w:rsidR="00684498" w:rsidRPr="00746F54">
        <w:rPr>
          <w:rFonts w:ascii="Arial" w:hAnsi="Arial" w:cs="Arial"/>
        </w:rPr>
        <w:t>o</w:t>
      </w:r>
      <w:r w:rsidR="007F3E91" w:rsidRPr="00746F54">
        <w:rPr>
          <w:rFonts w:ascii="Arial" w:hAnsi="Arial" w:cs="Arial"/>
        </w:rPr>
        <w:t>perator. The emergency capabilities that can be used as a back-up include:</w:t>
      </w:r>
    </w:p>
    <w:p w14:paraId="485355E4" w14:textId="6C5D6100" w:rsidR="007F3E91" w:rsidRPr="00746F54" w:rsidRDefault="007F3E91" w:rsidP="00AC0E4B">
      <w:pPr>
        <w:pStyle w:val="ParaText"/>
        <w:numPr>
          <w:ilvl w:val="0"/>
          <w:numId w:val="115"/>
        </w:numPr>
        <w:spacing w:after="0" w:line="240" w:lineRule="auto"/>
        <w:rPr>
          <w:rFonts w:ascii="Arial" w:hAnsi="Arial" w:cs="Arial"/>
        </w:rPr>
      </w:pPr>
      <w:r w:rsidRPr="00746F54">
        <w:rPr>
          <w:rFonts w:ascii="Arial" w:hAnsi="Arial" w:cs="Arial"/>
        </w:rPr>
        <w:t>Electronic format (such as e-mail)</w:t>
      </w:r>
    </w:p>
    <w:p w14:paraId="05595CA2" w14:textId="77777777" w:rsidR="007F3E91" w:rsidRPr="00746F54" w:rsidRDefault="007F3E91" w:rsidP="00AC0E4B">
      <w:pPr>
        <w:pStyle w:val="ParaText"/>
        <w:numPr>
          <w:ilvl w:val="0"/>
          <w:numId w:val="115"/>
        </w:numPr>
        <w:spacing w:line="240" w:lineRule="auto"/>
        <w:rPr>
          <w:rFonts w:ascii="Arial" w:hAnsi="Arial" w:cs="Arial"/>
        </w:rPr>
      </w:pPr>
      <w:r w:rsidRPr="00746F54">
        <w:rPr>
          <w:rFonts w:ascii="Arial" w:hAnsi="Arial" w:cs="Arial"/>
        </w:rPr>
        <w:t xml:space="preserve">Voice communication with Control Center Personnel.  </w:t>
      </w:r>
    </w:p>
    <w:p w14:paraId="5E1ECF95" w14:textId="65843A4D" w:rsidR="00DC7BBC" w:rsidRPr="00746F54" w:rsidRDefault="00826E23">
      <w:pPr>
        <w:pStyle w:val="ParaText"/>
        <w:spacing w:line="360" w:lineRule="auto"/>
        <w:rPr>
          <w:rFonts w:ascii="Arial" w:hAnsi="Arial" w:cs="Arial"/>
        </w:rPr>
      </w:pPr>
      <w:r w:rsidRPr="00746F54">
        <w:rPr>
          <w:rFonts w:ascii="Arial" w:hAnsi="Arial" w:cs="Arial"/>
        </w:rPr>
        <w:t xml:space="preserve">Should the loss of communications impact an EDAM entity’s participation in EDAM, a Market Isolation may be declared.  </w:t>
      </w:r>
    </w:p>
    <w:p w14:paraId="60FBFD0C" w14:textId="649E16D7" w:rsidR="00D8106E" w:rsidRPr="00746F54" w:rsidRDefault="00D8106E">
      <w:pPr>
        <w:pStyle w:val="ParaText"/>
        <w:spacing w:line="360" w:lineRule="auto"/>
        <w:rPr>
          <w:rFonts w:ascii="Arial" w:hAnsi="Arial" w:cs="Arial"/>
        </w:rPr>
      </w:pPr>
      <w:r w:rsidRPr="00746F54">
        <w:rPr>
          <w:rFonts w:ascii="Arial" w:hAnsi="Arial" w:cs="Arial"/>
        </w:rPr>
        <w:t xml:space="preserve">An EDAM entity that loses communications with the CAISO remains responsible for managing activities within its balancing authority area without the Day-Ahead Market and potentially the Real-Time Market depending on the severity of lost communications.  </w:t>
      </w:r>
    </w:p>
    <w:p w14:paraId="3722F7EE" w14:textId="2F0423D7" w:rsidR="00771D1D" w:rsidRPr="00746F54" w:rsidRDefault="00771D1D" w:rsidP="00771D1D">
      <w:pPr>
        <w:pStyle w:val="Heading3"/>
        <w:rPr>
          <w:rFonts w:ascii="Arial" w:hAnsi="Arial" w:cs="Arial"/>
        </w:rPr>
      </w:pPr>
      <w:bookmarkStart w:id="50" w:name="_Toc211337874"/>
      <w:r w:rsidRPr="00746F54">
        <w:rPr>
          <w:rFonts w:ascii="Arial" w:hAnsi="Arial" w:cs="Arial"/>
        </w:rPr>
        <w:t>Variable Energy Resource and Hybrid Resource Forecast Communications</w:t>
      </w:r>
      <w:bookmarkEnd w:id="50"/>
    </w:p>
    <w:p w14:paraId="30EDE95B" w14:textId="2DDE540B" w:rsidR="00771D1D" w:rsidRPr="00746F54" w:rsidRDefault="00771D1D" w:rsidP="00771D1D">
      <w:pPr>
        <w:pStyle w:val="ParaText"/>
        <w:rPr>
          <w:rFonts w:ascii="Arial" w:hAnsi="Arial" w:cs="Arial"/>
          <w:u w:val="single"/>
        </w:rPr>
      </w:pPr>
      <w:r w:rsidRPr="00746F54">
        <w:rPr>
          <w:rFonts w:ascii="Arial" w:hAnsi="Arial" w:cs="Arial"/>
          <w:u w:val="single"/>
        </w:rPr>
        <w:t>Reference tariff sections 33.6.4 and 33.6.5</w:t>
      </w:r>
    </w:p>
    <w:p w14:paraId="78D42D72" w14:textId="64B97B15" w:rsidR="00771D1D" w:rsidRPr="00746F54" w:rsidRDefault="00771D1D" w:rsidP="00771D1D">
      <w:pPr>
        <w:pStyle w:val="ParaText"/>
        <w:rPr>
          <w:rFonts w:ascii="Arial" w:hAnsi="Arial" w:cs="Arial"/>
        </w:rPr>
      </w:pPr>
      <w:r w:rsidRPr="00746F54">
        <w:rPr>
          <w:rFonts w:ascii="Arial" w:hAnsi="Arial" w:cs="Arial"/>
        </w:rPr>
        <w:t xml:space="preserve">To the extent that the EDAM Resource Scheduling Coordinator for a Variable Energy Resource or a Hybrid Resource does not utilize the CAISO forecasting service but instead elects to use an independent forecasting service, it must make data transfer arrangements with the CAISO.  This will allow the CAISO to receive the forecast in </w:t>
      </w:r>
      <w:r w:rsidR="00323185" w:rsidRPr="00746F54">
        <w:rPr>
          <w:rFonts w:ascii="Arial" w:hAnsi="Arial" w:cs="Arial"/>
        </w:rPr>
        <w:t>the appropriate format and in a timely manner.</w:t>
      </w:r>
    </w:p>
    <w:p w14:paraId="36E89A92" w14:textId="4F593A5C" w:rsidR="00771D1D" w:rsidRPr="00746F54" w:rsidRDefault="00323185" w:rsidP="00A31EEA">
      <w:pPr>
        <w:pStyle w:val="ParaText"/>
        <w:rPr>
          <w:rFonts w:ascii="Arial" w:hAnsi="Arial" w:cs="Arial"/>
        </w:rPr>
      </w:pPr>
      <w:r w:rsidRPr="00746F54">
        <w:rPr>
          <w:rFonts w:ascii="Arial" w:hAnsi="Arial" w:cs="Arial"/>
        </w:rPr>
        <w:t xml:space="preserve">The data and format are described in Appendix Q to the CAISO tariff and capture the requirements for the relevant resources providing forecast information to the CAISO. </w:t>
      </w:r>
      <w:r w:rsidR="00A31EEA" w:rsidRPr="00746F54">
        <w:rPr>
          <w:rFonts w:ascii="Arial" w:hAnsi="Arial" w:cs="Arial"/>
        </w:rPr>
        <w:t xml:space="preserve"> As described further in this </w:t>
      </w:r>
      <w:r w:rsidR="00A31EEA" w:rsidRPr="00746F54">
        <w:rPr>
          <w:rFonts w:ascii="Arial" w:hAnsi="Arial" w:cs="Arial"/>
          <w:i/>
          <w:iCs/>
        </w:rPr>
        <w:t>Forecasting</w:t>
      </w:r>
      <w:r w:rsidR="00A31EEA" w:rsidRPr="00746F54">
        <w:rPr>
          <w:rFonts w:ascii="Arial" w:hAnsi="Arial" w:cs="Arial"/>
        </w:rPr>
        <w:t xml:space="preserve"> section of this BPM, the forecast must be provided in hourly intervals for the day-ahead market through a 7 day-ahead horizon and must be updated by 06:00 and 09:00. </w:t>
      </w:r>
      <w:r w:rsidRPr="00746F54">
        <w:rPr>
          <w:rFonts w:ascii="Arial" w:hAnsi="Arial" w:cs="Arial"/>
        </w:rPr>
        <w:t xml:space="preserve"> </w:t>
      </w:r>
    </w:p>
    <w:p w14:paraId="56503C58" w14:textId="1F8AA1E7" w:rsidR="00062382" w:rsidRPr="00746F54" w:rsidRDefault="00062382" w:rsidP="00062382">
      <w:pPr>
        <w:pStyle w:val="Heading1"/>
        <w:rPr>
          <w:rFonts w:ascii="Arial" w:hAnsi="Arial" w:cs="Arial"/>
        </w:rPr>
      </w:pPr>
      <w:bookmarkStart w:id="51" w:name="_Toc211337875"/>
      <w:bookmarkStart w:id="52" w:name="_Toc212733038"/>
      <w:r w:rsidRPr="00746F54">
        <w:rPr>
          <w:rFonts w:ascii="Arial" w:hAnsi="Arial" w:cs="Arial"/>
        </w:rPr>
        <w:t xml:space="preserve">EDAM </w:t>
      </w:r>
      <w:r w:rsidR="008B6343" w:rsidRPr="00746F54">
        <w:rPr>
          <w:rFonts w:ascii="Arial" w:hAnsi="Arial" w:cs="Arial"/>
        </w:rPr>
        <w:t>Operation</w:t>
      </w:r>
      <w:r w:rsidR="000B47C0" w:rsidRPr="00746F54">
        <w:rPr>
          <w:rFonts w:ascii="Arial" w:hAnsi="Arial" w:cs="Arial"/>
        </w:rPr>
        <w:t>s</w:t>
      </w:r>
      <w:bookmarkEnd w:id="51"/>
      <w:bookmarkEnd w:id="52"/>
    </w:p>
    <w:p w14:paraId="7FE9FBF5" w14:textId="78D69486" w:rsidR="004A6471" w:rsidRPr="00746F54" w:rsidRDefault="000B47C0" w:rsidP="004A6471">
      <w:pPr>
        <w:pStyle w:val="Heading2"/>
        <w:rPr>
          <w:rFonts w:ascii="Arial" w:hAnsi="Arial" w:cs="Arial"/>
        </w:rPr>
      </w:pPr>
      <w:bookmarkStart w:id="53" w:name="_Toc211337876"/>
      <w:bookmarkStart w:id="54" w:name="_Toc212733039"/>
      <w:r w:rsidRPr="00746F54">
        <w:rPr>
          <w:rFonts w:ascii="Arial" w:hAnsi="Arial" w:cs="Arial"/>
        </w:rPr>
        <w:t>EDAM Transfer Modeling &amp; Transfer System Resources</w:t>
      </w:r>
      <w:bookmarkEnd w:id="53"/>
      <w:bookmarkEnd w:id="54"/>
      <w:r w:rsidR="00EA1695" w:rsidRPr="00746F54">
        <w:rPr>
          <w:rFonts w:ascii="Arial" w:hAnsi="Arial" w:cs="Arial"/>
        </w:rPr>
        <w:t xml:space="preserve"> </w:t>
      </w:r>
    </w:p>
    <w:p w14:paraId="7F0B9817" w14:textId="7CBE9702" w:rsidR="004A6471" w:rsidRPr="00746F54" w:rsidRDefault="000B47C0" w:rsidP="00062382">
      <w:pPr>
        <w:pStyle w:val="ParaText"/>
        <w:rPr>
          <w:rFonts w:ascii="Arial" w:eastAsia="Times New Roman" w:hAnsi="Arial" w:cs="Arial"/>
          <w:u w:val="single"/>
        </w:rPr>
      </w:pPr>
      <w:r w:rsidRPr="00746F54">
        <w:rPr>
          <w:rFonts w:ascii="Arial" w:eastAsia="Times New Roman" w:hAnsi="Arial" w:cs="Arial"/>
          <w:u w:val="single"/>
        </w:rPr>
        <w:t>Reference tariff section 33.7.2</w:t>
      </w:r>
    </w:p>
    <w:p w14:paraId="785BF7EF" w14:textId="77777777" w:rsidR="000B47C0" w:rsidRPr="00746F54" w:rsidRDefault="000B47C0" w:rsidP="00636D40">
      <w:pPr>
        <w:pStyle w:val="Heading3"/>
        <w:rPr>
          <w:rFonts w:ascii="Arial" w:hAnsi="Arial" w:cs="Arial"/>
        </w:rPr>
      </w:pPr>
      <w:bookmarkStart w:id="55" w:name="_Toc191646283"/>
      <w:bookmarkStart w:id="56" w:name="_Toc211337877"/>
      <w:r w:rsidRPr="00746F54">
        <w:rPr>
          <w:rFonts w:ascii="Arial" w:hAnsi="Arial" w:cs="Arial"/>
        </w:rPr>
        <w:lastRenderedPageBreak/>
        <w:t>Introduction</w:t>
      </w:r>
      <w:bookmarkEnd w:id="55"/>
      <w:bookmarkEnd w:id="56"/>
    </w:p>
    <w:p w14:paraId="7B4392EB" w14:textId="24B43AB2" w:rsidR="000B47C0" w:rsidRPr="00746F54" w:rsidRDefault="000B47C0" w:rsidP="000B47C0">
      <w:pPr>
        <w:pStyle w:val="Paragraph"/>
        <w:rPr>
          <w:rFonts w:ascii="Arial" w:hAnsi="Arial" w:cs="Arial"/>
          <w:sz w:val="22"/>
        </w:rPr>
      </w:pPr>
      <w:r w:rsidRPr="00746F54">
        <w:rPr>
          <w:rFonts w:ascii="Arial" w:hAnsi="Arial" w:cs="Arial"/>
          <w:sz w:val="22"/>
        </w:rPr>
        <w:t xml:space="preserve">The Extended Day-Ahead Market (EDAM) and the Western Energy Imbalance Market (WEIM) are based on the concept of transfers between BAAs market footprint. Each BAA is kept in balance separately with a power balance constraint (PBC) that allows for an optimal net transfer that is either positive for export or negative for import. Furthermore, the net transfer is optimally distributed to individual directional (export or import) transfers between BAAs at specific interties. Consistent with Section 33.7.2, each transfer is modeled as a matching pair of export/import Transfer System Resources (TSRs) for each direction at an intertie, as shown in </w:t>
      </w:r>
      <w:r w:rsidRPr="00746F54">
        <w:rPr>
          <w:rFonts w:ascii="Arial" w:hAnsi="Arial" w:cs="Arial"/>
          <w:sz w:val="22"/>
        </w:rPr>
        <w:fldChar w:fldCharType="begin"/>
      </w:r>
      <w:r w:rsidRPr="00746F54">
        <w:rPr>
          <w:rFonts w:ascii="Arial" w:hAnsi="Arial" w:cs="Arial"/>
          <w:sz w:val="22"/>
        </w:rPr>
        <w:instrText xml:space="preserve"> REF _Ref179276497 \h  \* MERGEFORMAT </w:instrText>
      </w:r>
      <w:r w:rsidRPr="00746F54">
        <w:rPr>
          <w:rFonts w:ascii="Arial" w:hAnsi="Arial" w:cs="Arial"/>
          <w:sz w:val="22"/>
        </w:rPr>
      </w:r>
      <w:r w:rsidRPr="00746F54">
        <w:rPr>
          <w:rFonts w:ascii="Arial" w:hAnsi="Arial" w:cs="Arial"/>
          <w:sz w:val="22"/>
        </w:rPr>
        <w:fldChar w:fldCharType="separate"/>
      </w:r>
      <w:r w:rsidRPr="00746F54">
        <w:rPr>
          <w:rFonts w:ascii="Arial" w:hAnsi="Arial" w:cs="Arial"/>
          <w:sz w:val="22"/>
        </w:rPr>
        <w:t>Figure 17.</w:t>
      </w:r>
      <w:r w:rsidRPr="00746F54">
        <w:rPr>
          <w:rFonts w:ascii="Arial" w:hAnsi="Arial" w:cs="Arial"/>
          <w:noProof/>
          <w:sz w:val="22"/>
        </w:rPr>
        <w:t>1</w:t>
      </w:r>
      <w:r w:rsidRPr="00746F54">
        <w:rPr>
          <w:rFonts w:ascii="Arial" w:hAnsi="Arial" w:cs="Arial"/>
          <w:sz w:val="22"/>
        </w:rPr>
        <w:fldChar w:fldCharType="end"/>
      </w:r>
      <w:r w:rsidRPr="00746F54">
        <w:rPr>
          <w:rFonts w:ascii="Arial" w:hAnsi="Arial" w:cs="Arial"/>
          <w:sz w:val="22"/>
        </w:rPr>
        <w:t>.</w:t>
      </w:r>
    </w:p>
    <w:p w14:paraId="6A682E64" w14:textId="77777777" w:rsidR="000B47C0" w:rsidRPr="00746F54" w:rsidRDefault="000B47C0" w:rsidP="000B47C0">
      <w:pPr>
        <w:pStyle w:val="Figure"/>
        <w:rPr>
          <w:rFonts w:ascii="Arial" w:hAnsi="Arial" w:cs="Arial"/>
          <w:sz w:val="22"/>
          <w:szCs w:val="22"/>
        </w:rPr>
      </w:pPr>
      <w:r w:rsidRPr="00746F54">
        <w:rPr>
          <w:rFonts w:ascii="Arial" w:hAnsi="Arial" w:cs="Arial"/>
          <w:noProof/>
          <w:sz w:val="22"/>
          <w:szCs w:val="22"/>
        </w:rPr>
        <w:drawing>
          <wp:inline distT="0" distB="0" distL="0" distR="0" wp14:anchorId="676BE2A0" wp14:editId="798E931B">
            <wp:extent cx="5221605" cy="1705819"/>
            <wp:effectExtent l="0" t="0" r="0" b="8890"/>
            <wp:docPr id="829095212" name="Picture 1" descr="A diagram of a diagram&#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9095212" name="Picture 1" descr="A diagram of a diagram&#10;&#10;AI-generated content may be incorrect."/>
                    <pic:cNvPicPr>
                      <a:picLocks noChangeAspect="1" noChangeArrowheads="1"/>
                    </pic:cNvPicPr>
                  </pic:nvPicPr>
                  <pic:blipFill rotWithShape="1">
                    <a:blip r:embed="rId23">
                      <a:extLst>
                        <a:ext uri="{28A0092B-C50C-407E-A947-70E740481C1C}">
                          <a14:useLocalDpi xmlns:a14="http://schemas.microsoft.com/office/drawing/2010/main" val="0"/>
                        </a:ext>
                      </a:extLst>
                    </a:blip>
                    <a:srcRect t="-2542" r="12112"/>
                    <a:stretch/>
                  </pic:blipFill>
                  <pic:spPr bwMode="auto">
                    <a:xfrm>
                      <a:off x="0" y="0"/>
                      <a:ext cx="5221605" cy="1705819"/>
                    </a:xfrm>
                    <a:prstGeom prst="rect">
                      <a:avLst/>
                    </a:prstGeom>
                    <a:noFill/>
                    <a:ln>
                      <a:noFill/>
                    </a:ln>
                    <a:extLst>
                      <a:ext uri="{53640926-AAD7-44D8-BBD7-CCE9431645EC}">
                        <a14:shadowObscured xmlns:a14="http://schemas.microsoft.com/office/drawing/2010/main"/>
                      </a:ext>
                    </a:extLst>
                  </pic:spPr>
                </pic:pic>
              </a:graphicData>
            </a:graphic>
          </wp:inline>
        </w:drawing>
      </w:r>
    </w:p>
    <w:p w14:paraId="39C89742" w14:textId="2749719C" w:rsidR="000B47C0" w:rsidRPr="00746F54" w:rsidRDefault="000B47C0" w:rsidP="000B47C0">
      <w:pPr>
        <w:pStyle w:val="Caption"/>
        <w:rPr>
          <w:rFonts w:ascii="Arial" w:hAnsi="Arial" w:cs="Arial"/>
        </w:rPr>
      </w:pPr>
      <w:bookmarkStart w:id="57" w:name="_Ref179276497"/>
      <w:bookmarkStart w:id="58" w:name="_Toc179360388"/>
      <w:r w:rsidRPr="00746F54">
        <w:rPr>
          <w:rFonts w:ascii="Arial" w:hAnsi="Arial" w:cs="Arial"/>
        </w:rPr>
        <w:t>Figure 17.</w:t>
      </w:r>
      <w:r w:rsidRPr="00746F54">
        <w:rPr>
          <w:rFonts w:ascii="Arial" w:hAnsi="Arial" w:cs="Arial"/>
        </w:rPr>
        <w:fldChar w:fldCharType="begin"/>
      </w:r>
      <w:r w:rsidRPr="00746F54">
        <w:rPr>
          <w:rFonts w:ascii="Arial" w:hAnsi="Arial" w:cs="Arial"/>
        </w:rPr>
        <w:instrText xml:space="preserve"> SEQ Figure \* ARABIC </w:instrText>
      </w:r>
      <w:r w:rsidRPr="00746F54">
        <w:rPr>
          <w:rFonts w:ascii="Arial" w:hAnsi="Arial" w:cs="Arial"/>
        </w:rPr>
        <w:fldChar w:fldCharType="separate"/>
      </w:r>
      <w:r w:rsidRPr="00746F54">
        <w:rPr>
          <w:rFonts w:ascii="Arial" w:hAnsi="Arial" w:cs="Arial"/>
          <w:noProof/>
        </w:rPr>
        <w:t>1</w:t>
      </w:r>
      <w:r w:rsidRPr="00746F54">
        <w:rPr>
          <w:rFonts w:ascii="Arial" w:hAnsi="Arial" w:cs="Arial"/>
        </w:rPr>
        <w:fldChar w:fldCharType="end"/>
      </w:r>
      <w:bookmarkEnd w:id="57"/>
      <w:r w:rsidRPr="00746F54">
        <w:rPr>
          <w:rFonts w:ascii="Arial" w:hAnsi="Arial" w:cs="Arial"/>
        </w:rPr>
        <w:t xml:space="preserve"> Transfer modelling</w:t>
      </w:r>
      <w:bookmarkEnd w:id="58"/>
    </w:p>
    <w:p w14:paraId="6F909173" w14:textId="54DD7CE2" w:rsidR="000B47C0" w:rsidRPr="00746F54" w:rsidRDefault="000B47C0" w:rsidP="009C2B4B">
      <w:pPr>
        <w:pStyle w:val="Paragraph"/>
        <w:rPr>
          <w:rFonts w:ascii="Arial" w:hAnsi="Arial" w:cs="Arial"/>
          <w:sz w:val="22"/>
        </w:rPr>
      </w:pPr>
      <w:r w:rsidRPr="00746F54">
        <w:rPr>
          <w:rFonts w:ascii="Arial" w:hAnsi="Arial" w:cs="Arial"/>
          <w:sz w:val="22"/>
        </w:rPr>
        <w:t>In general, there can be multiple transfers defined at a given intertie and direction, as well as between multiple BAA pairs. In the WEIM, only energy transfers are modeled, whereas in the EDAM both energy and capacity transfers are modeled. The TSRs are logical resources used to model the export from one BAA and the import to the other BAA, which constitutes the transfer; therefore, each export (import) TSR in the pair belongs to the exporting (importing) BAA, thus constrained by the power balance constraint of that BAA, whereas the net injection is zero at the intertie due to cancelation. Consistent with Section 33.18.2, this section of the business practice describes the TSR types (1-4), registered TSRs, and transient TSRs.</w:t>
      </w:r>
      <w:bookmarkStart w:id="59" w:name="_Toc191646284"/>
    </w:p>
    <w:p w14:paraId="7C82CF0B" w14:textId="77777777" w:rsidR="009C2B4B" w:rsidRPr="00746F54" w:rsidRDefault="009C2B4B" w:rsidP="009C2B4B">
      <w:pPr>
        <w:pStyle w:val="Paragraph"/>
        <w:rPr>
          <w:rFonts w:ascii="Arial" w:hAnsi="Arial" w:cs="Arial"/>
          <w:sz w:val="22"/>
        </w:rPr>
      </w:pPr>
    </w:p>
    <w:p w14:paraId="1828EE74" w14:textId="77777777" w:rsidR="000B47C0" w:rsidRPr="00746F54" w:rsidRDefault="000B47C0" w:rsidP="00636D40">
      <w:pPr>
        <w:pStyle w:val="Heading3"/>
        <w:rPr>
          <w:rFonts w:ascii="Arial" w:hAnsi="Arial" w:cs="Arial"/>
        </w:rPr>
      </w:pPr>
      <w:bookmarkStart w:id="60" w:name="_Toc211337878"/>
      <w:bookmarkEnd w:id="59"/>
      <w:r w:rsidRPr="00746F54">
        <w:rPr>
          <w:rFonts w:ascii="Arial" w:hAnsi="Arial" w:cs="Arial"/>
        </w:rPr>
        <w:t>Transfer System Resource Types</w:t>
      </w:r>
      <w:bookmarkEnd w:id="60"/>
    </w:p>
    <w:p w14:paraId="5DA3E154" w14:textId="77777777" w:rsidR="000B47C0" w:rsidRPr="00746F54" w:rsidRDefault="000B47C0" w:rsidP="000B47C0">
      <w:pPr>
        <w:pStyle w:val="Paragraph"/>
        <w:rPr>
          <w:rFonts w:ascii="Arial" w:hAnsi="Arial" w:cs="Arial"/>
          <w:sz w:val="22"/>
        </w:rPr>
      </w:pPr>
      <w:r w:rsidRPr="00746F54">
        <w:rPr>
          <w:rFonts w:ascii="Arial" w:hAnsi="Arial" w:cs="Arial"/>
          <w:sz w:val="22"/>
        </w:rPr>
        <w:t>In the EDAM, there are four types of transfers:</w:t>
      </w:r>
    </w:p>
    <w:p w14:paraId="73082FE6" w14:textId="11B84EBA" w:rsidR="000B47C0" w:rsidRPr="00746F54" w:rsidRDefault="000B47C0" w:rsidP="000B47C0">
      <w:pPr>
        <w:pStyle w:val="Paragraph"/>
        <w:numPr>
          <w:ilvl w:val="0"/>
          <w:numId w:val="52"/>
        </w:numPr>
        <w:spacing w:line="240" w:lineRule="auto"/>
        <w:jc w:val="both"/>
        <w:rPr>
          <w:rFonts w:ascii="Arial" w:hAnsi="Arial" w:cs="Arial"/>
          <w:sz w:val="22"/>
        </w:rPr>
      </w:pPr>
      <w:r w:rsidRPr="00746F54">
        <w:rPr>
          <w:rFonts w:ascii="Arial" w:hAnsi="Arial" w:cs="Arial"/>
          <w:b/>
          <w:sz w:val="22"/>
        </w:rPr>
        <w:t>Type 1:</w:t>
      </w:r>
      <w:r w:rsidRPr="00746F54">
        <w:rPr>
          <w:rFonts w:ascii="Arial" w:hAnsi="Arial" w:cs="Arial"/>
          <w:sz w:val="22"/>
        </w:rPr>
        <w:t xml:space="preserve"> Bilateral energy transactions between transmission customers (TCs) that exercise their physical, and financial if applicable, transmission rights on each side of a transfer. The EDAM entity scheduling coordinator (EESC) on each side of the transfer must register the TSR for the relevant TC in the Master File, or the TC SC (TCSC) must define the TSR in SIBR for transient Type 1 TSRs for a specified trading day. Then, the TCSC may self-schedule its rights under the applicable transmission contract identified by a unique Contract Reference Number (CRN) on the respective TSR. All CRNs must be registered in the Master File by the relevant EESC. The TCSC may also specify the released capacity for the relevant CRN, which will be used by SIBR to define TSRs Type 2. The TCSCs and the CRNs may be the same for both TSRs of a transfer, or they may be different, but the </w:t>
      </w:r>
      <w:r w:rsidRPr="00746F54">
        <w:rPr>
          <w:rFonts w:ascii="Arial" w:hAnsi="Arial" w:cs="Arial"/>
          <w:sz w:val="22"/>
        </w:rPr>
        <w:lastRenderedPageBreak/>
        <w:t>self-schedules must be equal. The self-schedules under a CRN for all resources, i.e., TSRs and supply/demand resources, must be balanced and within the CRN entitlement in each BAA. Otherwise, they lose their physical right (higher scheduling priority) afforded by the CRN; nevertheless, they retain the financial right (transmission congestion/loss hedge from supply to demand and/or TSR export, or from TSR import and/or supply to demand) for the balanced portion, as applicable. Irrespective of the scheduling priority, TSR Type 1 self-schedules are RSE-eligible.</w:t>
      </w:r>
    </w:p>
    <w:p w14:paraId="1C228956" w14:textId="4C5CC637" w:rsidR="000B47C0" w:rsidRPr="00746F54" w:rsidRDefault="000B47C0" w:rsidP="000B47C0">
      <w:pPr>
        <w:pStyle w:val="Paragraph"/>
        <w:numPr>
          <w:ilvl w:val="0"/>
          <w:numId w:val="52"/>
        </w:numPr>
        <w:spacing w:line="240" w:lineRule="auto"/>
        <w:jc w:val="both"/>
        <w:rPr>
          <w:rFonts w:ascii="Arial" w:hAnsi="Arial" w:cs="Arial"/>
          <w:sz w:val="22"/>
        </w:rPr>
      </w:pPr>
      <w:r w:rsidRPr="00746F54">
        <w:rPr>
          <w:rFonts w:ascii="Arial" w:hAnsi="Arial" w:cs="Arial"/>
          <w:b/>
          <w:sz w:val="22"/>
        </w:rPr>
        <w:t>Type 2:</w:t>
      </w:r>
      <w:r w:rsidRPr="00746F54">
        <w:rPr>
          <w:rFonts w:ascii="Arial" w:hAnsi="Arial" w:cs="Arial"/>
          <w:sz w:val="22"/>
        </w:rPr>
        <w:t xml:space="preserve"> Capacity from TCs that release their transmission rights on each side of a transfer. There are two ways to create Type 2 TSRs. For registered Type 2 TSRs, the EESC on each side of the transfer must register the TSR for the relevant TC in the Master File. Then, the TCSC may release its transmission rights on the respective TSR. The TCSCs may be the same for both TSRs for a transfer, or they may be different, but the released transfer capacities must be equal. Alternatively, for transient Type 2 TSRs, the EESC on each side of the transfer location may submit in SIBR the list of TCs and associated total transmission right before 9:00 am. After 9:00 am, SIBR will match TCs and released transfer capacity across the intertie, will define TSR pairs for each match and for each Trading Hour of the Trading Day, and will notify the respective TCSCs and EESCs. TCSCs may not take any further action. Since the transfer capacity on these TSRs is released before 9:00am, the respective TCSCs are eligible to receive 50% of the transfer revenue (unless a different ratio is specified in the Master File by BAA pair, intertie, and direction) on these transfers directly from the market operator (MO).</w:t>
      </w:r>
    </w:p>
    <w:p w14:paraId="73FB689A" w14:textId="1E2D0FB6" w:rsidR="000B47C0" w:rsidRPr="00746F54" w:rsidRDefault="000B47C0" w:rsidP="000B47C0">
      <w:pPr>
        <w:pStyle w:val="Paragraph"/>
        <w:numPr>
          <w:ilvl w:val="0"/>
          <w:numId w:val="52"/>
        </w:numPr>
        <w:spacing w:line="240" w:lineRule="auto"/>
        <w:jc w:val="both"/>
        <w:rPr>
          <w:rFonts w:ascii="Arial" w:hAnsi="Arial" w:cs="Arial"/>
          <w:sz w:val="22"/>
        </w:rPr>
      </w:pPr>
      <w:r w:rsidRPr="00746F54">
        <w:rPr>
          <w:rFonts w:ascii="Arial" w:hAnsi="Arial" w:cs="Arial"/>
          <w:b/>
          <w:sz w:val="22"/>
        </w:rPr>
        <w:t>Type 3:</w:t>
      </w:r>
      <w:r w:rsidRPr="00746F54">
        <w:rPr>
          <w:rFonts w:ascii="Arial" w:hAnsi="Arial" w:cs="Arial"/>
          <w:sz w:val="22"/>
        </w:rPr>
        <w:t xml:space="preserve"> RSE-eligible transfer capacity released by EDAM entities. The EESC on each side of a transfer must register the TSR for itself in the Master File. Then, the EESC may self-provide ancillary services (regulation up and down, spinning and non-spinning reserve) and/or release transfer capacity on the respective TSR. The ancillary services self-provisions and released transfer capacities must be equal across the transfer.</w:t>
      </w:r>
    </w:p>
    <w:p w14:paraId="0EE8DD46" w14:textId="77777777" w:rsidR="000B47C0" w:rsidRPr="00746F54" w:rsidRDefault="000B47C0" w:rsidP="000B47C0">
      <w:pPr>
        <w:pStyle w:val="Paragraph"/>
        <w:numPr>
          <w:ilvl w:val="0"/>
          <w:numId w:val="52"/>
        </w:numPr>
        <w:spacing w:line="240" w:lineRule="auto"/>
        <w:jc w:val="both"/>
        <w:rPr>
          <w:rFonts w:ascii="Arial" w:hAnsi="Arial" w:cs="Arial"/>
          <w:sz w:val="22"/>
        </w:rPr>
      </w:pPr>
      <w:r w:rsidRPr="00746F54">
        <w:rPr>
          <w:rFonts w:ascii="Arial" w:hAnsi="Arial" w:cs="Arial"/>
          <w:b/>
          <w:sz w:val="22"/>
        </w:rPr>
        <w:t>Type 4:</w:t>
      </w:r>
      <w:r w:rsidRPr="00746F54">
        <w:rPr>
          <w:rFonts w:ascii="Arial" w:hAnsi="Arial" w:cs="Arial"/>
          <w:sz w:val="22"/>
        </w:rPr>
        <w:t xml:space="preserve"> Non-RSE-eligible transfer capacity released by EDAM Entities. The EESC on each side of a transfer must register the TSR for itself in the Master File. Then, the EESC may release transfer capacity on the respective TSR. The released transfer capacities must be equal across the transfer.</w:t>
      </w:r>
    </w:p>
    <w:p w14:paraId="167D8DB0" w14:textId="7109C377" w:rsidR="000B47C0" w:rsidRPr="00746F54" w:rsidRDefault="000B47C0" w:rsidP="000B47C0">
      <w:pPr>
        <w:pStyle w:val="Paragraph"/>
        <w:rPr>
          <w:rFonts w:ascii="Arial" w:hAnsi="Arial" w:cs="Arial"/>
          <w:sz w:val="22"/>
        </w:rPr>
      </w:pPr>
      <w:r w:rsidRPr="00746F54">
        <w:rPr>
          <w:rFonts w:ascii="Arial" w:hAnsi="Arial" w:cs="Arial"/>
          <w:sz w:val="22"/>
        </w:rPr>
        <w:t>With the narrow exception of transfer capacity release under Type 2 transfers, the transfer revenue collected on a transfer is divided evenly (unless a different ratio is specified in the Master File by BAA pair, intertie, and direction) between the EESCs on each side of the transfer. The EDAM entities will then distribute that revenue to their TCs.</w:t>
      </w:r>
    </w:p>
    <w:p w14:paraId="69B168CF" w14:textId="77777777" w:rsidR="000B47C0" w:rsidRPr="00746F54" w:rsidRDefault="000B47C0" w:rsidP="000B47C0">
      <w:pPr>
        <w:rPr>
          <w:rFonts w:ascii="Arial" w:hAnsi="Arial" w:cs="Arial"/>
        </w:rPr>
      </w:pPr>
      <w:bookmarkStart w:id="61" w:name="_Toc191646285"/>
    </w:p>
    <w:p w14:paraId="560EBF2A" w14:textId="77777777" w:rsidR="000B47C0" w:rsidRPr="00746F54" w:rsidRDefault="000B47C0" w:rsidP="00636D40">
      <w:pPr>
        <w:pStyle w:val="Heading3"/>
        <w:rPr>
          <w:rFonts w:ascii="Arial" w:hAnsi="Arial" w:cs="Arial"/>
        </w:rPr>
      </w:pPr>
      <w:bookmarkStart w:id="62" w:name="_Toc211337879"/>
      <w:r w:rsidRPr="00746F54">
        <w:rPr>
          <w:rFonts w:ascii="Arial" w:hAnsi="Arial" w:cs="Arial"/>
        </w:rPr>
        <w:t>Transfer Attributes</w:t>
      </w:r>
      <w:bookmarkEnd w:id="61"/>
      <w:bookmarkEnd w:id="62"/>
    </w:p>
    <w:p w14:paraId="0EC892AA" w14:textId="65C90985" w:rsidR="000B47C0" w:rsidRPr="00746F54" w:rsidRDefault="000B47C0" w:rsidP="000B47C0">
      <w:pPr>
        <w:pStyle w:val="Paragraph"/>
        <w:spacing w:after="120"/>
        <w:rPr>
          <w:rFonts w:ascii="Arial" w:hAnsi="Arial" w:cs="Arial"/>
          <w:sz w:val="22"/>
        </w:rPr>
      </w:pPr>
      <w:r w:rsidRPr="00746F54">
        <w:rPr>
          <w:rFonts w:ascii="Arial" w:hAnsi="Arial" w:cs="Arial"/>
          <w:sz w:val="22"/>
        </w:rPr>
        <w:t>To facilitate the modeling and validation of transfers, Transfer Locations will be registered in the Master File for each relevant BAA pair, intertie, and direction, with the following attributes (note: attribute names below are indicative and may not match exactly with those in the Master File).</w:t>
      </w:r>
    </w:p>
    <w:tbl>
      <w:tblPr>
        <w:tblStyle w:val="TableGrid"/>
        <w:tblW w:w="0" w:type="auto"/>
        <w:tblBorders>
          <w:top w:val="single" w:sz="8" w:space="0" w:color="auto"/>
          <w:left w:val="single" w:sz="8" w:space="0" w:color="auto"/>
          <w:bottom w:val="single" w:sz="8" w:space="0" w:color="auto"/>
          <w:right w:val="single" w:sz="8" w:space="0" w:color="auto"/>
          <w:insideH w:val="none" w:sz="0" w:space="0" w:color="auto"/>
          <w:insideV w:val="none" w:sz="0" w:space="0" w:color="auto"/>
        </w:tblBorders>
        <w:tblLook w:val="04A0" w:firstRow="1" w:lastRow="0" w:firstColumn="1" w:lastColumn="0" w:noHBand="0" w:noVBand="1"/>
      </w:tblPr>
      <w:tblGrid>
        <w:gridCol w:w="3945"/>
        <w:gridCol w:w="5395"/>
      </w:tblGrid>
      <w:tr w:rsidR="000B47C0" w:rsidRPr="00746F54" w14:paraId="42313016" w14:textId="77777777" w:rsidTr="005477B0">
        <w:trPr>
          <w:cantSplit/>
        </w:trPr>
        <w:tc>
          <w:tcPr>
            <w:tcW w:w="0" w:type="auto"/>
            <w:gridSpan w:val="2"/>
            <w:tcBorders>
              <w:top w:val="single" w:sz="8" w:space="0" w:color="auto"/>
              <w:bottom w:val="nil"/>
            </w:tcBorders>
            <w:shd w:val="clear" w:color="auto" w:fill="D5DCE4" w:themeFill="text2" w:themeFillTint="33"/>
          </w:tcPr>
          <w:p w14:paraId="3FAF4685" w14:textId="77777777" w:rsidR="000B47C0" w:rsidRPr="00746F54" w:rsidRDefault="000B47C0" w:rsidP="005477B0">
            <w:pPr>
              <w:pStyle w:val="Table"/>
              <w:rPr>
                <w:rFonts w:ascii="Arial" w:hAnsi="Arial" w:cs="Arial"/>
                <w:b/>
                <w:sz w:val="22"/>
                <w:szCs w:val="22"/>
              </w:rPr>
            </w:pPr>
            <w:r w:rsidRPr="00746F54">
              <w:rPr>
                <w:rFonts w:ascii="Arial" w:hAnsi="Arial" w:cs="Arial"/>
                <w:b/>
                <w:sz w:val="22"/>
                <w:szCs w:val="22"/>
              </w:rPr>
              <w:t>Transfer Location Definition</w:t>
            </w:r>
          </w:p>
        </w:tc>
      </w:tr>
      <w:tr w:rsidR="000B47C0" w:rsidRPr="00746F54" w14:paraId="0B4529F6" w14:textId="77777777" w:rsidTr="005477B0">
        <w:trPr>
          <w:cantSplit/>
        </w:trPr>
        <w:tc>
          <w:tcPr>
            <w:tcW w:w="0" w:type="auto"/>
            <w:tcBorders>
              <w:top w:val="single" w:sz="4" w:space="0" w:color="auto"/>
              <w:bottom w:val="single" w:sz="4" w:space="0" w:color="auto"/>
              <w:right w:val="single" w:sz="8" w:space="0" w:color="auto"/>
            </w:tcBorders>
            <w:shd w:val="clear" w:color="auto" w:fill="E2EFD9" w:themeFill="accent6" w:themeFillTint="33"/>
          </w:tcPr>
          <w:p w14:paraId="740E98AD" w14:textId="77777777" w:rsidR="000B47C0" w:rsidRPr="00746F54" w:rsidRDefault="000B47C0" w:rsidP="005477B0">
            <w:pPr>
              <w:pStyle w:val="Table"/>
              <w:jc w:val="left"/>
              <w:rPr>
                <w:rFonts w:ascii="Arial" w:hAnsi="Arial" w:cs="Arial"/>
                <w:sz w:val="22"/>
                <w:szCs w:val="22"/>
              </w:rPr>
            </w:pPr>
            <w:r w:rsidRPr="00746F54">
              <w:rPr>
                <w:rFonts w:ascii="Arial" w:hAnsi="Arial" w:cs="Arial"/>
                <w:sz w:val="22"/>
                <w:szCs w:val="22"/>
              </w:rPr>
              <w:t>TRANSFER_LOCATION</w:t>
            </w:r>
          </w:p>
        </w:tc>
        <w:tc>
          <w:tcPr>
            <w:tcW w:w="0" w:type="auto"/>
            <w:tcBorders>
              <w:top w:val="single" w:sz="4" w:space="0" w:color="auto"/>
              <w:left w:val="single" w:sz="8" w:space="0" w:color="auto"/>
              <w:bottom w:val="single" w:sz="4" w:space="0" w:color="auto"/>
            </w:tcBorders>
          </w:tcPr>
          <w:p w14:paraId="6F041922" w14:textId="6597F61E" w:rsidR="000B47C0" w:rsidRPr="00746F54" w:rsidRDefault="000B47C0" w:rsidP="005477B0">
            <w:pPr>
              <w:pStyle w:val="Table"/>
              <w:jc w:val="left"/>
              <w:rPr>
                <w:rFonts w:ascii="Arial" w:hAnsi="Arial" w:cs="Arial"/>
                <w:sz w:val="22"/>
                <w:szCs w:val="22"/>
              </w:rPr>
            </w:pPr>
            <w:r w:rsidRPr="00746F54">
              <w:rPr>
                <w:rFonts w:ascii="Arial" w:hAnsi="Arial" w:cs="Arial"/>
                <w:sz w:val="22"/>
                <w:szCs w:val="22"/>
              </w:rPr>
              <w:t>Unique transfer location identifier: FROM_BAA-TO_BAA-INTERTIE-DIRECTION</w:t>
            </w:r>
          </w:p>
        </w:tc>
      </w:tr>
      <w:tr w:rsidR="000B47C0" w:rsidRPr="00746F54" w14:paraId="1E1F6FAF" w14:textId="77777777" w:rsidTr="005477B0">
        <w:trPr>
          <w:cantSplit/>
        </w:trPr>
        <w:tc>
          <w:tcPr>
            <w:tcW w:w="0" w:type="auto"/>
            <w:tcBorders>
              <w:top w:val="single" w:sz="4" w:space="0" w:color="auto"/>
              <w:bottom w:val="single" w:sz="4" w:space="0" w:color="auto"/>
              <w:right w:val="single" w:sz="8" w:space="0" w:color="auto"/>
            </w:tcBorders>
            <w:shd w:val="clear" w:color="auto" w:fill="E2EFD9" w:themeFill="accent6" w:themeFillTint="33"/>
          </w:tcPr>
          <w:p w14:paraId="7767788A" w14:textId="77777777" w:rsidR="000B47C0" w:rsidRPr="00746F54" w:rsidRDefault="000B47C0" w:rsidP="005477B0">
            <w:pPr>
              <w:pStyle w:val="Table"/>
              <w:jc w:val="left"/>
              <w:rPr>
                <w:rFonts w:ascii="Arial" w:hAnsi="Arial" w:cs="Arial"/>
                <w:sz w:val="22"/>
                <w:szCs w:val="22"/>
              </w:rPr>
            </w:pPr>
            <w:r w:rsidRPr="00746F54">
              <w:rPr>
                <w:rFonts w:ascii="Arial" w:hAnsi="Arial" w:cs="Arial"/>
                <w:sz w:val="22"/>
                <w:szCs w:val="22"/>
              </w:rPr>
              <w:t>FROM_BAA</w:t>
            </w:r>
          </w:p>
        </w:tc>
        <w:tc>
          <w:tcPr>
            <w:tcW w:w="0" w:type="auto"/>
            <w:tcBorders>
              <w:top w:val="single" w:sz="4" w:space="0" w:color="auto"/>
              <w:left w:val="single" w:sz="8" w:space="0" w:color="auto"/>
              <w:bottom w:val="single" w:sz="4" w:space="0" w:color="auto"/>
            </w:tcBorders>
          </w:tcPr>
          <w:p w14:paraId="57882C7C" w14:textId="77777777" w:rsidR="000B47C0" w:rsidRPr="00746F54" w:rsidRDefault="000B47C0" w:rsidP="005477B0">
            <w:pPr>
              <w:pStyle w:val="Table"/>
              <w:jc w:val="left"/>
              <w:rPr>
                <w:rFonts w:ascii="Arial" w:hAnsi="Arial" w:cs="Arial"/>
                <w:sz w:val="22"/>
                <w:szCs w:val="22"/>
              </w:rPr>
            </w:pPr>
            <w:r w:rsidRPr="00746F54">
              <w:rPr>
                <w:rFonts w:ascii="Arial" w:hAnsi="Arial" w:cs="Arial"/>
                <w:sz w:val="22"/>
                <w:szCs w:val="22"/>
              </w:rPr>
              <w:t>Unique “from” BAA identifier; must be an EDAM BAA</w:t>
            </w:r>
          </w:p>
        </w:tc>
      </w:tr>
      <w:tr w:rsidR="000B47C0" w:rsidRPr="00746F54" w14:paraId="0878B704" w14:textId="77777777" w:rsidTr="005477B0">
        <w:trPr>
          <w:cantSplit/>
        </w:trPr>
        <w:tc>
          <w:tcPr>
            <w:tcW w:w="0" w:type="auto"/>
            <w:tcBorders>
              <w:top w:val="single" w:sz="4" w:space="0" w:color="auto"/>
              <w:bottom w:val="single" w:sz="4" w:space="0" w:color="auto"/>
              <w:right w:val="single" w:sz="8" w:space="0" w:color="auto"/>
            </w:tcBorders>
            <w:shd w:val="clear" w:color="auto" w:fill="E2EFD9" w:themeFill="accent6" w:themeFillTint="33"/>
          </w:tcPr>
          <w:p w14:paraId="370C4FDC" w14:textId="77777777" w:rsidR="000B47C0" w:rsidRPr="00746F54" w:rsidRDefault="000B47C0" w:rsidP="005477B0">
            <w:pPr>
              <w:pStyle w:val="Table"/>
              <w:jc w:val="left"/>
              <w:rPr>
                <w:rFonts w:ascii="Arial" w:hAnsi="Arial" w:cs="Arial"/>
                <w:sz w:val="22"/>
                <w:szCs w:val="22"/>
              </w:rPr>
            </w:pPr>
            <w:r w:rsidRPr="00746F54">
              <w:rPr>
                <w:rFonts w:ascii="Arial" w:hAnsi="Arial" w:cs="Arial"/>
                <w:sz w:val="22"/>
                <w:szCs w:val="22"/>
              </w:rPr>
              <w:lastRenderedPageBreak/>
              <w:t>TO_BAA</w:t>
            </w:r>
          </w:p>
        </w:tc>
        <w:tc>
          <w:tcPr>
            <w:tcW w:w="0" w:type="auto"/>
            <w:tcBorders>
              <w:top w:val="single" w:sz="4" w:space="0" w:color="auto"/>
              <w:left w:val="single" w:sz="8" w:space="0" w:color="auto"/>
              <w:bottom w:val="single" w:sz="4" w:space="0" w:color="auto"/>
            </w:tcBorders>
          </w:tcPr>
          <w:p w14:paraId="6E60891B" w14:textId="77777777" w:rsidR="000B47C0" w:rsidRPr="00746F54" w:rsidRDefault="000B47C0" w:rsidP="005477B0">
            <w:pPr>
              <w:pStyle w:val="Table"/>
              <w:jc w:val="left"/>
              <w:rPr>
                <w:rFonts w:ascii="Arial" w:hAnsi="Arial" w:cs="Arial"/>
                <w:sz w:val="22"/>
                <w:szCs w:val="22"/>
              </w:rPr>
            </w:pPr>
            <w:r w:rsidRPr="00746F54">
              <w:rPr>
                <w:rFonts w:ascii="Arial" w:hAnsi="Arial" w:cs="Arial"/>
                <w:sz w:val="22"/>
                <w:szCs w:val="22"/>
              </w:rPr>
              <w:t>Unique “to” BAA identifier; must be an EDAM BAA</w:t>
            </w:r>
          </w:p>
        </w:tc>
      </w:tr>
      <w:tr w:rsidR="000B47C0" w:rsidRPr="00746F54" w14:paraId="54DBF24C" w14:textId="77777777" w:rsidTr="005477B0">
        <w:trPr>
          <w:cantSplit/>
        </w:trPr>
        <w:tc>
          <w:tcPr>
            <w:tcW w:w="0" w:type="auto"/>
            <w:tcBorders>
              <w:top w:val="single" w:sz="4" w:space="0" w:color="auto"/>
              <w:bottom w:val="single" w:sz="4" w:space="0" w:color="auto"/>
              <w:right w:val="single" w:sz="8" w:space="0" w:color="auto"/>
            </w:tcBorders>
            <w:shd w:val="clear" w:color="auto" w:fill="E2EFD9" w:themeFill="accent6" w:themeFillTint="33"/>
          </w:tcPr>
          <w:p w14:paraId="1A11BEA4" w14:textId="77777777" w:rsidR="000B47C0" w:rsidRPr="00746F54" w:rsidRDefault="000B47C0" w:rsidP="005477B0">
            <w:pPr>
              <w:pStyle w:val="Table"/>
              <w:jc w:val="left"/>
              <w:rPr>
                <w:rFonts w:ascii="Arial" w:hAnsi="Arial" w:cs="Arial"/>
                <w:sz w:val="22"/>
                <w:szCs w:val="22"/>
              </w:rPr>
            </w:pPr>
            <w:r w:rsidRPr="00746F54">
              <w:rPr>
                <w:rFonts w:ascii="Arial" w:hAnsi="Arial" w:cs="Arial"/>
                <w:sz w:val="22"/>
                <w:szCs w:val="22"/>
              </w:rPr>
              <w:t>INTERTIE</w:t>
            </w:r>
          </w:p>
        </w:tc>
        <w:tc>
          <w:tcPr>
            <w:tcW w:w="0" w:type="auto"/>
            <w:tcBorders>
              <w:top w:val="single" w:sz="4" w:space="0" w:color="auto"/>
              <w:left w:val="single" w:sz="8" w:space="0" w:color="auto"/>
              <w:bottom w:val="single" w:sz="4" w:space="0" w:color="auto"/>
            </w:tcBorders>
          </w:tcPr>
          <w:p w14:paraId="35CB572C" w14:textId="77777777" w:rsidR="000B47C0" w:rsidRPr="00746F54" w:rsidRDefault="000B47C0" w:rsidP="005477B0">
            <w:pPr>
              <w:pStyle w:val="Table"/>
              <w:jc w:val="left"/>
              <w:rPr>
                <w:rFonts w:ascii="Arial" w:hAnsi="Arial" w:cs="Arial"/>
                <w:sz w:val="22"/>
                <w:szCs w:val="22"/>
              </w:rPr>
            </w:pPr>
            <w:r w:rsidRPr="00746F54">
              <w:rPr>
                <w:rFonts w:ascii="Arial" w:hAnsi="Arial" w:cs="Arial"/>
                <w:sz w:val="22"/>
                <w:szCs w:val="22"/>
              </w:rPr>
              <w:t>Unique intertie identifier; must be an intertie of FROM_BAA or TO_BAA</w:t>
            </w:r>
          </w:p>
        </w:tc>
      </w:tr>
      <w:tr w:rsidR="000B47C0" w:rsidRPr="00746F54" w14:paraId="4EE06BF1" w14:textId="77777777" w:rsidTr="005477B0">
        <w:trPr>
          <w:cantSplit/>
        </w:trPr>
        <w:tc>
          <w:tcPr>
            <w:tcW w:w="0" w:type="auto"/>
            <w:tcBorders>
              <w:top w:val="single" w:sz="4" w:space="0" w:color="auto"/>
              <w:bottom w:val="single" w:sz="4" w:space="0" w:color="auto"/>
              <w:right w:val="single" w:sz="8" w:space="0" w:color="auto"/>
            </w:tcBorders>
            <w:shd w:val="clear" w:color="auto" w:fill="E2EFD9" w:themeFill="accent6" w:themeFillTint="33"/>
          </w:tcPr>
          <w:p w14:paraId="14EB3A1C" w14:textId="77777777" w:rsidR="000B47C0" w:rsidRPr="00746F54" w:rsidRDefault="000B47C0" w:rsidP="005477B0">
            <w:pPr>
              <w:pStyle w:val="Table"/>
              <w:jc w:val="left"/>
              <w:rPr>
                <w:rFonts w:ascii="Arial" w:hAnsi="Arial" w:cs="Arial"/>
                <w:sz w:val="22"/>
                <w:szCs w:val="22"/>
              </w:rPr>
            </w:pPr>
            <w:r w:rsidRPr="00746F54">
              <w:rPr>
                <w:rFonts w:ascii="Arial" w:hAnsi="Arial" w:cs="Arial"/>
                <w:sz w:val="22"/>
                <w:szCs w:val="22"/>
              </w:rPr>
              <w:t>DIRECTION (E/I)</w:t>
            </w:r>
          </w:p>
        </w:tc>
        <w:tc>
          <w:tcPr>
            <w:tcW w:w="0" w:type="auto"/>
            <w:tcBorders>
              <w:top w:val="single" w:sz="4" w:space="0" w:color="auto"/>
              <w:left w:val="single" w:sz="8" w:space="0" w:color="auto"/>
              <w:bottom w:val="single" w:sz="4" w:space="0" w:color="auto"/>
            </w:tcBorders>
          </w:tcPr>
          <w:p w14:paraId="1F20F840" w14:textId="77777777" w:rsidR="000B47C0" w:rsidRPr="00746F54" w:rsidRDefault="000B47C0" w:rsidP="005477B0">
            <w:pPr>
              <w:pStyle w:val="Table"/>
              <w:jc w:val="left"/>
              <w:rPr>
                <w:rFonts w:ascii="Arial" w:hAnsi="Arial" w:cs="Arial"/>
                <w:sz w:val="22"/>
                <w:szCs w:val="22"/>
              </w:rPr>
            </w:pPr>
            <w:r w:rsidRPr="00746F54">
              <w:rPr>
                <w:rFonts w:ascii="Arial" w:hAnsi="Arial" w:cs="Arial"/>
                <w:sz w:val="22"/>
                <w:szCs w:val="22"/>
              </w:rPr>
              <w:t>Transfer direction: export (E) from FROM_BAA or import (I) to FROM_BAA</w:t>
            </w:r>
          </w:p>
        </w:tc>
      </w:tr>
      <w:tr w:rsidR="000B47C0" w:rsidRPr="00746F54" w14:paraId="5AA9022C" w14:textId="77777777" w:rsidTr="005477B0">
        <w:trPr>
          <w:cantSplit/>
        </w:trPr>
        <w:tc>
          <w:tcPr>
            <w:tcW w:w="0" w:type="auto"/>
            <w:tcBorders>
              <w:top w:val="single" w:sz="4" w:space="0" w:color="auto"/>
              <w:bottom w:val="single" w:sz="4" w:space="0" w:color="auto"/>
              <w:right w:val="single" w:sz="8" w:space="0" w:color="auto"/>
            </w:tcBorders>
            <w:shd w:val="clear" w:color="auto" w:fill="E2EFD9" w:themeFill="accent6" w:themeFillTint="33"/>
          </w:tcPr>
          <w:p w14:paraId="1299DB57" w14:textId="77777777" w:rsidR="000B47C0" w:rsidRPr="00746F54" w:rsidRDefault="000B47C0" w:rsidP="005477B0">
            <w:pPr>
              <w:pStyle w:val="Table"/>
              <w:jc w:val="left"/>
              <w:rPr>
                <w:rFonts w:ascii="Arial" w:hAnsi="Arial" w:cs="Arial"/>
                <w:sz w:val="22"/>
                <w:szCs w:val="22"/>
              </w:rPr>
            </w:pPr>
            <w:r w:rsidRPr="00746F54">
              <w:rPr>
                <w:rFonts w:ascii="Arial" w:hAnsi="Arial" w:cs="Arial"/>
                <w:sz w:val="22"/>
                <w:szCs w:val="22"/>
              </w:rPr>
              <w:t>MATCHING_TRANSFER_LOCATION</w:t>
            </w:r>
          </w:p>
        </w:tc>
        <w:tc>
          <w:tcPr>
            <w:tcW w:w="0" w:type="auto"/>
            <w:tcBorders>
              <w:top w:val="single" w:sz="4" w:space="0" w:color="auto"/>
              <w:left w:val="single" w:sz="8" w:space="0" w:color="auto"/>
              <w:bottom w:val="single" w:sz="4" w:space="0" w:color="auto"/>
            </w:tcBorders>
          </w:tcPr>
          <w:p w14:paraId="33804377" w14:textId="77777777" w:rsidR="000B47C0" w:rsidRPr="00746F54" w:rsidRDefault="000B47C0" w:rsidP="005477B0">
            <w:pPr>
              <w:pStyle w:val="Table"/>
              <w:jc w:val="left"/>
              <w:rPr>
                <w:rFonts w:ascii="Arial" w:hAnsi="Arial" w:cs="Arial"/>
                <w:sz w:val="22"/>
                <w:szCs w:val="22"/>
              </w:rPr>
            </w:pPr>
            <w:r w:rsidRPr="00746F54">
              <w:rPr>
                <w:rFonts w:ascii="Arial" w:hAnsi="Arial" w:cs="Arial"/>
                <w:sz w:val="22"/>
                <w:szCs w:val="22"/>
              </w:rPr>
              <w:t>Unique identifier of the matching transfer location where FROM_BAA, TO_BAA, FROM_BAA_TAG, TO_BAA_TAG, and DIRECTION are reversed, and INTERTIE is the same</w:t>
            </w:r>
          </w:p>
        </w:tc>
      </w:tr>
      <w:tr w:rsidR="000B47C0" w:rsidRPr="00746F54" w14:paraId="558E1F68" w14:textId="77777777" w:rsidTr="000B47C0">
        <w:trPr>
          <w:cantSplit/>
        </w:trPr>
        <w:tc>
          <w:tcPr>
            <w:tcW w:w="0" w:type="auto"/>
            <w:tcBorders>
              <w:top w:val="single" w:sz="4" w:space="0" w:color="auto"/>
              <w:bottom w:val="single" w:sz="4" w:space="0" w:color="auto"/>
              <w:right w:val="single" w:sz="8" w:space="0" w:color="auto"/>
            </w:tcBorders>
            <w:shd w:val="clear" w:color="auto" w:fill="E2EFD9" w:themeFill="accent6" w:themeFillTint="33"/>
          </w:tcPr>
          <w:p w14:paraId="20C538F0" w14:textId="77777777" w:rsidR="000B47C0" w:rsidRPr="00746F54" w:rsidRDefault="000B47C0" w:rsidP="005477B0">
            <w:pPr>
              <w:pStyle w:val="Table"/>
              <w:jc w:val="left"/>
              <w:rPr>
                <w:rFonts w:ascii="Arial" w:hAnsi="Arial" w:cs="Arial"/>
                <w:sz w:val="22"/>
                <w:szCs w:val="22"/>
              </w:rPr>
            </w:pPr>
            <w:r w:rsidRPr="00746F54">
              <w:rPr>
                <w:rFonts w:ascii="Arial" w:hAnsi="Arial" w:cs="Arial"/>
                <w:sz w:val="22"/>
                <w:szCs w:val="22"/>
              </w:rPr>
              <w:t>FROM_BAA_TAG</w:t>
            </w:r>
            <w:r w:rsidRPr="00746F54">
              <w:rPr>
                <w:rFonts w:ascii="Arial" w:hAnsi="Arial" w:cs="Arial"/>
                <w:sz w:val="22"/>
                <w:szCs w:val="22"/>
              </w:rPr>
              <w:br/>
              <w:t>TO_BAA_TAG</w:t>
            </w:r>
          </w:p>
        </w:tc>
        <w:tc>
          <w:tcPr>
            <w:tcW w:w="0" w:type="auto"/>
            <w:tcBorders>
              <w:top w:val="single" w:sz="4" w:space="0" w:color="auto"/>
              <w:left w:val="single" w:sz="8" w:space="0" w:color="auto"/>
              <w:bottom w:val="single" w:sz="4" w:space="0" w:color="auto"/>
            </w:tcBorders>
          </w:tcPr>
          <w:p w14:paraId="492618B1" w14:textId="77777777" w:rsidR="000B47C0" w:rsidRPr="00746F54" w:rsidRDefault="000B47C0" w:rsidP="005477B0">
            <w:pPr>
              <w:pStyle w:val="Table"/>
              <w:jc w:val="left"/>
              <w:rPr>
                <w:rFonts w:ascii="Arial" w:hAnsi="Arial" w:cs="Arial"/>
                <w:sz w:val="22"/>
                <w:szCs w:val="22"/>
              </w:rPr>
            </w:pPr>
            <w:r w:rsidRPr="00746F54">
              <w:rPr>
                <w:rFonts w:ascii="Arial" w:hAnsi="Arial" w:cs="Arial"/>
                <w:sz w:val="22"/>
                <w:szCs w:val="22"/>
              </w:rPr>
              <w:t>Either FROM_BAA_TAG or TO_BAA_TAG is “Y” and the other is “N”; it identifies the primary tagging authority (EESC) that must tag the energy schedule and/or capacity award and may provide an energy schedule update in RTM via RTSI</w:t>
            </w:r>
          </w:p>
        </w:tc>
      </w:tr>
      <w:tr w:rsidR="000B47C0" w:rsidRPr="00746F54" w14:paraId="5A6637F8" w14:textId="77777777" w:rsidTr="000B47C0">
        <w:trPr>
          <w:cantSplit/>
        </w:trPr>
        <w:tc>
          <w:tcPr>
            <w:tcW w:w="0" w:type="auto"/>
            <w:tcBorders>
              <w:top w:val="single" w:sz="4" w:space="0" w:color="auto"/>
              <w:bottom w:val="single" w:sz="4" w:space="0" w:color="auto"/>
              <w:right w:val="single" w:sz="8" w:space="0" w:color="auto"/>
            </w:tcBorders>
            <w:shd w:val="clear" w:color="auto" w:fill="E2EFD9" w:themeFill="accent6" w:themeFillTint="33"/>
          </w:tcPr>
          <w:p w14:paraId="4857C235" w14:textId="77777777" w:rsidR="000B47C0" w:rsidRPr="00746F54" w:rsidRDefault="000B47C0" w:rsidP="005477B0">
            <w:pPr>
              <w:pStyle w:val="Table"/>
              <w:jc w:val="left"/>
              <w:rPr>
                <w:rFonts w:ascii="Arial" w:hAnsi="Arial" w:cs="Arial"/>
                <w:sz w:val="22"/>
                <w:szCs w:val="22"/>
              </w:rPr>
            </w:pPr>
            <w:r w:rsidRPr="00746F54">
              <w:rPr>
                <w:rFonts w:ascii="Arial" w:hAnsi="Arial" w:cs="Arial"/>
                <w:sz w:val="22"/>
                <w:szCs w:val="22"/>
              </w:rPr>
              <w:t>FROM_BAA_RDF</w:t>
            </w:r>
          </w:p>
        </w:tc>
        <w:tc>
          <w:tcPr>
            <w:tcW w:w="0" w:type="auto"/>
            <w:tcBorders>
              <w:top w:val="single" w:sz="4" w:space="0" w:color="auto"/>
              <w:left w:val="single" w:sz="8" w:space="0" w:color="auto"/>
              <w:bottom w:val="single" w:sz="4" w:space="0" w:color="auto"/>
            </w:tcBorders>
          </w:tcPr>
          <w:p w14:paraId="69C23488" w14:textId="77777777" w:rsidR="000B47C0" w:rsidRPr="00746F54" w:rsidRDefault="000B47C0" w:rsidP="000B47C0">
            <w:pPr>
              <w:spacing w:after="0"/>
              <w:rPr>
                <w:rFonts w:ascii="Arial" w:hAnsi="Arial" w:cs="Arial"/>
                <w:sz w:val="22"/>
                <w:szCs w:val="22"/>
              </w:rPr>
            </w:pPr>
            <w:r w:rsidRPr="00746F54">
              <w:rPr>
                <w:rFonts w:ascii="Arial" w:eastAsiaTheme="minorHAnsi" w:hAnsi="Arial" w:cs="Arial"/>
                <w:sz w:val="22"/>
                <w:szCs w:val="22"/>
              </w:rPr>
              <w:t xml:space="preserve">Transfer Revenue Distribution Factor </w:t>
            </w:r>
            <w:r w:rsidRPr="00746F54">
              <w:rPr>
                <w:rFonts w:ascii="Arial" w:hAnsi="Arial" w:cs="Arial"/>
                <w:sz w:val="22"/>
                <w:szCs w:val="22"/>
              </w:rPr>
              <w:t>for the From BAA in the TSR pair</w:t>
            </w:r>
            <w:r w:rsidRPr="00746F54">
              <w:rPr>
                <w:rFonts w:ascii="Arial" w:eastAsiaTheme="minorHAnsi" w:hAnsi="Arial" w:cs="Arial"/>
                <w:sz w:val="22"/>
                <w:szCs w:val="22"/>
              </w:rPr>
              <w:t>: must be between 0 and 1 and</w:t>
            </w:r>
            <w:r w:rsidRPr="00746F54">
              <w:rPr>
                <w:rFonts w:ascii="Arial" w:hAnsi="Arial" w:cs="Arial"/>
                <w:sz w:val="22"/>
                <w:szCs w:val="22"/>
              </w:rPr>
              <w:t xml:space="preserve"> FROM and TO RDF must add to 1</w:t>
            </w:r>
            <w:r w:rsidRPr="00746F54">
              <w:rPr>
                <w:rFonts w:ascii="Arial" w:eastAsiaTheme="minorHAnsi" w:hAnsi="Arial" w:cs="Arial"/>
                <w:sz w:val="22"/>
                <w:szCs w:val="22"/>
              </w:rPr>
              <w:t>. The same RDF shall apply to all TSRs at an intertie between two BAAs</w:t>
            </w:r>
          </w:p>
        </w:tc>
      </w:tr>
      <w:tr w:rsidR="000B47C0" w:rsidRPr="00746F54" w14:paraId="57E172BE" w14:textId="77777777" w:rsidTr="005477B0">
        <w:trPr>
          <w:cantSplit/>
        </w:trPr>
        <w:tc>
          <w:tcPr>
            <w:tcW w:w="0" w:type="auto"/>
            <w:tcBorders>
              <w:top w:val="single" w:sz="4" w:space="0" w:color="auto"/>
              <w:bottom w:val="single" w:sz="8" w:space="0" w:color="auto"/>
              <w:right w:val="single" w:sz="8" w:space="0" w:color="auto"/>
            </w:tcBorders>
            <w:shd w:val="clear" w:color="auto" w:fill="E2EFD9" w:themeFill="accent6" w:themeFillTint="33"/>
          </w:tcPr>
          <w:p w14:paraId="1E7E1AE2" w14:textId="77777777" w:rsidR="000B47C0" w:rsidRPr="00746F54" w:rsidRDefault="000B47C0" w:rsidP="005477B0">
            <w:pPr>
              <w:pStyle w:val="Table"/>
              <w:jc w:val="left"/>
              <w:rPr>
                <w:rFonts w:ascii="Arial" w:hAnsi="Arial" w:cs="Arial"/>
                <w:sz w:val="22"/>
                <w:szCs w:val="22"/>
              </w:rPr>
            </w:pPr>
            <w:r w:rsidRPr="00746F54">
              <w:rPr>
                <w:rFonts w:ascii="Arial" w:hAnsi="Arial" w:cs="Arial"/>
                <w:sz w:val="22"/>
                <w:szCs w:val="22"/>
              </w:rPr>
              <w:t>TO_BAA_RDF</w:t>
            </w:r>
          </w:p>
        </w:tc>
        <w:tc>
          <w:tcPr>
            <w:tcW w:w="0" w:type="auto"/>
            <w:tcBorders>
              <w:top w:val="single" w:sz="4" w:space="0" w:color="auto"/>
              <w:left w:val="single" w:sz="8" w:space="0" w:color="auto"/>
              <w:bottom w:val="single" w:sz="4" w:space="0" w:color="auto"/>
            </w:tcBorders>
          </w:tcPr>
          <w:p w14:paraId="66DA1841" w14:textId="77777777" w:rsidR="000B47C0" w:rsidRPr="00746F54" w:rsidRDefault="000B47C0" w:rsidP="005477B0">
            <w:pPr>
              <w:pStyle w:val="Table"/>
              <w:jc w:val="left"/>
              <w:rPr>
                <w:rFonts w:ascii="Arial" w:hAnsi="Arial" w:cs="Arial"/>
                <w:sz w:val="22"/>
                <w:szCs w:val="22"/>
              </w:rPr>
            </w:pPr>
            <w:r w:rsidRPr="00746F54">
              <w:rPr>
                <w:rFonts w:ascii="Arial" w:hAnsi="Arial" w:cs="Arial"/>
                <w:sz w:val="22"/>
                <w:szCs w:val="22"/>
              </w:rPr>
              <w:t>Transfer Revenue Distribution Factor for the From BAA in the TSR pair: must be between 0 and FROM and TO RDF must add to 1. The same RDF shall apply to all TSRs at an intertie between two BAAs</w:t>
            </w:r>
          </w:p>
        </w:tc>
      </w:tr>
    </w:tbl>
    <w:p w14:paraId="7EFBC9E5" w14:textId="11C9CC2C" w:rsidR="000B47C0" w:rsidRPr="00746F54" w:rsidRDefault="000B47C0" w:rsidP="000B47C0">
      <w:pPr>
        <w:pStyle w:val="Paragraph"/>
        <w:spacing w:after="120"/>
        <w:rPr>
          <w:rFonts w:ascii="Arial" w:hAnsi="Arial" w:cs="Arial"/>
          <w:sz w:val="22"/>
          <w:vertAlign w:val="superscript"/>
        </w:rPr>
      </w:pPr>
      <w:r w:rsidRPr="00746F54">
        <w:rPr>
          <w:rFonts w:ascii="Arial" w:hAnsi="Arial" w:cs="Arial"/>
          <w:sz w:val="22"/>
        </w:rPr>
        <w:t>The following table lists the various attributes and associated rules, as well as the market bids and results for each TSR type.</w:t>
      </w:r>
    </w:p>
    <w:tbl>
      <w:tblPr>
        <w:tblStyle w:val="TableGrid"/>
        <w:tblW w:w="0" w:type="auto"/>
        <w:tblBorders>
          <w:top w:val="single" w:sz="8" w:space="0" w:color="auto"/>
          <w:left w:val="single" w:sz="8" w:space="0" w:color="auto"/>
          <w:bottom w:val="single" w:sz="8" w:space="0" w:color="auto"/>
          <w:right w:val="single" w:sz="8" w:space="0" w:color="auto"/>
          <w:insideH w:val="none" w:sz="0" w:space="0" w:color="auto"/>
          <w:insideV w:val="none" w:sz="0" w:space="0" w:color="auto"/>
        </w:tblBorders>
        <w:tblLook w:val="04A0" w:firstRow="1" w:lastRow="0" w:firstColumn="1" w:lastColumn="0" w:noHBand="0" w:noVBand="1"/>
      </w:tblPr>
      <w:tblGrid>
        <w:gridCol w:w="2675"/>
        <w:gridCol w:w="1512"/>
        <w:gridCol w:w="1506"/>
        <w:gridCol w:w="2141"/>
        <w:gridCol w:w="1506"/>
      </w:tblGrid>
      <w:tr w:rsidR="000B47C0" w:rsidRPr="00746F54" w14:paraId="7EC7A4B3" w14:textId="77777777" w:rsidTr="005477B0">
        <w:trPr>
          <w:cantSplit/>
          <w:tblHeader/>
        </w:trPr>
        <w:tc>
          <w:tcPr>
            <w:tcW w:w="0" w:type="auto"/>
            <w:tcBorders>
              <w:top w:val="single" w:sz="8" w:space="0" w:color="auto"/>
              <w:bottom w:val="single" w:sz="8" w:space="0" w:color="auto"/>
              <w:right w:val="single" w:sz="8" w:space="0" w:color="auto"/>
            </w:tcBorders>
            <w:shd w:val="clear" w:color="auto" w:fill="D5DCE4" w:themeFill="text2" w:themeFillTint="33"/>
          </w:tcPr>
          <w:p w14:paraId="1C7D6575" w14:textId="77777777" w:rsidR="000B47C0" w:rsidRPr="00746F54" w:rsidRDefault="000B47C0" w:rsidP="005477B0">
            <w:pPr>
              <w:pStyle w:val="Table"/>
              <w:rPr>
                <w:rFonts w:ascii="Arial" w:hAnsi="Arial" w:cs="Arial"/>
                <w:b/>
                <w:sz w:val="22"/>
                <w:szCs w:val="22"/>
              </w:rPr>
            </w:pPr>
            <w:r w:rsidRPr="00746F54">
              <w:rPr>
                <w:rFonts w:ascii="Arial" w:hAnsi="Arial" w:cs="Arial"/>
                <w:b/>
                <w:sz w:val="22"/>
                <w:szCs w:val="22"/>
              </w:rPr>
              <w:t>Attribute</w:t>
            </w:r>
          </w:p>
        </w:tc>
        <w:tc>
          <w:tcPr>
            <w:tcW w:w="0" w:type="auto"/>
            <w:tcBorders>
              <w:top w:val="single" w:sz="8" w:space="0" w:color="auto"/>
              <w:left w:val="single" w:sz="8" w:space="0" w:color="auto"/>
              <w:bottom w:val="single" w:sz="8" w:space="0" w:color="auto"/>
              <w:right w:val="single" w:sz="4" w:space="0" w:color="auto"/>
            </w:tcBorders>
            <w:shd w:val="clear" w:color="auto" w:fill="D5DCE4" w:themeFill="text2" w:themeFillTint="33"/>
          </w:tcPr>
          <w:p w14:paraId="11A9F85F" w14:textId="77777777" w:rsidR="000B47C0" w:rsidRPr="00746F54" w:rsidRDefault="000B47C0" w:rsidP="005477B0">
            <w:pPr>
              <w:pStyle w:val="Table"/>
              <w:rPr>
                <w:rFonts w:ascii="Arial" w:hAnsi="Arial" w:cs="Arial"/>
                <w:b/>
                <w:sz w:val="22"/>
                <w:szCs w:val="22"/>
              </w:rPr>
            </w:pPr>
            <w:r w:rsidRPr="00746F54">
              <w:rPr>
                <w:rFonts w:ascii="Arial" w:hAnsi="Arial" w:cs="Arial"/>
                <w:b/>
                <w:sz w:val="22"/>
                <w:szCs w:val="22"/>
              </w:rPr>
              <w:t>Type 1</w:t>
            </w:r>
          </w:p>
        </w:tc>
        <w:tc>
          <w:tcPr>
            <w:tcW w:w="0" w:type="auto"/>
            <w:tcBorders>
              <w:top w:val="single" w:sz="8" w:space="0" w:color="auto"/>
              <w:left w:val="single" w:sz="4" w:space="0" w:color="auto"/>
              <w:bottom w:val="single" w:sz="8" w:space="0" w:color="auto"/>
              <w:right w:val="single" w:sz="4" w:space="0" w:color="auto"/>
            </w:tcBorders>
            <w:shd w:val="clear" w:color="auto" w:fill="D5DCE4" w:themeFill="text2" w:themeFillTint="33"/>
          </w:tcPr>
          <w:p w14:paraId="40AA1733" w14:textId="77777777" w:rsidR="000B47C0" w:rsidRPr="00746F54" w:rsidRDefault="000B47C0" w:rsidP="005477B0">
            <w:pPr>
              <w:pStyle w:val="Table"/>
              <w:rPr>
                <w:rFonts w:ascii="Arial" w:hAnsi="Arial" w:cs="Arial"/>
                <w:b/>
                <w:sz w:val="22"/>
                <w:szCs w:val="22"/>
              </w:rPr>
            </w:pPr>
            <w:r w:rsidRPr="00746F54">
              <w:rPr>
                <w:rFonts w:ascii="Arial" w:hAnsi="Arial" w:cs="Arial"/>
                <w:b/>
                <w:sz w:val="22"/>
                <w:szCs w:val="22"/>
              </w:rPr>
              <w:t>Type 2</w:t>
            </w:r>
          </w:p>
        </w:tc>
        <w:tc>
          <w:tcPr>
            <w:tcW w:w="0" w:type="auto"/>
            <w:tcBorders>
              <w:top w:val="single" w:sz="8" w:space="0" w:color="auto"/>
              <w:left w:val="single" w:sz="4" w:space="0" w:color="auto"/>
              <w:bottom w:val="single" w:sz="8" w:space="0" w:color="auto"/>
              <w:right w:val="single" w:sz="4" w:space="0" w:color="auto"/>
            </w:tcBorders>
            <w:shd w:val="clear" w:color="auto" w:fill="D5DCE4" w:themeFill="text2" w:themeFillTint="33"/>
          </w:tcPr>
          <w:p w14:paraId="5848CC54" w14:textId="77777777" w:rsidR="000B47C0" w:rsidRPr="00746F54" w:rsidRDefault="000B47C0" w:rsidP="005477B0">
            <w:pPr>
              <w:pStyle w:val="Table"/>
              <w:rPr>
                <w:rFonts w:ascii="Arial" w:hAnsi="Arial" w:cs="Arial"/>
                <w:b/>
                <w:sz w:val="22"/>
                <w:szCs w:val="22"/>
              </w:rPr>
            </w:pPr>
            <w:r w:rsidRPr="00746F54">
              <w:rPr>
                <w:rFonts w:ascii="Arial" w:hAnsi="Arial" w:cs="Arial"/>
                <w:b/>
                <w:sz w:val="22"/>
                <w:szCs w:val="22"/>
              </w:rPr>
              <w:t>Type 3</w:t>
            </w:r>
          </w:p>
        </w:tc>
        <w:tc>
          <w:tcPr>
            <w:tcW w:w="0" w:type="auto"/>
            <w:tcBorders>
              <w:top w:val="single" w:sz="8" w:space="0" w:color="auto"/>
              <w:left w:val="single" w:sz="4" w:space="0" w:color="auto"/>
              <w:bottom w:val="single" w:sz="8" w:space="0" w:color="auto"/>
            </w:tcBorders>
            <w:shd w:val="clear" w:color="auto" w:fill="D5DCE4" w:themeFill="text2" w:themeFillTint="33"/>
          </w:tcPr>
          <w:p w14:paraId="7BD39352" w14:textId="77777777" w:rsidR="000B47C0" w:rsidRPr="00746F54" w:rsidRDefault="000B47C0" w:rsidP="005477B0">
            <w:pPr>
              <w:pStyle w:val="Table"/>
              <w:rPr>
                <w:rFonts w:ascii="Arial" w:hAnsi="Arial" w:cs="Arial"/>
                <w:b/>
                <w:sz w:val="22"/>
                <w:szCs w:val="22"/>
              </w:rPr>
            </w:pPr>
            <w:r w:rsidRPr="00746F54">
              <w:rPr>
                <w:rFonts w:ascii="Arial" w:hAnsi="Arial" w:cs="Arial"/>
                <w:b/>
                <w:sz w:val="22"/>
                <w:szCs w:val="22"/>
              </w:rPr>
              <w:t>Type 4</w:t>
            </w:r>
          </w:p>
        </w:tc>
      </w:tr>
      <w:tr w:rsidR="000B47C0" w:rsidRPr="00746F54" w14:paraId="6D1A0911" w14:textId="77777777" w:rsidTr="005477B0">
        <w:trPr>
          <w:cantSplit/>
        </w:trPr>
        <w:tc>
          <w:tcPr>
            <w:tcW w:w="0" w:type="auto"/>
            <w:tcBorders>
              <w:top w:val="single" w:sz="8" w:space="0" w:color="auto"/>
              <w:bottom w:val="single" w:sz="4" w:space="0" w:color="auto"/>
              <w:right w:val="single" w:sz="8" w:space="0" w:color="auto"/>
            </w:tcBorders>
            <w:shd w:val="clear" w:color="auto" w:fill="E2EFD9" w:themeFill="accent6" w:themeFillTint="33"/>
          </w:tcPr>
          <w:p w14:paraId="4C06673B" w14:textId="77777777" w:rsidR="000B47C0" w:rsidRPr="00746F54" w:rsidRDefault="000B47C0" w:rsidP="005477B0">
            <w:pPr>
              <w:pStyle w:val="Table"/>
              <w:jc w:val="left"/>
              <w:rPr>
                <w:rFonts w:ascii="Arial" w:hAnsi="Arial" w:cs="Arial"/>
                <w:sz w:val="22"/>
                <w:szCs w:val="22"/>
              </w:rPr>
            </w:pPr>
            <w:r w:rsidRPr="00746F54">
              <w:rPr>
                <w:rFonts w:ascii="Arial" w:hAnsi="Arial" w:cs="Arial"/>
                <w:sz w:val="22"/>
                <w:szCs w:val="22"/>
              </w:rPr>
              <w:t>RES_ID</w:t>
            </w:r>
          </w:p>
        </w:tc>
        <w:tc>
          <w:tcPr>
            <w:tcW w:w="0" w:type="auto"/>
            <w:gridSpan w:val="4"/>
            <w:tcBorders>
              <w:top w:val="single" w:sz="8" w:space="0" w:color="auto"/>
              <w:left w:val="single" w:sz="8" w:space="0" w:color="auto"/>
              <w:bottom w:val="single" w:sz="4" w:space="0" w:color="auto"/>
            </w:tcBorders>
          </w:tcPr>
          <w:p w14:paraId="2CB3142F" w14:textId="73CBDCFF" w:rsidR="000B47C0" w:rsidRPr="00746F54" w:rsidRDefault="000B47C0" w:rsidP="005477B0">
            <w:pPr>
              <w:pStyle w:val="Table"/>
              <w:jc w:val="left"/>
              <w:rPr>
                <w:rFonts w:ascii="Arial" w:hAnsi="Arial" w:cs="Arial"/>
                <w:sz w:val="22"/>
                <w:szCs w:val="22"/>
              </w:rPr>
            </w:pPr>
            <w:r w:rsidRPr="00746F54">
              <w:rPr>
                <w:rFonts w:ascii="Arial" w:hAnsi="Arial" w:cs="Arial"/>
                <w:sz w:val="22"/>
                <w:szCs w:val="22"/>
              </w:rPr>
              <w:t>Unique TSR identifier: SC_ID-FROM_BAA-TO_BAA-INTERTIE-DIRECTION-TSR_TYPE-nn, where ‘nn’ is an alphanumeric identifier to distinguish otherwise similar TSRs</w:t>
            </w:r>
          </w:p>
        </w:tc>
      </w:tr>
      <w:tr w:rsidR="000B47C0" w:rsidRPr="00746F54" w14:paraId="28A6B9CE" w14:textId="77777777" w:rsidTr="005477B0">
        <w:trPr>
          <w:cantSplit/>
        </w:trPr>
        <w:tc>
          <w:tcPr>
            <w:tcW w:w="0" w:type="auto"/>
            <w:tcBorders>
              <w:top w:val="single" w:sz="4" w:space="0" w:color="auto"/>
              <w:bottom w:val="single" w:sz="4" w:space="0" w:color="auto"/>
              <w:right w:val="single" w:sz="8" w:space="0" w:color="auto"/>
            </w:tcBorders>
            <w:shd w:val="clear" w:color="auto" w:fill="E2EFD9" w:themeFill="accent6" w:themeFillTint="33"/>
          </w:tcPr>
          <w:p w14:paraId="1ADAC1A5" w14:textId="77777777" w:rsidR="000B47C0" w:rsidRPr="00746F54" w:rsidRDefault="000B47C0" w:rsidP="005477B0">
            <w:pPr>
              <w:pStyle w:val="Table"/>
              <w:jc w:val="left"/>
              <w:rPr>
                <w:rFonts w:ascii="Arial" w:hAnsi="Arial" w:cs="Arial"/>
                <w:sz w:val="22"/>
                <w:szCs w:val="22"/>
              </w:rPr>
            </w:pPr>
            <w:r w:rsidRPr="00746F54">
              <w:rPr>
                <w:rFonts w:ascii="Arial" w:hAnsi="Arial" w:cs="Arial"/>
                <w:sz w:val="22"/>
                <w:szCs w:val="22"/>
              </w:rPr>
              <w:t>SC_ID</w:t>
            </w:r>
          </w:p>
        </w:tc>
        <w:tc>
          <w:tcPr>
            <w:tcW w:w="0" w:type="auto"/>
            <w:gridSpan w:val="2"/>
            <w:tcBorders>
              <w:top w:val="single" w:sz="4" w:space="0" w:color="auto"/>
              <w:left w:val="single" w:sz="8" w:space="0" w:color="auto"/>
              <w:bottom w:val="single" w:sz="4" w:space="0" w:color="auto"/>
              <w:right w:val="single" w:sz="4" w:space="0" w:color="auto"/>
            </w:tcBorders>
          </w:tcPr>
          <w:p w14:paraId="5543A324" w14:textId="77777777" w:rsidR="000B47C0" w:rsidRPr="00746F54" w:rsidRDefault="000B47C0" w:rsidP="005477B0">
            <w:pPr>
              <w:pStyle w:val="Table"/>
              <w:jc w:val="left"/>
              <w:rPr>
                <w:rFonts w:ascii="Arial" w:hAnsi="Arial" w:cs="Arial"/>
                <w:sz w:val="22"/>
                <w:szCs w:val="22"/>
              </w:rPr>
            </w:pPr>
            <w:r w:rsidRPr="00746F54">
              <w:rPr>
                <w:rFonts w:ascii="Arial" w:hAnsi="Arial" w:cs="Arial"/>
                <w:sz w:val="22"/>
                <w:szCs w:val="22"/>
              </w:rPr>
              <w:t>TCSC or “CISO”</w:t>
            </w:r>
          </w:p>
        </w:tc>
        <w:tc>
          <w:tcPr>
            <w:tcW w:w="0" w:type="auto"/>
            <w:gridSpan w:val="2"/>
            <w:tcBorders>
              <w:top w:val="single" w:sz="4" w:space="0" w:color="auto"/>
              <w:left w:val="single" w:sz="4" w:space="0" w:color="auto"/>
              <w:bottom w:val="single" w:sz="4" w:space="0" w:color="auto"/>
            </w:tcBorders>
          </w:tcPr>
          <w:p w14:paraId="1ED691DE" w14:textId="77777777" w:rsidR="000B47C0" w:rsidRPr="00746F54" w:rsidRDefault="000B47C0" w:rsidP="005477B0">
            <w:pPr>
              <w:pStyle w:val="Table"/>
              <w:jc w:val="left"/>
              <w:rPr>
                <w:rFonts w:ascii="Arial" w:hAnsi="Arial" w:cs="Arial"/>
                <w:sz w:val="22"/>
                <w:szCs w:val="22"/>
              </w:rPr>
            </w:pPr>
            <w:r w:rsidRPr="00746F54">
              <w:rPr>
                <w:rFonts w:ascii="Arial" w:hAnsi="Arial" w:cs="Arial"/>
                <w:sz w:val="22"/>
                <w:szCs w:val="22"/>
              </w:rPr>
              <w:t>EESC of FROM_BAA</w:t>
            </w:r>
          </w:p>
        </w:tc>
      </w:tr>
      <w:tr w:rsidR="000B47C0" w:rsidRPr="00746F54" w14:paraId="7A15ED2F" w14:textId="77777777" w:rsidTr="005477B0">
        <w:trPr>
          <w:cantSplit/>
        </w:trPr>
        <w:tc>
          <w:tcPr>
            <w:tcW w:w="0" w:type="auto"/>
            <w:tcBorders>
              <w:top w:val="single" w:sz="4" w:space="0" w:color="auto"/>
              <w:bottom w:val="single" w:sz="4" w:space="0" w:color="auto"/>
              <w:right w:val="single" w:sz="8" w:space="0" w:color="auto"/>
            </w:tcBorders>
            <w:shd w:val="clear" w:color="auto" w:fill="E2EFD9" w:themeFill="accent6" w:themeFillTint="33"/>
          </w:tcPr>
          <w:p w14:paraId="1F32EA9B" w14:textId="77777777" w:rsidR="000B47C0" w:rsidRPr="00746F54" w:rsidRDefault="000B47C0" w:rsidP="005477B0">
            <w:pPr>
              <w:pStyle w:val="Table"/>
              <w:jc w:val="left"/>
              <w:rPr>
                <w:rFonts w:ascii="Arial" w:hAnsi="Arial" w:cs="Arial"/>
                <w:sz w:val="22"/>
                <w:szCs w:val="22"/>
              </w:rPr>
            </w:pPr>
            <w:r w:rsidRPr="00746F54">
              <w:rPr>
                <w:rFonts w:ascii="Arial" w:hAnsi="Arial" w:cs="Arial"/>
                <w:sz w:val="22"/>
                <w:szCs w:val="22"/>
              </w:rPr>
              <w:t>TRANSFER_LOCATION</w:t>
            </w:r>
          </w:p>
        </w:tc>
        <w:tc>
          <w:tcPr>
            <w:tcW w:w="0" w:type="auto"/>
            <w:gridSpan w:val="4"/>
            <w:tcBorders>
              <w:top w:val="single" w:sz="4" w:space="0" w:color="auto"/>
              <w:left w:val="single" w:sz="8" w:space="0" w:color="auto"/>
              <w:bottom w:val="single" w:sz="4" w:space="0" w:color="auto"/>
            </w:tcBorders>
          </w:tcPr>
          <w:p w14:paraId="7F5EFCD1" w14:textId="6EEA0F48" w:rsidR="000B47C0" w:rsidRPr="00746F54" w:rsidRDefault="000B47C0" w:rsidP="005477B0">
            <w:pPr>
              <w:pStyle w:val="Table"/>
              <w:jc w:val="left"/>
              <w:rPr>
                <w:rFonts w:ascii="Arial" w:hAnsi="Arial" w:cs="Arial"/>
                <w:sz w:val="22"/>
                <w:szCs w:val="22"/>
              </w:rPr>
            </w:pPr>
            <w:r w:rsidRPr="00746F54">
              <w:rPr>
                <w:rFonts w:ascii="Arial" w:hAnsi="Arial" w:cs="Arial"/>
                <w:sz w:val="22"/>
                <w:szCs w:val="22"/>
              </w:rPr>
              <w:t>Unique transfer location identifier: FROM_BAA-TO_BAA-INTERTIE-DIRECTION</w:t>
            </w:r>
          </w:p>
        </w:tc>
      </w:tr>
      <w:tr w:rsidR="000B47C0" w:rsidRPr="00746F54" w14:paraId="39813FE2" w14:textId="77777777" w:rsidTr="005477B0">
        <w:trPr>
          <w:cantSplit/>
        </w:trPr>
        <w:tc>
          <w:tcPr>
            <w:tcW w:w="0" w:type="auto"/>
            <w:tcBorders>
              <w:top w:val="single" w:sz="4" w:space="0" w:color="auto"/>
              <w:bottom w:val="single" w:sz="4" w:space="0" w:color="auto"/>
              <w:right w:val="single" w:sz="8" w:space="0" w:color="auto"/>
            </w:tcBorders>
            <w:shd w:val="clear" w:color="auto" w:fill="E2EFD9" w:themeFill="accent6" w:themeFillTint="33"/>
          </w:tcPr>
          <w:p w14:paraId="36392FAB" w14:textId="77777777" w:rsidR="000B47C0" w:rsidRPr="00746F54" w:rsidRDefault="000B47C0" w:rsidP="005477B0">
            <w:pPr>
              <w:pStyle w:val="Table"/>
              <w:jc w:val="left"/>
              <w:rPr>
                <w:rFonts w:ascii="Arial" w:hAnsi="Arial" w:cs="Arial"/>
                <w:sz w:val="22"/>
                <w:szCs w:val="22"/>
              </w:rPr>
            </w:pPr>
            <w:r w:rsidRPr="00746F54">
              <w:rPr>
                <w:rFonts w:ascii="Arial" w:hAnsi="Arial" w:cs="Arial"/>
                <w:sz w:val="22"/>
                <w:szCs w:val="22"/>
              </w:rPr>
              <w:t>TSR_TYPE</w:t>
            </w:r>
          </w:p>
        </w:tc>
        <w:tc>
          <w:tcPr>
            <w:tcW w:w="0" w:type="auto"/>
            <w:tcBorders>
              <w:top w:val="single" w:sz="4" w:space="0" w:color="auto"/>
              <w:left w:val="single" w:sz="8" w:space="0" w:color="auto"/>
              <w:bottom w:val="single" w:sz="4" w:space="0" w:color="auto"/>
              <w:right w:val="single" w:sz="4" w:space="0" w:color="auto"/>
            </w:tcBorders>
          </w:tcPr>
          <w:p w14:paraId="4AE675E2" w14:textId="77777777" w:rsidR="000B47C0" w:rsidRPr="00746F54" w:rsidRDefault="000B47C0" w:rsidP="005477B0">
            <w:pPr>
              <w:pStyle w:val="Table"/>
              <w:jc w:val="left"/>
              <w:rPr>
                <w:rFonts w:ascii="Arial" w:hAnsi="Arial" w:cs="Arial"/>
                <w:sz w:val="22"/>
                <w:szCs w:val="22"/>
              </w:rPr>
            </w:pPr>
            <w:r w:rsidRPr="00746F54">
              <w:rPr>
                <w:rFonts w:ascii="Arial" w:hAnsi="Arial" w:cs="Arial"/>
                <w:sz w:val="22"/>
                <w:szCs w:val="22"/>
              </w:rPr>
              <w:t>1</w:t>
            </w:r>
          </w:p>
        </w:tc>
        <w:tc>
          <w:tcPr>
            <w:tcW w:w="0" w:type="auto"/>
            <w:tcBorders>
              <w:top w:val="single" w:sz="4" w:space="0" w:color="auto"/>
              <w:left w:val="single" w:sz="4" w:space="0" w:color="auto"/>
              <w:bottom w:val="single" w:sz="4" w:space="0" w:color="auto"/>
              <w:right w:val="single" w:sz="4" w:space="0" w:color="auto"/>
            </w:tcBorders>
          </w:tcPr>
          <w:p w14:paraId="064532E0" w14:textId="77777777" w:rsidR="000B47C0" w:rsidRPr="00746F54" w:rsidRDefault="000B47C0" w:rsidP="005477B0">
            <w:pPr>
              <w:pStyle w:val="Table"/>
              <w:jc w:val="left"/>
              <w:rPr>
                <w:rFonts w:ascii="Arial" w:hAnsi="Arial" w:cs="Arial"/>
                <w:sz w:val="22"/>
                <w:szCs w:val="22"/>
              </w:rPr>
            </w:pPr>
            <w:r w:rsidRPr="00746F54">
              <w:rPr>
                <w:rFonts w:ascii="Arial" w:hAnsi="Arial" w:cs="Arial"/>
                <w:sz w:val="22"/>
                <w:szCs w:val="22"/>
              </w:rPr>
              <w:t>2</w:t>
            </w:r>
          </w:p>
        </w:tc>
        <w:tc>
          <w:tcPr>
            <w:tcW w:w="0" w:type="auto"/>
            <w:tcBorders>
              <w:top w:val="single" w:sz="4" w:space="0" w:color="auto"/>
              <w:left w:val="single" w:sz="4" w:space="0" w:color="auto"/>
              <w:bottom w:val="single" w:sz="4" w:space="0" w:color="auto"/>
              <w:right w:val="single" w:sz="4" w:space="0" w:color="auto"/>
            </w:tcBorders>
          </w:tcPr>
          <w:p w14:paraId="27BD71B3" w14:textId="77777777" w:rsidR="000B47C0" w:rsidRPr="00746F54" w:rsidRDefault="000B47C0" w:rsidP="005477B0">
            <w:pPr>
              <w:pStyle w:val="Table"/>
              <w:jc w:val="left"/>
              <w:rPr>
                <w:rFonts w:ascii="Arial" w:hAnsi="Arial" w:cs="Arial"/>
                <w:sz w:val="22"/>
                <w:szCs w:val="22"/>
              </w:rPr>
            </w:pPr>
            <w:r w:rsidRPr="00746F54">
              <w:rPr>
                <w:rFonts w:ascii="Arial" w:hAnsi="Arial" w:cs="Arial"/>
                <w:sz w:val="22"/>
                <w:szCs w:val="22"/>
              </w:rPr>
              <w:t>3</w:t>
            </w:r>
          </w:p>
        </w:tc>
        <w:tc>
          <w:tcPr>
            <w:tcW w:w="0" w:type="auto"/>
            <w:tcBorders>
              <w:top w:val="single" w:sz="4" w:space="0" w:color="auto"/>
              <w:left w:val="single" w:sz="4" w:space="0" w:color="auto"/>
              <w:bottom w:val="single" w:sz="4" w:space="0" w:color="auto"/>
            </w:tcBorders>
          </w:tcPr>
          <w:p w14:paraId="29BFADF4" w14:textId="77777777" w:rsidR="000B47C0" w:rsidRPr="00746F54" w:rsidRDefault="000B47C0" w:rsidP="005477B0">
            <w:pPr>
              <w:pStyle w:val="Table"/>
              <w:jc w:val="left"/>
              <w:rPr>
                <w:rFonts w:ascii="Arial" w:hAnsi="Arial" w:cs="Arial"/>
                <w:sz w:val="22"/>
                <w:szCs w:val="22"/>
              </w:rPr>
            </w:pPr>
            <w:r w:rsidRPr="00746F54">
              <w:rPr>
                <w:rFonts w:ascii="Arial" w:hAnsi="Arial" w:cs="Arial"/>
                <w:sz w:val="22"/>
                <w:szCs w:val="22"/>
              </w:rPr>
              <w:t>4</w:t>
            </w:r>
          </w:p>
        </w:tc>
      </w:tr>
      <w:tr w:rsidR="000B47C0" w:rsidRPr="00746F54" w14:paraId="4F4987D8" w14:textId="77777777" w:rsidTr="005477B0">
        <w:trPr>
          <w:cantSplit/>
        </w:trPr>
        <w:tc>
          <w:tcPr>
            <w:tcW w:w="0" w:type="auto"/>
            <w:tcBorders>
              <w:top w:val="single" w:sz="4" w:space="0" w:color="auto"/>
              <w:bottom w:val="single" w:sz="4" w:space="0" w:color="auto"/>
              <w:right w:val="single" w:sz="8" w:space="0" w:color="auto"/>
            </w:tcBorders>
            <w:shd w:val="clear" w:color="auto" w:fill="E2EFD9" w:themeFill="accent6" w:themeFillTint="33"/>
          </w:tcPr>
          <w:p w14:paraId="2E7C9D91" w14:textId="77777777" w:rsidR="000B47C0" w:rsidRPr="00746F54" w:rsidRDefault="000B47C0" w:rsidP="005477B0">
            <w:pPr>
              <w:pStyle w:val="Table"/>
              <w:jc w:val="left"/>
              <w:rPr>
                <w:rFonts w:ascii="Arial" w:hAnsi="Arial" w:cs="Arial"/>
                <w:sz w:val="22"/>
                <w:szCs w:val="22"/>
              </w:rPr>
            </w:pPr>
            <w:r w:rsidRPr="00746F54">
              <w:rPr>
                <w:rFonts w:ascii="Arial" w:hAnsi="Arial" w:cs="Arial"/>
                <w:sz w:val="22"/>
                <w:szCs w:val="22"/>
              </w:rPr>
              <w:t>RSE_ELIGIBILITY</w:t>
            </w:r>
          </w:p>
        </w:tc>
        <w:tc>
          <w:tcPr>
            <w:tcW w:w="0" w:type="auto"/>
            <w:tcBorders>
              <w:top w:val="single" w:sz="4" w:space="0" w:color="auto"/>
              <w:left w:val="single" w:sz="8" w:space="0" w:color="auto"/>
              <w:bottom w:val="single" w:sz="4" w:space="0" w:color="auto"/>
              <w:right w:val="single" w:sz="4" w:space="0" w:color="auto"/>
            </w:tcBorders>
          </w:tcPr>
          <w:p w14:paraId="7DB57CB1" w14:textId="77777777" w:rsidR="000B47C0" w:rsidRPr="00746F54" w:rsidRDefault="000B47C0" w:rsidP="005477B0">
            <w:pPr>
              <w:pStyle w:val="Table"/>
              <w:jc w:val="left"/>
              <w:rPr>
                <w:rFonts w:ascii="Arial" w:hAnsi="Arial" w:cs="Arial"/>
                <w:sz w:val="22"/>
                <w:szCs w:val="22"/>
              </w:rPr>
            </w:pPr>
            <w:r w:rsidRPr="00746F54">
              <w:rPr>
                <w:rFonts w:ascii="Arial" w:hAnsi="Arial" w:cs="Arial"/>
                <w:sz w:val="22"/>
                <w:szCs w:val="22"/>
              </w:rPr>
              <w:t>Y</w:t>
            </w:r>
          </w:p>
        </w:tc>
        <w:tc>
          <w:tcPr>
            <w:tcW w:w="0" w:type="auto"/>
            <w:tcBorders>
              <w:top w:val="single" w:sz="4" w:space="0" w:color="auto"/>
              <w:left w:val="single" w:sz="4" w:space="0" w:color="auto"/>
              <w:bottom w:val="single" w:sz="4" w:space="0" w:color="auto"/>
              <w:right w:val="single" w:sz="4" w:space="0" w:color="auto"/>
            </w:tcBorders>
          </w:tcPr>
          <w:p w14:paraId="367D9B45" w14:textId="77777777" w:rsidR="000B47C0" w:rsidRPr="00746F54" w:rsidRDefault="000B47C0" w:rsidP="005477B0">
            <w:pPr>
              <w:pStyle w:val="Table"/>
              <w:jc w:val="left"/>
              <w:rPr>
                <w:rFonts w:ascii="Arial" w:hAnsi="Arial" w:cs="Arial"/>
                <w:sz w:val="22"/>
                <w:szCs w:val="22"/>
              </w:rPr>
            </w:pPr>
            <w:r w:rsidRPr="00746F54">
              <w:rPr>
                <w:rFonts w:ascii="Arial" w:hAnsi="Arial" w:cs="Arial"/>
                <w:sz w:val="22"/>
                <w:szCs w:val="22"/>
              </w:rPr>
              <w:t>N</w:t>
            </w:r>
          </w:p>
        </w:tc>
        <w:tc>
          <w:tcPr>
            <w:tcW w:w="0" w:type="auto"/>
            <w:tcBorders>
              <w:top w:val="single" w:sz="4" w:space="0" w:color="auto"/>
              <w:left w:val="single" w:sz="4" w:space="0" w:color="auto"/>
              <w:bottom w:val="single" w:sz="4" w:space="0" w:color="auto"/>
              <w:right w:val="single" w:sz="4" w:space="0" w:color="auto"/>
            </w:tcBorders>
          </w:tcPr>
          <w:p w14:paraId="0BBA8168" w14:textId="77777777" w:rsidR="000B47C0" w:rsidRPr="00746F54" w:rsidRDefault="000B47C0" w:rsidP="005477B0">
            <w:pPr>
              <w:pStyle w:val="Table"/>
              <w:jc w:val="left"/>
              <w:rPr>
                <w:rFonts w:ascii="Arial" w:hAnsi="Arial" w:cs="Arial"/>
                <w:sz w:val="22"/>
                <w:szCs w:val="22"/>
              </w:rPr>
            </w:pPr>
            <w:r w:rsidRPr="00746F54">
              <w:rPr>
                <w:rFonts w:ascii="Arial" w:hAnsi="Arial" w:cs="Arial"/>
                <w:sz w:val="22"/>
                <w:szCs w:val="22"/>
              </w:rPr>
              <w:t>Y</w:t>
            </w:r>
          </w:p>
        </w:tc>
        <w:tc>
          <w:tcPr>
            <w:tcW w:w="0" w:type="auto"/>
            <w:tcBorders>
              <w:top w:val="single" w:sz="4" w:space="0" w:color="auto"/>
              <w:left w:val="single" w:sz="4" w:space="0" w:color="auto"/>
              <w:bottom w:val="single" w:sz="4" w:space="0" w:color="auto"/>
            </w:tcBorders>
          </w:tcPr>
          <w:p w14:paraId="0D03365F" w14:textId="77777777" w:rsidR="000B47C0" w:rsidRPr="00746F54" w:rsidRDefault="000B47C0" w:rsidP="005477B0">
            <w:pPr>
              <w:pStyle w:val="Table"/>
              <w:jc w:val="left"/>
              <w:rPr>
                <w:rFonts w:ascii="Arial" w:hAnsi="Arial" w:cs="Arial"/>
                <w:sz w:val="22"/>
                <w:szCs w:val="22"/>
              </w:rPr>
            </w:pPr>
            <w:r w:rsidRPr="00746F54">
              <w:rPr>
                <w:rFonts w:ascii="Arial" w:hAnsi="Arial" w:cs="Arial"/>
                <w:sz w:val="22"/>
                <w:szCs w:val="22"/>
              </w:rPr>
              <w:t>N</w:t>
            </w:r>
          </w:p>
        </w:tc>
      </w:tr>
      <w:tr w:rsidR="000B47C0" w:rsidRPr="00746F54" w14:paraId="4A1D0924" w14:textId="77777777" w:rsidTr="005477B0">
        <w:trPr>
          <w:cantSplit/>
        </w:trPr>
        <w:tc>
          <w:tcPr>
            <w:tcW w:w="0" w:type="auto"/>
            <w:tcBorders>
              <w:top w:val="single" w:sz="4" w:space="0" w:color="auto"/>
              <w:bottom w:val="single" w:sz="4" w:space="0" w:color="auto"/>
              <w:right w:val="single" w:sz="8" w:space="0" w:color="auto"/>
            </w:tcBorders>
            <w:shd w:val="clear" w:color="auto" w:fill="E2EFD9" w:themeFill="accent6" w:themeFillTint="33"/>
          </w:tcPr>
          <w:p w14:paraId="52ED3F30" w14:textId="77777777" w:rsidR="000B47C0" w:rsidRPr="00746F54" w:rsidRDefault="000B47C0" w:rsidP="005477B0">
            <w:pPr>
              <w:pStyle w:val="Table"/>
              <w:jc w:val="left"/>
              <w:rPr>
                <w:rFonts w:ascii="Arial" w:hAnsi="Arial" w:cs="Arial"/>
                <w:sz w:val="22"/>
                <w:szCs w:val="22"/>
              </w:rPr>
            </w:pPr>
            <w:r w:rsidRPr="00746F54">
              <w:rPr>
                <w:rFonts w:ascii="Arial" w:hAnsi="Arial" w:cs="Arial"/>
                <w:sz w:val="22"/>
                <w:szCs w:val="22"/>
              </w:rPr>
              <w:t>CRN_ID</w:t>
            </w:r>
          </w:p>
        </w:tc>
        <w:tc>
          <w:tcPr>
            <w:tcW w:w="0" w:type="auto"/>
            <w:gridSpan w:val="2"/>
            <w:tcBorders>
              <w:top w:val="single" w:sz="4" w:space="0" w:color="auto"/>
              <w:left w:val="single" w:sz="8" w:space="0" w:color="auto"/>
              <w:bottom w:val="single" w:sz="4" w:space="0" w:color="auto"/>
            </w:tcBorders>
          </w:tcPr>
          <w:p w14:paraId="729DE67B" w14:textId="77777777" w:rsidR="000B47C0" w:rsidRPr="00746F54" w:rsidRDefault="000B47C0" w:rsidP="005477B0">
            <w:pPr>
              <w:pStyle w:val="Table"/>
              <w:jc w:val="left"/>
              <w:rPr>
                <w:rFonts w:ascii="Arial" w:hAnsi="Arial" w:cs="Arial"/>
                <w:sz w:val="22"/>
                <w:szCs w:val="22"/>
              </w:rPr>
            </w:pPr>
            <w:r w:rsidRPr="00746F54">
              <w:rPr>
                <w:rFonts w:ascii="Arial" w:hAnsi="Arial" w:cs="Arial"/>
                <w:sz w:val="22"/>
                <w:szCs w:val="22"/>
              </w:rPr>
              <w:t>Unique registered CRN identifier or “NONE”</w:t>
            </w:r>
          </w:p>
        </w:tc>
        <w:tc>
          <w:tcPr>
            <w:tcW w:w="0" w:type="auto"/>
            <w:gridSpan w:val="2"/>
            <w:tcBorders>
              <w:top w:val="single" w:sz="4" w:space="0" w:color="auto"/>
              <w:left w:val="single" w:sz="4" w:space="0" w:color="auto"/>
              <w:bottom w:val="single" w:sz="4" w:space="0" w:color="auto"/>
            </w:tcBorders>
          </w:tcPr>
          <w:p w14:paraId="2E9FF8EB" w14:textId="77777777" w:rsidR="000B47C0" w:rsidRPr="00746F54" w:rsidRDefault="000B47C0" w:rsidP="005477B0">
            <w:pPr>
              <w:pStyle w:val="Table"/>
              <w:jc w:val="left"/>
              <w:rPr>
                <w:rFonts w:ascii="Arial" w:hAnsi="Arial" w:cs="Arial"/>
                <w:sz w:val="22"/>
                <w:szCs w:val="22"/>
              </w:rPr>
            </w:pPr>
            <w:r w:rsidRPr="00746F54">
              <w:rPr>
                <w:rFonts w:ascii="Arial" w:hAnsi="Arial" w:cs="Arial"/>
                <w:sz w:val="22"/>
                <w:szCs w:val="22"/>
              </w:rPr>
              <w:t>Not Applicable</w:t>
            </w:r>
          </w:p>
        </w:tc>
      </w:tr>
      <w:tr w:rsidR="000B47C0" w:rsidRPr="00746F54" w14:paraId="0CDD22E0" w14:textId="77777777" w:rsidTr="005477B0">
        <w:trPr>
          <w:cantSplit/>
        </w:trPr>
        <w:tc>
          <w:tcPr>
            <w:tcW w:w="0" w:type="auto"/>
            <w:tcBorders>
              <w:top w:val="single" w:sz="4" w:space="0" w:color="auto"/>
              <w:bottom w:val="single" w:sz="4" w:space="0" w:color="auto"/>
              <w:right w:val="single" w:sz="8" w:space="0" w:color="auto"/>
            </w:tcBorders>
            <w:shd w:val="clear" w:color="auto" w:fill="E2EFD9" w:themeFill="accent6" w:themeFillTint="33"/>
          </w:tcPr>
          <w:p w14:paraId="56F485A4" w14:textId="77777777" w:rsidR="000B47C0" w:rsidRPr="00746F54" w:rsidRDefault="000B47C0" w:rsidP="005477B0">
            <w:pPr>
              <w:pStyle w:val="Table"/>
              <w:jc w:val="left"/>
              <w:rPr>
                <w:rFonts w:ascii="Arial" w:hAnsi="Arial" w:cs="Arial"/>
                <w:sz w:val="22"/>
                <w:szCs w:val="22"/>
              </w:rPr>
            </w:pPr>
            <w:r w:rsidRPr="00746F54">
              <w:rPr>
                <w:rFonts w:ascii="Arial" w:hAnsi="Arial" w:cs="Arial"/>
                <w:sz w:val="22"/>
                <w:szCs w:val="22"/>
              </w:rPr>
              <w:t>MATCHING_SC_ID</w:t>
            </w:r>
          </w:p>
        </w:tc>
        <w:tc>
          <w:tcPr>
            <w:tcW w:w="0" w:type="auto"/>
            <w:gridSpan w:val="4"/>
            <w:tcBorders>
              <w:top w:val="single" w:sz="4" w:space="0" w:color="auto"/>
              <w:left w:val="single" w:sz="8" w:space="0" w:color="auto"/>
              <w:bottom w:val="single" w:sz="4" w:space="0" w:color="auto"/>
            </w:tcBorders>
          </w:tcPr>
          <w:p w14:paraId="7DB7BD11" w14:textId="77777777" w:rsidR="000B47C0" w:rsidRPr="00746F54" w:rsidRDefault="000B47C0" w:rsidP="005477B0">
            <w:pPr>
              <w:pStyle w:val="Table"/>
              <w:jc w:val="left"/>
              <w:rPr>
                <w:rFonts w:ascii="Arial" w:hAnsi="Arial" w:cs="Arial"/>
                <w:sz w:val="22"/>
                <w:szCs w:val="22"/>
              </w:rPr>
            </w:pPr>
            <w:r w:rsidRPr="00746F54">
              <w:rPr>
                <w:rFonts w:ascii="Arial" w:hAnsi="Arial" w:cs="Arial"/>
                <w:sz w:val="22"/>
                <w:szCs w:val="22"/>
              </w:rPr>
              <w:t>The unique registered SC identifier or “CISO” of the matching TSR at the MATCHING_TRANSFER_LOCATION of the TRANSFER_LOCATION</w:t>
            </w:r>
          </w:p>
        </w:tc>
      </w:tr>
      <w:tr w:rsidR="000B47C0" w:rsidRPr="00746F54" w14:paraId="4484AC69" w14:textId="77777777" w:rsidTr="005477B0">
        <w:trPr>
          <w:cantSplit/>
        </w:trPr>
        <w:tc>
          <w:tcPr>
            <w:tcW w:w="0" w:type="auto"/>
            <w:tcBorders>
              <w:top w:val="single" w:sz="4" w:space="0" w:color="auto"/>
              <w:bottom w:val="single" w:sz="4" w:space="0" w:color="auto"/>
              <w:right w:val="single" w:sz="8" w:space="0" w:color="auto"/>
            </w:tcBorders>
            <w:shd w:val="clear" w:color="auto" w:fill="E2EFD9" w:themeFill="accent6" w:themeFillTint="33"/>
          </w:tcPr>
          <w:p w14:paraId="1A8F9BDB" w14:textId="77777777" w:rsidR="000B47C0" w:rsidRPr="00746F54" w:rsidRDefault="000B47C0" w:rsidP="005477B0">
            <w:pPr>
              <w:pStyle w:val="Table"/>
              <w:jc w:val="left"/>
              <w:rPr>
                <w:rFonts w:ascii="Arial" w:hAnsi="Arial" w:cs="Arial"/>
                <w:sz w:val="22"/>
                <w:szCs w:val="22"/>
              </w:rPr>
            </w:pPr>
            <w:r w:rsidRPr="00746F54">
              <w:rPr>
                <w:rFonts w:ascii="Arial" w:hAnsi="Arial" w:cs="Arial"/>
                <w:sz w:val="22"/>
                <w:szCs w:val="22"/>
              </w:rPr>
              <w:t>MATCHING_RES_ID</w:t>
            </w:r>
          </w:p>
        </w:tc>
        <w:tc>
          <w:tcPr>
            <w:tcW w:w="0" w:type="auto"/>
            <w:gridSpan w:val="4"/>
            <w:tcBorders>
              <w:top w:val="single" w:sz="4" w:space="0" w:color="auto"/>
              <w:left w:val="single" w:sz="8" w:space="0" w:color="auto"/>
              <w:bottom w:val="single" w:sz="4" w:space="0" w:color="auto"/>
            </w:tcBorders>
          </w:tcPr>
          <w:p w14:paraId="125AE80B" w14:textId="77777777" w:rsidR="000B47C0" w:rsidRPr="00746F54" w:rsidRDefault="000B47C0" w:rsidP="005477B0">
            <w:pPr>
              <w:pStyle w:val="Table"/>
              <w:jc w:val="left"/>
              <w:rPr>
                <w:rFonts w:ascii="Arial" w:hAnsi="Arial" w:cs="Arial"/>
                <w:sz w:val="22"/>
                <w:szCs w:val="22"/>
              </w:rPr>
            </w:pPr>
            <w:r w:rsidRPr="00746F54">
              <w:rPr>
                <w:rFonts w:ascii="Arial" w:hAnsi="Arial" w:cs="Arial"/>
                <w:sz w:val="22"/>
                <w:szCs w:val="22"/>
              </w:rPr>
              <w:t>The unique TSR identifier of the matching TSR at the MATCHING_TRANSFER_LOCATION of the TRANSFER_LOCATION</w:t>
            </w:r>
          </w:p>
        </w:tc>
      </w:tr>
      <w:tr w:rsidR="000B47C0" w:rsidRPr="00746F54" w14:paraId="6F2BA891" w14:textId="77777777" w:rsidTr="005477B0">
        <w:trPr>
          <w:cantSplit/>
        </w:trPr>
        <w:tc>
          <w:tcPr>
            <w:tcW w:w="0" w:type="auto"/>
            <w:tcBorders>
              <w:top w:val="single" w:sz="4" w:space="0" w:color="auto"/>
              <w:bottom w:val="single" w:sz="4" w:space="0" w:color="auto"/>
              <w:right w:val="single" w:sz="8" w:space="0" w:color="auto"/>
            </w:tcBorders>
            <w:shd w:val="clear" w:color="auto" w:fill="E2EFD9" w:themeFill="accent6" w:themeFillTint="33"/>
          </w:tcPr>
          <w:p w14:paraId="30D71DC0" w14:textId="77777777" w:rsidR="000B47C0" w:rsidRPr="00746F54" w:rsidRDefault="000B47C0" w:rsidP="005477B0">
            <w:pPr>
              <w:pStyle w:val="Table"/>
              <w:jc w:val="left"/>
              <w:rPr>
                <w:rFonts w:ascii="Arial" w:hAnsi="Arial" w:cs="Arial"/>
                <w:sz w:val="22"/>
                <w:szCs w:val="22"/>
              </w:rPr>
            </w:pPr>
            <w:r w:rsidRPr="00746F54">
              <w:rPr>
                <w:rFonts w:ascii="Arial" w:hAnsi="Arial" w:cs="Arial"/>
                <w:sz w:val="22"/>
                <w:szCs w:val="22"/>
              </w:rPr>
              <w:t>MAXIMUM_CAPACITY (MW)</w:t>
            </w:r>
          </w:p>
        </w:tc>
        <w:tc>
          <w:tcPr>
            <w:tcW w:w="0" w:type="auto"/>
            <w:gridSpan w:val="4"/>
            <w:tcBorders>
              <w:top w:val="single" w:sz="4" w:space="0" w:color="auto"/>
              <w:left w:val="single" w:sz="8" w:space="0" w:color="auto"/>
              <w:bottom w:val="single" w:sz="4" w:space="0" w:color="auto"/>
            </w:tcBorders>
          </w:tcPr>
          <w:p w14:paraId="479D0DEA" w14:textId="77777777" w:rsidR="000B47C0" w:rsidRPr="00746F54" w:rsidRDefault="000B47C0" w:rsidP="005477B0">
            <w:pPr>
              <w:pStyle w:val="Table"/>
              <w:jc w:val="left"/>
              <w:rPr>
                <w:rFonts w:ascii="Arial" w:hAnsi="Arial" w:cs="Arial"/>
                <w:sz w:val="22"/>
                <w:szCs w:val="22"/>
              </w:rPr>
            </w:pPr>
            <w:r w:rsidRPr="00746F54">
              <w:rPr>
                <w:rFonts w:ascii="Arial" w:hAnsi="Arial" w:cs="Arial"/>
                <w:sz w:val="22"/>
                <w:szCs w:val="22"/>
              </w:rPr>
              <w:t>Maximum transfer capacity that can be scheduled/awarded on this TSR</w:t>
            </w:r>
          </w:p>
        </w:tc>
      </w:tr>
      <w:tr w:rsidR="000B47C0" w:rsidRPr="00746F54" w14:paraId="415FABF1" w14:textId="77777777" w:rsidTr="005477B0">
        <w:trPr>
          <w:cantSplit/>
        </w:trPr>
        <w:tc>
          <w:tcPr>
            <w:tcW w:w="0" w:type="auto"/>
            <w:tcBorders>
              <w:top w:val="single" w:sz="4" w:space="0" w:color="auto"/>
              <w:bottom w:val="single" w:sz="4" w:space="0" w:color="auto"/>
              <w:right w:val="single" w:sz="8" w:space="0" w:color="auto"/>
            </w:tcBorders>
            <w:shd w:val="clear" w:color="auto" w:fill="E2EFD9" w:themeFill="accent6" w:themeFillTint="33"/>
          </w:tcPr>
          <w:p w14:paraId="78EEA55A" w14:textId="77777777" w:rsidR="000B47C0" w:rsidRPr="00746F54" w:rsidRDefault="000B47C0" w:rsidP="005477B0">
            <w:pPr>
              <w:pStyle w:val="Table"/>
              <w:jc w:val="left"/>
              <w:rPr>
                <w:rFonts w:ascii="Arial" w:hAnsi="Arial" w:cs="Arial"/>
                <w:sz w:val="22"/>
                <w:szCs w:val="22"/>
              </w:rPr>
            </w:pPr>
            <w:r w:rsidRPr="00746F54">
              <w:rPr>
                <w:rFonts w:ascii="Arial" w:hAnsi="Arial" w:cs="Arial"/>
                <w:sz w:val="22"/>
                <w:szCs w:val="22"/>
              </w:rPr>
              <w:t>CAPACITY_LIMIT (MW)</w:t>
            </w:r>
          </w:p>
        </w:tc>
        <w:tc>
          <w:tcPr>
            <w:tcW w:w="0" w:type="auto"/>
            <w:tcBorders>
              <w:top w:val="single" w:sz="4" w:space="0" w:color="auto"/>
              <w:left w:val="single" w:sz="8" w:space="0" w:color="auto"/>
              <w:bottom w:val="single" w:sz="4" w:space="0" w:color="auto"/>
              <w:right w:val="single" w:sz="4" w:space="0" w:color="auto"/>
            </w:tcBorders>
          </w:tcPr>
          <w:p w14:paraId="764A7670" w14:textId="77777777" w:rsidR="000B47C0" w:rsidRPr="00746F54" w:rsidRDefault="000B47C0" w:rsidP="005477B0">
            <w:pPr>
              <w:pStyle w:val="Table"/>
              <w:jc w:val="left"/>
              <w:rPr>
                <w:rFonts w:ascii="Arial" w:hAnsi="Arial" w:cs="Arial"/>
                <w:sz w:val="22"/>
                <w:szCs w:val="22"/>
              </w:rPr>
            </w:pPr>
            <w:r w:rsidRPr="00746F54">
              <w:rPr>
                <w:rFonts w:ascii="Arial" w:hAnsi="Arial" w:cs="Arial"/>
                <w:sz w:val="22"/>
                <w:szCs w:val="22"/>
              </w:rPr>
              <w:t>Not Applicable</w:t>
            </w:r>
          </w:p>
        </w:tc>
        <w:tc>
          <w:tcPr>
            <w:tcW w:w="0" w:type="auto"/>
            <w:gridSpan w:val="3"/>
            <w:tcBorders>
              <w:top w:val="single" w:sz="4" w:space="0" w:color="auto"/>
              <w:left w:val="single" w:sz="4" w:space="0" w:color="auto"/>
              <w:bottom w:val="single" w:sz="4" w:space="0" w:color="auto"/>
            </w:tcBorders>
          </w:tcPr>
          <w:p w14:paraId="21AE938F" w14:textId="77777777" w:rsidR="000B47C0" w:rsidRPr="00746F54" w:rsidRDefault="000B47C0" w:rsidP="005477B0">
            <w:pPr>
              <w:pStyle w:val="Table"/>
              <w:jc w:val="left"/>
              <w:rPr>
                <w:rFonts w:ascii="Arial" w:hAnsi="Arial" w:cs="Arial"/>
                <w:sz w:val="22"/>
                <w:szCs w:val="22"/>
              </w:rPr>
            </w:pPr>
            <w:r w:rsidRPr="00746F54">
              <w:rPr>
                <w:rFonts w:ascii="Arial" w:hAnsi="Arial" w:cs="Arial"/>
                <w:sz w:val="22"/>
                <w:szCs w:val="22"/>
              </w:rPr>
              <w:t>Released transfer capacity; less than or equal to the Maximum Capacity</w:t>
            </w:r>
          </w:p>
        </w:tc>
      </w:tr>
      <w:tr w:rsidR="000B47C0" w:rsidRPr="00746F54" w14:paraId="31254F97" w14:textId="77777777" w:rsidTr="005477B0">
        <w:trPr>
          <w:cantSplit/>
        </w:trPr>
        <w:tc>
          <w:tcPr>
            <w:tcW w:w="0" w:type="auto"/>
            <w:tcBorders>
              <w:top w:val="single" w:sz="4" w:space="0" w:color="auto"/>
              <w:bottom w:val="single" w:sz="4" w:space="0" w:color="auto"/>
              <w:right w:val="single" w:sz="8" w:space="0" w:color="auto"/>
            </w:tcBorders>
            <w:shd w:val="clear" w:color="auto" w:fill="E2EFD9" w:themeFill="accent6" w:themeFillTint="33"/>
          </w:tcPr>
          <w:p w14:paraId="0E5411F9" w14:textId="77777777" w:rsidR="000B47C0" w:rsidRPr="00746F54" w:rsidRDefault="000B47C0" w:rsidP="005477B0">
            <w:pPr>
              <w:pStyle w:val="Table"/>
              <w:jc w:val="left"/>
              <w:rPr>
                <w:rFonts w:ascii="Arial" w:hAnsi="Arial" w:cs="Arial"/>
                <w:sz w:val="22"/>
                <w:szCs w:val="22"/>
              </w:rPr>
            </w:pPr>
            <w:r w:rsidRPr="00746F54">
              <w:rPr>
                <w:rFonts w:ascii="Arial" w:hAnsi="Arial" w:cs="Arial"/>
                <w:sz w:val="22"/>
                <w:szCs w:val="22"/>
              </w:rPr>
              <w:lastRenderedPageBreak/>
              <w:t>Energy Self-Schedule (MW)</w:t>
            </w:r>
          </w:p>
        </w:tc>
        <w:tc>
          <w:tcPr>
            <w:tcW w:w="0" w:type="auto"/>
            <w:tcBorders>
              <w:top w:val="single" w:sz="4" w:space="0" w:color="auto"/>
              <w:left w:val="single" w:sz="8" w:space="0" w:color="auto"/>
              <w:bottom w:val="single" w:sz="4" w:space="0" w:color="auto"/>
              <w:right w:val="single" w:sz="4" w:space="0" w:color="auto"/>
            </w:tcBorders>
          </w:tcPr>
          <w:p w14:paraId="4A4233A1" w14:textId="77777777" w:rsidR="000B47C0" w:rsidRPr="00746F54" w:rsidRDefault="000B47C0" w:rsidP="005477B0">
            <w:pPr>
              <w:pStyle w:val="Table"/>
              <w:jc w:val="left"/>
              <w:rPr>
                <w:rFonts w:ascii="Arial" w:hAnsi="Arial" w:cs="Arial"/>
                <w:sz w:val="22"/>
                <w:szCs w:val="22"/>
              </w:rPr>
            </w:pPr>
            <w:r w:rsidRPr="00746F54">
              <w:rPr>
                <w:rFonts w:ascii="Arial" w:hAnsi="Arial" w:cs="Arial"/>
                <w:sz w:val="22"/>
                <w:szCs w:val="22"/>
              </w:rPr>
              <w:t>Less than or equal to the Maximum Capacity</w:t>
            </w:r>
          </w:p>
        </w:tc>
        <w:tc>
          <w:tcPr>
            <w:tcW w:w="0" w:type="auto"/>
            <w:gridSpan w:val="3"/>
            <w:tcBorders>
              <w:top w:val="single" w:sz="4" w:space="0" w:color="auto"/>
              <w:left w:val="single" w:sz="4" w:space="0" w:color="auto"/>
              <w:bottom w:val="single" w:sz="4" w:space="0" w:color="auto"/>
            </w:tcBorders>
          </w:tcPr>
          <w:p w14:paraId="68C38DD7" w14:textId="77777777" w:rsidR="000B47C0" w:rsidRPr="00746F54" w:rsidRDefault="000B47C0" w:rsidP="005477B0">
            <w:pPr>
              <w:pStyle w:val="Table"/>
              <w:jc w:val="left"/>
              <w:rPr>
                <w:rFonts w:ascii="Arial" w:hAnsi="Arial" w:cs="Arial"/>
                <w:sz w:val="22"/>
                <w:szCs w:val="22"/>
              </w:rPr>
            </w:pPr>
            <w:r w:rsidRPr="00746F54">
              <w:rPr>
                <w:rFonts w:ascii="Arial" w:hAnsi="Arial" w:cs="Arial"/>
                <w:sz w:val="22"/>
                <w:szCs w:val="22"/>
              </w:rPr>
              <w:t>Not Applicable</w:t>
            </w:r>
          </w:p>
        </w:tc>
      </w:tr>
      <w:tr w:rsidR="000B47C0" w:rsidRPr="00746F54" w14:paraId="538CB9DC" w14:textId="77777777" w:rsidTr="005477B0">
        <w:trPr>
          <w:cantSplit/>
        </w:trPr>
        <w:tc>
          <w:tcPr>
            <w:tcW w:w="0" w:type="auto"/>
            <w:gridSpan w:val="5"/>
            <w:tcBorders>
              <w:top w:val="single" w:sz="8" w:space="0" w:color="auto"/>
              <w:bottom w:val="nil"/>
            </w:tcBorders>
            <w:shd w:val="clear" w:color="auto" w:fill="EDEDED" w:themeFill="accent3" w:themeFillTint="33"/>
          </w:tcPr>
          <w:p w14:paraId="5F68D3A8" w14:textId="77777777" w:rsidR="000B47C0" w:rsidRPr="00746F54" w:rsidRDefault="000B47C0" w:rsidP="005477B0">
            <w:pPr>
              <w:pStyle w:val="Table"/>
              <w:rPr>
                <w:rFonts w:ascii="Arial" w:hAnsi="Arial" w:cs="Arial"/>
                <w:sz w:val="22"/>
                <w:szCs w:val="22"/>
              </w:rPr>
            </w:pPr>
            <w:r w:rsidRPr="00746F54">
              <w:rPr>
                <w:rFonts w:ascii="Arial" w:hAnsi="Arial" w:cs="Arial"/>
                <w:sz w:val="22"/>
                <w:szCs w:val="22"/>
              </w:rPr>
              <w:t>Market Results</w:t>
            </w:r>
          </w:p>
        </w:tc>
      </w:tr>
      <w:tr w:rsidR="000B47C0" w:rsidRPr="00746F54" w14:paraId="3241F966" w14:textId="77777777" w:rsidTr="005477B0">
        <w:trPr>
          <w:cantSplit/>
        </w:trPr>
        <w:tc>
          <w:tcPr>
            <w:tcW w:w="0" w:type="auto"/>
            <w:tcBorders>
              <w:top w:val="single" w:sz="4" w:space="0" w:color="auto"/>
              <w:bottom w:val="single" w:sz="4" w:space="0" w:color="auto"/>
              <w:right w:val="single" w:sz="8" w:space="0" w:color="auto"/>
            </w:tcBorders>
            <w:shd w:val="clear" w:color="auto" w:fill="E2EFD9" w:themeFill="accent6" w:themeFillTint="33"/>
          </w:tcPr>
          <w:p w14:paraId="58C300FD" w14:textId="77777777" w:rsidR="000B47C0" w:rsidRPr="00746F54" w:rsidRDefault="000B47C0" w:rsidP="005477B0">
            <w:pPr>
              <w:pStyle w:val="Table"/>
              <w:jc w:val="left"/>
              <w:rPr>
                <w:rFonts w:ascii="Arial" w:hAnsi="Arial" w:cs="Arial"/>
                <w:sz w:val="22"/>
                <w:szCs w:val="22"/>
              </w:rPr>
            </w:pPr>
            <w:r w:rsidRPr="00746F54">
              <w:rPr>
                <w:rFonts w:ascii="Arial" w:hAnsi="Arial" w:cs="Arial"/>
                <w:sz w:val="22"/>
                <w:szCs w:val="22"/>
              </w:rPr>
              <w:t>Energy Schedule (MW)</w:t>
            </w:r>
          </w:p>
        </w:tc>
        <w:tc>
          <w:tcPr>
            <w:tcW w:w="0" w:type="auto"/>
            <w:gridSpan w:val="4"/>
            <w:tcBorders>
              <w:top w:val="single" w:sz="4" w:space="0" w:color="auto"/>
              <w:left w:val="single" w:sz="8" w:space="0" w:color="auto"/>
              <w:bottom w:val="single" w:sz="4" w:space="0" w:color="auto"/>
            </w:tcBorders>
          </w:tcPr>
          <w:p w14:paraId="4C09E278" w14:textId="77777777" w:rsidR="000B47C0" w:rsidRPr="00746F54" w:rsidRDefault="000B47C0" w:rsidP="005477B0">
            <w:pPr>
              <w:pStyle w:val="Table"/>
              <w:jc w:val="left"/>
              <w:rPr>
                <w:rFonts w:ascii="Arial" w:hAnsi="Arial" w:cs="Arial"/>
                <w:sz w:val="22"/>
                <w:szCs w:val="22"/>
              </w:rPr>
            </w:pPr>
            <w:r w:rsidRPr="00746F54">
              <w:rPr>
                <w:rFonts w:ascii="Arial" w:hAnsi="Arial" w:cs="Arial"/>
                <w:sz w:val="22"/>
                <w:szCs w:val="22"/>
              </w:rPr>
              <w:t>IFM energy schedule</w:t>
            </w:r>
          </w:p>
        </w:tc>
      </w:tr>
      <w:tr w:rsidR="000B47C0" w:rsidRPr="00746F54" w14:paraId="0067A1CD" w14:textId="77777777" w:rsidTr="005477B0">
        <w:trPr>
          <w:cantSplit/>
        </w:trPr>
        <w:tc>
          <w:tcPr>
            <w:tcW w:w="0" w:type="auto"/>
            <w:tcBorders>
              <w:top w:val="single" w:sz="4" w:space="0" w:color="auto"/>
              <w:bottom w:val="single" w:sz="4" w:space="0" w:color="auto"/>
              <w:right w:val="single" w:sz="8" w:space="0" w:color="auto"/>
            </w:tcBorders>
            <w:shd w:val="clear" w:color="auto" w:fill="E2EFD9" w:themeFill="accent6" w:themeFillTint="33"/>
          </w:tcPr>
          <w:p w14:paraId="280995CC" w14:textId="77777777" w:rsidR="000B47C0" w:rsidRPr="00746F54" w:rsidRDefault="000B47C0" w:rsidP="005477B0">
            <w:pPr>
              <w:pStyle w:val="Table"/>
              <w:jc w:val="left"/>
              <w:rPr>
                <w:rFonts w:ascii="Arial" w:hAnsi="Arial" w:cs="Arial"/>
                <w:sz w:val="22"/>
                <w:szCs w:val="22"/>
              </w:rPr>
            </w:pPr>
            <w:r w:rsidRPr="00746F54">
              <w:rPr>
                <w:rFonts w:ascii="Arial" w:hAnsi="Arial" w:cs="Arial"/>
                <w:sz w:val="22"/>
                <w:szCs w:val="22"/>
              </w:rPr>
              <w:t>Capacity Award (MW)</w:t>
            </w:r>
          </w:p>
        </w:tc>
        <w:tc>
          <w:tcPr>
            <w:tcW w:w="0" w:type="auto"/>
            <w:tcBorders>
              <w:top w:val="single" w:sz="4" w:space="0" w:color="auto"/>
              <w:left w:val="single" w:sz="8" w:space="0" w:color="auto"/>
              <w:bottom w:val="single" w:sz="4" w:space="0" w:color="auto"/>
              <w:right w:val="single" w:sz="4" w:space="0" w:color="auto"/>
            </w:tcBorders>
          </w:tcPr>
          <w:p w14:paraId="12C4817D" w14:textId="77777777" w:rsidR="000B47C0" w:rsidRPr="00746F54" w:rsidRDefault="000B47C0" w:rsidP="005477B0">
            <w:pPr>
              <w:pStyle w:val="Table"/>
              <w:jc w:val="left"/>
              <w:rPr>
                <w:rFonts w:ascii="Arial" w:hAnsi="Arial" w:cs="Arial"/>
                <w:sz w:val="22"/>
                <w:szCs w:val="22"/>
              </w:rPr>
            </w:pPr>
            <w:r w:rsidRPr="00746F54">
              <w:rPr>
                <w:rFonts w:ascii="Arial" w:hAnsi="Arial" w:cs="Arial"/>
                <w:sz w:val="22"/>
                <w:szCs w:val="22"/>
              </w:rPr>
              <w:t>Not Applicable</w:t>
            </w:r>
          </w:p>
        </w:tc>
        <w:tc>
          <w:tcPr>
            <w:tcW w:w="0" w:type="auto"/>
            <w:tcBorders>
              <w:top w:val="single" w:sz="4" w:space="0" w:color="auto"/>
              <w:left w:val="single" w:sz="4" w:space="0" w:color="auto"/>
              <w:bottom w:val="single" w:sz="4" w:space="0" w:color="auto"/>
              <w:right w:val="single" w:sz="4" w:space="0" w:color="auto"/>
            </w:tcBorders>
          </w:tcPr>
          <w:p w14:paraId="17A84BBD" w14:textId="77777777" w:rsidR="000B47C0" w:rsidRPr="00746F54" w:rsidRDefault="000B47C0" w:rsidP="005477B0">
            <w:pPr>
              <w:pStyle w:val="Table"/>
              <w:numPr>
                <w:ilvl w:val="0"/>
                <w:numId w:val="56"/>
              </w:numPr>
              <w:ind w:left="360"/>
              <w:jc w:val="left"/>
              <w:rPr>
                <w:rFonts w:ascii="Arial" w:hAnsi="Arial" w:cs="Arial"/>
                <w:sz w:val="22"/>
                <w:szCs w:val="22"/>
              </w:rPr>
            </w:pPr>
            <w:r w:rsidRPr="00746F54">
              <w:rPr>
                <w:rFonts w:ascii="Arial" w:hAnsi="Arial" w:cs="Arial"/>
                <w:sz w:val="22"/>
                <w:szCs w:val="22"/>
              </w:rPr>
              <w:t>IFM IRU/IRD award</w:t>
            </w:r>
          </w:p>
          <w:p w14:paraId="2E6E5566" w14:textId="77777777" w:rsidR="000B47C0" w:rsidRPr="00746F54" w:rsidRDefault="000B47C0" w:rsidP="005477B0">
            <w:pPr>
              <w:pStyle w:val="Table"/>
              <w:numPr>
                <w:ilvl w:val="0"/>
                <w:numId w:val="56"/>
              </w:numPr>
              <w:ind w:left="360"/>
              <w:jc w:val="left"/>
              <w:rPr>
                <w:rFonts w:ascii="Arial" w:hAnsi="Arial" w:cs="Arial"/>
                <w:sz w:val="22"/>
                <w:szCs w:val="22"/>
              </w:rPr>
            </w:pPr>
            <w:r w:rsidRPr="00746F54">
              <w:rPr>
                <w:rFonts w:ascii="Arial" w:hAnsi="Arial" w:cs="Arial"/>
                <w:sz w:val="22"/>
                <w:szCs w:val="22"/>
              </w:rPr>
              <w:t>RUC RCU award</w:t>
            </w:r>
          </w:p>
        </w:tc>
        <w:tc>
          <w:tcPr>
            <w:tcW w:w="0" w:type="auto"/>
            <w:tcBorders>
              <w:top w:val="single" w:sz="4" w:space="0" w:color="auto"/>
              <w:left w:val="single" w:sz="4" w:space="0" w:color="auto"/>
              <w:bottom w:val="single" w:sz="4" w:space="0" w:color="auto"/>
              <w:right w:val="single" w:sz="4" w:space="0" w:color="auto"/>
            </w:tcBorders>
          </w:tcPr>
          <w:p w14:paraId="59CEE552" w14:textId="77777777" w:rsidR="000B47C0" w:rsidRPr="00746F54" w:rsidRDefault="000B47C0" w:rsidP="005477B0">
            <w:pPr>
              <w:pStyle w:val="Table"/>
              <w:numPr>
                <w:ilvl w:val="0"/>
                <w:numId w:val="56"/>
              </w:numPr>
              <w:ind w:left="360"/>
              <w:jc w:val="left"/>
              <w:rPr>
                <w:rFonts w:ascii="Arial" w:hAnsi="Arial" w:cs="Arial"/>
                <w:sz w:val="22"/>
                <w:szCs w:val="22"/>
              </w:rPr>
            </w:pPr>
            <w:r w:rsidRPr="00746F54">
              <w:rPr>
                <w:rFonts w:ascii="Arial" w:hAnsi="Arial" w:cs="Arial"/>
                <w:sz w:val="22"/>
                <w:szCs w:val="22"/>
              </w:rPr>
              <w:t>IFM RU/RD/SR/NR award</w:t>
            </w:r>
          </w:p>
          <w:p w14:paraId="71406EA0" w14:textId="77777777" w:rsidR="000B47C0" w:rsidRPr="00746F54" w:rsidRDefault="000B47C0" w:rsidP="005477B0">
            <w:pPr>
              <w:pStyle w:val="Table"/>
              <w:numPr>
                <w:ilvl w:val="0"/>
                <w:numId w:val="55"/>
              </w:numPr>
              <w:ind w:left="360"/>
              <w:jc w:val="left"/>
              <w:rPr>
                <w:rFonts w:ascii="Arial" w:hAnsi="Arial" w:cs="Arial"/>
                <w:sz w:val="22"/>
                <w:szCs w:val="22"/>
              </w:rPr>
            </w:pPr>
            <w:r w:rsidRPr="00746F54">
              <w:rPr>
                <w:rFonts w:ascii="Arial" w:hAnsi="Arial" w:cs="Arial"/>
                <w:sz w:val="22"/>
                <w:szCs w:val="22"/>
              </w:rPr>
              <w:t>IFM IRU/IRD award</w:t>
            </w:r>
          </w:p>
          <w:p w14:paraId="4FE0E949" w14:textId="77777777" w:rsidR="000B47C0" w:rsidRPr="00746F54" w:rsidRDefault="000B47C0" w:rsidP="005477B0">
            <w:pPr>
              <w:pStyle w:val="Table"/>
              <w:numPr>
                <w:ilvl w:val="0"/>
                <w:numId w:val="55"/>
              </w:numPr>
              <w:ind w:left="360"/>
              <w:jc w:val="left"/>
              <w:rPr>
                <w:rFonts w:ascii="Arial" w:hAnsi="Arial" w:cs="Arial"/>
                <w:sz w:val="22"/>
                <w:szCs w:val="22"/>
              </w:rPr>
            </w:pPr>
            <w:r w:rsidRPr="00746F54">
              <w:rPr>
                <w:rFonts w:ascii="Arial" w:hAnsi="Arial" w:cs="Arial"/>
                <w:sz w:val="22"/>
                <w:szCs w:val="22"/>
              </w:rPr>
              <w:t>RUC RCU award</w:t>
            </w:r>
          </w:p>
        </w:tc>
        <w:tc>
          <w:tcPr>
            <w:tcW w:w="0" w:type="auto"/>
            <w:tcBorders>
              <w:top w:val="single" w:sz="4" w:space="0" w:color="auto"/>
              <w:left w:val="single" w:sz="4" w:space="0" w:color="auto"/>
              <w:bottom w:val="single" w:sz="4" w:space="0" w:color="auto"/>
            </w:tcBorders>
          </w:tcPr>
          <w:p w14:paraId="0262646C" w14:textId="77777777" w:rsidR="000B47C0" w:rsidRPr="00746F54" w:rsidRDefault="000B47C0" w:rsidP="005477B0">
            <w:pPr>
              <w:pStyle w:val="Table"/>
              <w:numPr>
                <w:ilvl w:val="0"/>
                <w:numId w:val="55"/>
              </w:numPr>
              <w:ind w:left="360"/>
              <w:jc w:val="left"/>
              <w:rPr>
                <w:rFonts w:ascii="Arial" w:hAnsi="Arial" w:cs="Arial"/>
                <w:sz w:val="22"/>
                <w:szCs w:val="22"/>
              </w:rPr>
            </w:pPr>
            <w:r w:rsidRPr="00746F54">
              <w:rPr>
                <w:rFonts w:ascii="Arial" w:hAnsi="Arial" w:cs="Arial"/>
                <w:sz w:val="22"/>
                <w:szCs w:val="22"/>
              </w:rPr>
              <w:t>IFM IRU/IRD award</w:t>
            </w:r>
          </w:p>
          <w:p w14:paraId="13B340FA" w14:textId="77777777" w:rsidR="000B47C0" w:rsidRPr="00746F54" w:rsidRDefault="000B47C0" w:rsidP="005477B0">
            <w:pPr>
              <w:pStyle w:val="Table"/>
              <w:numPr>
                <w:ilvl w:val="0"/>
                <w:numId w:val="55"/>
              </w:numPr>
              <w:ind w:left="360"/>
              <w:jc w:val="left"/>
              <w:rPr>
                <w:rFonts w:ascii="Arial" w:hAnsi="Arial" w:cs="Arial"/>
                <w:sz w:val="22"/>
                <w:szCs w:val="22"/>
              </w:rPr>
            </w:pPr>
            <w:r w:rsidRPr="00746F54">
              <w:rPr>
                <w:rFonts w:ascii="Arial" w:hAnsi="Arial" w:cs="Arial"/>
                <w:sz w:val="22"/>
                <w:szCs w:val="22"/>
              </w:rPr>
              <w:t>RUC RCU award</w:t>
            </w:r>
          </w:p>
          <w:p w14:paraId="5ED08412" w14:textId="77777777" w:rsidR="000B47C0" w:rsidRPr="00746F54" w:rsidRDefault="000B47C0" w:rsidP="000B47C0">
            <w:pPr>
              <w:pStyle w:val="Table"/>
              <w:ind w:left="360"/>
              <w:jc w:val="left"/>
              <w:rPr>
                <w:rFonts w:ascii="Arial" w:hAnsi="Arial" w:cs="Arial"/>
                <w:sz w:val="22"/>
                <w:szCs w:val="22"/>
              </w:rPr>
            </w:pPr>
          </w:p>
        </w:tc>
      </w:tr>
    </w:tbl>
    <w:p w14:paraId="5CEB7145" w14:textId="77777777" w:rsidR="000B47C0" w:rsidRPr="00746F54" w:rsidRDefault="000B47C0" w:rsidP="000B47C0">
      <w:pPr>
        <w:pStyle w:val="ParaText"/>
        <w:rPr>
          <w:rFonts w:ascii="Arial" w:hAnsi="Arial" w:cs="Arial"/>
        </w:rPr>
      </w:pPr>
      <w:bookmarkStart w:id="63" w:name="_Toc209781111"/>
      <w:bookmarkStart w:id="64" w:name="_Ref191566279"/>
      <w:bookmarkStart w:id="65" w:name="_Toc191646286"/>
      <w:bookmarkEnd w:id="63"/>
    </w:p>
    <w:p w14:paraId="4F654E50" w14:textId="77777777" w:rsidR="000B47C0" w:rsidRPr="00746F54" w:rsidRDefault="000B47C0" w:rsidP="00636D40">
      <w:pPr>
        <w:pStyle w:val="Heading3"/>
        <w:rPr>
          <w:rFonts w:ascii="Arial" w:hAnsi="Arial" w:cs="Arial"/>
        </w:rPr>
      </w:pPr>
      <w:bookmarkStart w:id="66" w:name="_Toc211337880"/>
      <w:r w:rsidRPr="00746F54">
        <w:rPr>
          <w:rFonts w:ascii="Arial" w:hAnsi="Arial" w:cs="Arial"/>
        </w:rPr>
        <w:t>Transfer Definition and Validation</w:t>
      </w:r>
      <w:bookmarkEnd w:id="64"/>
      <w:bookmarkEnd w:id="65"/>
      <w:bookmarkEnd w:id="66"/>
    </w:p>
    <w:p w14:paraId="7C7A42A1" w14:textId="09839CE4" w:rsidR="000B47C0" w:rsidRPr="00746F54" w:rsidRDefault="000B47C0" w:rsidP="000B47C0">
      <w:pPr>
        <w:pStyle w:val="Paragraph"/>
        <w:rPr>
          <w:rFonts w:ascii="Arial" w:hAnsi="Arial" w:cs="Arial"/>
          <w:sz w:val="22"/>
        </w:rPr>
      </w:pPr>
      <w:r w:rsidRPr="00746F54">
        <w:rPr>
          <w:rFonts w:ascii="Arial" w:hAnsi="Arial" w:cs="Arial"/>
          <w:sz w:val="22"/>
        </w:rPr>
        <w:t>All TSR types, except for the transient Type 1 TSRs defined by TCSCs in SIBR and Type 2 TSRs that result from SIBR matching, must be defined by the EESC on each side of a transfer by registering the TSR in the Master File. In all cases, the TSR must be defined with all valid required attributes, as described above in 18.3.</w:t>
      </w:r>
    </w:p>
    <w:p w14:paraId="24D37C3E" w14:textId="5486CF9E" w:rsidR="000B47C0" w:rsidRPr="00746F54" w:rsidRDefault="000B47C0" w:rsidP="000B47C0">
      <w:pPr>
        <w:pStyle w:val="Paragraph"/>
        <w:rPr>
          <w:rFonts w:ascii="Arial" w:hAnsi="Arial" w:cs="Arial"/>
          <w:sz w:val="22"/>
        </w:rPr>
      </w:pPr>
      <w:r w:rsidRPr="00746F54">
        <w:rPr>
          <w:rFonts w:ascii="Arial" w:hAnsi="Arial" w:cs="Arial"/>
          <w:sz w:val="22"/>
        </w:rPr>
        <w:t>The TSR definition, either in the Master File or in SIBR, will be cross validated with the definition of its matching TSR (MATCHING_RES_ID) that is defined by the EESC or TCSC on the other side of the transfer. More specifically:</w:t>
      </w:r>
    </w:p>
    <w:p w14:paraId="60522B44" w14:textId="77777777" w:rsidR="000B47C0" w:rsidRPr="00746F54" w:rsidRDefault="000B47C0" w:rsidP="000B47C0">
      <w:pPr>
        <w:pStyle w:val="Paragraph"/>
        <w:numPr>
          <w:ilvl w:val="0"/>
          <w:numId w:val="54"/>
        </w:numPr>
        <w:spacing w:line="240" w:lineRule="auto"/>
        <w:jc w:val="both"/>
        <w:rPr>
          <w:rFonts w:ascii="Arial" w:hAnsi="Arial" w:cs="Arial"/>
          <w:sz w:val="22"/>
        </w:rPr>
      </w:pPr>
      <w:r w:rsidRPr="00746F54">
        <w:rPr>
          <w:rFonts w:ascii="Arial" w:hAnsi="Arial" w:cs="Arial"/>
          <w:sz w:val="22"/>
        </w:rPr>
        <w:t>RES_ID must be the same as the MATCHING_RES_ID in the matching TSR definition.</w:t>
      </w:r>
    </w:p>
    <w:p w14:paraId="4B52BA40" w14:textId="77777777" w:rsidR="000B47C0" w:rsidRPr="00746F54" w:rsidRDefault="000B47C0" w:rsidP="000B47C0">
      <w:pPr>
        <w:pStyle w:val="Paragraph"/>
        <w:numPr>
          <w:ilvl w:val="0"/>
          <w:numId w:val="54"/>
        </w:numPr>
        <w:spacing w:line="240" w:lineRule="auto"/>
        <w:jc w:val="both"/>
        <w:rPr>
          <w:rFonts w:ascii="Arial" w:hAnsi="Arial" w:cs="Arial"/>
          <w:sz w:val="22"/>
        </w:rPr>
      </w:pPr>
      <w:r w:rsidRPr="00746F54">
        <w:rPr>
          <w:rFonts w:ascii="Arial" w:hAnsi="Arial" w:cs="Arial"/>
          <w:sz w:val="22"/>
        </w:rPr>
        <w:t>SC_ID must be the same as the MATCHING_SC_ID in the matching TSR definition.</w:t>
      </w:r>
    </w:p>
    <w:p w14:paraId="3FC00E54" w14:textId="77777777" w:rsidR="000B47C0" w:rsidRPr="00746F54" w:rsidRDefault="000B47C0" w:rsidP="000B47C0">
      <w:pPr>
        <w:pStyle w:val="Paragraph"/>
        <w:numPr>
          <w:ilvl w:val="0"/>
          <w:numId w:val="54"/>
        </w:numPr>
        <w:spacing w:line="240" w:lineRule="auto"/>
        <w:jc w:val="both"/>
        <w:rPr>
          <w:rFonts w:ascii="Arial" w:hAnsi="Arial" w:cs="Arial"/>
          <w:sz w:val="22"/>
        </w:rPr>
      </w:pPr>
      <w:r w:rsidRPr="00746F54">
        <w:rPr>
          <w:rFonts w:ascii="Arial" w:hAnsi="Arial" w:cs="Arial"/>
          <w:sz w:val="22"/>
        </w:rPr>
        <w:t>TRANSFER_LOCATION must be the same as the MATCHING_TRANSFER_LOCATION in the matching TSR definition.</w:t>
      </w:r>
    </w:p>
    <w:p w14:paraId="45F287A1" w14:textId="77777777" w:rsidR="000B47C0" w:rsidRPr="00746F54" w:rsidRDefault="000B47C0" w:rsidP="000B47C0">
      <w:pPr>
        <w:pStyle w:val="Paragraph"/>
        <w:numPr>
          <w:ilvl w:val="0"/>
          <w:numId w:val="54"/>
        </w:numPr>
        <w:spacing w:line="240" w:lineRule="auto"/>
        <w:jc w:val="both"/>
        <w:rPr>
          <w:rFonts w:ascii="Arial" w:hAnsi="Arial" w:cs="Arial"/>
          <w:sz w:val="22"/>
        </w:rPr>
      </w:pPr>
      <w:r w:rsidRPr="00746F54">
        <w:rPr>
          <w:rFonts w:ascii="Arial" w:hAnsi="Arial" w:cs="Arial"/>
          <w:sz w:val="22"/>
        </w:rPr>
        <w:t>TSR_TYPE must be the same in the matching TSR definition.</w:t>
      </w:r>
    </w:p>
    <w:p w14:paraId="044A0089" w14:textId="77777777" w:rsidR="000B47C0" w:rsidRPr="00746F54" w:rsidRDefault="000B47C0" w:rsidP="000B47C0">
      <w:pPr>
        <w:pStyle w:val="Paragraph"/>
        <w:numPr>
          <w:ilvl w:val="0"/>
          <w:numId w:val="54"/>
        </w:numPr>
        <w:spacing w:line="240" w:lineRule="auto"/>
        <w:jc w:val="both"/>
        <w:rPr>
          <w:rFonts w:ascii="Arial" w:hAnsi="Arial" w:cs="Arial"/>
          <w:sz w:val="22"/>
        </w:rPr>
      </w:pPr>
      <w:r w:rsidRPr="00746F54">
        <w:rPr>
          <w:rFonts w:ascii="Arial" w:hAnsi="Arial" w:cs="Arial"/>
          <w:sz w:val="22"/>
        </w:rPr>
        <w:t>MAXIMUM_CAPACITY must be the same in the matching TSR definition, otherwise the lower value prevails.</w:t>
      </w:r>
    </w:p>
    <w:p w14:paraId="26034177" w14:textId="77777777" w:rsidR="000B47C0" w:rsidRPr="00746F54" w:rsidRDefault="000B47C0" w:rsidP="00636D40">
      <w:pPr>
        <w:pStyle w:val="Heading3"/>
        <w:rPr>
          <w:rFonts w:ascii="Arial" w:hAnsi="Arial" w:cs="Arial"/>
          <w:sz w:val="22"/>
        </w:rPr>
      </w:pPr>
      <w:bookmarkStart w:id="67" w:name="_Toc211337881"/>
      <w:r w:rsidRPr="00746F54">
        <w:rPr>
          <w:rFonts w:ascii="Arial" w:hAnsi="Arial" w:cs="Arial"/>
        </w:rPr>
        <w:t>Transient TSRs</w:t>
      </w:r>
      <w:bookmarkEnd w:id="67"/>
    </w:p>
    <w:p w14:paraId="40F0E944" w14:textId="0A4CFF97" w:rsidR="000B47C0" w:rsidRPr="00746F54" w:rsidRDefault="000B47C0" w:rsidP="000B47C0">
      <w:pPr>
        <w:pStyle w:val="Paragraph"/>
        <w:rPr>
          <w:rFonts w:ascii="Arial" w:hAnsi="Arial" w:cs="Arial"/>
          <w:sz w:val="22"/>
        </w:rPr>
      </w:pPr>
      <w:r w:rsidRPr="00746F54">
        <w:rPr>
          <w:rFonts w:ascii="Arial" w:hAnsi="Arial" w:cs="Arial"/>
          <w:sz w:val="22"/>
        </w:rPr>
        <w:t>Transient TSRs are Type 1 and Type 2 TSRs that are not registered in the MF; instead, these TSRs are defined in SIBR for a specific trade date. The TSR definition in SIBR persists only for the Trading Day; it must be redefined every day if needed until it is registered in the Master File. An EESC may submit in SIBR a TSR definition for a registered TSR in the Master File to indicate a derate on the registered maximum capacity. An EESC may also resubmit a TSR definition in SIBR to update the maximum capacity, subject to cross revalidation; however, derates are only accepted before 9:00am. After successful cross validation of TSR definitions, the valid TSRs are available for submission of TSR bids by the respective SCs, who will be notified accordingly.</w:t>
      </w:r>
    </w:p>
    <w:p w14:paraId="75319CA8" w14:textId="77777777" w:rsidR="000B47C0" w:rsidRPr="00746F54" w:rsidRDefault="000B47C0" w:rsidP="000B47C0">
      <w:pPr>
        <w:pStyle w:val="Paragraph"/>
        <w:rPr>
          <w:rFonts w:ascii="Arial" w:hAnsi="Arial" w:cs="Arial"/>
          <w:sz w:val="22"/>
        </w:rPr>
      </w:pPr>
    </w:p>
    <w:p w14:paraId="0B53D9C3" w14:textId="77777777" w:rsidR="000B47C0" w:rsidRPr="00746F54" w:rsidRDefault="000B47C0" w:rsidP="00947B7F">
      <w:pPr>
        <w:pStyle w:val="Heading4"/>
        <w:rPr>
          <w:rFonts w:ascii="Arial" w:hAnsi="Arial" w:cs="Arial"/>
        </w:rPr>
      </w:pPr>
      <w:bookmarkStart w:id="68" w:name="_Ref191566201"/>
      <w:bookmarkStart w:id="69" w:name="_Toc191646287"/>
      <w:r w:rsidRPr="00746F54">
        <w:rPr>
          <w:rFonts w:ascii="Arial" w:hAnsi="Arial" w:cs="Arial"/>
        </w:rPr>
        <w:t>Transmission Rights List at Transfer Locations</w:t>
      </w:r>
      <w:bookmarkEnd w:id="68"/>
      <w:bookmarkEnd w:id="69"/>
    </w:p>
    <w:p w14:paraId="2AD5C3B7" w14:textId="77777777" w:rsidR="000B47C0" w:rsidRPr="00746F54" w:rsidRDefault="000B47C0" w:rsidP="000B47C0">
      <w:pPr>
        <w:pStyle w:val="Paragraph"/>
        <w:rPr>
          <w:rFonts w:ascii="Arial" w:hAnsi="Arial" w:cs="Arial"/>
          <w:sz w:val="22"/>
        </w:rPr>
      </w:pPr>
      <w:r w:rsidRPr="00746F54">
        <w:rPr>
          <w:rFonts w:ascii="Arial" w:hAnsi="Arial" w:cs="Arial"/>
          <w:sz w:val="22"/>
        </w:rPr>
        <w:t>EESCs on each side of a transfer may rely on TCSCs to define Type 1 TSRs in SIBR, and on SIBR to define Type 2 TSRs instead of registering these TSRs in the Master File. For this purpose, an EESC may submit in SIBR at a transfer location a list of TCSCs and associated transmission right capacity by CRN before 9:00am:</w:t>
      </w:r>
    </w:p>
    <w:p w14:paraId="65C20DF5" w14:textId="77777777" w:rsidR="000B47C0" w:rsidRPr="00746F54" w:rsidRDefault="000B47C0" w:rsidP="000B47C0">
      <w:pPr>
        <w:pStyle w:val="Paragraph"/>
        <w:numPr>
          <w:ilvl w:val="0"/>
          <w:numId w:val="57"/>
        </w:numPr>
        <w:spacing w:line="240" w:lineRule="auto"/>
        <w:jc w:val="both"/>
        <w:rPr>
          <w:rFonts w:ascii="Arial" w:hAnsi="Arial" w:cs="Arial"/>
          <w:sz w:val="22"/>
        </w:rPr>
      </w:pPr>
      <w:r w:rsidRPr="00746F54">
        <w:rPr>
          <w:rFonts w:ascii="Arial" w:hAnsi="Arial" w:cs="Arial"/>
          <w:sz w:val="22"/>
        </w:rPr>
        <w:t>SC_ID</w:t>
      </w:r>
    </w:p>
    <w:p w14:paraId="609E5EF9" w14:textId="77777777" w:rsidR="000B47C0" w:rsidRPr="00746F54" w:rsidRDefault="000B47C0" w:rsidP="000B47C0">
      <w:pPr>
        <w:pStyle w:val="Paragraph"/>
        <w:numPr>
          <w:ilvl w:val="1"/>
          <w:numId w:val="57"/>
        </w:numPr>
        <w:spacing w:line="240" w:lineRule="auto"/>
        <w:jc w:val="both"/>
        <w:rPr>
          <w:rFonts w:ascii="Arial" w:hAnsi="Arial" w:cs="Arial"/>
          <w:sz w:val="22"/>
        </w:rPr>
      </w:pPr>
      <w:r w:rsidRPr="00746F54">
        <w:rPr>
          <w:rFonts w:ascii="Arial" w:hAnsi="Arial" w:cs="Arial"/>
          <w:sz w:val="22"/>
        </w:rPr>
        <w:t>Registered TCSC.</w:t>
      </w:r>
    </w:p>
    <w:p w14:paraId="36AE50AC" w14:textId="77777777" w:rsidR="000B47C0" w:rsidRPr="00746F54" w:rsidRDefault="000B47C0" w:rsidP="000B47C0">
      <w:pPr>
        <w:pStyle w:val="Paragraph"/>
        <w:numPr>
          <w:ilvl w:val="0"/>
          <w:numId w:val="57"/>
        </w:numPr>
        <w:spacing w:line="240" w:lineRule="auto"/>
        <w:jc w:val="both"/>
        <w:rPr>
          <w:rFonts w:ascii="Arial" w:hAnsi="Arial" w:cs="Arial"/>
          <w:sz w:val="22"/>
        </w:rPr>
      </w:pPr>
      <w:r w:rsidRPr="00746F54">
        <w:rPr>
          <w:rFonts w:ascii="Arial" w:hAnsi="Arial" w:cs="Arial"/>
          <w:sz w:val="22"/>
        </w:rPr>
        <w:t>TRANSFER_LOCATION</w:t>
      </w:r>
    </w:p>
    <w:p w14:paraId="5859A4A2" w14:textId="77777777" w:rsidR="000B47C0" w:rsidRPr="00746F54" w:rsidRDefault="000B47C0" w:rsidP="000B47C0">
      <w:pPr>
        <w:pStyle w:val="Paragraph"/>
        <w:numPr>
          <w:ilvl w:val="1"/>
          <w:numId w:val="57"/>
        </w:numPr>
        <w:spacing w:line="240" w:lineRule="auto"/>
        <w:jc w:val="both"/>
        <w:rPr>
          <w:rFonts w:ascii="Arial" w:hAnsi="Arial" w:cs="Arial"/>
          <w:sz w:val="22"/>
        </w:rPr>
      </w:pPr>
      <w:r w:rsidRPr="00746F54">
        <w:rPr>
          <w:rFonts w:ascii="Arial" w:hAnsi="Arial" w:cs="Arial"/>
          <w:sz w:val="22"/>
        </w:rPr>
        <w:t>Registered transfer location.</w:t>
      </w:r>
    </w:p>
    <w:p w14:paraId="020DC601" w14:textId="77777777" w:rsidR="000B47C0" w:rsidRPr="00746F54" w:rsidRDefault="000B47C0" w:rsidP="000B47C0">
      <w:pPr>
        <w:pStyle w:val="Paragraph"/>
        <w:numPr>
          <w:ilvl w:val="0"/>
          <w:numId w:val="57"/>
        </w:numPr>
        <w:spacing w:line="240" w:lineRule="auto"/>
        <w:jc w:val="both"/>
        <w:rPr>
          <w:rFonts w:ascii="Arial" w:hAnsi="Arial" w:cs="Arial"/>
          <w:sz w:val="22"/>
        </w:rPr>
      </w:pPr>
      <w:r w:rsidRPr="00746F54">
        <w:rPr>
          <w:rFonts w:ascii="Arial" w:hAnsi="Arial" w:cs="Arial"/>
          <w:sz w:val="22"/>
        </w:rPr>
        <w:t>TRADING_DAY</w:t>
      </w:r>
    </w:p>
    <w:p w14:paraId="6571BE19" w14:textId="77777777" w:rsidR="000B47C0" w:rsidRPr="00746F54" w:rsidRDefault="000B47C0" w:rsidP="000B47C0">
      <w:pPr>
        <w:pStyle w:val="Paragraph"/>
        <w:numPr>
          <w:ilvl w:val="1"/>
          <w:numId w:val="57"/>
        </w:numPr>
        <w:spacing w:line="240" w:lineRule="auto"/>
        <w:jc w:val="both"/>
        <w:rPr>
          <w:rFonts w:ascii="Arial" w:hAnsi="Arial" w:cs="Arial"/>
          <w:sz w:val="22"/>
        </w:rPr>
      </w:pPr>
      <w:r w:rsidRPr="00746F54">
        <w:rPr>
          <w:rFonts w:ascii="Arial" w:hAnsi="Arial" w:cs="Arial"/>
          <w:sz w:val="22"/>
        </w:rPr>
        <w:t>Bids can be submitted in SIBR up to 7 days in advance of a Trading Day.</w:t>
      </w:r>
    </w:p>
    <w:p w14:paraId="5796A597" w14:textId="77777777" w:rsidR="000B47C0" w:rsidRPr="00746F54" w:rsidRDefault="000B47C0" w:rsidP="000B47C0">
      <w:pPr>
        <w:pStyle w:val="Paragraph"/>
        <w:numPr>
          <w:ilvl w:val="0"/>
          <w:numId w:val="57"/>
        </w:numPr>
        <w:spacing w:line="240" w:lineRule="auto"/>
        <w:jc w:val="both"/>
        <w:rPr>
          <w:rFonts w:ascii="Arial" w:hAnsi="Arial" w:cs="Arial"/>
          <w:sz w:val="22"/>
        </w:rPr>
      </w:pPr>
      <w:r w:rsidRPr="00746F54">
        <w:rPr>
          <w:rFonts w:ascii="Arial" w:hAnsi="Arial" w:cs="Arial"/>
          <w:sz w:val="22"/>
        </w:rPr>
        <w:t>TRADING_HOUR</w:t>
      </w:r>
    </w:p>
    <w:p w14:paraId="495B80E6" w14:textId="77777777" w:rsidR="000B47C0" w:rsidRPr="00746F54" w:rsidRDefault="000B47C0" w:rsidP="000B47C0">
      <w:pPr>
        <w:pStyle w:val="Paragraph"/>
        <w:numPr>
          <w:ilvl w:val="1"/>
          <w:numId w:val="57"/>
        </w:numPr>
        <w:spacing w:line="240" w:lineRule="auto"/>
        <w:jc w:val="both"/>
        <w:rPr>
          <w:rFonts w:ascii="Arial" w:hAnsi="Arial" w:cs="Arial"/>
          <w:sz w:val="22"/>
        </w:rPr>
      </w:pPr>
      <w:r w:rsidRPr="00746F54">
        <w:rPr>
          <w:rFonts w:ascii="Arial" w:hAnsi="Arial" w:cs="Arial"/>
          <w:sz w:val="22"/>
        </w:rPr>
        <w:t>The list of TCSCs and associated transmission rights may vary by hour.</w:t>
      </w:r>
    </w:p>
    <w:p w14:paraId="566CD8BC" w14:textId="77777777" w:rsidR="000B47C0" w:rsidRPr="00746F54" w:rsidRDefault="000B47C0" w:rsidP="000B47C0">
      <w:pPr>
        <w:pStyle w:val="Paragraph"/>
        <w:numPr>
          <w:ilvl w:val="0"/>
          <w:numId w:val="57"/>
        </w:numPr>
        <w:spacing w:line="240" w:lineRule="auto"/>
        <w:jc w:val="both"/>
        <w:rPr>
          <w:rFonts w:ascii="Arial" w:hAnsi="Arial" w:cs="Arial"/>
          <w:sz w:val="22"/>
        </w:rPr>
      </w:pPr>
      <w:r w:rsidRPr="00746F54">
        <w:rPr>
          <w:rFonts w:ascii="Arial" w:hAnsi="Arial" w:cs="Arial"/>
          <w:sz w:val="22"/>
        </w:rPr>
        <w:t>CRN_ID</w:t>
      </w:r>
    </w:p>
    <w:p w14:paraId="28C394B1" w14:textId="77777777" w:rsidR="000B47C0" w:rsidRPr="00746F54" w:rsidRDefault="000B47C0" w:rsidP="000B47C0">
      <w:pPr>
        <w:pStyle w:val="Paragraph"/>
        <w:numPr>
          <w:ilvl w:val="1"/>
          <w:numId w:val="57"/>
        </w:numPr>
        <w:spacing w:line="240" w:lineRule="auto"/>
        <w:jc w:val="both"/>
        <w:rPr>
          <w:rFonts w:ascii="Arial" w:hAnsi="Arial" w:cs="Arial"/>
          <w:sz w:val="22"/>
        </w:rPr>
      </w:pPr>
      <w:r w:rsidRPr="00746F54">
        <w:rPr>
          <w:rFonts w:ascii="Arial" w:hAnsi="Arial" w:cs="Arial"/>
          <w:sz w:val="22"/>
        </w:rPr>
        <w:t>Registered CRN.</w:t>
      </w:r>
    </w:p>
    <w:p w14:paraId="722C0F75" w14:textId="77777777" w:rsidR="000B47C0" w:rsidRPr="00746F54" w:rsidRDefault="000B47C0" w:rsidP="000B47C0">
      <w:pPr>
        <w:pStyle w:val="Paragraph"/>
        <w:numPr>
          <w:ilvl w:val="0"/>
          <w:numId w:val="57"/>
        </w:numPr>
        <w:spacing w:line="240" w:lineRule="auto"/>
        <w:jc w:val="both"/>
        <w:rPr>
          <w:rFonts w:ascii="Arial" w:hAnsi="Arial" w:cs="Arial"/>
          <w:sz w:val="22"/>
        </w:rPr>
      </w:pPr>
      <w:r w:rsidRPr="00746F54">
        <w:rPr>
          <w:rFonts w:ascii="Arial" w:hAnsi="Arial" w:cs="Arial"/>
          <w:sz w:val="22"/>
        </w:rPr>
        <w:t>CRN_CAPACITY</w:t>
      </w:r>
    </w:p>
    <w:p w14:paraId="1F59EE72" w14:textId="46F5F0F6" w:rsidR="000B47C0" w:rsidRPr="00746F54" w:rsidRDefault="000B47C0" w:rsidP="000B47C0">
      <w:pPr>
        <w:pStyle w:val="Paragraph"/>
        <w:numPr>
          <w:ilvl w:val="1"/>
          <w:numId w:val="57"/>
        </w:numPr>
        <w:spacing w:line="240" w:lineRule="auto"/>
        <w:jc w:val="both"/>
        <w:rPr>
          <w:rFonts w:ascii="Arial" w:hAnsi="Arial" w:cs="Arial"/>
          <w:sz w:val="22"/>
        </w:rPr>
      </w:pPr>
      <w:r w:rsidRPr="00746F54">
        <w:rPr>
          <w:rFonts w:ascii="Arial" w:hAnsi="Arial" w:cs="Arial"/>
          <w:sz w:val="22"/>
        </w:rPr>
        <w:t>The total transmission right for the specified CRN that the specified TCSC may exercise as a Type 1 transfer or released as a Type 2 transfer.</w:t>
      </w:r>
    </w:p>
    <w:p w14:paraId="581D5777" w14:textId="77777777" w:rsidR="000B47C0" w:rsidRPr="00746F54" w:rsidRDefault="000B47C0" w:rsidP="000B47C0">
      <w:pPr>
        <w:pStyle w:val="Paragraph"/>
        <w:rPr>
          <w:rFonts w:ascii="Arial" w:hAnsi="Arial" w:cs="Arial"/>
          <w:sz w:val="22"/>
        </w:rPr>
      </w:pPr>
      <w:r w:rsidRPr="00746F54">
        <w:rPr>
          <w:rFonts w:ascii="Arial" w:hAnsi="Arial" w:cs="Arial"/>
          <w:sz w:val="22"/>
        </w:rPr>
        <w:t>This information is also registered in the Master File for each CRN, but the submission in SIBR can provide updates.</w:t>
      </w:r>
    </w:p>
    <w:p w14:paraId="78B15814" w14:textId="77777777" w:rsidR="000B47C0" w:rsidRPr="00746F54" w:rsidRDefault="000B47C0" w:rsidP="000B47C0">
      <w:pPr>
        <w:pStyle w:val="Paragraph"/>
        <w:rPr>
          <w:rFonts w:ascii="Arial" w:hAnsi="Arial" w:cs="Arial"/>
          <w:sz w:val="22"/>
        </w:rPr>
      </w:pPr>
    </w:p>
    <w:p w14:paraId="468CEE07" w14:textId="77777777" w:rsidR="000B47C0" w:rsidRPr="00746F54" w:rsidRDefault="000B47C0" w:rsidP="00636D40">
      <w:pPr>
        <w:pStyle w:val="Heading4"/>
        <w:rPr>
          <w:rFonts w:ascii="Arial" w:hAnsi="Arial" w:cs="Arial"/>
        </w:rPr>
      </w:pPr>
      <w:bookmarkStart w:id="70" w:name="_Ref191633128"/>
      <w:bookmarkStart w:id="71" w:name="_Toc191646288"/>
      <w:r w:rsidRPr="00746F54">
        <w:rPr>
          <w:rFonts w:ascii="Arial" w:hAnsi="Arial" w:cs="Arial"/>
        </w:rPr>
        <w:t>Transfer Type 1 Definition in SIBR</w:t>
      </w:r>
      <w:bookmarkEnd w:id="70"/>
      <w:bookmarkEnd w:id="71"/>
    </w:p>
    <w:p w14:paraId="279458A3" w14:textId="578623A6" w:rsidR="000B47C0" w:rsidRPr="00746F54" w:rsidRDefault="000B47C0" w:rsidP="000B47C0">
      <w:pPr>
        <w:pStyle w:val="Paragraph"/>
        <w:rPr>
          <w:rFonts w:ascii="Arial" w:hAnsi="Arial" w:cs="Arial"/>
          <w:sz w:val="22"/>
        </w:rPr>
      </w:pPr>
      <w:r w:rsidRPr="00746F54">
        <w:rPr>
          <w:rFonts w:ascii="Arial" w:hAnsi="Arial" w:cs="Arial"/>
          <w:sz w:val="22"/>
        </w:rPr>
        <w:t>After an EESC has submitted a list of TCSCs and associated transmission right capacity by CRN at a transfer location, as described in 17.5.1, these TCSCs may define Type 1 TSRs at that transfer location for the Trading Day, subject to the definition and validation requirements described in Section 17.4. When the matching TSR is submitted by the matching TCSC, SIBR will cross-validate the TSR pair and finalize the TSR definition.</w:t>
      </w:r>
    </w:p>
    <w:p w14:paraId="011933BE" w14:textId="77777777" w:rsidR="000B47C0" w:rsidRPr="00746F54" w:rsidRDefault="000B47C0" w:rsidP="000B47C0">
      <w:pPr>
        <w:pStyle w:val="Paragraph"/>
        <w:rPr>
          <w:rFonts w:ascii="Arial" w:hAnsi="Arial" w:cs="Arial"/>
          <w:sz w:val="22"/>
        </w:rPr>
      </w:pPr>
    </w:p>
    <w:p w14:paraId="3EE2C149" w14:textId="77777777" w:rsidR="000B47C0" w:rsidRPr="00746F54" w:rsidRDefault="000B47C0" w:rsidP="00636D40">
      <w:pPr>
        <w:pStyle w:val="Heading4"/>
        <w:rPr>
          <w:rFonts w:ascii="Arial" w:hAnsi="Arial" w:cs="Arial"/>
        </w:rPr>
      </w:pPr>
      <w:bookmarkStart w:id="72" w:name="_Toc191646289"/>
      <w:r w:rsidRPr="00746F54">
        <w:rPr>
          <w:rFonts w:ascii="Arial" w:hAnsi="Arial" w:cs="Arial"/>
        </w:rPr>
        <w:t>Capacity Release at Transfer Locations</w:t>
      </w:r>
      <w:bookmarkEnd w:id="72"/>
    </w:p>
    <w:p w14:paraId="1C1DEF61" w14:textId="6EBC47EA" w:rsidR="000B47C0" w:rsidRPr="00746F54" w:rsidRDefault="000B47C0" w:rsidP="000B47C0">
      <w:pPr>
        <w:pStyle w:val="Paragraph"/>
        <w:rPr>
          <w:rFonts w:ascii="Arial" w:hAnsi="Arial" w:cs="Arial"/>
          <w:sz w:val="22"/>
        </w:rPr>
      </w:pPr>
      <w:r w:rsidRPr="00746F54">
        <w:rPr>
          <w:rFonts w:ascii="Arial" w:hAnsi="Arial" w:cs="Arial"/>
          <w:sz w:val="22"/>
        </w:rPr>
        <w:t>After an EESC has submitted a list of TCSCs and associated transmission right capacity by CRN at a transfer location, as described in Section 17.5.1, these TCSCs may release capacity out of these rights in SIBR before 9:00am:</w:t>
      </w:r>
    </w:p>
    <w:p w14:paraId="437523B8" w14:textId="77777777" w:rsidR="000B47C0" w:rsidRPr="00746F54" w:rsidRDefault="000B47C0" w:rsidP="000B47C0">
      <w:pPr>
        <w:pStyle w:val="Paragraph"/>
        <w:numPr>
          <w:ilvl w:val="0"/>
          <w:numId w:val="57"/>
        </w:numPr>
        <w:spacing w:line="240" w:lineRule="auto"/>
        <w:jc w:val="both"/>
        <w:rPr>
          <w:rFonts w:ascii="Arial" w:hAnsi="Arial" w:cs="Arial"/>
          <w:sz w:val="22"/>
        </w:rPr>
      </w:pPr>
      <w:r w:rsidRPr="00746F54">
        <w:rPr>
          <w:rFonts w:ascii="Arial" w:hAnsi="Arial" w:cs="Arial"/>
          <w:sz w:val="22"/>
        </w:rPr>
        <w:t>SC_ID</w:t>
      </w:r>
    </w:p>
    <w:p w14:paraId="7FE82E9E" w14:textId="047EACEC" w:rsidR="000B47C0" w:rsidRPr="00746F54" w:rsidRDefault="000B47C0" w:rsidP="000B47C0">
      <w:pPr>
        <w:pStyle w:val="Paragraph"/>
        <w:numPr>
          <w:ilvl w:val="1"/>
          <w:numId w:val="57"/>
        </w:numPr>
        <w:spacing w:line="240" w:lineRule="auto"/>
        <w:jc w:val="both"/>
        <w:rPr>
          <w:rFonts w:ascii="Arial" w:hAnsi="Arial" w:cs="Arial"/>
          <w:sz w:val="22"/>
        </w:rPr>
      </w:pPr>
      <w:r w:rsidRPr="00746F54">
        <w:rPr>
          <w:rFonts w:ascii="Arial" w:hAnsi="Arial" w:cs="Arial"/>
          <w:sz w:val="22"/>
        </w:rPr>
        <w:t>Registered TCSC; it must match a TCSC in the list of TCSCs submitted by the EESC for that transfer location.</w:t>
      </w:r>
    </w:p>
    <w:p w14:paraId="09516F5E" w14:textId="77777777" w:rsidR="000B47C0" w:rsidRPr="00746F54" w:rsidRDefault="000B47C0" w:rsidP="000B47C0">
      <w:pPr>
        <w:pStyle w:val="Paragraph"/>
        <w:numPr>
          <w:ilvl w:val="0"/>
          <w:numId w:val="57"/>
        </w:numPr>
        <w:spacing w:line="240" w:lineRule="auto"/>
        <w:jc w:val="both"/>
        <w:rPr>
          <w:rFonts w:ascii="Arial" w:hAnsi="Arial" w:cs="Arial"/>
          <w:sz w:val="22"/>
        </w:rPr>
      </w:pPr>
      <w:r w:rsidRPr="00746F54">
        <w:rPr>
          <w:rFonts w:ascii="Arial" w:hAnsi="Arial" w:cs="Arial"/>
          <w:sz w:val="22"/>
        </w:rPr>
        <w:lastRenderedPageBreak/>
        <w:t>TRANSFER_LOCATION</w:t>
      </w:r>
    </w:p>
    <w:p w14:paraId="142A2851" w14:textId="77777777" w:rsidR="000B47C0" w:rsidRPr="00746F54" w:rsidRDefault="000B47C0" w:rsidP="000B47C0">
      <w:pPr>
        <w:pStyle w:val="Paragraph"/>
        <w:numPr>
          <w:ilvl w:val="1"/>
          <w:numId w:val="57"/>
        </w:numPr>
        <w:spacing w:line="240" w:lineRule="auto"/>
        <w:jc w:val="both"/>
        <w:rPr>
          <w:rFonts w:ascii="Arial" w:hAnsi="Arial" w:cs="Arial"/>
          <w:sz w:val="22"/>
        </w:rPr>
      </w:pPr>
      <w:r w:rsidRPr="00746F54">
        <w:rPr>
          <w:rFonts w:ascii="Arial" w:hAnsi="Arial" w:cs="Arial"/>
          <w:sz w:val="22"/>
        </w:rPr>
        <w:t>Registered transfer location.</w:t>
      </w:r>
    </w:p>
    <w:p w14:paraId="305963A0" w14:textId="77777777" w:rsidR="000B47C0" w:rsidRPr="00746F54" w:rsidRDefault="000B47C0" w:rsidP="000B47C0">
      <w:pPr>
        <w:pStyle w:val="Paragraph"/>
        <w:numPr>
          <w:ilvl w:val="0"/>
          <w:numId w:val="57"/>
        </w:numPr>
        <w:spacing w:line="240" w:lineRule="auto"/>
        <w:jc w:val="both"/>
        <w:rPr>
          <w:rFonts w:ascii="Arial" w:hAnsi="Arial" w:cs="Arial"/>
          <w:sz w:val="22"/>
        </w:rPr>
      </w:pPr>
      <w:r w:rsidRPr="00746F54">
        <w:rPr>
          <w:rFonts w:ascii="Arial" w:hAnsi="Arial" w:cs="Arial"/>
          <w:sz w:val="22"/>
        </w:rPr>
        <w:t>TRADING_DAY</w:t>
      </w:r>
    </w:p>
    <w:p w14:paraId="704FAD71" w14:textId="77777777" w:rsidR="000B47C0" w:rsidRPr="00746F54" w:rsidRDefault="000B47C0" w:rsidP="000B47C0">
      <w:pPr>
        <w:pStyle w:val="Paragraph"/>
        <w:numPr>
          <w:ilvl w:val="1"/>
          <w:numId w:val="57"/>
        </w:numPr>
        <w:spacing w:line="240" w:lineRule="auto"/>
        <w:jc w:val="both"/>
        <w:rPr>
          <w:rFonts w:ascii="Arial" w:hAnsi="Arial" w:cs="Arial"/>
          <w:sz w:val="22"/>
        </w:rPr>
      </w:pPr>
      <w:r w:rsidRPr="00746F54">
        <w:rPr>
          <w:rFonts w:ascii="Arial" w:hAnsi="Arial" w:cs="Arial"/>
          <w:sz w:val="22"/>
        </w:rPr>
        <w:t>Bids can be submitted in SIBR up to 7 days in advance of a Trading Day.</w:t>
      </w:r>
    </w:p>
    <w:p w14:paraId="3BBDAA5B" w14:textId="77777777" w:rsidR="000B47C0" w:rsidRPr="00746F54" w:rsidRDefault="000B47C0" w:rsidP="000B47C0">
      <w:pPr>
        <w:pStyle w:val="Paragraph"/>
        <w:numPr>
          <w:ilvl w:val="0"/>
          <w:numId w:val="57"/>
        </w:numPr>
        <w:spacing w:line="240" w:lineRule="auto"/>
        <w:jc w:val="both"/>
        <w:rPr>
          <w:rFonts w:ascii="Arial" w:hAnsi="Arial" w:cs="Arial"/>
          <w:sz w:val="22"/>
        </w:rPr>
      </w:pPr>
      <w:r w:rsidRPr="00746F54">
        <w:rPr>
          <w:rFonts w:ascii="Arial" w:hAnsi="Arial" w:cs="Arial"/>
          <w:sz w:val="22"/>
        </w:rPr>
        <w:t>TRADING_HOUR</w:t>
      </w:r>
    </w:p>
    <w:p w14:paraId="763D4AE2" w14:textId="77777777" w:rsidR="000B47C0" w:rsidRPr="00746F54" w:rsidRDefault="000B47C0" w:rsidP="000B47C0">
      <w:pPr>
        <w:pStyle w:val="Paragraph"/>
        <w:numPr>
          <w:ilvl w:val="1"/>
          <w:numId w:val="57"/>
        </w:numPr>
        <w:spacing w:line="240" w:lineRule="auto"/>
        <w:jc w:val="both"/>
        <w:rPr>
          <w:rFonts w:ascii="Arial" w:hAnsi="Arial" w:cs="Arial"/>
          <w:sz w:val="22"/>
        </w:rPr>
      </w:pPr>
      <w:r w:rsidRPr="00746F54">
        <w:rPr>
          <w:rFonts w:ascii="Arial" w:hAnsi="Arial" w:cs="Arial"/>
          <w:sz w:val="22"/>
        </w:rPr>
        <w:t>The list of TCSCs and associated transmission rights and released capacity may vary by hour.</w:t>
      </w:r>
    </w:p>
    <w:p w14:paraId="286EBA89" w14:textId="77777777" w:rsidR="000B47C0" w:rsidRPr="00746F54" w:rsidRDefault="000B47C0" w:rsidP="000B47C0">
      <w:pPr>
        <w:pStyle w:val="Paragraph"/>
        <w:numPr>
          <w:ilvl w:val="0"/>
          <w:numId w:val="57"/>
        </w:numPr>
        <w:spacing w:line="240" w:lineRule="auto"/>
        <w:jc w:val="both"/>
        <w:rPr>
          <w:rFonts w:ascii="Arial" w:hAnsi="Arial" w:cs="Arial"/>
          <w:sz w:val="22"/>
        </w:rPr>
      </w:pPr>
      <w:r w:rsidRPr="00746F54">
        <w:rPr>
          <w:rFonts w:ascii="Arial" w:hAnsi="Arial" w:cs="Arial"/>
          <w:sz w:val="22"/>
        </w:rPr>
        <w:t>CRN_ID</w:t>
      </w:r>
    </w:p>
    <w:p w14:paraId="3AF6EC1E" w14:textId="70C087E3" w:rsidR="000B47C0" w:rsidRPr="00746F54" w:rsidRDefault="000B47C0" w:rsidP="000B47C0">
      <w:pPr>
        <w:pStyle w:val="Paragraph"/>
        <w:numPr>
          <w:ilvl w:val="1"/>
          <w:numId w:val="57"/>
        </w:numPr>
        <w:spacing w:line="240" w:lineRule="auto"/>
        <w:jc w:val="both"/>
        <w:rPr>
          <w:rFonts w:ascii="Arial" w:hAnsi="Arial" w:cs="Arial"/>
          <w:sz w:val="22"/>
        </w:rPr>
      </w:pPr>
      <w:r w:rsidRPr="00746F54">
        <w:rPr>
          <w:rFonts w:ascii="Arial" w:hAnsi="Arial" w:cs="Arial"/>
          <w:sz w:val="22"/>
        </w:rPr>
        <w:t>Registered CRN; it must match a CRN in the list of CRNs for that TCSC submitted by the EESC for that transfer location.</w:t>
      </w:r>
    </w:p>
    <w:p w14:paraId="2DCD0647" w14:textId="77777777" w:rsidR="000B47C0" w:rsidRPr="00746F54" w:rsidRDefault="000B47C0" w:rsidP="000B47C0">
      <w:pPr>
        <w:pStyle w:val="Paragraph"/>
        <w:numPr>
          <w:ilvl w:val="0"/>
          <w:numId w:val="57"/>
        </w:numPr>
        <w:spacing w:line="240" w:lineRule="auto"/>
        <w:jc w:val="both"/>
        <w:rPr>
          <w:rFonts w:ascii="Arial" w:hAnsi="Arial" w:cs="Arial"/>
          <w:sz w:val="22"/>
        </w:rPr>
      </w:pPr>
      <w:r w:rsidRPr="00746F54">
        <w:rPr>
          <w:rFonts w:ascii="Arial" w:hAnsi="Arial" w:cs="Arial"/>
          <w:sz w:val="22"/>
        </w:rPr>
        <w:t>RELEASED_CAPACITY</w:t>
      </w:r>
    </w:p>
    <w:p w14:paraId="2D76A14B" w14:textId="09242C17" w:rsidR="000B47C0" w:rsidRPr="00746F54" w:rsidRDefault="000B47C0" w:rsidP="000B47C0">
      <w:pPr>
        <w:pStyle w:val="Paragraph"/>
        <w:numPr>
          <w:ilvl w:val="1"/>
          <w:numId w:val="57"/>
        </w:numPr>
        <w:spacing w:line="240" w:lineRule="auto"/>
        <w:jc w:val="both"/>
        <w:rPr>
          <w:rFonts w:ascii="Arial" w:hAnsi="Arial" w:cs="Arial"/>
          <w:sz w:val="22"/>
        </w:rPr>
      </w:pPr>
      <w:r w:rsidRPr="00746F54">
        <w:rPr>
          <w:rFonts w:ascii="Arial" w:hAnsi="Arial" w:cs="Arial"/>
          <w:sz w:val="22"/>
        </w:rPr>
        <w:t>The total released transmission right for the specified CRN; it is inclusive of capacity released via any registered Type 2 TSR bids. The released capacity and the sum off all Type 1 TSR self-schedules by that TCSC at that transfer location for the specified CRN must not exceed the total right for that CRN submitted by the EESC.</w:t>
      </w:r>
    </w:p>
    <w:p w14:paraId="792FF5BE" w14:textId="77777777" w:rsidR="009C2B4B" w:rsidRPr="00746F54" w:rsidRDefault="009C2B4B" w:rsidP="009C2B4B">
      <w:pPr>
        <w:pStyle w:val="Paragraph"/>
        <w:spacing w:line="240" w:lineRule="auto"/>
        <w:ind w:left="1440"/>
        <w:jc w:val="both"/>
        <w:rPr>
          <w:rFonts w:ascii="Arial" w:hAnsi="Arial" w:cs="Arial"/>
          <w:sz w:val="22"/>
        </w:rPr>
      </w:pPr>
    </w:p>
    <w:p w14:paraId="3B16895F" w14:textId="04897C5F" w:rsidR="000B47C0" w:rsidRPr="00746F54" w:rsidRDefault="000B47C0" w:rsidP="00636D40">
      <w:pPr>
        <w:pStyle w:val="Heading4"/>
        <w:rPr>
          <w:rFonts w:ascii="Arial" w:hAnsi="Arial" w:cs="Arial"/>
        </w:rPr>
      </w:pPr>
      <w:bookmarkStart w:id="73" w:name="_Ref191632298"/>
      <w:bookmarkStart w:id="74" w:name="_Toc191646290"/>
      <w:r w:rsidRPr="00746F54">
        <w:rPr>
          <w:rFonts w:ascii="Arial" w:hAnsi="Arial" w:cs="Arial"/>
        </w:rPr>
        <w:t>Transfer Type 2 Matching and Definition in SIBR</w:t>
      </w:r>
      <w:bookmarkEnd w:id="73"/>
      <w:bookmarkEnd w:id="74"/>
    </w:p>
    <w:p w14:paraId="6AA0D428" w14:textId="4BBC3204" w:rsidR="000B47C0" w:rsidRPr="00746F54" w:rsidRDefault="000B47C0" w:rsidP="000B47C0">
      <w:pPr>
        <w:pStyle w:val="Paragraph"/>
        <w:rPr>
          <w:rFonts w:ascii="Arial" w:hAnsi="Arial" w:cs="Arial"/>
          <w:sz w:val="22"/>
        </w:rPr>
      </w:pPr>
      <w:r w:rsidRPr="00746F54">
        <w:rPr>
          <w:rFonts w:ascii="Arial" w:hAnsi="Arial" w:cs="Arial"/>
          <w:sz w:val="22"/>
        </w:rPr>
        <w:t>At 9:00 am, SIBR will match released capacity by a TCSC from a CRN at a transfer location with released capacity by TCSCs at the corresponding matching transfer location. Any released capacity specified in registered Type 2 TSR bids will be excluded since it is already matched. As a result of this released capacity matching, SIBR will define Type 2 TSR pairs for the relevant TCSCs and Trading Hour. The TSR matching and definition methodology at a transfer location and its matching transfer location is as follows:</w:t>
      </w:r>
    </w:p>
    <w:p w14:paraId="36F7E9C9" w14:textId="77777777" w:rsidR="000B47C0" w:rsidRPr="00746F54" w:rsidRDefault="000B47C0" w:rsidP="000B47C0">
      <w:pPr>
        <w:pStyle w:val="Paragraph"/>
        <w:numPr>
          <w:ilvl w:val="0"/>
          <w:numId w:val="58"/>
        </w:numPr>
        <w:spacing w:line="240" w:lineRule="auto"/>
        <w:jc w:val="both"/>
        <w:rPr>
          <w:rFonts w:ascii="Arial" w:hAnsi="Arial" w:cs="Arial"/>
          <w:sz w:val="22"/>
        </w:rPr>
      </w:pPr>
      <w:r w:rsidRPr="00746F54">
        <w:rPr>
          <w:rFonts w:ascii="Arial" w:hAnsi="Arial" w:cs="Arial"/>
          <w:sz w:val="22"/>
        </w:rPr>
        <w:t>The released capacity offers will be aggregated by TCSC over all relevant CRNs and any released capacity under registered Type 2 TSR bids will be subtracted.</w:t>
      </w:r>
    </w:p>
    <w:p w14:paraId="5FD08308" w14:textId="77777777" w:rsidR="000B47C0" w:rsidRPr="00746F54" w:rsidRDefault="000B47C0" w:rsidP="000B47C0">
      <w:pPr>
        <w:pStyle w:val="Paragraph"/>
        <w:numPr>
          <w:ilvl w:val="0"/>
          <w:numId w:val="58"/>
        </w:numPr>
        <w:spacing w:line="240" w:lineRule="auto"/>
        <w:jc w:val="both"/>
        <w:rPr>
          <w:rFonts w:ascii="Arial" w:hAnsi="Arial" w:cs="Arial"/>
          <w:sz w:val="22"/>
        </w:rPr>
      </w:pPr>
      <w:r w:rsidRPr="00746F54">
        <w:rPr>
          <w:rFonts w:ascii="Arial" w:hAnsi="Arial" w:cs="Arial"/>
          <w:sz w:val="22"/>
        </w:rPr>
        <w:t>The aggregate released capacity offers will be ordered in ascending order top to bottom.</w:t>
      </w:r>
    </w:p>
    <w:p w14:paraId="5D3FC0E4" w14:textId="77777777" w:rsidR="000B47C0" w:rsidRPr="00746F54" w:rsidRDefault="000B47C0" w:rsidP="000B47C0">
      <w:pPr>
        <w:pStyle w:val="Paragraph"/>
        <w:numPr>
          <w:ilvl w:val="0"/>
          <w:numId w:val="58"/>
        </w:numPr>
        <w:spacing w:line="240" w:lineRule="auto"/>
        <w:jc w:val="both"/>
        <w:rPr>
          <w:rFonts w:ascii="Arial" w:hAnsi="Arial" w:cs="Arial"/>
          <w:sz w:val="22"/>
        </w:rPr>
      </w:pPr>
      <w:r w:rsidRPr="00746F54">
        <w:rPr>
          <w:rFonts w:ascii="Arial" w:hAnsi="Arial" w:cs="Arial"/>
          <w:sz w:val="22"/>
        </w:rPr>
        <w:t>The aggregate released capacity offers on the long side of the transfer where the total capacity exceeds the total on the short side, will be reduced pro rata to match the total capacity on the short side.</w:t>
      </w:r>
    </w:p>
    <w:p w14:paraId="71D7D5C0" w14:textId="0DD79E1F" w:rsidR="000B47C0" w:rsidRPr="00746F54" w:rsidRDefault="000B47C0" w:rsidP="000B47C0">
      <w:pPr>
        <w:pStyle w:val="Paragraph"/>
        <w:numPr>
          <w:ilvl w:val="0"/>
          <w:numId w:val="58"/>
        </w:numPr>
        <w:spacing w:line="240" w:lineRule="auto"/>
        <w:jc w:val="both"/>
        <w:rPr>
          <w:rFonts w:ascii="Arial" w:hAnsi="Arial" w:cs="Arial"/>
          <w:sz w:val="22"/>
        </w:rPr>
      </w:pPr>
      <w:r w:rsidRPr="00746F54">
        <w:rPr>
          <w:rFonts w:ascii="Arial" w:hAnsi="Arial" w:cs="Arial"/>
          <w:sz w:val="22"/>
        </w:rPr>
        <w:t xml:space="preserve">The aggregate released capacity offers on both sides of the transfer will be sliced horizontally at all TCSC boundaries to yield matching capacity offers; these matching capacity offers then become the Maximum Capacity of Type 2 TSR pairs that are defined by SIBR using the naming convention: SC_ID_FROM_BAA-TO_BAA-INTERTIE-DIRECTION-TSR_TYPE-MATCHING_SC_ID-nn, where the numeric identifier ‘nn’ is the Hour Ending (1-25) for the relevant Trading Hour, since the capacity offer matching may yield different results for each hour. SIBR will set the Capacity Limit in these TSRs equal to the Maximum Capacity, and the RSE Eligibility to “N”. There will not be a CRN specified in these Type 2 TSRs since the released capacity will be aggregated at step (1) above </w:t>
      </w:r>
      <w:r w:rsidRPr="00746F54">
        <w:rPr>
          <w:rFonts w:ascii="Arial" w:hAnsi="Arial" w:cs="Arial"/>
          <w:sz w:val="22"/>
        </w:rPr>
        <w:lastRenderedPageBreak/>
        <w:t>across potentially multiple CRNs. The transfer capacity under the Capacity Limit will be released to EDAM for optimal scheduling in the IFM and RUC.</w:t>
      </w:r>
    </w:p>
    <w:p w14:paraId="00300850" w14:textId="77777777" w:rsidR="000B47C0" w:rsidRPr="00746F54" w:rsidRDefault="000B47C0" w:rsidP="000B47C0">
      <w:pPr>
        <w:pStyle w:val="Paragraph"/>
        <w:numPr>
          <w:ilvl w:val="0"/>
          <w:numId w:val="58"/>
        </w:numPr>
        <w:spacing w:line="240" w:lineRule="auto"/>
        <w:jc w:val="both"/>
        <w:rPr>
          <w:rFonts w:ascii="Arial" w:hAnsi="Arial" w:cs="Arial"/>
          <w:sz w:val="22"/>
        </w:rPr>
      </w:pPr>
      <w:r w:rsidRPr="00746F54">
        <w:rPr>
          <w:rFonts w:ascii="Arial" w:hAnsi="Arial" w:cs="Arial"/>
          <w:sz w:val="22"/>
        </w:rPr>
        <w:t>SIBR will notify the corresponding TCSCs and their EESCs about their defined Type 2 TSRs; no TSR bid is required, and none will be accepted for these TSRs.</w:t>
      </w:r>
    </w:p>
    <w:p w14:paraId="4DBB855B" w14:textId="77777777" w:rsidR="000B47C0" w:rsidRPr="00746F54" w:rsidRDefault="000B47C0" w:rsidP="000B47C0">
      <w:pPr>
        <w:pStyle w:val="Paragraph"/>
        <w:rPr>
          <w:rFonts w:ascii="Arial" w:hAnsi="Arial" w:cs="Arial"/>
          <w:sz w:val="22"/>
        </w:rPr>
      </w:pPr>
      <w:r w:rsidRPr="00746F54">
        <w:rPr>
          <w:rFonts w:ascii="Arial" w:hAnsi="Arial" w:cs="Arial"/>
          <w:sz w:val="22"/>
        </w:rPr>
        <w:t xml:space="preserve">The methodology is illustrated with an example in </w:t>
      </w:r>
      <w:r w:rsidRPr="00746F54">
        <w:rPr>
          <w:rFonts w:ascii="Arial" w:hAnsi="Arial" w:cs="Arial"/>
          <w:sz w:val="22"/>
        </w:rPr>
        <w:fldChar w:fldCharType="begin"/>
      </w:r>
      <w:r w:rsidRPr="00746F54">
        <w:rPr>
          <w:rFonts w:ascii="Arial" w:hAnsi="Arial" w:cs="Arial"/>
          <w:sz w:val="22"/>
        </w:rPr>
        <w:instrText xml:space="preserve"> REF _Ref179360370 \h  \* MERGEFORMAT </w:instrText>
      </w:r>
      <w:r w:rsidRPr="00746F54">
        <w:rPr>
          <w:rFonts w:ascii="Arial" w:hAnsi="Arial" w:cs="Arial"/>
          <w:sz w:val="22"/>
        </w:rPr>
      </w:r>
      <w:r w:rsidRPr="00746F54">
        <w:rPr>
          <w:rFonts w:ascii="Arial" w:hAnsi="Arial" w:cs="Arial"/>
          <w:sz w:val="22"/>
        </w:rPr>
        <w:fldChar w:fldCharType="separate"/>
      </w:r>
      <w:r w:rsidRPr="00746F54">
        <w:rPr>
          <w:rFonts w:ascii="Arial" w:hAnsi="Arial" w:cs="Arial"/>
          <w:sz w:val="22"/>
        </w:rPr>
        <w:t>Figure 17.</w:t>
      </w:r>
      <w:r w:rsidRPr="00746F54">
        <w:rPr>
          <w:rFonts w:ascii="Arial" w:hAnsi="Arial" w:cs="Arial"/>
          <w:noProof/>
          <w:sz w:val="22"/>
        </w:rPr>
        <w:t>2</w:t>
      </w:r>
      <w:r w:rsidRPr="00746F54">
        <w:rPr>
          <w:rFonts w:ascii="Arial" w:hAnsi="Arial" w:cs="Arial"/>
          <w:sz w:val="22"/>
        </w:rPr>
        <w:fldChar w:fldCharType="end"/>
      </w:r>
      <w:r w:rsidRPr="00746F54">
        <w:rPr>
          <w:rFonts w:ascii="Arial" w:hAnsi="Arial" w:cs="Arial"/>
          <w:sz w:val="22"/>
        </w:rPr>
        <w:t>.</w:t>
      </w:r>
    </w:p>
    <w:p w14:paraId="2DF7D8EA" w14:textId="77777777" w:rsidR="000B47C0" w:rsidRPr="00746F54" w:rsidRDefault="000B47C0" w:rsidP="000B47C0">
      <w:pPr>
        <w:pStyle w:val="Figure"/>
        <w:rPr>
          <w:rFonts w:ascii="Arial" w:hAnsi="Arial" w:cs="Arial"/>
          <w:sz w:val="22"/>
          <w:szCs w:val="22"/>
        </w:rPr>
      </w:pPr>
      <w:r w:rsidRPr="00746F54">
        <w:rPr>
          <w:rFonts w:ascii="Arial" w:hAnsi="Arial" w:cs="Arial"/>
          <w:noProof/>
          <w:sz w:val="22"/>
          <w:szCs w:val="22"/>
        </w:rPr>
        <mc:AlternateContent>
          <mc:Choice Requires="wpc">
            <w:drawing>
              <wp:inline distT="0" distB="0" distL="0" distR="0" wp14:anchorId="6897F5B3" wp14:editId="28B9BFED">
                <wp:extent cx="5943600" cy="3467100"/>
                <wp:effectExtent l="0" t="0" r="0" b="19050"/>
                <wp:docPr id="2071856332" name="Canvas 2"/>
                <wp:cNvGraphicFramePr>
                  <a:graphicFrameLocks xmlns:a="http://schemas.openxmlformats.org/drawingml/2006/main" noChangeAspect="1"/>
                </wp:cNvGraphicFramePr>
                <a:graphic xmlns:a="http://schemas.openxmlformats.org/drawingml/2006/main">
                  <a:graphicData uri="http://schemas.microsoft.com/office/word/2010/wordprocessingCanvas">
                    <wpc:wpc>
                      <wpc:bg>
                        <a:solidFill>
                          <a:prstClr val="white"/>
                        </a:solidFill>
                      </wpc:bg>
                      <wpc:whole/>
                      <wpg:wgp>
                        <wpg:cNvPr id="110180868" name="Group 110180868"/>
                        <wpg:cNvGrpSpPr/>
                        <wpg:grpSpPr>
                          <a:xfrm>
                            <a:off x="961970" y="0"/>
                            <a:ext cx="4035627" cy="3467100"/>
                            <a:chOff x="0" y="0"/>
                            <a:chExt cx="4035627" cy="3467100"/>
                          </a:xfrm>
                        </wpg:grpSpPr>
                        <wpg:grpSp>
                          <wpg:cNvPr id="2050658859" name="Group 2050658859">
                            <a:extLst>
                              <a:ext uri="{FF2B5EF4-FFF2-40B4-BE49-F238E27FC236}">
                                <a16:creationId xmlns:a16="http://schemas.microsoft.com/office/drawing/2014/main" id="{DBB01A93-E1D6-873D-1E6C-1DF6C1C94CFA}"/>
                              </a:ext>
                            </a:extLst>
                          </wpg:cNvPr>
                          <wpg:cNvGrpSpPr/>
                          <wpg:grpSpPr>
                            <a:xfrm>
                              <a:off x="547437" y="52619"/>
                              <a:ext cx="2933326" cy="3414481"/>
                              <a:chOff x="685800" y="65918"/>
                              <a:chExt cx="3674716" cy="4277482"/>
                            </a:xfrm>
                          </wpg:grpSpPr>
                          <wps:wsp>
                            <wps:cNvPr id="1139321405" name="Rectangle 1139321405">
                              <a:extLst>
                                <a:ext uri="{FF2B5EF4-FFF2-40B4-BE49-F238E27FC236}">
                                  <a16:creationId xmlns:a16="http://schemas.microsoft.com/office/drawing/2014/main" id="{DD8DDBED-0D2A-C629-2165-857FFA3CCC6A}"/>
                                </a:ext>
                              </a:extLst>
                            </wps:cNvPr>
                            <wps:cNvSpPr/>
                            <wps:spPr>
                              <a:xfrm>
                                <a:off x="685800" y="685800"/>
                                <a:ext cx="914400" cy="3657600"/>
                              </a:xfrm>
                              <a:prstGeom prst="rect">
                                <a:avLst/>
                              </a:prstGeom>
                              <a:solidFill>
                                <a:srgbClr val="A5A5A5">
                                  <a:lumMod val="40000"/>
                                  <a:lumOff val="60000"/>
                                </a:srgbClr>
                              </a:solidFill>
                              <a:ln w="12700" cap="flat" cmpd="sng" algn="ctr">
                                <a:solidFill>
                                  <a:sysClr val="windowText" lastClr="000000"/>
                                </a:solidFill>
                                <a:prstDash val="solid"/>
                                <a:miter lim="800000"/>
                              </a:ln>
                              <a:effectLst/>
                            </wps:spPr>
                            <wps:bodyPr rtlCol="0" anchor="ctr"/>
                          </wps:wsp>
                          <wps:wsp>
                            <wps:cNvPr id="1784269896" name="Rectangle 1784269896">
                              <a:extLst>
                                <a:ext uri="{FF2B5EF4-FFF2-40B4-BE49-F238E27FC236}">
                                  <a16:creationId xmlns:a16="http://schemas.microsoft.com/office/drawing/2014/main" id="{7EA6691A-E9BC-1E05-E2B7-6102895E67B4}"/>
                                </a:ext>
                              </a:extLst>
                            </wps:cNvPr>
                            <wps:cNvSpPr/>
                            <wps:spPr>
                              <a:xfrm>
                                <a:off x="3446116" y="65918"/>
                                <a:ext cx="914400" cy="4277482"/>
                              </a:xfrm>
                              <a:prstGeom prst="rect">
                                <a:avLst/>
                              </a:prstGeom>
                              <a:solidFill>
                                <a:srgbClr val="4472C4">
                                  <a:lumMod val="40000"/>
                                  <a:lumOff val="60000"/>
                                </a:srgbClr>
                              </a:solidFill>
                              <a:ln w="12700" cap="flat" cmpd="sng" algn="ctr">
                                <a:solidFill>
                                  <a:sysClr val="windowText" lastClr="000000"/>
                                </a:solidFill>
                                <a:prstDash val="solid"/>
                                <a:miter lim="800000"/>
                              </a:ln>
                              <a:effectLst/>
                            </wps:spPr>
                            <wps:bodyPr rtlCol="0" anchor="ctr"/>
                          </wps:wsp>
                        </wpg:grpSp>
                        <wpg:grpSp>
                          <wpg:cNvPr id="964961326" name="Group 964961326">
                            <a:extLst>
                              <a:ext uri="{FF2B5EF4-FFF2-40B4-BE49-F238E27FC236}">
                                <a16:creationId xmlns:a16="http://schemas.microsoft.com/office/drawing/2014/main" id="{982A2898-DB34-9AB5-333F-4E40F9AF6E96}"/>
                              </a:ext>
                            </a:extLst>
                          </wpg:cNvPr>
                          <wpg:cNvGrpSpPr/>
                          <wpg:grpSpPr>
                            <a:xfrm>
                              <a:off x="561987" y="0"/>
                              <a:ext cx="1702834" cy="3467100"/>
                              <a:chOff x="704028" y="0"/>
                              <a:chExt cx="2133220" cy="4343400"/>
                            </a:xfrm>
                          </wpg:grpSpPr>
                          <wps:wsp>
                            <wps:cNvPr id="904870615" name="TextBox 28">
                              <a:extLst>
                                <a:ext uri="{FF2B5EF4-FFF2-40B4-BE49-F238E27FC236}">
                                  <a16:creationId xmlns:a16="http://schemas.microsoft.com/office/drawing/2014/main" id="{ABDF9760-DA47-89B8-1BCD-2380ABC2B08D}"/>
                                </a:ext>
                              </a:extLst>
                            </wps:cNvPr>
                            <wps:cNvSpPr txBox="1"/>
                            <wps:spPr>
                              <a:xfrm>
                                <a:off x="704028" y="129612"/>
                                <a:ext cx="914023" cy="472524"/>
                              </a:xfrm>
                              <a:prstGeom prst="rect">
                                <a:avLst/>
                              </a:prstGeom>
                              <a:noFill/>
                            </wps:spPr>
                            <wps:txbx>
                              <w:txbxContent>
                                <w:p w14:paraId="53287FA6" w14:textId="77777777" w:rsidR="000B47C0" w:rsidRPr="007C52F0" w:rsidRDefault="000B47C0" w:rsidP="000B47C0">
                                  <w:pPr>
                                    <w:jc w:val="center"/>
                                    <w:textAlignment w:val="baseline"/>
                                    <w:rPr>
                                      <w:rFonts w:asciiTheme="majorHAnsi" w:hAnsiTheme="majorHAnsi"/>
                                      <w:color w:val="000000" w:themeColor="text1"/>
                                      <w:kern w:val="24"/>
                                      <w:szCs w:val="24"/>
                                    </w:rPr>
                                  </w:pPr>
                                  <w:r w:rsidRPr="007C52F0">
                                    <w:rPr>
                                      <w:rFonts w:asciiTheme="majorHAnsi" w:hAnsiTheme="majorHAnsi"/>
                                      <w:color w:val="000000" w:themeColor="text1"/>
                                      <w:kern w:val="24"/>
                                    </w:rPr>
                                    <w:t>BAA A</w:t>
                                  </w:r>
                                </w:p>
                              </w:txbxContent>
                            </wps:txbx>
                            <wps:bodyPr wrap="square" rtlCol="0">
                              <a:spAutoFit/>
                            </wps:bodyPr>
                          </wps:wsp>
                          <wps:wsp>
                            <wps:cNvPr id="1398156657" name="TextBox 29">
                              <a:extLst>
                                <a:ext uri="{FF2B5EF4-FFF2-40B4-BE49-F238E27FC236}">
                                  <a16:creationId xmlns:a16="http://schemas.microsoft.com/office/drawing/2014/main" id="{AE054DA0-5E43-B9BC-CCB2-475D3D846325}"/>
                                </a:ext>
                              </a:extLst>
                            </wps:cNvPr>
                            <wps:cNvSpPr txBox="1"/>
                            <wps:spPr>
                              <a:xfrm>
                                <a:off x="1923225" y="129612"/>
                                <a:ext cx="914023" cy="472524"/>
                              </a:xfrm>
                              <a:prstGeom prst="rect">
                                <a:avLst/>
                              </a:prstGeom>
                              <a:noFill/>
                            </wps:spPr>
                            <wps:txbx>
                              <w:txbxContent>
                                <w:p w14:paraId="53B5E4EF" w14:textId="77777777" w:rsidR="000B47C0" w:rsidRPr="007C52F0" w:rsidRDefault="000B47C0" w:rsidP="000B47C0">
                                  <w:pPr>
                                    <w:jc w:val="center"/>
                                    <w:textAlignment w:val="baseline"/>
                                    <w:rPr>
                                      <w:rFonts w:asciiTheme="majorHAnsi" w:hAnsiTheme="majorHAnsi"/>
                                      <w:color w:val="000000" w:themeColor="text1"/>
                                      <w:kern w:val="24"/>
                                      <w:szCs w:val="24"/>
                                    </w:rPr>
                                  </w:pPr>
                                  <w:r w:rsidRPr="007C52F0">
                                    <w:rPr>
                                      <w:rFonts w:asciiTheme="majorHAnsi" w:hAnsiTheme="majorHAnsi"/>
                                      <w:color w:val="000000" w:themeColor="text1"/>
                                      <w:kern w:val="24"/>
                                    </w:rPr>
                                    <w:t>BAA B</w:t>
                                  </w:r>
                                </w:p>
                              </w:txbxContent>
                            </wps:txbx>
                            <wps:bodyPr wrap="square" rtlCol="0">
                              <a:spAutoFit/>
                            </wps:bodyPr>
                          </wps:wsp>
                          <wps:wsp>
                            <wps:cNvPr id="1669644603" name="Straight Connector 1669644603">
                              <a:extLst>
                                <a:ext uri="{FF2B5EF4-FFF2-40B4-BE49-F238E27FC236}">
                                  <a16:creationId xmlns:a16="http://schemas.microsoft.com/office/drawing/2014/main" id="{DC78F982-6618-E7F6-C05B-34BAAFCCC84B}"/>
                                </a:ext>
                              </a:extLst>
                            </wps:cNvPr>
                            <wps:cNvCnPr>
                              <a:cxnSpLocks/>
                            </wps:cNvCnPr>
                            <wps:spPr>
                              <a:xfrm>
                                <a:off x="1752600" y="0"/>
                                <a:ext cx="0" cy="4343400"/>
                              </a:xfrm>
                              <a:prstGeom prst="line">
                                <a:avLst/>
                              </a:prstGeom>
                              <a:noFill/>
                              <a:ln w="12700" cap="flat" cmpd="sng" algn="ctr">
                                <a:solidFill>
                                  <a:srgbClr val="FF0000"/>
                                </a:solidFill>
                                <a:prstDash val="dashDot"/>
                                <a:miter lim="800000"/>
                              </a:ln>
                              <a:effectLst/>
                            </wps:spPr>
                            <wps:bodyPr/>
                          </wps:wsp>
                        </wpg:grpSp>
                        <wpg:grpSp>
                          <wpg:cNvPr id="1230123315" name="Group 1230123315">
                            <a:extLst>
                              <a:ext uri="{FF2B5EF4-FFF2-40B4-BE49-F238E27FC236}">
                                <a16:creationId xmlns:a16="http://schemas.microsoft.com/office/drawing/2014/main" id="{97336683-DC83-A519-1628-317694595307}"/>
                              </a:ext>
                            </a:extLst>
                          </wpg:cNvPr>
                          <wpg:cNvGrpSpPr/>
                          <wpg:grpSpPr>
                            <a:xfrm>
                              <a:off x="2750847" y="82306"/>
                              <a:ext cx="1284780" cy="2765419"/>
                              <a:chOff x="3446116" y="103108"/>
                              <a:chExt cx="1609504" cy="3464371"/>
                            </a:xfrm>
                          </wpg:grpSpPr>
                          <wps:wsp>
                            <wps:cNvPr id="62312256" name="TextBox 18">
                              <a:extLst>
                                <a:ext uri="{FF2B5EF4-FFF2-40B4-BE49-F238E27FC236}">
                                  <a16:creationId xmlns:a16="http://schemas.microsoft.com/office/drawing/2014/main" id="{19E8BBB2-2474-DF0D-6748-058FBF75B5EF}"/>
                                </a:ext>
                              </a:extLst>
                            </wps:cNvPr>
                            <wps:cNvSpPr txBox="1"/>
                            <wps:spPr>
                              <a:xfrm>
                                <a:off x="4369904" y="103108"/>
                                <a:ext cx="685716" cy="472524"/>
                              </a:xfrm>
                              <a:prstGeom prst="rect">
                                <a:avLst/>
                              </a:prstGeom>
                              <a:noFill/>
                            </wps:spPr>
                            <wps:txbx>
                              <w:txbxContent>
                                <w:p w14:paraId="041C98AB" w14:textId="77777777" w:rsidR="000B47C0" w:rsidRPr="007C52F0" w:rsidRDefault="000B47C0" w:rsidP="000B47C0">
                                  <w:pPr>
                                    <w:textAlignment w:val="baseline"/>
                                    <w:rPr>
                                      <w:rFonts w:asciiTheme="majorHAnsi" w:hAnsiTheme="majorHAnsi"/>
                                      <w:color w:val="000000" w:themeColor="text1"/>
                                      <w:kern w:val="24"/>
                                      <w:szCs w:val="24"/>
                                    </w:rPr>
                                  </w:pPr>
                                  <w:r w:rsidRPr="007C52F0">
                                    <w:rPr>
                                      <w:rFonts w:asciiTheme="majorHAnsi" w:hAnsiTheme="majorHAnsi"/>
                                      <w:color w:val="000000" w:themeColor="text1"/>
                                      <w:kern w:val="24"/>
                                    </w:rPr>
                                    <w:t>SC4</w:t>
                                  </w:r>
                                </w:p>
                              </w:txbxContent>
                            </wps:txbx>
                            <wps:bodyPr wrap="square" rtlCol="0">
                              <a:spAutoFit/>
                            </wps:bodyPr>
                          </wps:wsp>
                          <wps:wsp>
                            <wps:cNvPr id="1257484953" name="TextBox 19">
                              <a:extLst>
                                <a:ext uri="{FF2B5EF4-FFF2-40B4-BE49-F238E27FC236}">
                                  <a16:creationId xmlns:a16="http://schemas.microsoft.com/office/drawing/2014/main" id="{8BD53C21-D0BA-1D8E-ADAB-4B776875F098}"/>
                                </a:ext>
                              </a:extLst>
                            </wps:cNvPr>
                            <wps:cNvSpPr txBox="1"/>
                            <wps:spPr>
                              <a:xfrm>
                                <a:off x="4369904" y="727947"/>
                                <a:ext cx="685716" cy="472524"/>
                              </a:xfrm>
                              <a:prstGeom prst="rect">
                                <a:avLst/>
                              </a:prstGeom>
                              <a:noFill/>
                            </wps:spPr>
                            <wps:txbx>
                              <w:txbxContent>
                                <w:p w14:paraId="5819848D" w14:textId="77777777" w:rsidR="000B47C0" w:rsidRPr="007C52F0" w:rsidRDefault="000B47C0" w:rsidP="000B47C0">
                                  <w:pPr>
                                    <w:textAlignment w:val="baseline"/>
                                    <w:rPr>
                                      <w:rFonts w:asciiTheme="majorHAnsi" w:hAnsiTheme="majorHAnsi"/>
                                      <w:color w:val="000000" w:themeColor="text1"/>
                                      <w:kern w:val="24"/>
                                      <w:szCs w:val="24"/>
                                    </w:rPr>
                                  </w:pPr>
                                  <w:r w:rsidRPr="007C52F0">
                                    <w:rPr>
                                      <w:rFonts w:asciiTheme="majorHAnsi" w:hAnsiTheme="majorHAnsi"/>
                                      <w:color w:val="000000" w:themeColor="text1"/>
                                      <w:kern w:val="24"/>
                                    </w:rPr>
                                    <w:t>SC5</w:t>
                                  </w:r>
                                </w:p>
                              </w:txbxContent>
                            </wps:txbx>
                            <wps:bodyPr wrap="square" rtlCol="0">
                              <a:spAutoFit/>
                            </wps:bodyPr>
                          </wps:wsp>
                          <wps:wsp>
                            <wps:cNvPr id="1767831388" name="TextBox 20">
                              <a:extLst>
                                <a:ext uri="{FF2B5EF4-FFF2-40B4-BE49-F238E27FC236}">
                                  <a16:creationId xmlns:a16="http://schemas.microsoft.com/office/drawing/2014/main" id="{1861F1AA-7747-239D-3681-6AF53CB2F548}"/>
                                </a:ext>
                              </a:extLst>
                            </wps:cNvPr>
                            <wps:cNvSpPr txBox="1"/>
                            <wps:spPr>
                              <a:xfrm>
                                <a:off x="4369904" y="1854315"/>
                                <a:ext cx="685716" cy="472524"/>
                              </a:xfrm>
                              <a:prstGeom prst="rect">
                                <a:avLst/>
                              </a:prstGeom>
                              <a:noFill/>
                            </wps:spPr>
                            <wps:txbx>
                              <w:txbxContent>
                                <w:p w14:paraId="65FF0A69" w14:textId="77777777" w:rsidR="000B47C0" w:rsidRPr="007C52F0" w:rsidRDefault="000B47C0" w:rsidP="000B47C0">
                                  <w:pPr>
                                    <w:textAlignment w:val="baseline"/>
                                    <w:rPr>
                                      <w:rFonts w:asciiTheme="majorHAnsi" w:hAnsiTheme="majorHAnsi"/>
                                      <w:color w:val="000000" w:themeColor="text1"/>
                                      <w:kern w:val="24"/>
                                      <w:szCs w:val="24"/>
                                    </w:rPr>
                                  </w:pPr>
                                  <w:r w:rsidRPr="007C52F0">
                                    <w:rPr>
                                      <w:rFonts w:asciiTheme="majorHAnsi" w:hAnsiTheme="majorHAnsi"/>
                                      <w:color w:val="000000" w:themeColor="text1"/>
                                      <w:kern w:val="24"/>
                                    </w:rPr>
                                    <w:t>SC6</w:t>
                                  </w:r>
                                </w:p>
                              </w:txbxContent>
                            </wps:txbx>
                            <wps:bodyPr wrap="square" rtlCol="0">
                              <a:spAutoFit/>
                            </wps:bodyPr>
                          </wps:wsp>
                          <wps:wsp>
                            <wps:cNvPr id="884776114" name="TextBox 21">
                              <a:extLst>
                                <a:ext uri="{FF2B5EF4-FFF2-40B4-BE49-F238E27FC236}">
                                  <a16:creationId xmlns:a16="http://schemas.microsoft.com/office/drawing/2014/main" id="{A3C74AF4-4790-48B5-537E-E1990F52784D}"/>
                                </a:ext>
                              </a:extLst>
                            </wps:cNvPr>
                            <wps:cNvSpPr txBox="1"/>
                            <wps:spPr>
                              <a:xfrm>
                                <a:off x="4369904" y="3094955"/>
                                <a:ext cx="685716" cy="472524"/>
                              </a:xfrm>
                              <a:prstGeom prst="rect">
                                <a:avLst/>
                              </a:prstGeom>
                              <a:noFill/>
                            </wps:spPr>
                            <wps:txbx>
                              <w:txbxContent>
                                <w:p w14:paraId="043F3B49" w14:textId="77777777" w:rsidR="000B47C0" w:rsidRPr="007C52F0" w:rsidRDefault="000B47C0" w:rsidP="000B47C0">
                                  <w:pPr>
                                    <w:textAlignment w:val="baseline"/>
                                    <w:rPr>
                                      <w:rFonts w:asciiTheme="majorHAnsi" w:hAnsiTheme="majorHAnsi"/>
                                      <w:color w:val="000000" w:themeColor="text1"/>
                                      <w:kern w:val="24"/>
                                      <w:szCs w:val="24"/>
                                    </w:rPr>
                                  </w:pPr>
                                  <w:r w:rsidRPr="007C52F0">
                                    <w:rPr>
                                      <w:rFonts w:asciiTheme="majorHAnsi" w:hAnsiTheme="majorHAnsi"/>
                                      <w:color w:val="000000" w:themeColor="text1"/>
                                      <w:kern w:val="24"/>
                                    </w:rPr>
                                    <w:t>SC7</w:t>
                                  </w:r>
                                </w:p>
                              </w:txbxContent>
                            </wps:txbx>
                            <wps:bodyPr wrap="square" rtlCol="0">
                              <a:spAutoFit/>
                            </wps:bodyPr>
                          </wps:wsp>
                          <wps:wsp>
                            <wps:cNvPr id="76132010" name="Straight Connector 76132010">
                              <a:extLst>
                                <a:ext uri="{FF2B5EF4-FFF2-40B4-BE49-F238E27FC236}">
                                  <a16:creationId xmlns:a16="http://schemas.microsoft.com/office/drawing/2014/main" id="{2F23A3C3-00C0-2F17-DBA0-DD486B055A04}"/>
                                </a:ext>
                              </a:extLst>
                            </wps:cNvPr>
                            <wps:cNvCnPr>
                              <a:cxnSpLocks/>
                            </wps:cNvCnPr>
                            <wps:spPr>
                              <a:xfrm>
                                <a:off x="3446116" y="2514599"/>
                                <a:ext cx="1583084" cy="0"/>
                              </a:xfrm>
                              <a:prstGeom prst="line">
                                <a:avLst/>
                              </a:prstGeom>
                              <a:noFill/>
                              <a:ln w="12700" cap="flat" cmpd="sng" algn="ctr">
                                <a:solidFill>
                                  <a:sysClr val="windowText" lastClr="000000"/>
                                </a:solidFill>
                                <a:prstDash val="solid"/>
                                <a:miter lim="800000"/>
                              </a:ln>
                              <a:effectLst/>
                            </wps:spPr>
                            <wps:bodyPr/>
                          </wps:wsp>
                          <wps:wsp>
                            <wps:cNvPr id="220650849" name="Straight Connector 220650849">
                              <a:extLst>
                                <a:ext uri="{FF2B5EF4-FFF2-40B4-BE49-F238E27FC236}">
                                  <a16:creationId xmlns:a16="http://schemas.microsoft.com/office/drawing/2014/main" id="{16DA45F1-B4D1-3EF1-CC66-E22CD46C4C3E}"/>
                                </a:ext>
                              </a:extLst>
                            </wps:cNvPr>
                            <wps:cNvCnPr>
                              <a:cxnSpLocks/>
                            </wps:cNvCnPr>
                            <wps:spPr>
                              <a:xfrm>
                                <a:off x="3446116" y="1443585"/>
                                <a:ext cx="1583084" cy="0"/>
                              </a:xfrm>
                              <a:prstGeom prst="line">
                                <a:avLst/>
                              </a:prstGeom>
                              <a:noFill/>
                              <a:ln w="12700" cap="flat" cmpd="sng" algn="ctr">
                                <a:solidFill>
                                  <a:sysClr val="windowText" lastClr="000000"/>
                                </a:solidFill>
                                <a:prstDash val="solid"/>
                                <a:miter lim="800000"/>
                              </a:ln>
                              <a:effectLst/>
                            </wps:spPr>
                            <wps:bodyPr/>
                          </wps:wsp>
                          <wps:wsp>
                            <wps:cNvPr id="260424320" name="Straight Connector 260424320">
                              <a:extLst>
                                <a:ext uri="{FF2B5EF4-FFF2-40B4-BE49-F238E27FC236}">
                                  <a16:creationId xmlns:a16="http://schemas.microsoft.com/office/drawing/2014/main" id="{90C38AE3-4001-E3DE-8B6D-C8169896B339}"/>
                                </a:ext>
                              </a:extLst>
                            </wps:cNvPr>
                            <wps:cNvCnPr>
                              <a:cxnSpLocks/>
                            </wps:cNvCnPr>
                            <wps:spPr>
                              <a:xfrm>
                                <a:off x="3446116" y="523118"/>
                                <a:ext cx="1583084" cy="0"/>
                              </a:xfrm>
                              <a:prstGeom prst="line">
                                <a:avLst/>
                              </a:prstGeom>
                              <a:noFill/>
                              <a:ln w="12700" cap="flat" cmpd="sng" algn="ctr">
                                <a:solidFill>
                                  <a:sysClr val="windowText" lastClr="000000"/>
                                </a:solidFill>
                                <a:prstDash val="solid"/>
                                <a:miter lim="800000"/>
                              </a:ln>
                              <a:effectLst/>
                            </wps:spPr>
                            <wps:bodyPr/>
                          </wps:wsp>
                        </wpg:grpSp>
                        <wpg:grpSp>
                          <wpg:cNvPr id="1748162153" name="Group 1748162153">
                            <a:extLst>
                              <a:ext uri="{FF2B5EF4-FFF2-40B4-BE49-F238E27FC236}">
                                <a16:creationId xmlns:a16="http://schemas.microsoft.com/office/drawing/2014/main" id="{C9E05E11-FEB3-03FD-1135-E26CE37F7D13}"/>
                              </a:ext>
                            </a:extLst>
                          </wpg:cNvPr>
                          <wpg:cNvGrpSpPr/>
                          <wpg:grpSpPr>
                            <a:xfrm>
                              <a:off x="0" y="669089"/>
                              <a:ext cx="1277350" cy="2272121"/>
                              <a:chOff x="0" y="838200"/>
                              <a:chExt cx="1600197" cy="2846392"/>
                            </a:xfrm>
                          </wpg:grpSpPr>
                          <wps:wsp>
                            <wps:cNvPr id="1706250314" name="TextBox 15">
                              <a:extLst>
                                <a:ext uri="{FF2B5EF4-FFF2-40B4-BE49-F238E27FC236}">
                                  <a16:creationId xmlns:a16="http://schemas.microsoft.com/office/drawing/2014/main" id="{2CFB2575-DB47-5907-CC06-8E839BD4941F}"/>
                                </a:ext>
                              </a:extLst>
                            </wps:cNvPr>
                            <wps:cNvSpPr txBox="1"/>
                            <wps:spPr>
                              <a:xfrm>
                                <a:off x="0" y="838200"/>
                                <a:ext cx="685716" cy="472524"/>
                              </a:xfrm>
                              <a:prstGeom prst="rect">
                                <a:avLst/>
                              </a:prstGeom>
                              <a:noFill/>
                            </wps:spPr>
                            <wps:txbx>
                              <w:txbxContent>
                                <w:p w14:paraId="08D20A88" w14:textId="77777777" w:rsidR="000B47C0" w:rsidRPr="007C52F0" w:rsidRDefault="000B47C0" w:rsidP="000B47C0">
                                  <w:pPr>
                                    <w:textAlignment w:val="baseline"/>
                                    <w:rPr>
                                      <w:rFonts w:asciiTheme="majorHAnsi" w:hAnsiTheme="majorHAnsi"/>
                                      <w:color w:val="000000" w:themeColor="text1"/>
                                      <w:kern w:val="24"/>
                                      <w:szCs w:val="24"/>
                                    </w:rPr>
                                  </w:pPr>
                                  <w:r w:rsidRPr="007C52F0">
                                    <w:rPr>
                                      <w:rFonts w:asciiTheme="majorHAnsi" w:hAnsiTheme="majorHAnsi"/>
                                      <w:color w:val="000000" w:themeColor="text1"/>
                                      <w:kern w:val="24"/>
                                    </w:rPr>
                                    <w:t>SC1</w:t>
                                  </w:r>
                                </w:p>
                              </w:txbxContent>
                            </wps:txbx>
                            <wps:bodyPr wrap="square" rtlCol="0">
                              <a:spAutoFit/>
                            </wps:bodyPr>
                          </wps:wsp>
                          <wps:wsp>
                            <wps:cNvPr id="2139813312" name="TextBox 16">
                              <a:extLst>
                                <a:ext uri="{FF2B5EF4-FFF2-40B4-BE49-F238E27FC236}">
                                  <a16:creationId xmlns:a16="http://schemas.microsoft.com/office/drawing/2014/main" id="{14D1E807-2067-9247-733B-6D4FDEA24157}"/>
                                </a:ext>
                              </a:extLst>
                            </wps:cNvPr>
                            <wps:cNvSpPr txBox="1"/>
                            <wps:spPr>
                              <a:xfrm>
                                <a:off x="0" y="1840469"/>
                                <a:ext cx="685716" cy="472524"/>
                              </a:xfrm>
                              <a:prstGeom prst="rect">
                                <a:avLst/>
                              </a:prstGeom>
                              <a:noFill/>
                            </wps:spPr>
                            <wps:txbx>
                              <w:txbxContent>
                                <w:p w14:paraId="7CEAC0EB" w14:textId="77777777" w:rsidR="000B47C0" w:rsidRPr="007C52F0" w:rsidRDefault="000B47C0" w:rsidP="000B47C0">
                                  <w:pPr>
                                    <w:textAlignment w:val="baseline"/>
                                    <w:rPr>
                                      <w:rFonts w:asciiTheme="majorHAnsi" w:hAnsiTheme="majorHAnsi"/>
                                      <w:color w:val="000000" w:themeColor="text1"/>
                                      <w:kern w:val="24"/>
                                      <w:szCs w:val="24"/>
                                    </w:rPr>
                                  </w:pPr>
                                  <w:r w:rsidRPr="007C52F0">
                                    <w:rPr>
                                      <w:rFonts w:asciiTheme="majorHAnsi" w:hAnsiTheme="majorHAnsi"/>
                                      <w:color w:val="000000" w:themeColor="text1"/>
                                      <w:kern w:val="24"/>
                                    </w:rPr>
                                    <w:t>SC2</w:t>
                                  </w:r>
                                </w:p>
                              </w:txbxContent>
                            </wps:txbx>
                            <wps:bodyPr wrap="square" rtlCol="0">
                              <a:spAutoFit/>
                            </wps:bodyPr>
                          </wps:wsp>
                          <wps:wsp>
                            <wps:cNvPr id="277761236" name="TextBox 17">
                              <a:extLst>
                                <a:ext uri="{FF2B5EF4-FFF2-40B4-BE49-F238E27FC236}">
                                  <a16:creationId xmlns:a16="http://schemas.microsoft.com/office/drawing/2014/main" id="{595F85EE-8765-28DA-199E-3597E72184B7}"/>
                                </a:ext>
                              </a:extLst>
                            </wps:cNvPr>
                            <wps:cNvSpPr txBox="1"/>
                            <wps:spPr>
                              <a:xfrm>
                                <a:off x="0" y="3212068"/>
                                <a:ext cx="685716" cy="472524"/>
                              </a:xfrm>
                              <a:prstGeom prst="rect">
                                <a:avLst/>
                              </a:prstGeom>
                              <a:noFill/>
                            </wps:spPr>
                            <wps:txbx>
                              <w:txbxContent>
                                <w:p w14:paraId="54F7FC71" w14:textId="77777777" w:rsidR="000B47C0" w:rsidRPr="007C52F0" w:rsidRDefault="000B47C0" w:rsidP="000B47C0">
                                  <w:pPr>
                                    <w:textAlignment w:val="baseline"/>
                                    <w:rPr>
                                      <w:rFonts w:asciiTheme="majorHAnsi" w:hAnsiTheme="majorHAnsi"/>
                                      <w:color w:val="000000" w:themeColor="text1"/>
                                      <w:kern w:val="24"/>
                                      <w:szCs w:val="24"/>
                                    </w:rPr>
                                  </w:pPr>
                                  <w:r w:rsidRPr="007C52F0">
                                    <w:rPr>
                                      <w:rFonts w:asciiTheme="majorHAnsi" w:hAnsiTheme="majorHAnsi"/>
                                      <w:color w:val="000000" w:themeColor="text1"/>
                                      <w:kern w:val="24"/>
                                    </w:rPr>
                                    <w:t>SC3</w:t>
                                  </w:r>
                                </w:p>
                              </w:txbxContent>
                            </wps:txbx>
                            <wps:bodyPr wrap="square" rtlCol="0">
                              <a:spAutoFit/>
                            </wps:bodyPr>
                          </wps:wsp>
                          <wps:wsp>
                            <wps:cNvPr id="158078416" name="Straight Connector 158078416">
                              <a:extLst>
                                <a:ext uri="{FF2B5EF4-FFF2-40B4-BE49-F238E27FC236}">
                                  <a16:creationId xmlns:a16="http://schemas.microsoft.com/office/drawing/2014/main" id="{190B0247-5323-6B3C-ED96-91A4E7972F01}"/>
                                </a:ext>
                              </a:extLst>
                            </wps:cNvPr>
                            <wps:cNvCnPr>
                              <a:cxnSpLocks/>
                            </wps:cNvCnPr>
                            <wps:spPr>
                              <a:xfrm>
                                <a:off x="0" y="2533296"/>
                                <a:ext cx="1600197" cy="0"/>
                              </a:xfrm>
                              <a:prstGeom prst="line">
                                <a:avLst/>
                              </a:prstGeom>
                              <a:noFill/>
                              <a:ln w="12700" cap="flat" cmpd="sng" algn="ctr">
                                <a:solidFill>
                                  <a:sysClr val="windowText" lastClr="000000"/>
                                </a:solidFill>
                                <a:prstDash val="solid"/>
                                <a:miter lim="800000"/>
                              </a:ln>
                              <a:effectLst/>
                            </wps:spPr>
                            <wps:bodyPr/>
                          </wps:wsp>
                          <wps:wsp>
                            <wps:cNvPr id="1046649489" name="Straight Connector 1046649489">
                              <a:extLst>
                                <a:ext uri="{FF2B5EF4-FFF2-40B4-BE49-F238E27FC236}">
                                  <a16:creationId xmlns:a16="http://schemas.microsoft.com/office/drawing/2014/main" id="{AEEC0CAB-EEC4-47FF-1936-A4AD997A2089}"/>
                                </a:ext>
                              </a:extLst>
                            </wps:cNvPr>
                            <wps:cNvCnPr>
                              <a:cxnSpLocks/>
                            </wps:cNvCnPr>
                            <wps:spPr>
                              <a:xfrm>
                                <a:off x="0" y="1440383"/>
                                <a:ext cx="1600197" cy="0"/>
                              </a:xfrm>
                              <a:prstGeom prst="line">
                                <a:avLst/>
                              </a:prstGeom>
                              <a:noFill/>
                              <a:ln w="12700" cap="flat" cmpd="sng" algn="ctr">
                                <a:solidFill>
                                  <a:sysClr val="windowText" lastClr="000000"/>
                                </a:solidFill>
                                <a:prstDash val="solid"/>
                                <a:miter lim="800000"/>
                              </a:ln>
                              <a:effectLst/>
                            </wps:spPr>
                            <wps:bodyPr/>
                          </wps:wsp>
                        </wpg:grpSp>
                        <wpg:grpSp>
                          <wpg:cNvPr id="1208048553" name="Group 1208048553">
                            <a:extLst>
                              <a:ext uri="{FF2B5EF4-FFF2-40B4-BE49-F238E27FC236}">
                                <a16:creationId xmlns:a16="http://schemas.microsoft.com/office/drawing/2014/main" id="{55EAC61D-2498-AB31-B590-01681ABE4E93}"/>
                              </a:ext>
                            </a:extLst>
                          </wpg:cNvPr>
                          <wpg:cNvGrpSpPr/>
                          <wpg:grpSpPr>
                            <a:xfrm>
                              <a:off x="1520658" y="52619"/>
                              <a:ext cx="1230189" cy="3414481"/>
                              <a:chOff x="1905000" y="65918"/>
                              <a:chExt cx="1541116" cy="4277482"/>
                            </a:xfrm>
                          </wpg:grpSpPr>
                          <wps:wsp>
                            <wps:cNvPr id="393345429" name="Rectangle 393345429">
                              <a:extLst>
                                <a:ext uri="{FF2B5EF4-FFF2-40B4-BE49-F238E27FC236}">
                                  <a16:creationId xmlns:a16="http://schemas.microsoft.com/office/drawing/2014/main" id="{89F63186-7470-5190-29DA-EE48CBAAAE1F}"/>
                                </a:ext>
                              </a:extLst>
                            </wps:cNvPr>
                            <wps:cNvSpPr/>
                            <wps:spPr>
                              <a:xfrm>
                                <a:off x="1905000" y="685800"/>
                                <a:ext cx="914400" cy="3657600"/>
                              </a:xfrm>
                              <a:prstGeom prst="rect">
                                <a:avLst/>
                              </a:prstGeom>
                              <a:solidFill>
                                <a:srgbClr val="70AD47">
                                  <a:lumMod val="40000"/>
                                  <a:lumOff val="60000"/>
                                </a:srgbClr>
                              </a:solidFill>
                              <a:ln w="12700" cap="flat" cmpd="sng" algn="ctr">
                                <a:solidFill>
                                  <a:sysClr val="windowText" lastClr="000000"/>
                                </a:solidFill>
                                <a:prstDash val="solid"/>
                                <a:miter lim="800000"/>
                              </a:ln>
                              <a:effectLst/>
                            </wps:spPr>
                            <wps:bodyPr rtlCol="0" anchor="ctr"/>
                          </wps:wsp>
                          <wps:wsp>
                            <wps:cNvPr id="741491171" name="Straight Connector 741491171">
                              <a:extLst>
                                <a:ext uri="{FF2B5EF4-FFF2-40B4-BE49-F238E27FC236}">
                                  <a16:creationId xmlns:a16="http://schemas.microsoft.com/office/drawing/2014/main" id="{012EAABF-9314-D6AF-B155-A049751DD8CA}"/>
                                </a:ext>
                              </a:extLst>
                            </wps:cNvPr>
                            <wps:cNvCnPr>
                              <a:cxnSpLocks/>
                            </wps:cNvCnPr>
                            <wps:spPr>
                              <a:xfrm>
                                <a:off x="1905000" y="2764745"/>
                                <a:ext cx="914400" cy="0"/>
                              </a:xfrm>
                              <a:prstGeom prst="line">
                                <a:avLst/>
                              </a:prstGeom>
                              <a:noFill/>
                              <a:ln w="12700" cap="flat" cmpd="sng" algn="ctr">
                                <a:solidFill>
                                  <a:sysClr val="windowText" lastClr="000000"/>
                                </a:solidFill>
                                <a:prstDash val="solid"/>
                                <a:miter lim="800000"/>
                              </a:ln>
                              <a:effectLst/>
                            </wps:spPr>
                            <wps:bodyPr/>
                          </wps:wsp>
                          <wps:wsp>
                            <wps:cNvPr id="205598575" name="Straight Connector 205598575">
                              <a:extLst>
                                <a:ext uri="{FF2B5EF4-FFF2-40B4-BE49-F238E27FC236}">
                                  <a16:creationId xmlns:a16="http://schemas.microsoft.com/office/drawing/2014/main" id="{191C9BF3-CF2A-7870-0A81-8A0B51F6E33F}"/>
                                </a:ext>
                              </a:extLst>
                            </wps:cNvPr>
                            <wps:cNvCnPr>
                              <a:cxnSpLocks/>
                            </wps:cNvCnPr>
                            <wps:spPr>
                              <a:xfrm>
                                <a:off x="1905000" y="1850346"/>
                                <a:ext cx="914400" cy="0"/>
                              </a:xfrm>
                              <a:prstGeom prst="line">
                                <a:avLst/>
                              </a:prstGeom>
                              <a:noFill/>
                              <a:ln w="12700" cap="flat" cmpd="sng" algn="ctr">
                                <a:solidFill>
                                  <a:sysClr val="windowText" lastClr="000000"/>
                                </a:solidFill>
                                <a:prstDash val="solid"/>
                                <a:miter lim="800000"/>
                              </a:ln>
                              <a:effectLst/>
                            </wps:spPr>
                            <wps:bodyPr/>
                          </wps:wsp>
                          <wps:wsp>
                            <wps:cNvPr id="191047418" name="Straight Connector 191047418">
                              <a:extLst>
                                <a:ext uri="{FF2B5EF4-FFF2-40B4-BE49-F238E27FC236}">
                                  <a16:creationId xmlns:a16="http://schemas.microsoft.com/office/drawing/2014/main" id="{CBB96C91-9548-BD05-1377-1AB4F4F40CAF}"/>
                                </a:ext>
                              </a:extLst>
                            </wps:cNvPr>
                            <wps:cNvCnPr>
                              <a:cxnSpLocks/>
                            </wps:cNvCnPr>
                            <wps:spPr>
                              <a:xfrm>
                                <a:off x="1905000" y="1073106"/>
                                <a:ext cx="914400" cy="0"/>
                              </a:xfrm>
                              <a:prstGeom prst="line">
                                <a:avLst/>
                              </a:prstGeom>
                              <a:noFill/>
                              <a:ln w="12700" cap="flat" cmpd="sng" algn="ctr">
                                <a:solidFill>
                                  <a:sysClr val="windowText" lastClr="000000"/>
                                </a:solidFill>
                                <a:prstDash val="solid"/>
                                <a:miter lim="800000"/>
                              </a:ln>
                              <a:effectLst/>
                            </wps:spPr>
                            <wps:bodyPr/>
                          </wps:wsp>
                          <wps:wsp>
                            <wps:cNvPr id="1137891688" name="Straight Connector 1137891688">
                              <a:extLst>
                                <a:ext uri="{FF2B5EF4-FFF2-40B4-BE49-F238E27FC236}">
                                  <a16:creationId xmlns:a16="http://schemas.microsoft.com/office/drawing/2014/main" id="{F6099EAA-C722-1112-2177-B40AECC5EF58}"/>
                                </a:ext>
                              </a:extLst>
                            </wps:cNvPr>
                            <wps:cNvCnPr>
                              <a:cxnSpLocks/>
                            </wps:cNvCnPr>
                            <wps:spPr>
                              <a:xfrm flipH="1">
                                <a:off x="2810003" y="2514599"/>
                                <a:ext cx="636113" cy="250146"/>
                              </a:xfrm>
                              <a:prstGeom prst="line">
                                <a:avLst/>
                              </a:prstGeom>
                              <a:noFill/>
                              <a:ln w="12700" cap="flat" cmpd="sng" algn="ctr">
                                <a:solidFill>
                                  <a:sysClr val="windowText" lastClr="000000"/>
                                </a:solidFill>
                                <a:prstDash val="dash"/>
                                <a:miter lim="800000"/>
                              </a:ln>
                              <a:effectLst/>
                            </wps:spPr>
                            <wps:bodyPr/>
                          </wps:wsp>
                          <wps:wsp>
                            <wps:cNvPr id="96145745" name="Straight Connector 96145745">
                              <a:extLst>
                                <a:ext uri="{FF2B5EF4-FFF2-40B4-BE49-F238E27FC236}">
                                  <a16:creationId xmlns:a16="http://schemas.microsoft.com/office/drawing/2014/main" id="{18A9B0F3-55F1-960E-EA66-2C07D0EFB064}"/>
                                </a:ext>
                              </a:extLst>
                            </wps:cNvPr>
                            <wps:cNvCnPr>
                              <a:cxnSpLocks/>
                            </wps:cNvCnPr>
                            <wps:spPr>
                              <a:xfrm flipH="1">
                                <a:off x="2819392" y="1443584"/>
                                <a:ext cx="626724" cy="385216"/>
                              </a:xfrm>
                              <a:prstGeom prst="line">
                                <a:avLst/>
                              </a:prstGeom>
                              <a:noFill/>
                              <a:ln w="12700" cap="flat" cmpd="sng" algn="ctr">
                                <a:solidFill>
                                  <a:sysClr val="windowText" lastClr="000000"/>
                                </a:solidFill>
                                <a:prstDash val="dash"/>
                                <a:miter lim="800000"/>
                              </a:ln>
                              <a:effectLst/>
                            </wps:spPr>
                            <wps:bodyPr/>
                          </wps:wsp>
                          <wps:wsp>
                            <wps:cNvPr id="1583173330" name="Straight Connector 1583173330">
                              <a:extLst>
                                <a:ext uri="{FF2B5EF4-FFF2-40B4-BE49-F238E27FC236}">
                                  <a16:creationId xmlns:a16="http://schemas.microsoft.com/office/drawing/2014/main" id="{1567C577-97A6-2A24-FDB3-D8C22AF04B1B}"/>
                                </a:ext>
                              </a:extLst>
                            </wps:cNvPr>
                            <wps:cNvCnPr>
                              <a:cxnSpLocks/>
                            </wps:cNvCnPr>
                            <wps:spPr>
                              <a:xfrm flipH="1">
                                <a:off x="2819392" y="523117"/>
                                <a:ext cx="626724" cy="543682"/>
                              </a:xfrm>
                              <a:prstGeom prst="line">
                                <a:avLst/>
                              </a:prstGeom>
                              <a:noFill/>
                              <a:ln w="12700" cap="flat" cmpd="sng" algn="ctr">
                                <a:solidFill>
                                  <a:sysClr val="windowText" lastClr="000000"/>
                                </a:solidFill>
                                <a:prstDash val="dash"/>
                                <a:miter lim="800000"/>
                              </a:ln>
                              <a:effectLst/>
                            </wps:spPr>
                            <wps:bodyPr/>
                          </wps:wsp>
                          <wps:wsp>
                            <wps:cNvPr id="1213807392" name="Straight Connector 1213807392">
                              <a:extLst>
                                <a:ext uri="{FF2B5EF4-FFF2-40B4-BE49-F238E27FC236}">
                                  <a16:creationId xmlns:a16="http://schemas.microsoft.com/office/drawing/2014/main" id="{BF0CF0B4-4FA8-3D1B-CA13-4F1F120CA4BE}"/>
                                </a:ext>
                              </a:extLst>
                            </wps:cNvPr>
                            <wps:cNvCnPr>
                              <a:cxnSpLocks/>
                            </wps:cNvCnPr>
                            <wps:spPr>
                              <a:xfrm flipH="1">
                                <a:off x="2810003" y="65918"/>
                                <a:ext cx="636110" cy="611271"/>
                              </a:xfrm>
                              <a:prstGeom prst="line">
                                <a:avLst/>
                              </a:prstGeom>
                              <a:noFill/>
                              <a:ln w="12700" cap="flat" cmpd="sng" algn="ctr">
                                <a:solidFill>
                                  <a:sysClr val="windowText" lastClr="000000"/>
                                </a:solidFill>
                                <a:prstDash val="dash"/>
                                <a:miter lim="800000"/>
                              </a:ln>
                              <a:effectLst/>
                            </wps:spPr>
                            <wps:bodyPr/>
                          </wps:wsp>
                          <wps:wsp>
                            <wps:cNvPr id="1254814764" name="Arrow: Left 1254814764">
                              <a:extLst>
                                <a:ext uri="{FF2B5EF4-FFF2-40B4-BE49-F238E27FC236}">
                                  <a16:creationId xmlns:a16="http://schemas.microsoft.com/office/drawing/2014/main" id="{0ADF54EE-D30D-3C1D-09B0-2220AAF95A31}"/>
                                </a:ext>
                              </a:extLst>
                            </wps:cNvPr>
                            <wps:cNvSpPr/>
                            <wps:spPr>
                              <a:xfrm>
                                <a:off x="2971800" y="2057400"/>
                                <a:ext cx="304801" cy="274319"/>
                              </a:xfrm>
                              <a:prstGeom prst="leftArrow">
                                <a:avLst/>
                              </a:prstGeom>
                              <a:solidFill>
                                <a:srgbClr val="5B9BD5"/>
                              </a:solidFill>
                              <a:ln w="12700" cap="flat" cmpd="sng" algn="ctr">
                                <a:solidFill>
                                  <a:sysClr val="windowText" lastClr="000000"/>
                                </a:solidFill>
                                <a:prstDash val="solid"/>
                                <a:miter lim="800000"/>
                              </a:ln>
                              <a:effectLst/>
                            </wps:spPr>
                            <wps:bodyPr rtlCol="0" anchor="ctr"/>
                          </wps:wsp>
                        </wpg:grpSp>
                        <wpg:grpSp>
                          <wpg:cNvPr id="1998098676" name="Group 1998098676">
                            <a:extLst>
                              <a:ext uri="{FF2B5EF4-FFF2-40B4-BE49-F238E27FC236}">
                                <a16:creationId xmlns:a16="http://schemas.microsoft.com/office/drawing/2014/main" id="{0FE5D877-3968-11F5-D3A5-1B7FE4FFF1CB}"/>
                              </a:ext>
                            </a:extLst>
                          </wpg:cNvPr>
                          <wpg:cNvGrpSpPr/>
                          <wpg:grpSpPr>
                            <a:xfrm>
                              <a:off x="653224" y="582722"/>
                              <a:ext cx="1603715" cy="2363054"/>
                              <a:chOff x="818325" y="730003"/>
                              <a:chExt cx="2009049" cy="2960312"/>
                            </a:xfrm>
                          </wpg:grpSpPr>
                          <wps:wsp>
                            <wps:cNvPr id="1702968530" name="TextBox 97">
                              <a:extLst>
                                <a:ext uri="{FF2B5EF4-FFF2-40B4-BE49-F238E27FC236}">
                                  <a16:creationId xmlns:a16="http://schemas.microsoft.com/office/drawing/2014/main" id="{A31D4645-420B-4D7C-133B-87F2731BD334}"/>
                                </a:ext>
                              </a:extLst>
                            </wps:cNvPr>
                            <wps:cNvSpPr txBox="1"/>
                            <wps:spPr>
                              <a:xfrm>
                                <a:off x="818325" y="734849"/>
                                <a:ext cx="685716" cy="472524"/>
                              </a:xfrm>
                              <a:prstGeom prst="rect">
                                <a:avLst/>
                              </a:prstGeom>
                              <a:noFill/>
                            </wps:spPr>
                            <wps:txbx>
                              <w:txbxContent>
                                <w:p w14:paraId="489C6BAB" w14:textId="77777777" w:rsidR="000B47C0" w:rsidRPr="007C52F0" w:rsidRDefault="000B47C0" w:rsidP="000B47C0">
                                  <w:pPr>
                                    <w:textAlignment w:val="baseline"/>
                                    <w:rPr>
                                      <w:rFonts w:asciiTheme="majorHAnsi" w:hAnsiTheme="majorHAnsi"/>
                                      <w:color w:val="000000" w:themeColor="text1"/>
                                      <w:kern w:val="24"/>
                                      <w:szCs w:val="24"/>
                                    </w:rPr>
                                  </w:pPr>
                                  <w:r w:rsidRPr="007C52F0">
                                    <w:rPr>
                                      <w:rFonts w:asciiTheme="majorHAnsi" w:hAnsiTheme="majorHAnsi"/>
                                      <w:color w:val="000000" w:themeColor="text1"/>
                                      <w:kern w:val="24"/>
                                      <w:szCs w:val="24"/>
                                    </w:rPr>
                                    <w:t>TSR1</w:t>
                                  </w:r>
                                </w:p>
                              </w:txbxContent>
                            </wps:txbx>
                            <wps:bodyPr wrap="square" rtlCol="0">
                              <a:spAutoFit/>
                            </wps:bodyPr>
                          </wps:wsp>
                          <wps:wsp>
                            <wps:cNvPr id="1778789471" name="TextBox 99">
                              <a:extLst>
                                <a:ext uri="{FF2B5EF4-FFF2-40B4-BE49-F238E27FC236}">
                                  <a16:creationId xmlns:a16="http://schemas.microsoft.com/office/drawing/2014/main" id="{CF771C98-C070-8EFB-A6C8-249E24588333}"/>
                                </a:ext>
                              </a:extLst>
                            </wps:cNvPr>
                            <wps:cNvSpPr txBox="1"/>
                            <wps:spPr>
                              <a:xfrm>
                                <a:off x="818325" y="1092751"/>
                                <a:ext cx="685716" cy="472524"/>
                              </a:xfrm>
                              <a:prstGeom prst="rect">
                                <a:avLst/>
                              </a:prstGeom>
                              <a:noFill/>
                            </wps:spPr>
                            <wps:txbx>
                              <w:txbxContent>
                                <w:p w14:paraId="33DB5930" w14:textId="77777777" w:rsidR="000B47C0" w:rsidRPr="007C52F0" w:rsidRDefault="000B47C0" w:rsidP="000B47C0">
                                  <w:pPr>
                                    <w:textAlignment w:val="baseline"/>
                                    <w:rPr>
                                      <w:rFonts w:asciiTheme="majorHAnsi" w:hAnsiTheme="majorHAnsi"/>
                                      <w:color w:val="000000" w:themeColor="text1"/>
                                      <w:kern w:val="24"/>
                                      <w:szCs w:val="24"/>
                                    </w:rPr>
                                  </w:pPr>
                                  <w:r w:rsidRPr="007C52F0">
                                    <w:rPr>
                                      <w:rFonts w:asciiTheme="majorHAnsi" w:hAnsiTheme="majorHAnsi"/>
                                      <w:color w:val="000000" w:themeColor="text1"/>
                                      <w:kern w:val="24"/>
                                      <w:szCs w:val="24"/>
                                    </w:rPr>
                                    <w:t>TSR2</w:t>
                                  </w:r>
                                </w:p>
                              </w:txbxContent>
                            </wps:txbx>
                            <wps:bodyPr wrap="square" rtlCol="0">
                              <a:spAutoFit/>
                            </wps:bodyPr>
                          </wps:wsp>
                          <wps:wsp>
                            <wps:cNvPr id="1394078268" name="TextBox 107">
                              <a:extLst>
                                <a:ext uri="{FF2B5EF4-FFF2-40B4-BE49-F238E27FC236}">
                                  <a16:creationId xmlns:a16="http://schemas.microsoft.com/office/drawing/2014/main" id="{3F53CC20-4DA3-BBD4-A980-BF0E17827B7C}"/>
                                </a:ext>
                              </a:extLst>
                            </wps:cNvPr>
                            <wps:cNvSpPr txBox="1"/>
                            <wps:spPr>
                              <a:xfrm>
                                <a:off x="818325" y="1476972"/>
                                <a:ext cx="685716" cy="472524"/>
                              </a:xfrm>
                              <a:prstGeom prst="rect">
                                <a:avLst/>
                              </a:prstGeom>
                              <a:noFill/>
                            </wps:spPr>
                            <wps:txbx>
                              <w:txbxContent>
                                <w:p w14:paraId="00F946A8" w14:textId="77777777" w:rsidR="000B47C0" w:rsidRPr="007C52F0" w:rsidRDefault="000B47C0" w:rsidP="000B47C0">
                                  <w:pPr>
                                    <w:textAlignment w:val="baseline"/>
                                    <w:rPr>
                                      <w:rFonts w:asciiTheme="majorHAnsi" w:hAnsiTheme="majorHAnsi"/>
                                      <w:color w:val="000000" w:themeColor="text1"/>
                                      <w:kern w:val="24"/>
                                      <w:szCs w:val="24"/>
                                    </w:rPr>
                                  </w:pPr>
                                  <w:r w:rsidRPr="007C52F0">
                                    <w:rPr>
                                      <w:rFonts w:asciiTheme="majorHAnsi" w:hAnsiTheme="majorHAnsi"/>
                                      <w:color w:val="000000" w:themeColor="text1"/>
                                      <w:kern w:val="24"/>
                                      <w:szCs w:val="24"/>
                                    </w:rPr>
                                    <w:t>TSR3</w:t>
                                  </w:r>
                                </w:p>
                              </w:txbxContent>
                            </wps:txbx>
                            <wps:bodyPr wrap="square" rtlCol="0">
                              <a:spAutoFit/>
                            </wps:bodyPr>
                          </wps:wsp>
                          <wps:wsp>
                            <wps:cNvPr id="1069450536" name="TextBox 109">
                              <a:extLst>
                                <a:ext uri="{FF2B5EF4-FFF2-40B4-BE49-F238E27FC236}">
                                  <a16:creationId xmlns:a16="http://schemas.microsoft.com/office/drawing/2014/main" id="{CCEBAE93-18C7-3C3B-932D-8F4744C593EF}"/>
                                </a:ext>
                              </a:extLst>
                            </wps:cNvPr>
                            <wps:cNvSpPr txBox="1"/>
                            <wps:spPr>
                              <a:xfrm>
                                <a:off x="818325" y="2062246"/>
                                <a:ext cx="685716" cy="472524"/>
                              </a:xfrm>
                              <a:prstGeom prst="rect">
                                <a:avLst/>
                              </a:prstGeom>
                              <a:noFill/>
                            </wps:spPr>
                            <wps:txbx>
                              <w:txbxContent>
                                <w:p w14:paraId="761841B1" w14:textId="77777777" w:rsidR="000B47C0" w:rsidRPr="007C52F0" w:rsidRDefault="000B47C0" w:rsidP="000B47C0">
                                  <w:pPr>
                                    <w:textAlignment w:val="baseline"/>
                                    <w:rPr>
                                      <w:rFonts w:asciiTheme="majorHAnsi" w:hAnsiTheme="majorHAnsi"/>
                                      <w:color w:val="000000" w:themeColor="text1"/>
                                      <w:kern w:val="24"/>
                                      <w:szCs w:val="24"/>
                                    </w:rPr>
                                  </w:pPr>
                                  <w:r w:rsidRPr="007C52F0">
                                    <w:rPr>
                                      <w:rFonts w:asciiTheme="majorHAnsi" w:hAnsiTheme="majorHAnsi"/>
                                      <w:color w:val="000000" w:themeColor="text1"/>
                                      <w:kern w:val="24"/>
                                      <w:szCs w:val="24"/>
                                    </w:rPr>
                                    <w:t>TSR4</w:t>
                                  </w:r>
                                </w:p>
                              </w:txbxContent>
                            </wps:txbx>
                            <wps:bodyPr wrap="square" rtlCol="0">
                              <a:spAutoFit/>
                            </wps:bodyPr>
                          </wps:wsp>
                          <wps:wsp>
                            <wps:cNvPr id="294039637" name="TextBox 113">
                              <a:extLst>
                                <a:ext uri="{FF2B5EF4-FFF2-40B4-BE49-F238E27FC236}">
                                  <a16:creationId xmlns:a16="http://schemas.microsoft.com/office/drawing/2014/main" id="{F0681330-C463-F775-7CCB-5A122D6431D2}"/>
                                </a:ext>
                              </a:extLst>
                            </wps:cNvPr>
                            <wps:cNvSpPr txBox="1"/>
                            <wps:spPr>
                              <a:xfrm>
                                <a:off x="818325" y="2481120"/>
                                <a:ext cx="685716" cy="472524"/>
                              </a:xfrm>
                              <a:prstGeom prst="rect">
                                <a:avLst/>
                              </a:prstGeom>
                              <a:noFill/>
                            </wps:spPr>
                            <wps:txbx>
                              <w:txbxContent>
                                <w:p w14:paraId="1B9D1904" w14:textId="77777777" w:rsidR="000B47C0" w:rsidRPr="007C52F0" w:rsidRDefault="000B47C0" w:rsidP="000B47C0">
                                  <w:pPr>
                                    <w:textAlignment w:val="baseline"/>
                                    <w:rPr>
                                      <w:rFonts w:asciiTheme="majorHAnsi" w:hAnsiTheme="majorHAnsi"/>
                                      <w:color w:val="000000" w:themeColor="text1"/>
                                      <w:kern w:val="24"/>
                                      <w:szCs w:val="24"/>
                                    </w:rPr>
                                  </w:pPr>
                                  <w:r w:rsidRPr="007C52F0">
                                    <w:rPr>
                                      <w:rFonts w:asciiTheme="majorHAnsi" w:hAnsiTheme="majorHAnsi"/>
                                      <w:color w:val="000000" w:themeColor="text1"/>
                                      <w:kern w:val="24"/>
                                      <w:szCs w:val="24"/>
                                    </w:rPr>
                                    <w:t>TSR5</w:t>
                                  </w:r>
                                </w:p>
                              </w:txbxContent>
                            </wps:txbx>
                            <wps:bodyPr wrap="square" rtlCol="0">
                              <a:spAutoFit/>
                            </wps:bodyPr>
                          </wps:wsp>
                          <wps:wsp>
                            <wps:cNvPr id="1484127785" name="TextBox 115">
                              <a:extLst>
                                <a:ext uri="{FF2B5EF4-FFF2-40B4-BE49-F238E27FC236}">
                                  <a16:creationId xmlns:a16="http://schemas.microsoft.com/office/drawing/2014/main" id="{7599C201-E2FF-A7D3-AA98-D414AF11FB56}"/>
                                </a:ext>
                              </a:extLst>
                            </wps:cNvPr>
                            <wps:cNvSpPr txBox="1"/>
                            <wps:spPr>
                              <a:xfrm>
                                <a:off x="818325" y="3217791"/>
                                <a:ext cx="685716" cy="472524"/>
                              </a:xfrm>
                              <a:prstGeom prst="rect">
                                <a:avLst/>
                              </a:prstGeom>
                              <a:noFill/>
                            </wps:spPr>
                            <wps:txbx>
                              <w:txbxContent>
                                <w:p w14:paraId="74D57B40" w14:textId="77777777" w:rsidR="000B47C0" w:rsidRPr="007C52F0" w:rsidRDefault="000B47C0" w:rsidP="000B47C0">
                                  <w:pPr>
                                    <w:textAlignment w:val="baseline"/>
                                    <w:rPr>
                                      <w:rFonts w:asciiTheme="majorHAnsi" w:hAnsiTheme="majorHAnsi"/>
                                      <w:color w:val="000000" w:themeColor="text1"/>
                                      <w:kern w:val="24"/>
                                      <w:szCs w:val="24"/>
                                    </w:rPr>
                                  </w:pPr>
                                  <w:r w:rsidRPr="007C52F0">
                                    <w:rPr>
                                      <w:rFonts w:asciiTheme="majorHAnsi" w:hAnsiTheme="majorHAnsi"/>
                                      <w:color w:val="000000" w:themeColor="text1"/>
                                      <w:kern w:val="24"/>
                                      <w:szCs w:val="24"/>
                                    </w:rPr>
                                    <w:t>TSR6</w:t>
                                  </w:r>
                                </w:p>
                              </w:txbxContent>
                            </wps:txbx>
                            <wps:bodyPr wrap="square" rtlCol="0">
                              <a:spAutoFit/>
                            </wps:bodyPr>
                          </wps:wsp>
                          <wps:wsp>
                            <wps:cNvPr id="1219199648" name="Straight Arrow Connector 1219199648">
                              <a:extLst>
                                <a:ext uri="{FF2B5EF4-FFF2-40B4-BE49-F238E27FC236}">
                                  <a16:creationId xmlns:a16="http://schemas.microsoft.com/office/drawing/2014/main" id="{B019BD10-C576-50C0-15B2-6FA025A9465E}"/>
                                </a:ext>
                              </a:extLst>
                            </wps:cNvPr>
                            <wps:cNvCnPr/>
                            <wps:spPr>
                              <a:xfrm>
                                <a:off x="1466025" y="888439"/>
                                <a:ext cx="609601" cy="0"/>
                              </a:xfrm>
                              <a:prstGeom prst="straightConnector1">
                                <a:avLst/>
                              </a:prstGeom>
                              <a:noFill/>
                              <a:ln w="28575" cap="flat" cmpd="sng" algn="ctr">
                                <a:solidFill>
                                  <a:srgbClr val="0000FF"/>
                                </a:solidFill>
                                <a:prstDash val="solid"/>
                                <a:miter lim="800000"/>
                                <a:tailEnd type="triangle"/>
                              </a:ln>
                              <a:effectLst/>
                            </wps:spPr>
                            <wps:bodyPr/>
                          </wps:wsp>
                          <wps:wsp>
                            <wps:cNvPr id="1494235742" name="TextBox 98">
                              <a:extLst>
                                <a:ext uri="{FF2B5EF4-FFF2-40B4-BE49-F238E27FC236}">
                                  <a16:creationId xmlns:a16="http://schemas.microsoft.com/office/drawing/2014/main" id="{9DED218C-A9D2-9E9E-C463-BBFE2E06D900}"/>
                                </a:ext>
                              </a:extLst>
                            </wps:cNvPr>
                            <wps:cNvSpPr txBox="1"/>
                            <wps:spPr>
                              <a:xfrm>
                                <a:off x="2009606" y="730003"/>
                                <a:ext cx="817768" cy="472524"/>
                              </a:xfrm>
                              <a:prstGeom prst="rect">
                                <a:avLst/>
                              </a:prstGeom>
                              <a:noFill/>
                            </wps:spPr>
                            <wps:txbx>
                              <w:txbxContent>
                                <w:p w14:paraId="3CE64D6C" w14:textId="77777777" w:rsidR="000B47C0" w:rsidRPr="007C52F0" w:rsidRDefault="000B47C0" w:rsidP="000B47C0">
                                  <w:pPr>
                                    <w:textAlignment w:val="baseline"/>
                                    <w:rPr>
                                      <w:rFonts w:asciiTheme="majorHAnsi" w:hAnsiTheme="majorHAnsi"/>
                                      <w:color w:val="000000" w:themeColor="text1"/>
                                      <w:kern w:val="24"/>
                                      <w:szCs w:val="24"/>
                                    </w:rPr>
                                  </w:pPr>
                                  <w:r w:rsidRPr="007C52F0">
                                    <w:rPr>
                                      <w:rFonts w:asciiTheme="majorHAnsi" w:hAnsiTheme="majorHAnsi"/>
                                      <w:color w:val="000000" w:themeColor="text1"/>
                                      <w:kern w:val="24"/>
                                      <w:szCs w:val="24"/>
                                    </w:rPr>
                                    <w:t>TSR1'</w:t>
                                  </w:r>
                                </w:p>
                              </w:txbxContent>
                            </wps:txbx>
                            <wps:bodyPr wrap="square" rtlCol="0">
                              <a:spAutoFit/>
                            </wps:bodyPr>
                          </wps:wsp>
                          <wps:wsp>
                            <wps:cNvPr id="1002365028" name="TextBox 100">
                              <a:extLst>
                                <a:ext uri="{FF2B5EF4-FFF2-40B4-BE49-F238E27FC236}">
                                  <a16:creationId xmlns:a16="http://schemas.microsoft.com/office/drawing/2014/main" id="{94BE6B23-FEBC-3D40-5510-47AB072241E9}"/>
                                </a:ext>
                              </a:extLst>
                            </wps:cNvPr>
                            <wps:cNvSpPr txBox="1"/>
                            <wps:spPr>
                              <a:xfrm>
                                <a:off x="1993058" y="1087904"/>
                                <a:ext cx="801858" cy="472524"/>
                              </a:xfrm>
                              <a:prstGeom prst="rect">
                                <a:avLst/>
                              </a:prstGeom>
                              <a:noFill/>
                            </wps:spPr>
                            <wps:txbx>
                              <w:txbxContent>
                                <w:p w14:paraId="6A34F5C8" w14:textId="77777777" w:rsidR="000B47C0" w:rsidRPr="007C52F0" w:rsidRDefault="000B47C0" w:rsidP="000B47C0">
                                  <w:pPr>
                                    <w:textAlignment w:val="baseline"/>
                                    <w:rPr>
                                      <w:rFonts w:asciiTheme="majorHAnsi" w:hAnsiTheme="majorHAnsi"/>
                                      <w:color w:val="000000" w:themeColor="text1"/>
                                      <w:kern w:val="24"/>
                                      <w:szCs w:val="24"/>
                                    </w:rPr>
                                  </w:pPr>
                                  <w:r w:rsidRPr="007C52F0">
                                    <w:rPr>
                                      <w:rFonts w:asciiTheme="majorHAnsi" w:hAnsiTheme="majorHAnsi"/>
                                      <w:color w:val="000000" w:themeColor="text1"/>
                                      <w:kern w:val="24"/>
                                      <w:szCs w:val="24"/>
                                    </w:rPr>
                                    <w:t>TSR2'</w:t>
                                  </w:r>
                                </w:p>
                              </w:txbxContent>
                            </wps:txbx>
                            <wps:bodyPr wrap="square" rtlCol="0">
                              <a:spAutoFit/>
                            </wps:bodyPr>
                          </wps:wsp>
                          <wps:wsp>
                            <wps:cNvPr id="392646316" name="TextBox 108">
                              <a:extLst>
                                <a:ext uri="{FF2B5EF4-FFF2-40B4-BE49-F238E27FC236}">
                                  <a16:creationId xmlns:a16="http://schemas.microsoft.com/office/drawing/2014/main" id="{7E148FE1-F5C4-9FA4-7955-C46220A039A7}"/>
                                </a:ext>
                              </a:extLst>
                            </wps:cNvPr>
                            <wps:cNvSpPr txBox="1"/>
                            <wps:spPr>
                              <a:xfrm>
                                <a:off x="2009606" y="1472124"/>
                                <a:ext cx="817768" cy="472524"/>
                              </a:xfrm>
                              <a:prstGeom prst="rect">
                                <a:avLst/>
                              </a:prstGeom>
                              <a:noFill/>
                            </wps:spPr>
                            <wps:txbx>
                              <w:txbxContent>
                                <w:p w14:paraId="0CC5F9C9" w14:textId="77777777" w:rsidR="000B47C0" w:rsidRPr="007C52F0" w:rsidRDefault="000B47C0" w:rsidP="000B47C0">
                                  <w:pPr>
                                    <w:textAlignment w:val="baseline"/>
                                    <w:rPr>
                                      <w:rFonts w:asciiTheme="majorHAnsi" w:hAnsiTheme="majorHAnsi"/>
                                      <w:color w:val="000000" w:themeColor="text1"/>
                                      <w:kern w:val="24"/>
                                      <w:szCs w:val="24"/>
                                    </w:rPr>
                                  </w:pPr>
                                  <w:r w:rsidRPr="007C52F0">
                                    <w:rPr>
                                      <w:rFonts w:asciiTheme="majorHAnsi" w:hAnsiTheme="majorHAnsi"/>
                                      <w:color w:val="000000" w:themeColor="text1"/>
                                      <w:kern w:val="24"/>
                                      <w:szCs w:val="24"/>
                                    </w:rPr>
                                    <w:t>TSR3'</w:t>
                                  </w:r>
                                </w:p>
                              </w:txbxContent>
                            </wps:txbx>
                            <wps:bodyPr wrap="square" rtlCol="0">
                              <a:spAutoFit/>
                            </wps:bodyPr>
                          </wps:wsp>
                          <wps:wsp>
                            <wps:cNvPr id="1996030471" name="TextBox 110">
                              <a:extLst>
                                <a:ext uri="{FF2B5EF4-FFF2-40B4-BE49-F238E27FC236}">
                                  <a16:creationId xmlns:a16="http://schemas.microsoft.com/office/drawing/2014/main" id="{9DF0EB00-365B-0AFA-342D-C20BBD2776C0}"/>
                                </a:ext>
                              </a:extLst>
                            </wps:cNvPr>
                            <wps:cNvSpPr txBox="1"/>
                            <wps:spPr>
                              <a:xfrm>
                                <a:off x="2009606" y="2057402"/>
                                <a:ext cx="817768" cy="472524"/>
                              </a:xfrm>
                              <a:prstGeom prst="rect">
                                <a:avLst/>
                              </a:prstGeom>
                              <a:noFill/>
                            </wps:spPr>
                            <wps:txbx>
                              <w:txbxContent>
                                <w:p w14:paraId="220C5EBA" w14:textId="77777777" w:rsidR="000B47C0" w:rsidRPr="007C52F0" w:rsidRDefault="000B47C0" w:rsidP="000B47C0">
                                  <w:pPr>
                                    <w:textAlignment w:val="baseline"/>
                                    <w:rPr>
                                      <w:rFonts w:asciiTheme="majorHAnsi" w:hAnsiTheme="majorHAnsi"/>
                                      <w:color w:val="000000" w:themeColor="text1"/>
                                      <w:kern w:val="24"/>
                                      <w:szCs w:val="24"/>
                                    </w:rPr>
                                  </w:pPr>
                                  <w:r w:rsidRPr="007C52F0">
                                    <w:rPr>
                                      <w:rFonts w:asciiTheme="majorHAnsi" w:hAnsiTheme="majorHAnsi"/>
                                      <w:color w:val="000000" w:themeColor="text1"/>
                                      <w:kern w:val="24"/>
                                      <w:szCs w:val="24"/>
                                    </w:rPr>
                                    <w:t>TSR4'</w:t>
                                  </w:r>
                                </w:p>
                              </w:txbxContent>
                            </wps:txbx>
                            <wps:bodyPr wrap="square" rtlCol="0">
                              <a:spAutoFit/>
                            </wps:bodyPr>
                          </wps:wsp>
                          <wps:wsp>
                            <wps:cNvPr id="1459683028" name="TextBox 114">
                              <a:extLst>
                                <a:ext uri="{FF2B5EF4-FFF2-40B4-BE49-F238E27FC236}">
                                  <a16:creationId xmlns:a16="http://schemas.microsoft.com/office/drawing/2014/main" id="{18AB2DCA-17AA-C989-A98C-9146AC53DFCA}"/>
                                </a:ext>
                              </a:extLst>
                            </wps:cNvPr>
                            <wps:cNvSpPr txBox="1"/>
                            <wps:spPr>
                              <a:xfrm>
                                <a:off x="2022846" y="2476273"/>
                                <a:ext cx="751742" cy="472524"/>
                              </a:xfrm>
                              <a:prstGeom prst="rect">
                                <a:avLst/>
                              </a:prstGeom>
                              <a:noFill/>
                            </wps:spPr>
                            <wps:txbx>
                              <w:txbxContent>
                                <w:p w14:paraId="4F9ABCB8" w14:textId="77777777" w:rsidR="000B47C0" w:rsidRPr="007C52F0" w:rsidRDefault="000B47C0" w:rsidP="000B47C0">
                                  <w:pPr>
                                    <w:textAlignment w:val="baseline"/>
                                    <w:rPr>
                                      <w:rFonts w:asciiTheme="majorHAnsi" w:hAnsiTheme="majorHAnsi"/>
                                      <w:color w:val="000000" w:themeColor="text1"/>
                                      <w:kern w:val="24"/>
                                      <w:szCs w:val="24"/>
                                    </w:rPr>
                                  </w:pPr>
                                  <w:r w:rsidRPr="007C52F0">
                                    <w:rPr>
                                      <w:rFonts w:asciiTheme="majorHAnsi" w:hAnsiTheme="majorHAnsi"/>
                                      <w:color w:val="000000" w:themeColor="text1"/>
                                      <w:kern w:val="24"/>
                                      <w:szCs w:val="24"/>
                                    </w:rPr>
                                    <w:t>TSR5'</w:t>
                                  </w:r>
                                </w:p>
                              </w:txbxContent>
                            </wps:txbx>
                            <wps:bodyPr wrap="square" rtlCol="0">
                              <a:spAutoFit/>
                            </wps:bodyPr>
                          </wps:wsp>
                          <wps:wsp>
                            <wps:cNvPr id="536498911" name="TextBox 116">
                              <a:extLst>
                                <a:ext uri="{FF2B5EF4-FFF2-40B4-BE49-F238E27FC236}">
                                  <a16:creationId xmlns:a16="http://schemas.microsoft.com/office/drawing/2014/main" id="{66C181F5-7F63-3D65-4F62-0B6EF66DE1DC}"/>
                                </a:ext>
                              </a:extLst>
                            </wps:cNvPr>
                            <wps:cNvSpPr txBox="1"/>
                            <wps:spPr>
                              <a:xfrm>
                                <a:off x="2009606" y="3212947"/>
                                <a:ext cx="817768" cy="472524"/>
                              </a:xfrm>
                              <a:prstGeom prst="rect">
                                <a:avLst/>
                              </a:prstGeom>
                              <a:noFill/>
                            </wps:spPr>
                            <wps:txbx>
                              <w:txbxContent>
                                <w:p w14:paraId="7E46ACB1" w14:textId="77777777" w:rsidR="000B47C0" w:rsidRPr="007C52F0" w:rsidRDefault="000B47C0" w:rsidP="000B47C0">
                                  <w:pPr>
                                    <w:textAlignment w:val="baseline"/>
                                    <w:rPr>
                                      <w:rFonts w:asciiTheme="majorHAnsi" w:hAnsiTheme="majorHAnsi"/>
                                      <w:color w:val="000000" w:themeColor="text1"/>
                                      <w:kern w:val="24"/>
                                      <w:szCs w:val="24"/>
                                    </w:rPr>
                                  </w:pPr>
                                  <w:r w:rsidRPr="007C52F0">
                                    <w:rPr>
                                      <w:rFonts w:asciiTheme="majorHAnsi" w:hAnsiTheme="majorHAnsi"/>
                                      <w:color w:val="000000" w:themeColor="text1"/>
                                      <w:kern w:val="24"/>
                                      <w:szCs w:val="24"/>
                                    </w:rPr>
                                    <w:t>TSR6'</w:t>
                                  </w:r>
                                </w:p>
                              </w:txbxContent>
                            </wps:txbx>
                            <wps:bodyPr wrap="square" rtlCol="0">
                              <a:spAutoFit/>
                            </wps:bodyPr>
                          </wps:wsp>
                          <wps:wsp>
                            <wps:cNvPr id="916782356" name="Straight Arrow Connector 916782356">
                              <a:extLst>
                                <a:ext uri="{FF2B5EF4-FFF2-40B4-BE49-F238E27FC236}">
                                  <a16:creationId xmlns:a16="http://schemas.microsoft.com/office/drawing/2014/main" id="{DB9E3018-D47D-8C85-AC4D-9DC61DF75604}"/>
                                </a:ext>
                              </a:extLst>
                            </wps:cNvPr>
                            <wps:cNvCnPr/>
                            <wps:spPr>
                              <a:xfrm>
                                <a:off x="1466025" y="3372560"/>
                                <a:ext cx="609601" cy="0"/>
                              </a:xfrm>
                              <a:prstGeom prst="straightConnector1">
                                <a:avLst/>
                              </a:prstGeom>
                              <a:noFill/>
                              <a:ln w="28575" cap="flat" cmpd="sng" algn="ctr">
                                <a:solidFill>
                                  <a:srgbClr val="0000FF"/>
                                </a:solidFill>
                                <a:prstDash val="solid"/>
                                <a:miter lim="800000"/>
                                <a:tailEnd type="triangle"/>
                              </a:ln>
                              <a:effectLst/>
                            </wps:spPr>
                            <wps:bodyPr/>
                          </wps:wsp>
                          <wps:wsp>
                            <wps:cNvPr id="1484220036" name="Straight Arrow Connector 1484220036">
                              <a:extLst>
                                <a:ext uri="{FF2B5EF4-FFF2-40B4-BE49-F238E27FC236}">
                                  <a16:creationId xmlns:a16="http://schemas.microsoft.com/office/drawing/2014/main" id="{C633FB43-D55E-6509-98E6-54FECC320789}"/>
                                </a:ext>
                              </a:extLst>
                            </wps:cNvPr>
                            <wps:cNvCnPr/>
                            <wps:spPr>
                              <a:xfrm>
                                <a:off x="1466025" y="2651760"/>
                                <a:ext cx="609601" cy="0"/>
                              </a:xfrm>
                              <a:prstGeom prst="straightConnector1">
                                <a:avLst/>
                              </a:prstGeom>
                              <a:noFill/>
                              <a:ln w="28575" cap="flat" cmpd="sng" algn="ctr">
                                <a:solidFill>
                                  <a:srgbClr val="0000FF"/>
                                </a:solidFill>
                                <a:prstDash val="solid"/>
                                <a:miter lim="800000"/>
                                <a:tailEnd type="triangle"/>
                              </a:ln>
                              <a:effectLst/>
                            </wps:spPr>
                            <wps:bodyPr/>
                          </wps:wsp>
                          <wps:wsp>
                            <wps:cNvPr id="1237661458" name="Straight Arrow Connector 1237661458">
                              <a:extLst>
                                <a:ext uri="{FF2B5EF4-FFF2-40B4-BE49-F238E27FC236}">
                                  <a16:creationId xmlns:a16="http://schemas.microsoft.com/office/drawing/2014/main" id="{F85B4FC1-8C48-0A16-34BE-6BBFAB072935}"/>
                                </a:ext>
                              </a:extLst>
                            </wps:cNvPr>
                            <wps:cNvCnPr/>
                            <wps:spPr>
                              <a:xfrm>
                                <a:off x="1466025" y="2223646"/>
                                <a:ext cx="609601" cy="0"/>
                              </a:xfrm>
                              <a:prstGeom prst="straightConnector1">
                                <a:avLst/>
                              </a:prstGeom>
                              <a:noFill/>
                              <a:ln w="28575" cap="flat" cmpd="sng" algn="ctr">
                                <a:solidFill>
                                  <a:srgbClr val="0000FF"/>
                                </a:solidFill>
                                <a:prstDash val="solid"/>
                                <a:miter lim="800000"/>
                                <a:tailEnd type="triangle"/>
                              </a:ln>
                              <a:effectLst/>
                            </wps:spPr>
                            <wps:bodyPr/>
                          </wps:wsp>
                          <wps:wsp>
                            <wps:cNvPr id="493055386" name="Straight Arrow Connector 493055386">
                              <a:extLst>
                                <a:ext uri="{FF2B5EF4-FFF2-40B4-BE49-F238E27FC236}">
                                  <a16:creationId xmlns:a16="http://schemas.microsoft.com/office/drawing/2014/main" id="{CB73A73F-1200-6519-59E8-7FA11DA50D3A}"/>
                                </a:ext>
                              </a:extLst>
                            </wps:cNvPr>
                            <wps:cNvCnPr/>
                            <wps:spPr>
                              <a:xfrm>
                                <a:off x="1466025" y="1650003"/>
                                <a:ext cx="609601" cy="0"/>
                              </a:xfrm>
                              <a:prstGeom prst="straightConnector1">
                                <a:avLst/>
                              </a:prstGeom>
                              <a:noFill/>
                              <a:ln w="28575" cap="flat" cmpd="sng" algn="ctr">
                                <a:solidFill>
                                  <a:srgbClr val="0000FF"/>
                                </a:solidFill>
                                <a:prstDash val="solid"/>
                                <a:miter lim="800000"/>
                                <a:tailEnd type="triangle"/>
                              </a:ln>
                              <a:effectLst/>
                            </wps:spPr>
                            <wps:bodyPr/>
                          </wps:wsp>
                          <wps:wsp>
                            <wps:cNvPr id="884937128" name="Straight Arrow Connector 884937128">
                              <a:extLst>
                                <a:ext uri="{FF2B5EF4-FFF2-40B4-BE49-F238E27FC236}">
                                  <a16:creationId xmlns:a16="http://schemas.microsoft.com/office/drawing/2014/main" id="{5C886C70-9229-2045-F9EF-70EBB087CA56}"/>
                                </a:ext>
                              </a:extLst>
                            </wps:cNvPr>
                            <wps:cNvCnPr/>
                            <wps:spPr>
                              <a:xfrm>
                                <a:off x="1466025" y="1268896"/>
                                <a:ext cx="609601" cy="0"/>
                              </a:xfrm>
                              <a:prstGeom prst="straightConnector1">
                                <a:avLst/>
                              </a:prstGeom>
                              <a:noFill/>
                              <a:ln w="28575" cap="flat" cmpd="sng" algn="ctr">
                                <a:solidFill>
                                  <a:srgbClr val="0000FF"/>
                                </a:solidFill>
                                <a:prstDash val="solid"/>
                                <a:miter lim="800000"/>
                                <a:tailEnd type="triangle"/>
                              </a:ln>
                              <a:effectLst/>
                            </wps:spPr>
                            <wps:bodyPr/>
                          </wps:wsp>
                        </wpg:grpSp>
                        <wpg:grpSp>
                          <wpg:cNvPr id="1993009488" name="Group 1993009488">
                            <a:extLst>
                              <a:ext uri="{FF2B5EF4-FFF2-40B4-BE49-F238E27FC236}">
                                <a16:creationId xmlns:a16="http://schemas.microsoft.com/office/drawing/2014/main" id="{5A6C7118-9E8A-A445-6A8A-086EFC018FF2}"/>
                              </a:ext>
                            </a:extLst>
                          </wpg:cNvPr>
                          <wpg:cNvGrpSpPr/>
                          <wpg:grpSpPr>
                            <a:xfrm>
                              <a:off x="547434" y="860148"/>
                              <a:ext cx="973224" cy="1344704"/>
                              <a:chOff x="685797" y="1077548"/>
                              <a:chExt cx="1219203" cy="1684574"/>
                            </a:xfrm>
                          </wpg:grpSpPr>
                          <wps:wsp>
                            <wps:cNvPr id="2055640658" name="Straight Connector 2055640658">
                              <a:extLst>
                                <a:ext uri="{FF2B5EF4-FFF2-40B4-BE49-F238E27FC236}">
                                  <a16:creationId xmlns:a16="http://schemas.microsoft.com/office/drawing/2014/main" id="{E192D0D8-6E97-6110-F2DF-913901733EDF}"/>
                                </a:ext>
                              </a:extLst>
                            </wps:cNvPr>
                            <wps:cNvCnPr>
                              <a:cxnSpLocks/>
                            </wps:cNvCnPr>
                            <wps:spPr>
                              <a:xfrm flipH="1">
                                <a:off x="685797" y="2762122"/>
                                <a:ext cx="1219203" cy="0"/>
                              </a:xfrm>
                              <a:prstGeom prst="line">
                                <a:avLst/>
                              </a:prstGeom>
                              <a:noFill/>
                              <a:ln w="12700" cap="flat" cmpd="sng" algn="ctr">
                                <a:solidFill>
                                  <a:srgbClr val="0000FF"/>
                                </a:solidFill>
                                <a:prstDash val="lgDash"/>
                                <a:miter lim="800000"/>
                              </a:ln>
                              <a:effectLst/>
                            </wps:spPr>
                            <wps:bodyPr/>
                          </wps:wsp>
                          <wps:wsp>
                            <wps:cNvPr id="122830406" name="Straight Connector 122830406">
                              <a:extLst>
                                <a:ext uri="{FF2B5EF4-FFF2-40B4-BE49-F238E27FC236}">
                                  <a16:creationId xmlns:a16="http://schemas.microsoft.com/office/drawing/2014/main" id="{9EA7B987-E1BB-8988-FA29-5379579BB02E}"/>
                                </a:ext>
                              </a:extLst>
                            </wps:cNvPr>
                            <wps:cNvCnPr>
                              <a:cxnSpLocks/>
                            </wps:cNvCnPr>
                            <wps:spPr>
                              <a:xfrm flipH="1">
                                <a:off x="685797" y="1848531"/>
                                <a:ext cx="1219203" cy="0"/>
                              </a:xfrm>
                              <a:prstGeom prst="line">
                                <a:avLst/>
                              </a:prstGeom>
                              <a:noFill/>
                              <a:ln w="12700" cap="flat" cmpd="sng" algn="ctr">
                                <a:solidFill>
                                  <a:srgbClr val="0000FF"/>
                                </a:solidFill>
                                <a:prstDash val="lgDash"/>
                                <a:miter lim="800000"/>
                              </a:ln>
                              <a:effectLst/>
                            </wps:spPr>
                            <wps:bodyPr/>
                          </wps:wsp>
                          <wps:wsp>
                            <wps:cNvPr id="257322897" name="Straight Connector 257322897">
                              <a:extLst>
                                <a:ext uri="{FF2B5EF4-FFF2-40B4-BE49-F238E27FC236}">
                                  <a16:creationId xmlns:a16="http://schemas.microsoft.com/office/drawing/2014/main" id="{209165FF-92D9-DB78-5FE2-AF54F8181C95}"/>
                                </a:ext>
                              </a:extLst>
                            </wps:cNvPr>
                            <wps:cNvCnPr>
                              <a:cxnSpLocks/>
                            </wps:cNvCnPr>
                            <wps:spPr>
                              <a:xfrm flipH="1">
                                <a:off x="685797" y="1077548"/>
                                <a:ext cx="1219203" cy="0"/>
                              </a:xfrm>
                              <a:prstGeom prst="line">
                                <a:avLst/>
                              </a:prstGeom>
                              <a:noFill/>
                              <a:ln w="12700" cap="flat" cmpd="sng" algn="ctr">
                                <a:solidFill>
                                  <a:srgbClr val="0000FF"/>
                                </a:solidFill>
                                <a:prstDash val="lgDash"/>
                                <a:miter lim="800000"/>
                              </a:ln>
                              <a:effectLst/>
                            </wps:spPr>
                            <wps:bodyPr/>
                          </wps:wsp>
                        </wpg:grpSp>
                        <wpg:grpSp>
                          <wpg:cNvPr id="1773445461" name="Group 1773445461">
                            <a:extLst>
                              <a:ext uri="{FF2B5EF4-FFF2-40B4-BE49-F238E27FC236}">
                                <a16:creationId xmlns:a16="http://schemas.microsoft.com/office/drawing/2014/main" id="{1294E839-FCB7-981F-862D-3D54BE79AEDC}"/>
                              </a:ext>
                            </a:extLst>
                          </wpg:cNvPr>
                          <wpg:cNvGrpSpPr/>
                          <wpg:grpSpPr>
                            <a:xfrm>
                              <a:off x="1277350" y="1149779"/>
                              <a:ext cx="973219" cy="870067"/>
                              <a:chOff x="1600197" y="1440382"/>
                              <a:chExt cx="1219197" cy="1089974"/>
                            </a:xfrm>
                          </wpg:grpSpPr>
                          <wps:wsp>
                            <wps:cNvPr id="1169924352" name="Straight Connector 1169924352">
                              <a:extLst>
                                <a:ext uri="{FF2B5EF4-FFF2-40B4-BE49-F238E27FC236}">
                                  <a16:creationId xmlns:a16="http://schemas.microsoft.com/office/drawing/2014/main" id="{77F9CD53-FA2D-2F97-3446-C6A0BFD0C743}"/>
                                </a:ext>
                              </a:extLst>
                            </wps:cNvPr>
                            <wps:cNvCnPr>
                              <a:cxnSpLocks/>
                            </wps:cNvCnPr>
                            <wps:spPr>
                              <a:xfrm flipH="1">
                                <a:off x="1600197" y="1440382"/>
                                <a:ext cx="1219197" cy="0"/>
                              </a:xfrm>
                              <a:prstGeom prst="line">
                                <a:avLst/>
                              </a:prstGeom>
                              <a:noFill/>
                              <a:ln w="12700" cap="flat" cmpd="sng" algn="ctr">
                                <a:solidFill>
                                  <a:srgbClr val="0000FF"/>
                                </a:solidFill>
                                <a:prstDash val="lgDash"/>
                                <a:miter lim="800000"/>
                              </a:ln>
                              <a:effectLst/>
                            </wps:spPr>
                            <wps:bodyPr/>
                          </wps:wsp>
                          <wps:wsp>
                            <wps:cNvPr id="1761453634" name="Straight Connector 1761453634">
                              <a:extLst>
                                <a:ext uri="{FF2B5EF4-FFF2-40B4-BE49-F238E27FC236}">
                                  <a16:creationId xmlns:a16="http://schemas.microsoft.com/office/drawing/2014/main" id="{B276F3F1-30CB-6449-FBB7-9491DD332A70}"/>
                                </a:ext>
                              </a:extLst>
                            </wps:cNvPr>
                            <wps:cNvCnPr>
                              <a:cxnSpLocks/>
                            </wps:cNvCnPr>
                            <wps:spPr>
                              <a:xfrm flipH="1">
                                <a:off x="1600197" y="2530356"/>
                                <a:ext cx="1219197" cy="0"/>
                              </a:xfrm>
                              <a:prstGeom prst="line">
                                <a:avLst/>
                              </a:prstGeom>
                              <a:noFill/>
                              <a:ln w="12700" cap="flat" cmpd="sng" algn="ctr">
                                <a:solidFill>
                                  <a:srgbClr val="0000FF"/>
                                </a:solidFill>
                                <a:prstDash val="lgDash"/>
                                <a:miter lim="800000"/>
                              </a:ln>
                              <a:effectLst/>
                            </wps:spPr>
                            <wps:bodyPr/>
                          </wps:wsp>
                        </wpg:grpSp>
                      </wpg:wgp>
                    </wpc:wpc>
                  </a:graphicData>
                </a:graphic>
              </wp:inline>
            </w:drawing>
          </mc:Choice>
          <mc:Fallback>
            <w:pict>
              <v:group w14:anchorId="6897F5B3" id="Canvas 2" o:spid="_x0000_s1026" editas="canvas" style="width:468pt;height:273pt;mso-position-horizontal-relative:char;mso-position-vertical-relative:line" coordsize="59436,3467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59436;height:34671;visibility:visible;mso-wrap-style:square" filled="t">
                  <v:fill o:detectmouseclick="t"/>
                  <v:path o:connecttype="none"/>
                </v:shape>
                <v:group id="Group 110180868" o:spid="_x0000_s1028" style="position:absolute;left:9619;width:40356;height:34671" coordsize="40356,346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">
                  <v:group id="Group 2050658859" o:spid="_x0000_s1029" style="position:absolute;left:5474;top:526;width:29333;height:34145" coordorigin="6858,659" coordsize="36747,427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">
                    <v:rect id="Rectangle 1139321405" o:spid="_x0000_s1030" style="position:absolute;left:6858;top:6858;width:9144;height:3657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" fillcolor="#dbdbdb" strokecolor="windowText" strokeweight="1pt"/>
                    <v:rect id="Rectangle 1784269896" o:spid="_x0000_s1031" style="position:absolute;left:34461;top:659;width:9144;height:4277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" fillcolor="#b4c7e7" strokecolor="windowText" strokeweight="1pt"/>
                  </v:group>
                  <v:group id="Group 964961326" o:spid="_x0000_s1032" style="position:absolute;left:5619;width:17029;height:34671" coordorigin="7040" coordsize="21332,434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">
                    <v:shapetype id="_x0000_t202" coordsize="21600,21600" o:spt="202" path="m,l,21600r21600,l21600,xe">
                      <v:stroke joinstyle="miter"/>
                      <v:path gradientshapeok="t" o:connecttype="rect"/>
                    </v:shapetype>
                    <v:shape id="TextBox 28" o:spid="_x0000_s1033" type="#_x0000_t202" style="position:absolute;left:7040;top:1296;width:9140;height:47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" filled="f" stroked="f">
                      <v:textbox style="mso-fit-shape-to-text:t">
                        <w:txbxContent>
                          <w:p w14:paraId="53287FA6" w14:textId="77777777" w:rsidR="000B47C0" w:rsidRPr="007C52F0" w:rsidRDefault="000B47C0" w:rsidP="000B47C0">
                            <w:pPr>
                              <w:jc w:val="center"/>
                              <w:textAlignment w:val="baseline"/>
                              <w:rPr>
                                <w:rFonts w:asciiTheme="majorHAnsi" w:hAnsiTheme="majorHAnsi"/>
                                <w:color w:val="000000" w:themeColor="text1"/>
                                <w:kern w:val="24"/>
                                <w:szCs w:val="24"/>
                              </w:rPr>
                            </w:pPr>
                            <w:r w:rsidRPr="007C52F0">
                              <w:rPr>
                                <w:rFonts w:asciiTheme="majorHAnsi" w:hAnsiTheme="majorHAnsi"/>
                                <w:color w:val="000000" w:themeColor="text1"/>
                                <w:kern w:val="24"/>
                              </w:rPr>
                              <w:t>BAA A</w:t>
                            </w:r>
                          </w:p>
                        </w:txbxContent>
                      </v:textbox>
                    </v:shape>
                    <v:shape id="TextBox 29" o:spid="_x0000_s1034" type="#_x0000_t202" style="position:absolute;left:19232;top:1296;width:9140;height:47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" filled="f" stroked="f">
                      <v:textbox style="mso-fit-shape-to-text:t">
                        <w:txbxContent>
                          <w:p w14:paraId="53B5E4EF" w14:textId="77777777" w:rsidR="000B47C0" w:rsidRPr="007C52F0" w:rsidRDefault="000B47C0" w:rsidP="000B47C0">
                            <w:pPr>
                              <w:jc w:val="center"/>
                              <w:textAlignment w:val="baseline"/>
                              <w:rPr>
                                <w:rFonts w:asciiTheme="majorHAnsi" w:hAnsiTheme="majorHAnsi"/>
                                <w:color w:val="000000" w:themeColor="text1"/>
                                <w:kern w:val="24"/>
                                <w:szCs w:val="24"/>
                              </w:rPr>
                            </w:pPr>
                            <w:r w:rsidRPr="007C52F0">
                              <w:rPr>
                                <w:rFonts w:asciiTheme="majorHAnsi" w:hAnsiTheme="majorHAnsi"/>
                                <w:color w:val="000000" w:themeColor="text1"/>
                                <w:kern w:val="24"/>
                              </w:rPr>
                              <w:t>BAA B</w:t>
                            </w:r>
                          </w:p>
                        </w:txbxContent>
                      </v:textbox>
                    </v:shape>
                    <v:line id="Straight Connector 1669644603" o:spid="_x0000_s1035" style="position:absolute;visibility:visible;mso-wrap-style:square" from="17526,0" to="17526,4343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" strokecolor="red" strokeweight="1pt">
                      <v:stroke dashstyle="dashDot" joinstyle="miter"/>
                      <o:lock v:ext="edit" shapetype="f"/>
                    </v:line>
                  </v:group>
                  <v:group id="Group 1230123315" o:spid="_x0000_s1036" style="position:absolute;left:27508;top:823;width:12848;height:27654" coordorigin="34461,1031" coordsize="16095,346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">
                    <v:shape id="TextBox 18" o:spid="_x0000_s1037" type="#_x0000_t202" style="position:absolute;left:43699;top:1031;width:6857;height:47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" filled="f" stroked="f">
                      <v:textbox style="mso-fit-shape-to-text:t">
                        <w:txbxContent>
                          <w:p w14:paraId="041C98AB" w14:textId="77777777" w:rsidR="000B47C0" w:rsidRPr="007C52F0" w:rsidRDefault="000B47C0" w:rsidP="000B47C0">
                            <w:pPr>
                              <w:textAlignment w:val="baseline"/>
                              <w:rPr>
                                <w:rFonts w:asciiTheme="majorHAnsi" w:hAnsiTheme="majorHAnsi"/>
                                <w:color w:val="000000" w:themeColor="text1"/>
                                <w:kern w:val="24"/>
                                <w:szCs w:val="24"/>
                              </w:rPr>
                            </w:pPr>
                            <w:r w:rsidRPr="007C52F0">
                              <w:rPr>
                                <w:rFonts w:asciiTheme="majorHAnsi" w:hAnsiTheme="majorHAnsi"/>
                                <w:color w:val="000000" w:themeColor="text1"/>
                                <w:kern w:val="24"/>
                              </w:rPr>
                              <w:t>SC4</w:t>
                            </w:r>
                          </w:p>
                        </w:txbxContent>
                      </v:textbox>
                    </v:shape>
                    <v:shape id="TextBox 19" o:spid="_x0000_s1038" type="#_x0000_t202" style="position:absolute;left:43699;top:7279;width:6857;height:47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" filled="f" stroked="f">
                      <v:textbox style="mso-fit-shape-to-text:t">
                        <w:txbxContent>
                          <w:p w14:paraId="5819848D" w14:textId="77777777" w:rsidR="000B47C0" w:rsidRPr="007C52F0" w:rsidRDefault="000B47C0" w:rsidP="000B47C0">
                            <w:pPr>
                              <w:textAlignment w:val="baseline"/>
                              <w:rPr>
                                <w:rFonts w:asciiTheme="majorHAnsi" w:hAnsiTheme="majorHAnsi"/>
                                <w:color w:val="000000" w:themeColor="text1"/>
                                <w:kern w:val="24"/>
                                <w:szCs w:val="24"/>
                              </w:rPr>
                            </w:pPr>
                            <w:r w:rsidRPr="007C52F0">
                              <w:rPr>
                                <w:rFonts w:asciiTheme="majorHAnsi" w:hAnsiTheme="majorHAnsi"/>
                                <w:color w:val="000000" w:themeColor="text1"/>
                                <w:kern w:val="24"/>
                              </w:rPr>
                              <w:t>SC5</w:t>
                            </w:r>
                          </w:p>
                        </w:txbxContent>
                      </v:textbox>
                    </v:shape>
                    <v:shape id="TextBox 20" o:spid="_x0000_s1039" type="#_x0000_t202" style="position:absolute;left:43699;top:18543;width:6857;height:47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" filled="f" stroked="f">
                      <v:textbox style="mso-fit-shape-to-text:t">
                        <w:txbxContent>
                          <w:p w14:paraId="65FF0A69" w14:textId="77777777" w:rsidR="000B47C0" w:rsidRPr="007C52F0" w:rsidRDefault="000B47C0" w:rsidP="000B47C0">
                            <w:pPr>
                              <w:textAlignment w:val="baseline"/>
                              <w:rPr>
                                <w:rFonts w:asciiTheme="majorHAnsi" w:hAnsiTheme="majorHAnsi"/>
                                <w:color w:val="000000" w:themeColor="text1"/>
                                <w:kern w:val="24"/>
                                <w:szCs w:val="24"/>
                              </w:rPr>
                            </w:pPr>
                            <w:r w:rsidRPr="007C52F0">
                              <w:rPr>
                                <w:rFonts w:asciiTheme="majorHAnsi" w:hAnsiTheme="majorHAnsi"/>
                                <w:color w:val="000000" w:themeColor="text1"/>
                                <w:kern w:val="24"/>
                              </w:rPr>
                              <w:t>SC6</w:t>
                            </w:r>
                          </w:p>
                        </w:txbxContent>
                      </v:textbox>
                    </v:shape>
                    <v:shape id="TextBox 21" o:spid="_x0000_s1040" type="#_x0000_t202" style="position:absolute;left:43699;top:30949;width:6857;height:47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" filled="f" stroked="f">
                      <v:textbox style="mso-fit-shape-to-text:t">
                        <w:txbxContent>
                          <w:p w14:paraId="043F3B49" w14:textId="77777777" w:rsidR="000B47C0" w:rsidRPr="007C52F0" w:rsidRDefault="000B47C0" w:rsidP="000B47C0">
                            <w:pPr>
                              <w:textAlignment w:val="baseline"/>
                              <w:rPr>
                                <w:rFonts w:asciiTheme="majorHAnsi" w:hAnsiTheme="majorHAnsi"/>
                                <w:color w:val="000000" w:themeColor="text1"/>
                                <w:kern w:val="24"/>
                                <w:szCs w:val="24"/>
                              </w:rPr>
                            </w:pPr>
                            <w:r w:rsidRPr="007C52F0">
                              <w:rPr>
                                <w:rFonts w:asciiTheme="majorHAnsi" w:hAnsiTheme="majorHAnsi"/>
                                <w:color w:val="000000" w:themeColor="text1"/>
                                <w:kern w:val="24"/>
                              </w:rPr>
                              <w:t>SC7</w:t>
                            </w:r>
                          </w:p>
                        </w:txbxContent>
                      </v:textbox>
                    </v:shape>
                    <v:line id="Straight Connector 76132010" o:spid="_x0000_s1041" style="position:absolute;visibility:visible;mso-wrap-style:square" from="34461,25145" to="50292,2514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" strokecolor="windowText" strokeweight="1pt">
                      <v:stroke joinstyle="miter"/>
                      <o:lock v:ext="edit" shapetype="f"/>
                    </v:line>
                    <v:line id="Straight Connector 220650849" o:spid="_x0000_s1042" style="position:absolute;visibility:visible;mso-wrap-style:square" from="34461,14435" to="50292,1443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" strokecolor="windowText" strokeweight="1pt">
                      <v:stroke joinstyle="miter"/>
                      <o:lock v:ext="edit" shapetype="f"/>
                    </v:line>
                    <v:line id="Straight Connector 260424320" o:spid="_x0000_s1043" style="position:absolute;visibility:visible;mso-wrap-style:square" from="34461,5231" to="50292,523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" strokecolor="windowText" strokeweight="1pt">
                      <v:stroke joinstyle="miter"/>
                      <o:lock v:ext="edit" shapetype="f"/>
                    </v:line>
                  </v:group>
                  <v:group id="Group 1748162153" o:spid="_x0000_s1044" style="position:absolute;top:6690;width:12773;height:22722" coordorigin=",8382" coordsize="16001,284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">
                    <v:shape id="TextBox 15" o:spid="_x0000_s1045" type="#_x0000_t202" style="position:absolute;top:8382;width:6857;height:47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" filled="f" stroked="f">
                      <v:textbox style="mso-fit-shape-to-text:t">
                        <w:txbxContent>
                          <w:p w14:paraId="08D20A88" w14:textId="77777777" w:rsidR="000B47C0" w:rsidRPr="007C52F0" w:rsidRDefault="000B47C0" w:rsidP="000B47C0">
                            <w:pPr>
                              <w:textAlignment w:val="baseline"/>
                              <w:rPr>
                                <w:rFonts w:asciiTheme="majorHAnsi" w:hAnsiTheme="majorHAnsi"/>
                                <w:color w:val="000000" w:themeColor="text1"/>
                                <w:kern w:val="24"/>
                                <w:szCs w:val="24"/>
                              </w:rPr>
                            </w:pPr>
                            <w:r w:rsidRPr="007C52F0">
                              <w:rPr>
                                <w:rFonts w:asciiTheme="majorHAnsi" w:hAnsiTheme="majorHAnsi"/>
                                <w:color w:val="000000" w:themeColor="text1"/>
                                <w:kern w:val="24"/>
                              </w:rPr>
                              <w:t>SC1</w:t>
                            </w:r>
                          </w:p>
                        </w:txbxContent>
                      </v:textbox>
                    </v:shape>
                    <v:shape id="TextBox 16" o:spid="_x0000_s1046" type="#_x0000_t202" style="position:absolute;top:18404;width:6857;height:47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" filled="f" stroked="f">
                      <v:textbox style="mso-fit-shape-to-text:t">
                        <w:txbxContent>
                          <w:p w14:paraId="7CEAC0EB" w14:textId="77777777" w:rsidR="000B47C0" w:rsidRPr="007C52F0" w:rsidRDefault="000B47C0" w:rsidP="000B47C0">
                            <w:pPr>
                              <w:textAlignment w:val="baseline"/>
                              <w:rPr>
                                <w:rFonts w:asciiTheme="majorHAnsi" w:hAnsiTheme="majorHAnsi"/>
                                <w:color w:val="000000" w:themeColor="text1"/>
                                <w:kern w:val="24"/>
                                <w:szCs w:val="24"/>
                              </w:rPr>
                            </w:pPr>
                            <w:r w:rsidRPr="007C52F0">
                              <w:rPr>
                                <w:rFonts w:asciiTheme="majorHAnsi" w:hAnsiTheme="majorHAnsi"/>
                                <w:color w:val="000000" w:themeColor="text1"/>
                                <w:kern w:val="24"/>
                              </w:rPr>
                              <w:t>SC2</w:t>
                            </w:r>
                          </w:p>
                        </w:txbxContent>
                      </v:textbox>
                    </v:shape>
                    <v:shape id="TextBox 17" o:spid="_x0000_s1047" type="#_x0000_t202" style="position:absolute;top:32120;width:6857;height:47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" filled="f" stroked="f">
                      <v:textbox style="mso-fit-shape-to-text:t">
                        <w:txbxContent>
                          <w:p w14:paraId="54F7FC71" w14:textId="77777777" w:rsidR="000B47C0" w:rsidRPr="007C52F0" w:rsidRDefault="000B47C0" w:rsidP="000B47C0">
                            <w:pPr>
                              <w:textAlignment w:val="baseline"/>
                              <w:rPr>
                                <w:rFonts w:asciiTheme="majorHAnsi" w:hAnsiTheme="majorHAnsi"/>
                                <w:color w:val="000000" w:themeColor="text1"/>
                                <w:kern w:val="24"/>
                                <w:szCs w:val="24"/>
                              </w:rPr>
                            </w:pPr>
                            <w:r w:rsidRPr="007C52F0">
                              <w:rPr>
                                <w:rFonts w:asciiTheme="majorHAnsi" w:hAnsiTheme="majorHAnsi"/>
                                <w:color w:val="000000" w:themeColor="text1"/>
                                <w:kern w:val="24"/>
                              </w:rPr>
                              <w:t>SC3</w:t>
                            </w:r>
                          </w:p>
                        </w:txbxContent>
                      </v:textbox>
                    </v:shape>
                    <v:line id="Straight Connector 158078416" o:spid="_x0000_s1048" style="position:absolute;visibility:visible;mso-wrap-style:square" from="0,25332" to="16001,2533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" strokecolor="windowText" strokeweight="1pt">
                      <v:stroke joinstyle="miter"/>
                      <o:lock v:ext="edit" shapetype="f"/>
                    </v:line>
                    <v:line id="Straight Connector 1046649489" o:spid="_x0000_s1049" style="position:absolute;visibility:visible;mso-wrap-style:square" from="0,14403" to="16001,1440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" strokecolor="windowText" strokeweight="1pt">
                      <v:stroke joinstyle="miter"/>
                      <o:lock v:ext="edit" shapetype="f"/>
                    </v:line>
                  </v:group>
                  <v:group id="Group 1208048553" o:spid="_x0000_s1050" style="position:absolute;left:15206;top:526;width:12302;height:34145" coordorigin="19050,659" coordsize="15411,427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">
                    <v:rect id="Rectangle 393345429" o:spid="_x0000_s1051" style="position:absolute;left:19050;top:6858;width:9144;height:3657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" fillcolor="#c5e0b4" strokecolor="windowText" strokeweight="1pt"/>
                    <v:line id="Straight Connector 741491171" o:spid="_x0000_s1052" style="position:absolute;visibility:visible;mso-wrap-style:square" from="19050,27647" to="28194,2764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" strokecolor="windowText" strokeweight="1pt">
                      <v:stroke joinstyle="miter"/>
                      <o:lock v:ext="edit" shapetype="f"/>
                    </v:line>
                    <v:line id="Straight Connector 205598575" o:spid="_x0000_s1053" style="position:absolute;visibility:visible;mso-wrap-style:square" from="19050,18503" to="28194,1850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" strokecolor="windowText" strokeweight="1pt">
                      <v:stroke joinstyle="miter"/>
                      <o:lock v:ext="edit" shapetype="f"/>
                    </v:line>
                    <v:line id="Straight Connector 191047418" o:spid="_x0000_s1054" style="position:absolute;visibility:visible;mso-wrap-style:square" from="19050,10731" to="28194,1073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" strokecolor="windowText" strokeweight="1pt">
                      <v:stroke joinstyle="miter"/>
                      <o:lock v:ext="edit" shapetype="f"/>
                    </v:line>
                    <v:line id="Straight Connector 1137891688" o:spid="_x0000_s1055" style="position:absolute;flip:x;visibility:visible;mso-wrap-style:square" from="28100,25145" to="34461,2764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" strokecolor="windowText" strokeweight="1pt">
                      <v:stroke dashstyle="dash" joinstyle="miter"/>
                      <o:lock v:ext="edit" shapetype="f"/>
                    </v:line>
                    <v:line id="Straight Connector 96145745" o:spid="_x0000_s1056" style="position:absolute;flip:x;visibility:visible;mso-wrap-style:square" from="28193,14435" to="34461,182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" strokecolor="windowText" strokeweight="1pt">
                      <v:stroke dashstyle="dash" joinstyle="miter"/>
                      <o:lock v:ext="edit" shapetype="f"/>
                    </v:line>
                    <v:line id="Straight Connector 1583173330" o:spid="_x0000_s1057" style="position:absolute;flip:x;visibility:visible;mso-wrap-style:square" from="28193,5231" to="34461,1066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" strokecolor="windowText" strokeweight="1pt">
                      <v:stroke dashstyle="dash" joinstyle="miter"/>
                      <o:lock v:ext="edit" shapetype="f"/>
                    </v:line>
                    <v:line id="Straight Connector 1213807392" o:spid="_x0000_s1058" style="position:absolute;flip:x;visibility:visible;mso-wrap-style:square" from="28100,659" to="34461,677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" strokecolor="windowText" strokeweight="1pt">
                      <v:stroke dashstyle="dash" joinstyle="miter"/>
                      <o:lock v:ext="edit" shapetype="f"/>
                    </v:line>
                    <v:shapetype id="_x0000_t66" coordsize="21600,21600" o:spt="66" adj="5400,5400" path="m@0,l@0@1,21600@1,21600@2@0@2@0,21600,,10800xe">
                      <v:stroke joinstyle="miter"/>
                      <v:formulas>
                        <v:f eqn="val #0"/>
                        <v:f eqn="val #1"/>
                        <v:f eqn="sum 21600 0 #1"/>
                        <v:f eqn="prod #0 #1 10800"/>
                        <v:f eqn="sum #0 0 @3"/>
                      </v:formulas>
                      <v:path o:connecttype="custom" o:connectlocs="@0,0;0,10800;@0,21600;21600,10800" o:connectangles="270,180,90,0" textboxrect="@4,@1,21600,@2"/>
                      <v:handles>
                        <v:h position="#0,#1" xrange="0,21600" yrange="0,10800"/>
                      </v:handles>
                    </v:shapetype>
                    <v:shape id="Arrow: Left 1254814764" o:spid="_x0000_s1059" type="#_x0000_t66" style="position:absolute;left:29718;top:20574;width:3048;height:274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" adj="9720" fillcolor="#5b9bd5" strokecolor="windowText" strokeweight="1pt"/>
                  </v:group>
                  <v:group id="Group 1998098676" o:spid="_x0000_s1060" style="position:absolute;left:6532;top:5827;width:16037;height:23630" coordorigin="8183,7300" coordsize="20090,296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">
                    <v:shape id="TextBox 97" o:spid="_x0000_s1061" type="#_x0000_t202" style="position:absolute;left:8183;top:7348;width:6857;height:47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" filled="f" stroked="f">
                      <v:textbox style="mso-fit-shape-to-text:t">
                        <w:txbxContent>
                          <w:p w14:paraId="489C6BAB" w14:textId="77777777" w:rsidR="000B47C0" w:rsidRPr="007C52F0" w:rsidRDefault="000B47C0" w:rsidP="000B47C0">
                            <w:pPr>
                              <w:textAlignment w:val="baseline"/>
                              <w:rPr>
                                <w:rFonts w:asciiTheme="majorHAnsi" w:hAnsiTheme="majorHAnsi"/>
                                <w:color w:val="000000" w:themeColor="text1"/>
                                <w:kern w:val="24"/>
                                <w:szCs w:val="24"/>
                              </w:rPr>
                            </w:pPr>
                            <w:r w:rsidRPr="007C52F0">
                              <w:rPr>
                                <w:rFonts w:asciiTheme="majorHAnsi" w:hAnsiTheme="majorHAnsi"/>
                                <w:color w:val="000000" w:themeColor="text1"/>
                                <w:kern w:val="24"/>
                                <w:szCs w:val="24"/>
                              </w:rPr>
                              <w:t>TSR1</w:t>
                            </w:r>
                          </w:p>
                        </w:txbxContent>
                      </v:textbox>
                    </v:shape>
                    <v:shape id="TextBox 99" o:spid="_x0000_s1062" type="#_x0000_t202" style="position:absolute;left:8183;top:10927;width:6857;height:47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" filled="f" stroked="f">
                      <v:textbox style="mso-fit-shape-to-text:t">
                        <w:txbxContent>
                          <w:p w14:paraId="33DB5930" w14:textId="77777777" w:rsidR="000B47C0" w:rsidRPr="007C52F0" w:rsidRDefault="000B47C0" w:rsidP="000B47C0">
                            <w:pPr>
                              <w:textAlignment w:val="baseline"/>
                              <w:rPr>
                                <w:rFonts w:asciiTheme="majorHAnsi" w:hAnsiTheme="majorHAnsi"/>
                                <w:color w:val="000000" w:themeColor="text1"/>
                                <w:kern w:val="24"/>
                                <w:szCs w:val="24"/>
                              </w:rPr>
                            </w:pPr>
                            <w:r w:rsidRPr="007C52F0">
                              <w:rPr>
                                <w:rFonts w:asciiTheme="majorHAnsi" w:hAnsiTheme="majorHAnsi"/>
                                <w:color w:val="000000" w:themeColor="text1"/>
                                <w:kern w:val="24"/>
                                <w:szCs w:val="24"/>
                              </w:rPr>
                              <w:t>TSR2</w:t>
                            </w:r>
                          </w:p>
                        </w:txbxContent>
                      </v:textbox>
                    </v:shape>
                    <v:shape id="TextBox 107" o:spid="_x0000_s1063" type="#_x0000_t202" style="position:absolute;left:8183;top:14769;width:6857;height:47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" filled="f" stroked="f">
                      <v:textbox style="mso-fit-shape-to-text:t">
                        <w:txbxContent>
                          <w:p w14:paraId="00F946A8" w14:textId="77777777" w:rsidR="000B47C0" w:rsidRPr="007C52F0" w:rsidRDefault="000B47C0" w:rsidP="000B47C0">
                            <w:pPr>
                              <w:textAlignment w:val="baseline"/>
                              <w:rPr>
                                <w:rFonts w:asciiTheme="majorHAnsi" w:hAnsiTheme="majorHAnsi"/>
                                <w:color w:val="000000" w:themeColor="text1"/>
                                <w:kern w:val="24"/>
                                <w:szCs w:val="24"/>
                              </w:rPr>
                            </w:pPr>
                            <w:r w:rsidRPr="007C52F0">
                              <w:rPr>
                                <w:rFonts w:asciiTheme="majorHAnsi" w:hAnsiTheme="majorHAnsi"/>
                                <w:color w:val="000000" w:themeColor="text1"/>
                                <w:kern w:val="24"/>
                                <w:szCs w:val="24"/>
                              </w:rPr>
                              <w:t>TSR3</w:t>
                            </w:r>
                          </w:p>
                        </w:txbxContent>
                      </v:textbox>
                    </v:shape>
                    <v:shape id="TextBox 109" o:spid="_x0000_s1064" type="#_x0000_t202" style="position:absolute;left:8183;top:20622;width:6857;height:47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" filled="f" stroked="f">
                      <v:textbox style="mso-fit-shape-to-text:t">
                        <w:txbxContent>
                          <w:p w14:paraId="761841B1" w14:textId="77777777" w:rsidR="000B47C0" w:rsidRPr="007C52F0" w:rsidRDefault="000B47C0" w:rsidP="000B47C0">
                            <w:pPr>
                              <w:textAlignment w:val="baseline"/>
                              <w:rPr>
                                <w:rFonts w:asciiTheme="majorHAnsi" w:hAnsiTheme="majorHAnsi"/>
                                <w:color w:val="000000" w:themeColor="text1"/>
                                <w:kern w:val="24"/>
                                <w:szCs w:val="24"/>
                              </w:rPr>
                            </w:pPr>
                            <w:r w:rsidRPr="007C52F0">
                              <w:rPr>
                                <w:rFonts w:asciiTheme="majorHAnsi" w:hAnsiTheme="majorHAnsi"/>
                                <w:color w:val="000000" w:themeColor="text1"/>
                                <w:kern w:val="24"/>
                                <w:szCs w:val="24"/>
                              </w:rPr>
                              <w:t>TSR4</w:t>
                            </w:r>
                          </w:p>
                        </w:txbxContent>
                      </v:textbox>
                    </v:shape>
                    <v:shape id="TextBox 113" o:spid="_x0000_s1065" type="#_x0000_t202" style="position:absolute;left:8183;top:24811;width:6857;height:47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" filled="f" stroked="f">
                      <v:textbox style="mso-fit-shape-to-text:t">
                        <w:txbxContent>
                          <w:p w14:paraId="1B9D1904" w14:textId="77777777" w:rsidR="000B47C0" w:rsidRPr="007C52F0" w:rsidRDefault="000B47C0" w:rsidP="000B47C0">
                            <w:pPr>
                              <w:textAlignment w:val="baseline"/>
                              <w:rPr>
                                <w:rFonts w:asciiTheme="majorHAnsi" w:hAnsiTheme="majorHAnsi"/>
                                <w:color w:val="000000" w:themeColor="text1"/>
                                <w:kern w:val="24"/>
                                <w:szCs w:val="24"/>
                              </w:rPr>
                            </w:pPr>
                            <w:r w:rsidRPr="007C52F0">
                              <w:rPr>
                                <w:rFonts w:asciiTheme="majorHAnsi" w:hAnsiTheme="majorHAnsi"/>
                                <w:color w:val="000000" w:themeColor="text1"/>
                                <w:kern w:val="24"/>
                                <w:szCs w:val="24"/>
                              </w:rPr>
                              <w:t>TSR5</w:t>
                            </w:r>
                          </w:p>
                        </w:txbxContent>
                      </v:textbox>
                    </v:shape>
                    <v:shape id="TextBox 115" o:spid="_x0000_s1066" type="#_x0000_t202" style="position:absolute;left:8183;top:32177;width:6857;height:47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" filled="f" stroked="f">
                      <v:textbox style="mso-fit-shape-to-text:t">
                        <w:txbxContent>
                          <w:p w14:paraId="74D57B40" w14:textId="77777777" w:rsidR="000B47C0" w:rsidRPr="007C52F0" w:rsidRDefault="000B47C0" w:rsidP="000B47C0">
                            <w:pPr>
                              <w:textAlignment w:val="baseline"/>
                              <w:rPr>
                                <w:rFonts w:asciiTheme="majorHAnsi" w:hAnsiTheme="majorHAnsi"/>
                                <w:color w:val="000000" w:themeColor="text1"/>
                                <w:kern w:val="24"/>
                                <w:szCs w:val="24"/>
                              </w:rPr>
                            </w:pPr>
                            <w:r w:rsidRPr="007C52F0">
                              <w:rPr>
                                <w:rFonts w:asciiTheme="majorHAnsi" w:hAnsiTheme="majorHAnsi"/>
                                <w:color w:val="000000" w:themeColor="text1"/>
                                <w:kern w:val="24"/>
                                <w:szCs w:val="24"/>
                              </w:rPr>
                              <w:t>TSR6</w:t>
                            </w:r>
                          </w:p>
                        </w:txbxContent>
                      </v:textbox>
                    </v:shape>
                    <v:shapetype id="_x0000_t32" coordsize="21600,21600" o:spt="32" o:oned="t" path="m,l21600,21600e" filled="f">
                      <v:path arrowok="t" fillok="f" o:connecttype="none"/>
                      <o:lock v:ext="edit" shapetype="t"/>
                    </v:shapetype>
                    <v:shape id="Straight Arrow Connector 1219199648" o:spid="_x0000_s1067" type="#_x0000_t32" style="position:absolute;left:14660;top:8884;width:6096;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" strokecolor="blue" strokeweight="2.25pt">
                      <v:stroke endarrow="block" joinstyle="miter"/>
                    </v:shape>
                    <v:shape id="TextBox 98" o:spid="_x0000_s1068" type="#_x0000_t202" style="position:absolute;left:20096;top:7300;width:8177;height:47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" filled="f" stroked="f">
                      <v:textbox style="mso-fit-shape-to-text:t">
                        <w:txbxContent>
                          <w:p w14:paraId="3CE64D6C" w14:textId="77777777" w:rsidR="000B47C0" w:rsidRPr="007C52F0" w:rsidRDefault="000B47C0" w:rsidP="000B47C0">
                            <w:pPr>
                              <w:textAlignment w:val="baseline"/>
                              <w:rPr>
                                <w:rFonts w:asciiTheme="majorHAnsi" w:hAnsiTheme="majorHAnsi"/>
                                <w:color w:val="000000" w:themeColor="text1"/>
                                <w:kern w:val="24"/>
                                <w:szCs w:val="24"/>
                              </w:rPr>
                            </w:pPr>
                            <w:r w:rsidRPr="007C52F0">
                              <w:rPr>
                                <w:rFonts w:asciiTheme="majorHAnsi" w:hAnsiTheme="majorHAnsi"/>
                                <w:color w:val="000000" w:themeColor="text1"/>
                                <w:kern w:val="24"/>
                                <w:szCs w:val="24"/>
                              </w:rPr>
                              <w:t>TSR1'</w:t>
                            </w:r>
                          </w:p>
                        </w:txbxContent>
                      </v:textbox>
                    </v:shape>
                    <v:shape id="TextBox 100" o:spid="_x0000_s1069" type="#_x0000_t202" style="position:absolute;left:19930;top:10879;width:8019;height:47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" filled="f" stroked="f">
                      <v:textbox style="mso-fit-shape-to-text:t">
                        <w:txbxContent>
                          <w:p w14:paraId="6A34F5C8" w14:textId="77777777" w:rsidR="000B47C0" w:rsidRPr="007C52F0" w:rsidRDefault="000B47C0" w:rsidP="000B47C0">
                            <w:pPr>
                              <w:textAlignment w:val="baseline"/>
                              <w:rPr>
                                <w:rFonts w:asciiTheme="majorHAnsi" w:hAnsiTheme="majorHAnsi"/>
                                <w:color w:val="000000" w:themeColor="text1"/>
                                <w:kern w:val="24"/>
                                <w:szCs w:val="24"/>
                              </w:rPr>
                            </w:pPr>
                            <w:r w:rsidRPr="007C52F0">
                              <w:rPr>
                                <w:rFonts w:asciiTheme="majorHAnsi" w:hAnsiTheme="majorHAnsi"/>
                                <w:color w:val="000000" w:themeColor="text1"/>
                                <w:kern w:val="24"/>
                                <w:szCs w:val="24"/>
                              </w:rPr>
                              <w:t>TSR2'</w:t>
                            </w:r>
                          </w:p>
                        </w:txbxContent>
                      </v:textbox>
                    </v:shape>
                    <v:shape id="TextBox 108" o:spid="_x0000_s1070" type="#_x0000_t202" style="position:absolute;left:20096;top:14721;width:8177;height:47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" filled="f" stroked="f">
                      <v:textbox style="mso-fit-shape-to-text:t">
                        <w:txbxContent>
                          <w:p w14:paraId="0CC5F9C9" w14:textId="77777777" w:rsidR="000B47C0" w:rsidRPr="007C52F0" w:rsidRDefault="000B47C0" w:rsidP="000B47C0">
                            <w:pPr>
                              <w:textAlignment w:val="baseline"/>
                              <w:rPr>
                                <w:rFonts w:asciiTheme="majorHAnsi" w:hAnsiTheme="majorHAnsi"/>
                                <w:color w:val="000000" w:themeColor="text1"/>
                                <w:kern w:val="24"/>
                                <w:szCs w:val="24"/>
                              </w:rPr>
                            </w:pPr>
                            <w:r w:rsidRPr="007C52F0">
                              <w:rPr>
                                <w:rFonts w:asciiTheme="majorHAnsi" w:hAnsiTheme="majorHAnsi"/>
                                <w:color w:val="000000" w:themeColor="text1"/>
                                <w:kern w:val="24"/>
                                <w:szCs w:val="24"/>
                              </w:rPr>
                              <w:t>TSR3'</w:t>
                            </w:r>
                          </w:p>
                        </w:txbxContent>
                      </v:textbox>
                    </v:shape>
                    <v:shape id="TextBox 110" o:spid="_x0000_s1071" type="#_x0000_t202" style="position:absolute;left:20096;top:20574;width:8177;height:47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" filled="f" stroked="f">
                      <v:textbox style="mso-fit-shape-to-text:t">
                        <w:txbxContent>
                          <w:p w14:paraId="220C5EBA" w14:textId="77777777" w:rsidR="000B47C0" w:rsidRPr="007C52F0" w:rsidRDefault="000B47C0" w:rsidP="000B47C0">
                            <w:pPr>
                              <w:textAlignment w:val="baseline"/>
                              <w:rPr>
                                <w:rFonts w:asciiTheme="majorHAnsi" w:hAnsiTheme="majorHAnsi"/>
                                <w:color w:val="000000" w:themeColor="text1"/>
                                <w:kern w:val="24"/>
                                <w:szCs w:val="24"/>
                              </w:rPr>
                            </w:pPr>
                            <w:r w:rsidRPr="007C52F0">
                              <w:rPr>
                                <w:rFonts w:asciiTheme="majorHAnsi" w:hAnsiTheme="majorHAnsi"/>
                                <w:color w:val="000000" w:themeColor="text1"/>
                                <w:kern w:val="24"/>
                                <w:szCs w:val="24"/>
                              </w:rPr>
                              <w:t>TSR4'</w:t>
                            </w:r>
                          </w:p>
                        </w:txbxContent>
                      </v:textbox>
                    </v:shape>
                    <v:shape id="TextBox 114" o:spid="_x0000_s1072" type="#_x0000_t202" style="position:absolute;left:20228;top:24762;width:7517;height:47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" filled="f" stroked="f">
                      <v:textbox style="mso-fit-shape-to-text:t">
                        <w:txbxContent>
                          <w:p w14:paraId="4F9ABCB8" w14:textId="77777777" w:rsidR="000B47C0" w:rsidRPr="007C52F0" w:rsidRDefault="000B47C0" w:rsidP="000B47C0">
                            <w:pPr>
                              <w:textAlignment w:val="baseline"/>
                              <w:rPr>
                                <w:rFonts w:asciiTheme="majorHAnsi" w:hAnsiTheme="majorHAnsi"/>
                                <w:color w:val="000000" w:themeColor="text1"/>
                                <w:kern w:val="24"/>
                                <w:szCs w:val="24"/>
                              </w:rPr>
                            </w:pPr>
                            <w:r w:rsidRPr="007C52F0">
                              <w:rPr>
                                <w:rFonts w:asciiTheme="majorHAnsi" w:hAnsiTheme="majorHAnsi"/>
                                <w:color w:val="000000" w:themeColor="text1"/>
                                <w:kern w:val="24"/>
                                <w:szCs w:val="24"/>
                              </w:rPr>
                              <w:t>TSR5'</w:t>
                            </w:r>
                          </w:p>
                        </w:txbxContent>
                      </v:textbox>
                    </v:shape>
                    <v:shape id="TextBox 116" o:spid="_x0000_s1073" type="#_x0000_t202" style="position:absolute;left:20096;top:32129;width:8177;height:47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" filled="f" stroked="f">
                      <v:textbox style="mso-fit-shape-to-text:t">
                        <w:txbxContent>
                          <w:p w14:paraId="7E46ACB1" w14:textId="77777777" w:rsidR="000B47C0" w:rsidRPr="007C52F0" w:rsidRDefault="000B47C0" w:rsidP="000B47C0">
                            <w:pPr>
                              <w:textAlignment w:val="baseline"/>
                              <w:rPr>
                                <w:rFonts w:asciiTheme="majorHAnsi" w:hAnsiTheme="majorHAnsi"/>
                                <w:color w:val="000000" w:themeColor="text1"/>
                                <w:kern w:val="24"/>
                                <w:szCs w:val="24"/>
                              </w:rPr>
                            </w:pPr>
                            <w:r w:rsidRPr="007C52F0">
                              <w:rPr>
                                <w:rFonts w:asciiTheme="majorHAnsi" w:hAnsiTheme="majorHAnsi"/>
                                <w:color w:val="000000" w:themeColor="text1"/>
                                <w:kern w:val="24"/>
                                <w:szCs w:val="24"/>
                              </w:rPr>
                              <w:t>TSR6'</w:t>
                            </w:r>
                          </w:p>
                        </w:txbxContent>
                      </v:textbox>
                    </v:shape>
                    <v:shape id="Straight Arrow Connector 916782356" o:spid="_x0000_s1074" type="#_x0000_t32" style="position:absolute;left:14660;top:33725;width:6096;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" strokecolor="blue" strokeweight="2.25pt">
                      <v:stroke endarrow="block" joinstyle="miter"/>
                    </v:shape>
                    <v:shape id="Straight Arrow Connector 1484220036" o:spid="_x0000_s1075" type="#_x0000_t32" style="position:absolute;left:14660;top:26517;width:6096;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" strokecolor="blue" strokeweight="2.25pt">
                      <v:stroke endarrow="block" joinstyle="miter"/>
                    </v:shape>
                    <v:shape id="Straight Arrow Connector 1237661458" o:spid="_x0000_s1076" type="#_x0000_t32" style="position:absolute;left:14660;top:22236;width:6096;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" strokecolor="blue" strokeweight="2.25pt">
                      <v:stroke endarrow="block" joinstyle="miter"/>
                    </v:shape>
                    <v:shape id="Straight Arrow Connector 493055386" o:spid="_x0000_s1077" type="#_x0000_t32" style="position:absolute;left:14660;top:16500;width:6096;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" strokecolor="blue" strokeweight="2.25pt">
                      <v:stroke endarrow="block" joinstyle="miter"/>
                    </v:shape>
                    <v:shape id="Straight Arrow Connector 884937128" o:spid="_x0000_s1078" type="#_x0000_t32" style="position:absolute;left:14660;top:12688;width:6096;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" strokecolor="blue" strokeweight="2.25pt">
                      <v:stroke endarrow="block" joinstyle="miter"/>
                    </v:shape>
                  </v:group>
                  <v:group id="Group 1993009488" o:spid="_x0000_s1079" style="position:absolute;left:5474;top:8601;width:9732;height:13447" coordorigin="6857,10775" coordsize="12192,168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">
                    <v:line id="Straight Connector 2055640658" o:spid="_x0000_s1080" style="position:absolute;flip:x;visibility:visible;mso-wrap-style:square" from="6857,27621" to="19050,2762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" strokecolor="blue" strokeweight="1pt">
                      <v:stroke dashstyle="longDash" joinstyle="miter"/>
                      <o:lock v:ext="edit" shapetype="f"/>
                    </v:line>
                    <v:line id="Straight Connector 122830406" o:spid="_x0000_s1081" style="position:absolute;flip:x;visibility:visible;mso-wrap-style:square" from="6857,18485" to="19050,1848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" strokecolor="blue" strokeweight="1pt">
                      <v:stroke dashstyle="longDash" joinstyle="miter"/>
                      <o:lock v:ext="edit" shapetype="f"/>
                    </v:line>
                    <v:line id="Straight Connector 257322897" o:spid="_x0000_s1082" style="position:absolute;flip:x;visibility:visible;mso-wrap-style:square" from="6857,10775" to="19050,1077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" strokecolor="blue" strokeweight="1pt">
                      <v:stroke dashstyle="longDash" joinstyle="miter"/>
                      <o:lock v:ext="edit" shapetype="f"/>
                    </v:line>
                  </v:group>
                  <v:group id="Group 1773445461" o:spid="_x0000_s1083" style="position:absolute;left:12773;top:11497;width:9732;height:8701" coordorigin="16001,14403" coordsize="12191,108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">
                    <v:line id="Straight Connector 1169924352" o:spid="_x0000_s1084" style="position:absolute;flip:x;visibility:visible;mso-wrap-style:square" from="16001,14403" to="28193,1440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" strokecolor="blue" strokeweight="1pt">
                      <v:stroke dashstyle="longDash" joinstyle="miter"/>
                      <o:lock v:ext="edit" shapetype="f"/>
                    </v:line>
                    <v:line id="Straight Connector 1761453634" o:spid="_x0000_s1085" style="position:absolute;flip:x;visibility:visible;mso-wrap-style:square" from="16001,25303" to="28193,2530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" strokecolor="blue" strokeweight="1pt">
                      <v:stroke dashstyle="longDash" joinstyle="miter"/>
                      <o:lock v:ext="edit" shapetype="f"/>
                    </v:line>
                  </v:group>
                </v:group>
                <w10:anchorlock/>
              </v:group>
            </w:pict>
          </mc:Fallback>
        </mc:AlternateContent>
      </w:r>
    </w:p>
    <w:p w14:paraId="18495D9B" w14:textId="77777777" w:rsidR="000B47C0" w:rsidRPr="00746F54" w:rsidRDefault="000B47C0" w:rsidP="000B47C0">
      <w:pPr>
        <w:pStyle w:val="Caption"/>
        <w:rPr>
          <w:rFonts w:ascii="Arial" w:hAnsi="Arial" w:cs="Arial"/>
        </w:rPr>
      </w:pPr>
      <w:bookmarkStart w:id="75" w:name="_Ref179360370"/>
      <w:bookmarkStart w:id="76" w:name="_Toc179360389"/>
      <w:r w:rsidRPr="00746F54">
        <w:rPr>
          <w:rFonts w:ascii="Arial" w:hAnsi="Arial" w:cs="Arial"/>
        </w:rPr>
        <w:t>Figure 17.</w:t>
      </w:r>
      <w:r w:rsidRPr="00746F54">
        <w:rPr>
          <w:rFonts w:ascii="Arial" w:hAnsi="Arial" w:cs="Arial"/>
        </w:rPr>
        <w:fldChar w:fldCharType="begin"/>
      </w:r>
      <w:r w:rsidRPr="00746F54">
        <w:rPr>
          <w:rFonts w:ascii="Arial" w:hAnsi="Arial" w:cs="Arial"/>
        </w:rPr>
        <w:instrText xml:space="preserve"> SEQ Figure \* ARABIC </w:instrText>
      </w:r>
      <w:r w:rsidRPr="00746F54">
        <w:rPr>
          <w:rFonts w:ascii="Arial" w:hAnsi="Arial" w:cs="Arial"/>
        </w:rPr>
        <w:fldChar w:fldCharType="separate"/>
      </w:r>
      <w:r w:rsidRPr="00746F54">
        <w:rPr>
          <w:rFonts w:ascii="Arial" w:hAnsi="Arial" w:cs="Arial"/>
          <w:noProof/>
        </w:rPr>
        <w:t>2</w:t>
      </w:r>
      <w:r w:rsidRPr="00746F54">
        <w:rPr>
          <w:rFonts w:ascii="Arial" w:hAnsi="Arial" w:cs="Arial"/>
        </w:rPr>
        <w:fldChar w:fldCharType="end"/>
      </w:r>
      <w:bookmarkEnd w:id="75"/>
      <w:r w:rsidRPr="00746F54">
        <w:rPr>
          <w:rFonts w:ascii="Arial" w:hAnsi="Arial" w:cs="Arial"/>
        </w:rPr>
        <w:t>. Released transfer capacity matching for Type 2 TSRs</w:t>
      </w:r>
      <w:bookmarkEnd w:id="76"/>
    </w:p>
    <w:p w14:paraId="5198B98E" w14:textId="77777777" w:rsidR="000B47C0" w:rsidRPr="00746F54" w:rsidRDefault="000B47C0" w:rsidP="000B47C0">
      <w:pPr>
        <w:pStyle w:val="Paragraph"/>
        <w:rPr>
          <w:rFonts w:ascii="Arial" w:hAnsi="Arial" w:cs="Arial"/>
          <w:sz w:val="22"/>
        </w:rPr>
      </w:pPr>
      <w:r w:rsidRPr="00746F54">
        <w:rPr>
          <w:rFonts w:ascii="Arial" w:hAnsi="Arial" w:cs="Arial"/>
          <w:sz w:val="22"/>
        </w:rPr>
        <w:t>The example shows matching released transfer capacity between TSSCs at a transfer location pair between two BAAs. The method will work the same way with released capacity by TCSCs at other transfer locations at the same intertie where one or both BAAs may be different. However, the TCSCs must apportion their released capacity across these transfer location pairs since the SIBR matching method works with different distinct released capacity for each such pair.</w:t>
      </w:r>
    </w:p>
    <w:p w14:paraId="6B1369E7" w14:textId="77777777" w:rsidR="000B47C0" w:rsidRPr="00746F54" w:rsidRDefault="000B47C0" w:rsidP="000B47C0">
      <w:pPr>
        <w:pStyle w:val="Paragraph"/>
        <w:rPr>
          <w:rFonts w:ascii="Arial" w:hAnsi="Arial" w:cs="Arial"/>
          <w:sz w:val="22"/>
        </w:rPr>
      </w:pPr>
      <w:r w:rsidRPr="00746F54">
        <w:rPr>
          <w:rFonts w:ascii="Arial" w:hAnsi="Arial" w:cs="Arial"/>
          <w:sz w:val="22"/>
        </w:rPr>
        <w:t>For Type 2 TSR definition with CISO at a CISO transfer location, which is also a CISO Scheduling Point, SIBR will match the released capacity by TCSCs on the EDAM BAA side with new firm use transmission capacity that CISO has released at that Scheduling Point. All TSRs (all types) and all import/export resources at that Scheduling Point will be constrained by the applicable intertie scheduling limits (ISL/ITC) for that Scheduling Point.</w:t>
      </w:r>
    </w:p>
    <w:p w14:paraId="62D2C3A5" w14:textId="77777777" w:rsidR="000B47C0" w:rsidRPr="00746F54" w:rsidRDefault="000B47C0" w:rsidP="000B47C0">
      <w:pPr>
        <w:pStyle w:val="Paragraph"/>
        <w:rPr>
          <w:rFonts w:ascii="Arial" w:hAnsi="Arial" w:cs="Arial"/>
          <w:sz w:val="22"/>
        </w:rPr>
      </w:pPr>
    </w:p>
    <w:p w14:paraId="3A714831" w14:textId="77777777" w:rsidR="000B47C0" w:rsidRPr="00746F54" w:rsidRDefault="000B47C0" w:rsidP="00947B7F">
      <w:pPr>
        <w:pStyle w:val="Heading3"/>
        <w:rPr>
          <w:rFonts w:ascii="Arial" w:hAnsi="Arial" w:cs="Arial"/>
        </w:rPr>
      </w:pPr>
      <w:bookmarkStart w:id="77" w:name="_Toc209781118"/>
      <w:bookmarkStart w:id="78" w:name="_Toc191646291"/>
      <w:bookmarkStart w:id="79" w:name="_Toc211337882"/>
      <w:bookmarkEnd w:id="77"/>
      <w:r w:rsidRPr="00746F54">
        <w:rPr>
          <w:rFonts w:ascii="Arial" w:hAnsi="Arial" w:cs="Arial"/>
        </w:rPr>
        <w:lastRenderedPageBreak/>
        <w:t>TSR Bids and Validation</w:t>
      </w:r>
      <w:bookmarkEnd w:id="78"/>
      <w:bookmarkEnd w:id="79"/>
    </w:p>
    <w:p w14:paraId="26EB4868" w14:textId="51DF949B" w:rsidR="000B47C0" w:rsidRPr="00746F54" w:rsidRDefault="000B47C0" w:rsidP="000B47C0">
      <w:pPr>
        <w:pStyle w:val="Paragraph"/>
        <w:rPr>
          <w:rFonts w:ascii="Arial" w:hAnsi="Arial" w:cs="Arial"/>
          <w:sz w:val="22"/>
        </w:rPr>
      </w:pPr>
      <w:r w:rsidRPr="00746F54">
        <w:rPr>
          <w:rFonts w:ascii="Arial" w:hAnsi="Arial" w:cs="Arial"/>
          <w:sz w:val="22"/>
        </w:rPr>
        <w:t>Except for Type 2 TSRs defined by SIBR, bids can be submitted for valid TSRs (either registered in the Master File or successfully defined in SIBR by TCSCs). A TSR bid must specify the unique TSR ID and will only be accepted if submitted by the associated SC.</w:t>
      </w:r>
    </w:p>
    <w:p w14:paraId="2B4597FF" w14:textId="77777777" w:rsidR="000B47C0" w:rsidRPr="00746F54" w:rsidRDefault="000B47C0" w:rsidP="000B47C0">
      <w:pPr>
        <w:pStyle w:val="Paragraph"/>
        <w:rPr>
          <w:rFonts w:ascii="Arial" w:hAnsi="Arial" w:cs="Arial"/>
          <w:sz w:val="22"/>
        </w:rPr>
      </w:pPr>
    </w:p>
    <w:p w14:paraId="27E4DFCA" w14:textId="77777777" w:rsidR="000B47C0" w:rsidRPr="00746F54" w:rsidRDefault="000B47C0" w:rsidP="00947B7F">
      <w:pPr>
        <w:pStyle w:val="Heading4"/>
        <w:rPr>
          <w:rFonts w:ascii="Arial" w:hAnsi="Arial" w:cs="Arial"/>
        </w:rPr>
      </w:pPr>
      <w:bookmarkStart w:id="80" w:name="_Toc191646292"/>
      <w:r w:rsidRPr="00746F54">
        <w:rPr>
          <w:rFonts w:ascii="Arial" w:hAnsi="Arial" w:cs="Arial"/>
        </w:rPr>
        <w:t>Type 1 TSR Bid and Validation</w:t>
      </w:r>
      <w:bookmarkEnd w:id="80"/>
    </w:p>
    <w:p w14:paraId="126A0D2C" w14:textId="0954E08B" w:rsidR="000B47C0" w:rsidRPr="00746F54" w:rsidRDefault="000B47C0" w:rsidP="000B47C0">
      <w:pPr>
        <w:pStyle w:val="Paragraph"/>
        <w:rPr>
          <w:rFonts w:ascii="Arial" w:hAnsi="Arial" w:cs="Arial"/>
          <w:sz w:val="22"/>
        </w:rPr>
      </w:pPr>
      <w:r w:rsidRPr="00746F54">
        <w:rPr>
          <w:rFonts w:ascii="Arial" w:hAnsi="Arial" w:cs="Arial"/>
          <w:sz w:val="22"/>
        </w:rPr>
        <w:t>A Type 1 TSR bid must specify an energy self-schedule does not exceed the TSR Maximum Capacity. If the latter is derated by the EESC before 9:00am, SIBR will reduce the self-schedule accordingly. SIBR may also reduce the self-schedule to match a lower self-schedule submitted for the matching TSR.</w:t>
      </w:r>
    </w:p>
    <w:p w14:paraId="0987FAB9" w14:textId="77777777" w:rsidR="000B47C0" w:rsidRPr="00746F54" w:rsidRDefault="000B47C0" w:rsidP="000B47C0">
      <w:pPr>
        <w:pStyle w:val="Paragraph"/>
        <w:rPr>
          <w:rFonts w:ascii="Arial" w:hAnsi="Arial" w:cs="Arial"/>
          <w:sz w:val="22"/>
        </w:rPr>
      </w:pPr>
      <w:r w:rsidRPr="00746F54">
        <w:rPr>
          <w:rFonts w:ascii="Arial" w:hAnsi="Arial" w:cs="Arial"/>
          <w:sz w:val="22"/>
        </w:rPr>
        <w:t>SIBR will validate that all self-schedules for supply/demand resources and TSRs under a CRN are balanced and within the corresponding entitlement. This validation will be performed by CRN in each EDAM BAA. On successful validation, SIBR will set the Priority Indicator for the CRN to “Y”, so that the IFM provides the CRN scheduling priority to the associated self-schedules. Otherwise, SIBR will set the Priority Indicator for the CRN to “N” and the associated self-schedules will only have normal price-taker scheduling priority in the IFM. Nevertheless, these self-schedules will still maintain their financial right in settlement, as afforded by the CRN, for their balanced portions within the CRN entitlement. Failure of CRN validation does not affect the RSE eligibility of Type 1 TSRs.</w:t>
      </w:r>
    </w:p>
    <w:p w14:paraId="40AA455A" w14:textId="77777777" w:rsidR="000B47C0" w:rsidRPr="00746F54" w:rsidRDefault="000B47C0" w:rsidP="000B47C0">
      <w:pPr>
        <w:pStyle w:val="Paragraph"/>
        <w:rPr>
          <w:rFonts w:ascii="Arial" w:hAnsi="Arial" w:cs="Arial"/>
          <w:sz w:val="22"/>
        </w:rPr>
      </w:pPr>
      <w:r w:rsidRPr="00746F54">
        <w:rPr>
          <w:rFonts w:ascii="Arial" w:hAnsi="Arial" w:cs="Arial"/>
          <w:sz w:val="22"/>
        </w:rPr>
        <w:t>The keyword “NONE” may be specified as a CRN to indicate lack of a CRN on that side of a transfer to support Type 1 transfers where transmission rights do not extend past the transfer location, but they are exercised only to the transfer location. The TSR self-schedule with a CRN of “NONE” will receive a regular price-taker scheduling priority and it will not be subject to the CRN balancing or entitlement test.</w:t>
      </w:r>
    </w:p>
    <w:p w14:paraId="5F3365BC" w14:textId="77777777" w:rsidR="000B47C0" w:rsidRPr="00746F54" w:rsidRDefault="000B47C0" w:rsidP="000B47C0">
      <w:pPr>
        <w:pStyle w:val="Paragraph"/>
        <w:rPr>
          <w:rFonts w:ascii="Arial" w:hAnsi="Arial" w:cs="Arial"/>
          <w:sz w:val="22"/>
        </w:rPr>
      </w:pPr>
    </w:p>
    <w:p w14:paraId="51D2C78B" w14:textId="77777777" w:rsidR="000B47C0" w:rsidRPr="00746F54" w:rsidRDefault="000B47C0" w:rsidP="00636D40">
      <w:pPr>
        <w:pStyle w:val="Heading4"/>
        <w:rPr>
          <w:rFonts w:ascii="Arial" w:hAnsi="Arial" w:cs="Arial"/>
        </w:rPr>
      </w:pPr>
      <w:bookmarkStart w:id="81" w:name="_Toc191646293"/>
      <w:r w:rsidRPr="00746F54">
        <w:rPr>
          <w:rFonts w:ascii="Arial" w:hAnsi="Arial" w:cs="Arial"/>
        </w:rPr>
        <w:t>Type 2 TSR Bid and Validation</w:t>
      </w:r>
      <w:bookmarkEnd w:id="81"/>
    </w:p>
    <w:p w14:paraId="1E3E0F11" w14:textId="1836ECFF" w:rsidR="000B47C0" w:rsidRPr="00746F54" w:rsidRDefault="000B47C0" w:rsidP="000B47C0">
      <w:pPr>
        <w:pStyle w:val="Paragraph"/>
        <w:rPr>
          <w:rFonts w:ascii="Arial" w:hAnsi="Arial" w:cs="Arial"/>
          <w:sz w:val="22"/>
        </w:rPr>
      </w:pPr>
      <w:r w:rsidRPr="00746F54">
        <w:rPr>
          <w:rFonts w:ascii="Arial" w:hAnsi="Arial" w:cs="Arial"/>
          <w:sz w:val="22"/>
        </w:rPr>
        <w:t>SIBR will accept Type 2 TSR bids only for TSRs that are registered in the Master File. Type 2 TSR bids must specify a Capacity Limit that does not exceed the TSR Maximum Capacity. If the latter is derated by the EESC before 9:00am, SIBR will reduce the Capacity Limit accordingly. SIBR may also reduce the Capacity Limit to match a lower Capacity Limit submitted for the matching TSR. The transfer capacity under the Capacity Limit is released to EDAM for optimal scheduling in the IFM and RUC.</w:t>
      </w:r>
    </w:p>
    <w:p w14:paraId="4DD4C469" w14:textId="77777777" w:rsidR="000B47C0" w:rsidRPr="00746F54" w:rsidRDefault="000B47C0" w:rsidP="000B47C0">
      <w:pPr>
        <w:pStyle w:val="Paragraph"/>
        <w:rPr>
          <w:rFonts w:ascii="Arial" w:hAnsi="Arial" w:cs="Arial"/>
          <w:sz w:val="22"/>
        </w:rPr>
      </w:pPr>
    </w:p>
    <w:p w14:paraId="767FC3B0" w14:textId="77777777" w:rsidR="000B47C0" w:rsidRPr="00746F54" w:rsidRDefault="000B47C0" w:rsidP="00636D40">
      <w:pPr>
        <w:pStyle w:val="Heading4"/>
        <w:rPr>
          <w:rFonts w:ascii="Arial" w:hAnsi="Arial" w:cs="Arial"/>
        </w:rPr>
      </w:pPr>
      <w:bookmarkStart w:id="82" w:name="_Toc191646294"/>
      <w:r w:rsidRPr="00746F54">
        <w:rPr>
          <w:rFonts w:ascii="Arial" w:hAnsi="Arial" w:cs="Arial"/>
        </w:rPr>
        <w:t>Type 3 TSR Bid and Validation</w:t>
      </w:r>
      <w:bookmarkEnd w:id="82"/>
    </w:p>
    <w:p w14:paraId="7CC9239D" w14:textId="21F90F3E" w:rsidR="000B47C0" w:rsidRPr="00746F54" w:rsidRDefault="000B47C0" w:rsidP="000B47C0">
      <w:pPr>
        <w:pStyle w:val="Paragraph"/>
        <w:rPr>
          <w:rFonts w:ascii="Arial" w:hAnsi="Arial" w:cs="Arial"/>
          <w:sz w:val="22"/>
        </w:rPr>
      </w:pPr>
      <w:r w:rsidRPr="00746F54">
        <w:rPr>
          <w:rFonts w:ascii="Arial" w:hAnsi="Arial" w:cs="Arial"/>
          <w:sz w:val="22"/>
        </w:rPr>
        <w:t xml:space="preserve">Type 3 TSR bids must specify a Capacity Limit that does not exceed the TSR Maximum Capacity. They may also specify ancillary services self-provision for regulation up (RU), regulation down (RD), spinning reserve (SR), or non-spinning reserve (NR), with a total capacity that is not greater than the Capacity Limit. If the TSR Maximum Capacity is derated by the EESC before 9:00am, SIBR will reduce the Capacity Limit accordingly. SIBR may also reduce </w:t>
      </w:r>
      <w:r w:rsidRPr="00746F54">
        <w:rPr>
          <w:rFonts w:ascii="Arial" w:hAnsi="Arial" w:cs="Arial"/>
          <w:sz w:val="22"/>
        </w:rPr>
        <w:lastRenderedPageBreak/>
        <w:t>the Capacity Limit to match a lower Capacity Limit submitted for the matching TSR. If the Capacity Limit is reduced, SIBR will reduce any ancillary services self-provision as well.</w:t>
      </w:r>
      <w:commentRangeStart w:id="83"/>
      <w:commentRangeEnd w:id="83"/>
      <w:r w:rsidRPr="00746F54">
        <w:rPr>
          <w:rStyle w:val="CommentReference"/>
          <w:rFonts w:ascii="Arial" w:hAnsi="Arial" w:cs="Arial"/>
          <w:kern w:val="0"/>
        </w:rPr>
        <w:commentReference w:id="83"/>
      </w:r>
      <w:r w:rsidRPr="00746F54">
        <w:rPr>
          <w:rFonts w:ascii="Arial" w:hAnsi="Arial" w:cs="Arial"/>
          <w:sz w:val="22"/>
        </w:rPr>
        <w:t xml:space="preserve"> Any remaining transfer capacity between the Capacity Limit and the total ancillary services self-provision is released to EDAM for optimal scheduling in the IFM and RUC.</w:t>
      </w:r>
    </w:p>
    <w:p w14:paraId="4B684B6D" w14:textId="77777777" w:rsidR="000B47C0" w:rsidRPr="00746F54" w:rsidRDefault="000B47C0" w:rsidP="000B47C0">
      <w:pPr>
        <w:pStyle w:val="Paragraph"/>
        <w:rPr>
          <w:rFonts w:ascii="Arial" w:hAnsi="Arial" w:cs="Arial"/>
          <w:sz w:val="22"/>
        </w:rPr>
      </w:pPr>
    </w:p>
    <w:p w14:paraId="7B226524" w14:textId="77777777" w:rsidR="000B47C0" w:rsidRPr="00746F54" w:rsidRDefault="000B47C0" w:rsidP="00636D40">
      <w:pPr>
        <w:pStyle w:val="Heading4"/>
        <w:rPr>
          <w:rFonts w:ascii="Arial" w:hAnsi="Arial" w:cs="Arial"/>
        </w:rPr>
      </w:pPr>
      <w:bookmarkStart w:id="84" w:name="_Toc191646295"/>
      <w:r w:rsidRPr="00746F54">
        <w:rPr>
          <w:rFonts w:ascii="Arial" w:hAnsi="Arial" w:cs="Arial"/>
        </w:rPr>
        <w:t>Type 4 TSR Bid and Validation</w:t>
      </w:r>
      <w:bookmarkEnd w:id="84"/>
    </w:p>
    <w:p w14:paraId="718F2065" w14:textId="77CD4B96" w:rsidR="000B47C0" w:rsidRPr="00746F54" w:rsidRDefault="000B47C0" w:rsidP="000B47C0">
      <w:pPr>
        <w:pStyle w:val="Paragraph"/>
        <w:rPr>
          <w:rFonts w:ascii="Arial" w:hAnsi="Arial" w:cs="Arial"/>
          <w:sz w:val="22"/>
        </w:rPr>
      </w:pPr>
      <w:r w:rsidRPr="00746F54">
        <w:rPr>
          <w:rFonts w:ascii="Arial" w:hAnsi="Arial" w:cs="Arial"/>
          <w:sz w:val="22"/>
        </w:rPr>
        <w:t>Type 4 TSR bids must specify a Capacity Limit that does not exceed the TSR Maximum Capacity. If the TSR Maximum Capacity is derated by the EESC before 9:00am, SIBR will reduce the Capacity Limit accordingly. SIBR may also reduce the Capacity Limit to match a lower Capacity Limit submitted for the matching TSR. The transfer capacity under the Capacity Limit is released to EDAM for optimal scheduling in the IFM and RUC.</w:t>
      </w:r>
    </w:p>
    <w:p w14:paraId="1ADAA886" w14:textId="77777777" w:rsidR="000B47C0" w:rsidRPr="00746F54" w:rsidRDefault="000B47C0" w:rsidP="000B47C0">
      <w:pPr>
        <w:pStyle w:val="Paragraph"/>
        <w:rPr>
          <w:rFonts w:ascii="Arial" w:hAnsi="Arial" w:cs="Arial"/>
          <w:sz w:val="22"/>
        </w:rPr>
      </w:pPr>
    </w:p>
    <w:p w14:paraId="517FCA76" w14:textId="77777777" w:rsidR="000B47C0" w:rsidRPr="00746F54" w:rsidRDefault="000B47C0" w:rsidP="00636D40">
      <w:pPr>
        <w:pStyle w:val="Heading3"/>
        <w:rPr>
          <w:rFonts w:ascii="Arial" w:hAnsi="Arial" w:cs="Arial"/>
        </w:rPr>
      </w:pPr>
      <w:bookmarkStart w:id="85" w:name="_Toc191646296"/>
      <w:bookmarkStart w:id="86" w:name="_Toc211337883"/>
      <w:r w:rsidRPr="00746F54">
        <w:rPr>
          <w:rFonts w:ascii="Arial" w:hAnsi="Arial" w:cs="Arial"/>
        </w:rPr>
        <w:t>TSR Schedules and Awards</w:t>
      </w:r>
      <w:bookmarkEnd w:id="85"/>
      <w:bookmarkEnd w:id="86"/>
    </w:p>
    <w:p w14:paraId="2E86EA09" w14:textId="19D9A8C3" w:rsidR="000B47C0" w:rsidRPr="00746F54" w:rsidRDefault="000B47C0" w:rsidP="000B47C0">
      <w:pPr>
        <w:pStyle w:val="Paragraph"/>
        <w:rPr>
          <w:rFonts w:ascii="Arial" w:hAnsi="Arial" w:cs="Arial"/>
          <w:sz w:val="22"/>
        </w:rPr>
      </w:pPr>
      <w:r w:rsidRPr="00746F54">
        <w:rPr>
          <w:rFonts w:ascii="Arial" w:hAnsi="Arial" w:cs="Arial"/>
          <w:sz w:val="22"/>
        </w:rPr>
        <w:t>SIBR will publish the valid TSR bids in the Clean Bids at 10:00am. These bids will be used to schedule the TSRs in the IFM and RUC. Depending on the TSR type, a TSR may have the following schedules and awards:</w:t>
      </w:r>
    </w:p>
    <w:p w14:paraId="08CD1498" w14:textId="77777777" w:rsidR="000B47C0" w:rsidRPr="00746F54" w:rsidRDefault="000B47C0" w:rsidP="000B47C0">
      <w:pPr>
        <w:pStyle w:val="Paragraph"/>
        <w:numPr>
          <w:ilvl w:val="0"/>
          <w:numId w:val="60"/>
        </w:numPr>
        <w:spacing w:line="240" w:lineRule="auto"/>
        <w:jc w:val="both"/>
        <w:rPr>
          <w:rFonts w:ascii="Arial" w:hAnsi="Arial" w:cs="Arial"/>
          <w:sz w:val="22"/>
        </w:rPr>
      </w:pPr>
      <w:r w:rsidRPr="00746F54">
        <w:rPr>
          <w:rFonts w:ascii="Arial" w:hAnsi="Arial" w:cs="Arial"/>
          <w:sz w:val="22"/>
        </w:rPr>
        <w:t>Energy schedule (EN) from IFM (all TSR Types).</w:t>
      </w:r>
    </w:p>
    <w:p w14:paraId="3E9BBCF9" w14:textId="77777777" w:rsidR="000B47C0" w:rsidRPr="00746F54" w:rsidRDefault="000B47C0" w:rsidP="000B47C0">
      <w:pPr>
        <w:pStyle w:val="Paragraph"/>
        <w:numPr>
          <w:ilvl w:val="0"/>
          <w:numId w:val="60"/>
        </w:numPr>
        <w:spacing w:line="240" w:lineRule="auto"/>
        <w:jc w:val="both"/>
        <w:rPr>
          <w:rFonts w:ascii="Arial" w:hAnsi="Arial" w:cs="Arial"/>
          <w:sz w:val="22"/>
        </w:rPr>
      </w:pPr>
      <w:r w:rsidRPr="00746F54">
        <w:rPr>
          <w:rFonts w:ascii="Arial" w:hAnsi="Arial" w:cs="Arial"/>
          <w:sz w:val="22"/>
        </w:rPr>
        <w:t>Ancillary services awards (RU/RD/SR/NR) from IFM (TSR Type 3).</w:t>
      </w:r>
    </w:p>
    <w:p w14:paraId="77AD674F" w14:textId="77777777" w:rsidR="000B47C0" w:rsidRPr="00746F54" w:rsidRDefault="000B47C0" w:rsidP="000B47C0">
      <w:pPr>
        <w:pStyle w:val="Paragraph"/>
        <w:numPr>
          <w:ilvl w:val="0"/>
          <w:numId w:val="60"/>
        </w:numPr>
        <w:spacing w:line="240" w:lineRule="auto"/>
        <w:jc w:val="both"/>
        <w:rPr>
          <w:rFonts w:ascii="Arial" w:hAnsi="Arial" w:cs="Arial"/>
          <w:sz w:val="22"/>
        </w:rPr>
      </w:pPr>
      <w:r w:rsidRPr="00746F54">
        <w:rPr>
          <w:rFonts w:ascii="Arial" w:hAnsi="Arial" w:cs="Arial"/>
          <w:sz w:val="22"/>
        </w:rPr>
        <w:t>Imbalance reserve up/down awards (IRU/IRD) from IFM (TSR Type 2-4).</w:t>
      </w:r>
    </w:p>
    <w:p w14:paraId="52612D25" w14:textId="77777777" w:rsidR="000B47C0" w:rsidRPr="00746F54" w:rsidRDefault="000B47C0" w:rsidP="000B47C0">
      <w:pPr>
        <w:pStyle w:val="Paragraph"/>
        <w:numPr>
          <w:ilvl w:val="0"/>
          <w:numId w:val="60"/>
        </w:numPr>
        <w:spacing w:line="240" w:lineRule="auto"/>
        <w:jc w:val="both"/>
        <w:rPr>
          <w:rFonts w:ascii="Arial" w:hAnsi="Arial" w:cs="Arial"/>
          <w:sz w:val="22"/>
        </w:rPr>
      </w:pPr>
      <w:r w:rsidRPr="00746F54">
        <w:rPr>
          <w:rFonts w:ascii="Arial" w:hAnsi="Arial" w:cs="Arial"/>
          <w:sz w:val="22"/>
        </w:rPr>
        <w:t>Reliability Capacity up award (RCU) from RUC (TSR Type 2-4).</w:t>
      </w:r>
    </w:p>
    <w:p w14:paraId="0D95D1D7" w14:textId="24ADE7E6" w:rsidR="000B47C0" w:rsidRPr="00746F54" w:rsidRDefault="000B47C0" w:rsidP="000B47C0">
      <w:pPr>
        <w:pStyle w:val="Paragraph"/>
        <w:rPr>
          <w:rFonts w:ascii="Arial" w:hAnsi="Arial" w:cs="Arial"/>
          <w:sz w:val="22"/>
        </w:rPr>
      </w:pPr>
      <w:r w:rsidRPr="00746F54">
        <w:rPr>
          <w:rFonts w:ascii="Arial" w:hAnsi="Arial" w:cs="Arial"/>
          <w:sz w:val="22"/>
        </w:rPr>
        <w:t xml:space="preserve">All DAM schedules and awards are rolled over to RTM. No TSR bids are submitted in RTM, except for Type 1 TSRs that must be rebid to re-affirm the exercise of CRNs via self-scheduling, subject to entitlement validation. SIBR generates TSR bids with the DAM schedules (as self-schedules) and DAM awards. DA TSR schedules and awards are not optimized in the RTM, but they may be reduced for derates in the TSR Maximum Capacity submitted to SIBR prior to T-75 by EESCs. The reduced DAM schedules and awards are published by SIBR for transfer revenue deviation settlement. </w:t>
      </w:r>
    </w:p>
    <w:p w14:paraId="479FDC8D" w14:textId="77777777" w:rsidR="000B47C0" w:rsidRPr="00746F54" w:rsidRDefault="000B47C0" w:rsidP="000B47C0">
      <w:pPr>
        <w:pStyle w:val="Paragraph"/>
        <w:rPr>
          <w:rFonts w:ascii="Arial" w:hAnsi="Arial" w:cs="Arial"/>
          <w:sz w:val="22"/>
        </w:rPr>
      </w:pPr>
      <w:r w:rsidRPr="00746F54">
        <w:rPr>
          <w:rFonts w:ascii="Arial" w:hAnsi="Arial" w:cs="Arial"/>
          <w:sz w:val="22"/>
        </w:rPr>
        <w:t>EESCs should release and reserve transfer capacity for dynamic transfers in RTM to allow for counter flow of DAM energy transfers and the dispatch of ancillary services, IRU/IRD, and RCU transfers at the minimum:</w:t>
      </w:r>
    </w:p>
    <w:p w14:paraId="5ADCF6F2" w14:textId="77777777" w:rsidR="000B47C0" w:rsidRPr="00746F54" w:rsidRDefault="000B47C0" w:rsidP="000B47C0">
      <w:pPr>
        <w:pStyle w:val="Paragraph"/>
        <w:numPr>
          <w:ilvl w:val="0"/>
          <w:numId w:val="62"/>
        </w:numPr>
        <w:spacing w:line="240" w:lineRule="auto"/>
        <w:jc w:val="both"/>
        <w:rPr>
          <w:rFonts w:ascii="Arial" w:hAnsi="Arial" w:cs="Arial"/>
          <w:sz w:val="22"/>
        </w:rPr>
      </w:pPr>
      <w:r w:rsidRPr="00746F54">
        <w:rPr>
          <w:rFonts w:ascii="Arial" w:hAnsi="Arial" w:cs="Arial"/>
          <w:sz w:val="22"/>
        </w:rPr>
        <w:t>Dynamic transfer for EN and IRD in the opposite direction.</w:t>
      </w:r>
    </w:p>
    <w:p w14:paraId="69FA8711" w14:textId="77777777" w:rsidR="000B47C0" w:rsidRPr="00746F54" w:rsidRDefault="000B47C0" w:rsidP="000B47C0">
      <w:pPr>
        <w:pStyle w:val="Paragraph"/>
        <w:numPr>
          <w:ilvl w:val="0"/>
          <w:numId w:val="62"/>
        </w:numPr>
        <w:spacing w:line="240" w:lineRule="auto"/>
        <w:jc w:val="both"/>
        <w:rPr>
          <w:rFonts w:ascii="Arial" w:hAnsi="Arial" w:cs="Arial"/>
          <w:sz w:val="22"/>
        </w:rPr>
      </w:pPr>
      <w:r w:rsidRPr="00746F54">
        <w:rPr>
          <w:rFonts w:ascii="Arial" w:hAnsi="Arial" w:cs="Arial"/>
          <w:sz w:val="22"/>
        </w:rPr>
        <w:t>Dynamic transfer for IRU and RCU in the same direction.</w:t>
      </w:r>
    </w:p>
    <w:p w14:paraId="4B1C7942" w14:textId="77777777" w:rsidR="000B47C0" w:rsidRPr="00746F54" w:rsidRDefault="000B47C0" w:rsidP="000B47C0">
      <w:pPr>
        <w:pStyle w:val="Paragraph"/>
        <w:numPr>
          <w:ilvl w:val="0"/>
          <w:numId w:val="62"/>
        </w:numPr>
        <w:spacing w:line="240" w:lineRule="auto"/>
        <w:jc w:val="both"/>
        <w:rPr>
          <w:rFonts w:ascii="Arial" w:hAnsi="Arial" w:cs="Arial"/>
          <w:sz w:val="22"/>
        </w:rPr>
      </w:pPr>
      <w:r w:rsidRPr="00746F54">
        <w:rPr>
          <w:rFonts w:ascii="Arial" w:hAnsi="Arial" w:cs="Arial"/>
          <w:sz w:val="22"/>
        </w:rPr>
        <w:t>Dynamic transfer for SR and NR in the same direction with zero scheduling limit (dispatched manually under contingency),</w:t>
      </w:r>
    </w:p>
    <w:p w14:paraId="1E64A9E7" w14:textId="77777777" w:rsidR="000B47C0" w:rsidRPr="00746F54" w:rsidRDefault="000B47C0" w:rsidP="000B47C0">
      <w:pPr>
        <w:pStyle w:val="Paragraph"/>
        <w:numPr>
          <w:ilvl w:val="0"/>
          <w:numId w:val="62"/>
        </w:numPr>
        <w:spacing w:line="240" w:lineRule="auto"/>
        <w:jc w:val="both"/>
        <w:rPr>
          <w:rFonts w:ascii="Arial" w:hAnsi="Arial" w:cs="Arial"/>
          <w:sz w:val="22"/>
        </w:rPr>
      </w:pPr>
      <w:r w:rsidRPr="00746F54">
        <w:rPr>
          <w:rFonts w:ascii="Arial" w:hAnsi="Arial" w:cs="Arial"/>
          <w:sz w:val="22"/>
        </w:rPr>
        <w:t>Transfer capacity reserved for RU and RD in both directions (dispatched by AGC).</w:t>
      </w:r>
    </w:p>
    <w:p w14:paraId="471D06FC" w14:textId="40A171F5" w:rsidR="000B47C0" w:rsidRPr="00746F54" w:rsidRDefault="000B47C0" w:rsidP="000B47C0">
      <w:pPr>
        <w:pStyle w:val="Paragraph"/>
        <w:rPr>
          <w:rFonts w:ascii="Arial" w:hAnsi="Arial" w:cs="Arial"/>
          <w:sz w:val="22"/>
        </w:rPr>
      </w:pPr>
      <w:r w:rsidRPr="00746F54">
        <w:rPr>
          <w:rFonts w:ascii="Arial" w:hAnsi="Arial" w:cs="Arial"/>
          <w:sz w:val="22"/>
        </w:rPr>
        <w:t xml:space="preserve">For Type 1 TSRs, the TCSC must rebid them in RTM to self-schedule under the relevant CRN, if the CRN does not expire after DAM. If the CRN expires after DAM, or there is no CRN (“NONE”), a self-schedule must be submitted. The CRNs are subject to entitlement, but not </w:t>
      </w:r>
      <w:r w:rsidRPr="00746F54">
        <w:rPr>
          <w:rFonts w:ascii="Arial" w:hAnsi="Arial" w:cs="Arial"/>
          <w:sz w:val="22"/>
        </w:rPr>
        <w:lastRenderedPageBreak/>
        <w:t>balancing, validation in RTM, thus SIBR will set the Priority Indicator for each CRN accordingly. The TCSC may change the self-schedule in the RTM bid from the DA schedule. The TCSC may increase the self-schedule to exercise rights that were reserved (not self-scheduled or released) in DAM, but not higher than the corresponding Maximum Capacity. SIBR will validate that the sum of self-schedules of all Type 1 TSRs by a TCSC for a CRN at a transfer location plus the capacity that was released in DAM by the TCSC for that CRN at that transfer location does not exceed the CRN capacity specified by the relevant EESC for that TCSC, CRN, and transfer location.</w:t>
      </w:r>
    </w:p>
    <w:p w14:paraId="3FA1B98E" w14:textId="77777777" w:rsidR="000B47C0" w:rsidRPr="00746F54" w:rsidRDefault="000B47C0" w:rsidP="00636D40">
      <w:pPr>
        <w:pStyle w:val="Heading3"/>
        <w:rPr>
          <w:rFonts w:ascii="Arial" w:hAnsi="Arial" w:cs="Arial"/>
        </w:rPr>
      </w:pPr>
      <w:bookmarkStart w:id="87" w:name="_Toc191646297"/>
      <w:bookmarkStart w:id="88" w:name="_Toc211337884"/>
      <w:r w:rsidRPr="00746F54">
        <w:rPr>
          <w:rFonts w:ascii="Arial" w:hAnsi="Arial" w:cs="Arial"/>
        </w:rPr>
        <w:t>TSR Schedule Update in RTM</w:t>
      </w:r>
      <w:bookmarkEnd w:id="87"/>
      <w:bookmarkEnd w:id="88"/>
    </w:p>
    <w:p w14:paraId="0D852E55" w14:textId="0BBE3E48" w:rsidR="000B47C0" w:rsidRPr="00746F54" w:rsidRDefault="000B47C0" w:rsidP="00636D40">
      <w:pPr>
        <w:pStyle w:val="Paragraph"/>
        <w:rPr>
          <w:rFonts w:ascii="Arial" w:hAnsi="Arial" w:cs="Arial"/>
          <w:sz w:val="22"/>
        </w:rPr>
      </w:pPr>
      <w:r w:rsidRPr="00746F54">
        <w:rPr>
          <w:rFonts w:ascii="Arial" w:hAnsi="Arial" w:cs="Arial"/>
          <w:sz w:val="22"/>
        </w:rPr>
        <w:t>The EESC of the From BAA of a Type 1 TSR for which it is the primary tagging authority may update the TSR schedule (tag) on behalf of the corresponding TCSC in RTSI to reflect a real-time change in the exercise of the associated CRN, if the CRN allows. The updated schedule may be greater than the day-ahead schedule, but not greater than the corresponding Maximum Capacity. RTM will validate that the sum of schedules of all Type 1 TSRs by a TCSC for a CRN at a transfer location plus the capacity that was released in DAM by the TCSC for that CRN at that transfer location does not exceed the CRN capacity specified by the relevant EESC for that TCSC, CRN, and transfer location. Otherwise, RTM will associate the CRN only with the valid portion of the schedule, affording it the respective scheduling priority; any excess schedule shall be a normal self- schedule and will not be eligible for any related financial hedge in settlement. The TCSC can exercise rights that were reserved in DAM even if the additional transfer capacity has been released by the EESC under a Type 4 TSR, after the ECSC reduces the Maximum Capacity of that Type 4 TSR to force a redispatch in RTM.</w:t>
      </w:r>
    </w:p>
    <w:p w14:paraId="143E562E" w14:textId="77777777" w:rsidR="00947B7F" w:rsidRPr="00746F54" w:rsidRDefault="00947B7F" w:rsidP="00636D40">
      <w:pPr>
        <w:pStyle w:val="Paragraph"/>
        <w:rPr>
          <w:rFonts w:ascii="Arial" w:hAnsi="Arial" w:cs="Arial"/>
        </w:rPr>
      </w:pPr>
    </w:p>
    <w:p w14:paraId="4AD11F73" w14:textId="48B61D66" w:rsidR="000B47C0" w:rsidRPr="00746F54" w:rsidRDefault="00490EC0" w:rsidP="00062382">
      <w:pPr>
        <w:pStyle w:val="Heading2"/>
        <w:rPr>
          <w:rFonts w:ascii="Arial" w:hAnsi="Arial" w:cs="Arial"/>
        </w:rPr>
      </w:pPr>
      <w:bookmarkStart w:id="89" w:name="_Toc211337885"/>
      <w:bookmarkStart w:id="90" w:name="_Toc212733040"/>
      <w:r w:rsidRPr="00746F54">
        <w:rPr>
          <w:rFonts w:ascii="Arial" w:hAnsi="Arial" w:cs="Arial"/>
        </w:rPr>
        <w:t xml:space="preserve">EDAM </w:t>
      </w:r>
      <w:r w:rsidR="00174CC3" w:rsidRPr="00746F54">
        <w:rPr>
          <w:rFonts w:ascii="Arial" w:hAnsi="Arial" w:cs="Arial"/>
        </w:rPr>
        <w:t>Disruption</w:t>
      </w:r>
      <w:bookmarkEnd w:id="89"/>
      <w:bookmarkEnd w:id="90"/>
      <w:r w:rsidRPr="00746F54">
        <w:rPr>
          <w:rFonts w:ascii="Arial" w:hAnsi="Arial" w:cs="Arial"/>
        </w:rPr>
        <w:t xml:space="preserve"> </w:t>
      </w:r>
    </w:p>
    <w:p w14:paraId="61BAE87C" w14:textId="09DB742B" w:rsidR="008B6343" w:rsidRPr="00746F54" w:rsidRDefault="008B6343" w:rsidP="00062382">
      <w:pPr>
        <w:pStyle w:val="ParaText"/>
        <w:rPr>
          <w:rFonts w:ascii="Arial" w:eastAsia="Times New Roman" w:hAnsi="Arial" w:cs="Arial"/>
          <w:u w:val="single"/>
        </w:rPr>
      </w:pPr>
      <w:r w:rsidRPr="00746F54">
        <w:rPr>
          <w:rFonts w:ascii="Arial" w:eastAsia="Times New Roman" w:hAnsi="Arial" w:cs="Arial"/>
          <w:u w:val="single"/>
        </w:rPr>
        <w:t>Reference tariff section 33.7</w:t>
      </w:r>
      <w:r w:rsidR="008E459E" w:rsidRPr="00746F54">
        <w:rPr>
          <w:rFonts w:ascii="Arial" w:eastAsia="Times New Roman" w:hAnsi="Arial" w:cs="Arial"/>
          <w:u w:val="single"/>
        </w:rPr>
        <w:t>.4</w:t>
      </w:r>
    </w:p>
    <w:p w14:paraId="5F27D74F" w14:textId="126FAFE0" w:rsidR="00062382" w:rsidRPr="00746F54" w:rsidRDefault="00062382" w:rsidP="00062382">
      <w:pPr>
        <w:pStyle w:val="ParaText"/>
        <w:rPr>
          <w:rFonts w:ascii="Arial" w:hAnsi="Arial" w:cs="Arial"/>
          <w:color w:val="000000" w:themeColor="text1"/>
        </w:rPr>
      </w:pPr>
      <w:r w:rsidRPr="00746F54">
        <w:rPr>
          <w:rFonts w:ascii="Arial" w:eastAsia="Times New Roman" w:hAnsi="Arial" w:cs="Arial"/>
          <w:b/>
          <w:bCs/>
        </w:rPr>
        <w:t>Market Disruption</w:t>
      </w:r>
      <w:r w:rsidRPr="00746F54">
        <w:rPr>
          <w:rFonts w:ascii="Arial" w:hAnsi="Arial" w:cs="Arial"/>
        </w:rPr>
        <w:t xml:space="preserve"> –Includes unplanned or unintended EDAM market or EDAM market module failures or invalid results that affect all EDAM entities equally.   Summary items include:</w:t>
      </w:r>
      <w:r w:rsidRPr="00746F54">
        <w:rPr>
          <w:rStyle w:val="eop"/>
          <w:rFonts w:ascii="Arial" w:hAnsi="Arial" w:cs="Arial"/>
          <w:color w:val="000000" w:themeColor="text1"/>
        </w:rPr>
        <w:t> </w:t>
      </w:r>
    </w:p>
    <w:p w14:paraId="167BCC4A" w14:textId="77777777" w:rsidR="00062382" w:rsidRPr="00746F54" w:rsidRDefault="00062382" w:rsidP="00062382">
      <w:pPr>
        <w:pStyle w:val="paragraph0"/>
        <w:numPr>
          <w:ilvl w:val="0"/>
          <w:numId w:val="63"/>
        </w:numPr>
        <w:spacing w:before="0" w:beforeAutospacing="0" w:after="0" w:afterAutospacing="0" w:line="360" w:lineRule="auto"/>
        <w:ind w:left="360"/>
        <w:textAlignment w:val="baseline"/>
        <w:rPr>
          <w:rFonts w:ascii="Arial" w:hAnsi="Arial" w:cs="Arial"/>
          <w:color w:val="000000" w:themeColor="text1"/>
        </w:rPr>
      </w:pPr>
      <w:r w:rsidRPr="00746F54">
        <w:rPr>
          <w:rStyle w:val="normaltextrun"/>
          <w:rFonts w:ascii="Arial" w:hAnsi="Arial" w:cs="Arial"/>
          <w:iCs/>
          <w:color w:val="000000" w:themeColor="text1"/>
          <w:sz w:val="22"/>
          <w:szCs w:val="22"/>
        </w:rPr>
        <w:t>Only the market operator has the authority to declare an EDAM disruption event or declare when the given disruption event is resolved and reinstate normal EDAM operations.  </w:t>
      </w:r>
      <w:r w:rsidRPr="00746F54">
        <w:rPr>
          <w:rStyle w:val="eop"/>
          <w:rFonts w:ascii="Arial" w:hAnsi="Arial" w:cs="Arial"/>
          <w:color w:val="000000" w:themeColor="text1"/>
          <w:sz w:val="22"/>
          <w:szCs w:val="22"/>
        </w:rPr>
        <w:t> </w:t>
      </w:r>
    </w:p>
    <w:p w14:paraId="2658FD83" w14:textId="77777777" w:rsidR="00062382" w:rsidRPr="00746F54" w:rsidRDefault="00062382" w:rsidP="00062382">
      <w:pPr>
        <w:pStyle w:val="paragraph0"/>
        <w:numPr>
          <w:ilvl w:val="0"/>
          <w:numId w:val="63"/>
        </w:numPr>
        <w:spacing w:before="0" w:beforeAutospacing="0" w:after="0" w:afterAutospacing="0" w:line="360" w:lineRule="auto"/>
        <w:ind w:left="360"/>
        <w:textAlignment w:val="baseline"/>
        <w:rPr>
          <w:rStyle w:val="eop"/>
          <w:rFonts w:ascii="Arial" w:hAnsi="Arial" w:cs="Arial"/>
          <w:color w:val="000000" w:themeColor="text1"/>
        </w:rPr>
      </w:pPr>
      <w:r w:rsidRPr="00746F54">
        <w:rPr>
          <w:rStyle w:val="normaltextrun"/>
          <w:rFonts w:ascii="Arial" w:hAnsi="Arial" w:cs="Arial"/>
          <w:iCs/>
          <w:color w:val="000000" w:themeColor="text1"/>
          <w:sz w:val="22"/>
          <w:szCs w:val="22"/>
        </w:rPr>
        <w:t>An EDAM entity cannot declare itself in a market disruption event unilaterally.</w:t>
      </w:r>
      <w:r w:rsidRPr="00746F54">
        <w:rPr>
          <w:rStyle w:val="eop"/>
          <w:rFonts w:ascii="Arial" w:hAnsi="Arial" w:cs="Arial"/>
          <w:color w:val="000000" w:themeColor="text1"/>
          <w:sz w:val="22"/>
          <w:szCs w:val="22"/>
        </w:rPr>
        <w:t> </w:t>
      </w:r>
    </w:p>
    <w:p w14:paraId="3F026122" w14:textId="77777777" w:rsidR="00062382" w:rsidRPr="00746F54" w:rsidRDefault="00062382" w:rsidP="00062382">
      <w:pPr>
        <w:pStyle w:val="paragraph0"/>
        <w:numPr>
          <w:ilvl w:val="0"/>
          <w:numId w:val="63"/>
        </w:numPr>
        <w:spacing w:before="0" w:beforeAutospacing="0" w:after="0" w:afterAutospacing="0" w:line="360" w:lineRule="auto"/>
        <w:ind w:left="360"/>
        <w:textAlignment w:val="baseline"/>
        <w:rPr>
          <w:rStyle w:val="normaltextrun"/>
          <w:rFonts w:ascii="Arial" w:hAnsi="Arial" w:cs="Arial"/>
          <w:color w:val="000000" w:themeColor="text1"/>
        </w:rPr>
      </w:pPr>
      <w:r w:rsidRPr="00746F54">
        <w:rPr>
          <w:rStyle w:val="normaltextrun"/>
          <w:rFonts w:ascii="Arial" w:hAnsi="Arial" w:cs="Arial"/>
          <w:iCs/>
          <w:color w:val="000000" w:themeColor="text1"/>
          <w:sz w:val="22"/>
          <w:szCs w:val="22"/>
        </w:rPr>
        <w:t>In the event the market operator has not published Day-Ahead market results by 18:00, the market operator shall send an MNS/EverBridge notifying that either:</w:t>
      </w:r>
    </w:p>
    <w:p w14:paraId="59552752" w14:textId="77777777" w:rsidR="00062382" w:rsidRPr="00746F54" w:rsidRDefault="00062382" w:rsidP="00062382">
      <w:pPr>
        <w:pStyle w:val="paragraph0"/>
        <w:numPr>
          <w:ilvl w:val="1"/>
          <w:numId w:val="63"/>
        </w:numPr>
        <w:spacing w:before="0" w:beforeAutospacing="0" w:after="0" w:afterAutospacing="0" w:line="360" w:lineRule="auto"/>
        <w:textAlignment w:val="baseline"/>
        <w:rPr>
          <w:rStyle w:val="normaltextrun"/>
          <w:rFonts w:ascii="Arial" w:hAnsi="Arial" w:cs="Arial"/>
          <w:color w:val="000000" w:themeColor="text1"/>
        </w:rPr>
      </w:pPr>
      <w:r w:rsidRPr="00746F54">
        <w:rPr>
          <w:rStyle w:val="normaltextrun"/>
          <w:rFonts w:ascii="Arial" w:hAnsi="Arial" w:cs="Arial"/>
          <w:iCs/>
          <w:color w:val="000000" w:themeColor="text1"/>
          <w:sz w:val="22"/>
          <w:szCs w:val="22"/>
        </w:rPr>
        <w:t>The market operator still intends to publish Day-Ahead results before 21:00;</w:t>
      </w:r>
    </w:p>
    <w:p w14:paraId="32D26A0E" w14:textId="77777777" w:rsidR="00062382" w:rsidRPr="00746F54" w:rsidRDefault="00062382" w:rsidP="00062382">
      <w:pPr>
        <w:pStyle w:val="paragraph0"/>
        <w:numPr>
          <w:ilvl w:val="1"/>
          <w:numId w:val="63"/>
        </w:numPr>
        <w:spacing w:before="0" w:beforeAutospacing="0" w:after="0" w:afterAutospacing="0" w:line="360" w:lineRule="auto"/>
        <w:textAlignment w:val="baseline"/>
        <w:rPr>
          <w:rStyle w:val="normaltextrun"/>
          <w:rFonts w:ascii="Arial" w:hAnsi="Arial" w:cs="Arial"/>
          <w:color w:val="000000" w:themeColor="text1"/>
        </w:rPr>
      </w:pPr>
      <w:r w:rsidRPr="00746F54">
        <w:rPr>
          <w:rStyle w:val="normaltextrun"/>
          <w:rFonts w:ascii="Arial" w:hAnsi="Arial" w:cs="Arial"/>
          <w:iCs/>
          <w:color w:val="000000" w:themeColor="text1"/>
          <w:sz w:val="22"/>
          <w:szCs w:val="22"/>
        </w:rPr>
        <w:t>Notify all market participants that the previous Day-Ahead results will be published;</w:t>
      </w:r>
    </w:p>
    <w:p w14:paraId="4D3B58D4" w14:textId="77777777" w:rsidR="00062382" w:rsidRPr="00746F54" w:rsidRDefault="00062382" w:rsidP="00062382">
      <w:pPr>
        <w:pStyle w:val="paragraph0"/>
        <w:numPr>
          <w:ilvl w:val="1"/>
          <w:numId w:val="63"/>
        </w:numPr>
        <w:spacing w:before="0" w:beforeAutospacing="0" w:after="0" w:afterAutospacing="0" w:line="360" w:lineRule="auto"/>
        <w:textAlignment w:val="baseline"/>
        <w:rPr>
          <w:rStyle w:val="normaltextrun"/>
          <w:rFonts w:ascii="Arial" w:hAnsi="Arial" w:cs="Arial"/>
          <w:color w:val="000000" w:themeColor="text1"/>
        </w:rPr>
      </w:pPr>
      <w:r w:rsidRPr="00746F54">
        <w:rPr>
          <w:rStyle w:val="normaltextrun"/>
          <w:rFonts w:ascii="Arial" w:hAnsi="Arial" w:cs="Arial"/>
          <w:iCs/>
          <w:color w:val="000000" w:themeColor="text1"/>
          <w:sz w:val="22"/>
          <w:szCs w:val="22"/>
        </w:rPr>
        <w:lastRenderedPageBreak/>
        <w:t xml:space="preserve">Notify all market participants that the previous Day-Ahead results should be followed but no Day-Ahead results will be published or; </w:t>
      </w:r>
    </w:p>
    <w:p w14:paraId="78CB8A43" w14:textId="77777777" w:rsidR="00062382" w:rsidRPr="00746F54" w:rsidRDefault="00062382" w:rsidP="00062382">
      <w:pPr>
        <w:pStyle w:val="paragraph0"/>
        <w:numPr>
          <w:ilvl w:val="1"/>
          <w:numId w:val="63"/>
        </w:numPr>
        <w:spacing w:before="0" w:beforeAutospacing="0" w:after="0" w:afterAutospacing="0" w:line="360" w:lineRule="auto"/>
        <w:textAlignment w:val="baseline"/>
        <w:rPr>
          <w:rFonts w:ascii="Arial" w:hAnsi="Arial" w:cs="Arial"/>
          <w:color w:val="000000" w:themeColor="text1"/>
        </w:rPr>
      </w:pPr>
      <w:r w:rsidRPr="00746F54">
        <w:rPr>
          <w:rStyle w:val="normaltextrun"/>
          <w:rFonts w:ascii="Arial" w:hAnsi="Arial" w:cs="Arial"/>
          <w:iCs/>
          <w:color w:val="000000" w:themeColor="text1"/>
          <w:sz w:val="22"/>
          <w:szCs w:val="22"/>
        </w:rPr>
        <w:t>Notify all market participants that the Day-Ahead has been suspended for all participants, no results will be published, and that all entities must rely on exceptional dispatches and other manual instructions and on Real-Time market results, pursuant to Tariff Section 7.7.9(b).</w:t>
      </w:r>
      <w:r w:rsidRPr="00746F54">
        <w:rPr>
          <w:rStyle w:val="eop"/>
          <w:rFonts w:ascii="Arial" w:hAnsi="Arial" w:cs="Arial"/>
          <w:color w:val="000000" w:themeColor="text1"/>
          <w:sz w:val="22"/>
          <w:szCs w:val="22"/>
        </w:rPr>
        <w:t> </w:t>
      </w:r>
    </w:p>
    <w:p w14:paraId="338436F5" w14:textId="77777777" w:rsidR="00062382" w:rsidRPr="00746F54" w:rsidRDefault="00062382" w:rsidP="00062382">
      <w:pPr>
        <w:pStyle w:val="paragraph0"/>
        <w:spacing w:before="0" w:beforeAutospacing="0" w:after="0" w:afterAutospacing="0" w:line="360" w:lineRule="auto"/>
        <w:textAlignment w:val="baseline"/>
        <w:rPr>
          <w:rFonts w:ascii="Arial" w:hAnsi="Arial" w:cs="Arial"/>
          <w:color w:val="000000" w:themeColor="text1"/>
        </w:rPr>
      </w:pPr>
      <w:r w:rsidRPr="00746F54">
        <w:rPr>
          <w:rStyle w:val="eop"/>
          <w:rFonts w:ascii="Arial" w:hAnsi="Arial" w:cs="Arial"/>
          <w:color w:val="000000" w:themeColor="text1"/>
          <w:sz w:val="22"/>
          <w:szCs w:val="22"/>
        </w:rPr>
        <w:t>For further details, See Operating Procedure 1210 </w:t>
      </w:r>
    </w:p>
    <w:p w14:paraId="723D3057" w14:textId="77777777" w:rsidR="00062382" w:rsidRPr="00746F54" w:rsidRDefault="00062382" w:rsidP="00062382">
      <w:pPr>
        <w:pStyle w:val="paragraph0"/>
        <w:spacing w:before="0" w:beforeAutospacing="0" w:after="0" w:afterAutospacing="0" w:line="360" w:lineRule="auto"/>
        <w:textAlignment w:val="baseline"/>
        <w:rPr>
          <w:rStyle w:val="normaltextrun"/>
          <w:rFonts w:ascii="Arial" w:hAnsi="Arial" w:cs="Arial"/>
          <w:b/>
          <w:bCs/>
          <w:iCs/>
          <w:color w:val="000000" w:themeColor="text1"/>
          <w:sz w:val="22"/>
          <w:szCs w:val="22"/>
        </w:rPr>
      </w:pPr>
    </w:p>
    <w:p w14:paraId="3074638E" w14:textId="77777777" w:rsidR="00062382" w:rsidRPr="00746F54" w:rsidRDefault="00062382" w:rsidP="00062382">
      <w:pPr>
        <w:pStyle w:val="paragraph0"/>
        <w:spacing w:before="0" w:beforeAutospacing="0" w:after="0" w:afterAutospacing="0" w:line="360" w:lineRule="auto"/>
        <w:textAlignment w:val="baseline"/>
        <w:rPr>
          <w:rStyle w:val="eop"/>
          <w:rFonts w:ascii="Arial" w:hAnsi="Arial" w:cs="Arial"/>
          <w:color w:val="000000" w:themeColor="text1"/>
          <w:sz w:val="22"/>
          <w:szCs w:val="22"/>
        </w:rPr>
      </w:pPr>
      <w:r w:rsidRPr="00746F54">
        <w:rPr>
          <w:rStyle w:val="normaltextrun"/>
          <w:rFonts w:ascii="Arial" w:hAnsi="Arial" w:cs="Arial"/>
          <w:b/>
          <w:bCs/>
          <w:iCs/>
          <w:color w:val="000000" w:themeColor="text1"/>
          <w:sz w:val="22"/>
          <w:szCs w:val="22"/>
        </w:rPr>
        <w:t>Market Isolation</w:t>
      </w:r>
      <w:r w:rsidRPr="00746F54">
        <w:rPr>
          <w:rStyle w:val="normaltextrun"/>
          <w:rFonts w:ascii="Arial" w:hAnsi="Arial" w:cs="Arial"/>
          <w:iCs/>
          <w:color w:val="000000" w:themeColor="text1"/>
          <w:sz w:val="22"/>
          <w:szCs w:val="22"/>
        </w:rPr>
        <w:t> – This is at the EDAM-level and is upon request to the market operator. The EDAM will be isolated from the EDAM market and specifically all generation-level movement required to support TSR transfers.  To accomplish this, the EDAM ensures that zero transfer limits are provided on all applicable TSRs.  Note: the default entry of limits is zero.  The EDAM entity will still receive valid final Day-Ahead MW schedules for their internal resources. </w:t>
      </w:r>
      <w:r w:rsidRPr="00746F54">
        <w:rPr>
          <w:rStyle w:val="eop"/>
          <w:rFonts w:ascii="Arial" w:hAnsi="Arial" w:cs="Arial"/>
          <w:color w:val="000000" w:themeColor="text1"/>
          <w:sz w:val="22"/>
          <w:szCs w:val="22"/>
        </w:rPr>
        <w:t> </w:t>
      </w:r>
      <w:r w:rsidRPr="00746F54">
        <w:rPr>
          <w:rStyle w:val="normaltextrun"/>
          <w:rFonts w:ascii="Arial" w:hAnsi="Arial" w:cs="Arial"/>
          <w:iCs/>
          <w:color w:val="000000" w:themeColor="text1"/>
          <w:sz w:val="22"/>
          <w:szCs w:val="22"/>
        </w:rPr>
        <w:t>For an unplanned Market Isolation request, </w:t>
      </w:r>
      <w:r w:rsidRPr="00746F54">
        <w:rPr>
          <w:rStyle w:val="normaltextrun"/>
          <w:rFonts w:ascii="Arial" w:hAnsi="Arial" w:cs="Arial"/>
          <w:b/>
          <w:bCs/>
          <w:iCs/>
          <w:color w:val="000000" w:themeColor="text1"/>
          <w:sz w:val="22"/>
          <w:szCs w:val="22"/>
          <w:u w:val="single"/>
        </w:rPr>
        <w:t>an EDAM entity may take the following actions prior to 10:00:</w:t>
      </w:r>
      <w:r w:rsidRPr="00746F54">
        <w:rPr>
          <w:rStyle w:val="normaltextrun"/>
          <w:rFonts w:ascii="Arial" w:hAnsi="Arial" w:cs="Arial"/>
          <w:iCs/>
          <w:color w:val="000000" w:themeColor="text1"/>
          <w:sz w:val="22"/>
          <w:szCs w:val="22"/>
        </w:rPr>
        <w:t>  </w:t>
      </w:r>
      <w:r w:rsidRPr="00746F54">
        <w:rPr>
          <w:rStyle w:val="eop"/>
          <w:rFonts w:ascii="Arial" w:hAnsi="Arial" w:cs="Arial"/>
          <w:color w:val="000000" w:themeColor="text1"/>
          <w:sz w:val="22"/>
          <w:szCs w:val="22"/>
        </w:rPr>
        <w:t> </w:t>
      </w:r>
    </w:p>
    <w:p w14:paraId="7C1C126D" w14:textId="77777777" w:rsidR="00062382" w:rsidRPr="00746F54" w:rsidRDefault="00062382" w:rsidP="00062382">
      <w:pPr>
        <w:pStyle w:val="paragraph0"/>
        <w:numPr>
          <w:ilvl w:val="0"/>
          <w:numId w:val="127"/>
        </w:numPr>
        <w:spacing w:before="0" w:beforeAutospacing="0" w:after="0" w:afterAutospacing="0" w:line="360" w:lineRule="auto"/>
        <w:ind w:left="1080"/>
        <w:textAlignment w:val="baseline"/>
        <w:rPr>
          <w:rStyle w:val="normaltextrun"/>
          <w:rFonts w:ascii="Arial" w:hAnsi="Arial" w:cs="Arial"/>
        </w:rPr>
      </w:pPr>
      <w:r w:rsidRPr="00746F54">
        <w:rPr>
          <w:rStyle w:val="normaltextrun"/>
          <w:rFonts w:ascii="Arial" w:hAnsi="Arial" w:cs="Arial"/>
          <w:iCs/>
          <w:color w:val="000000" w:themeColor="text1"/>
          <w:sz w:val="22"/>
          <w:szCs w:val="22"/>
        </w:rPr>
        <w:t>Contact the market operator and request a market isolation.</w:t>
      </w:r>
      <w:r w:rsidRPr="00746F54">
        <w:rPr>
          <w:rStyle w:val="eop"/>
          <w:rFonts w:ascii="Arial" w:hAnsi="Arial" w:cs="Arial"/>
          <w:color w:val="000000" w:themeColor="text1"/>
          <w:sz w:val="22"/>
          <w:szCs w:val="22"/>
        </w:rPr>
        <w:t> </w:t>
      </w:r>
      <w:r w:rsidRPr="00746F54">
        <w:rPr>
          <w:rStyle w:val="normaltextrun"/>
          <w:rFonts w:ascii="Arial" w:hAnsi="Arial" w:cs="Arial"/>
          <w:iCs/>
          <w:color w:val="000000" w:themeColor="text1"/>
          <w:sz w:val="22"/>
          <w:szCs w:val="22"/>
        </w:rPr>
        <w:t>A market isolation may only be requested for the next trade date and effective for all 24 hours.  </w:t>
      </w:r>
    </w:p>
    <w:p w14:paraId="5BFBE99D" w14:textId="77777777" w:rsidR="00062382" w:rsidRPr="00746F54" w:rsidRDefault="00062382" w:rsidP="00062382">
      <w:pPr>
        <w:pStyle w:val="paragraph0"/>
        <w:numPr>
          <w:ilvl w:val="0"/>
          <w:numId w:val="127"/>
        </w:numPr>
        <w:spacing w:before="0" w:beforeAutospacing="0" w:after="0" w:afterAutospacing="0" w:line="360" w:lineRule="auto"/>
        <w:ind w:left="1080"/>
        <w:textAlignment w:val="baseline"/>
        <w:rPr>
          <w:rStyle w:val="eop"/>
          <w:rFonts w:ascii="Arial" w:hAnsi="Arial" w:cs="Arial"/>
        </w:rPr>
      </w:pPr>
      <w:r w:rsidRPr="00746F54">
        <w:rPr>
          <w:rStyle w:val="normaltextrun"/>
          <w:rFonts w:ascii="Arial" w:hAnsi="Arial" w:cs="Arial"/>
          <w:iCs/>
          <w:color w:val="000000" w:themeColor="text1"/>
          <w:sz w:val="22"/>
          <w:szCs w:val="22"/>
        </w:rPr>
        <w:t>An EDAM entity cannot declare itself in a market isolation unilaterally.</w:t>
      </w:r>
      <w:r w:rsidRPr="00746F54">
        <w:rPr>
          <w:rStyle w:val="eop"/>
          <w:rFonts w:ascii="Arial" w:hAnsi="Arial" w:cs="Arial"/>
          <w:color w:val="000000" w:themeColor="text1"/>
          <w:sz w:val="22"/>
          <w:szCs w:val="22"/>
        </w:rPr>
        <w:t> </w:t>
      </w:r>
    </w:p>
    <w:p w14:paraId="6A3E1C5A" w14:textId="77777777" w:rsidR="00062382" w:rsidRPr="00746F54" w:rsidRDefault="00062382" w:rsidP="00062382">
      <w:pPr>
        <w:pStyle w:val="paragraph0"/>
        <w:numPr>
          <w:ilvl w:val="0"/>
          <w:numId w:val="127"/>
        </w:numPr>
        <w:spacing w:before="0" w:beforeAutospacing="0" w:after="0" w:afterAutospacing="0" w:line="360" w:lineRule="auto"/>
        <w:ind w:left="1080"/>
        <w:textAlignment w:val="baseline"/>
        <w:rPr>
          <w:rStyle w:val="normaltextrun"/>
          <w:rFonts w:ascii="Arial" w:hAnsi="Arial" w:cs="Arial"/>
          <w:color w:val="000000" w:themeColor="text1"/>
        </w:rPr>
      </w:pPr>
      <w:r w:rsidRPr="00746F54">
        <w:rPr>
          <w:rStyle w:val="normaltextrun"/>
          <w:rFonts w:ascii="Arial" w:hAnsi="Arial" w:cs="Arial"/>
          <w:iCs/>
          <w:color w:val="000000" w:themeColor="text1"/>
          <w:sz w:val="22"/>
          <w:szCs w:val="22"/>
        </w:rPr>
        <w:t>Per Tariff Section 33.7.4.2, the EDAM entity will reduce their EDAM transfer limits to zero between their neighboring BAAs to mitigate potential issues to their EDAM area.</w:t>
      </w:r>
    </w:p>
    <w:p w14:paraId="6BD28D3F" w14:textId="77777777" w:rsidR="00062382" w:rsidRPr="00746F54" w:rsidRDefault="00062382" w:rsidP="00062382">
      <w:pPr>
        <w:pStyle w:val="paragraph0"/>
        <w:numPr>
          <w:ilvl w:val="0"/>
          <w:numId w:val="127"/>
        </w:numPr>
        <w:spacing w:before="0" w:beforeAutospacing="0" w:after="0" w:afterAutospacing="0" w:line="360" w:lineRule="auto"/>
        <w:ind w:left="1080"/>
        <w:textAlignment w:val="baseline"/>
        <w:rPr>
          <w:rFonts w:ascii="Arial" w:hAnsi="Arial" w:cs="Arial"/>
          <w:color w:val="000000" w:themeColor="text1"/>
        </w:rPr>
      </w:pPr>
      <w:r w:rsidRPr="00746F54">
        <w:rPr>
          <w:rStyle w:val="normaltextrun"/>
          <w:rFonts w:ascii="Arial" w:hAnsi="Arial" w:cs="Arial"/>
          <w:iCs/>
          <w:color w:val="000000" w:themeColor="text1"/>
          <w:sz w:val="22"/>
          <w:szCs w:val="22"/>
        </w:rPr>
        <w:t>For further details see Operating Procedure 1210 including details on OATT Administrative Pricing</w:t>
      </w:r>
    </w:p>
    <w:p w14:paraId="0781A0F4" w14:textId="77777777" w:rsidR="00062382" w:rsidRPr="00746F54" w:rsidRDefault="00062382" w:rsidP="00062382">
      <w:pPr>
        <w:pStyle w:val="paragraph0"/>
        <w:spacing w:before="0" w:beforeAutospacing="0" w:after="0" w:afterAutospacing="0"/>
        <w:textAlignment w:val="baseline"/>
        <w:rPr>
          <w:rFonts w:ascii="Arial" w:hAnsi="Arial" w:cs="Arial"/>
          <w:color w:val="000000" w:themeColor="text1"/>
        </w:rPr>
      </w:pPr>
    </w:p>
    <w:p w14:paraId="130855E2" w14:textId="77777777" w:rsidR="00062382" w:rsidRPr="00746F54" w:rsidRDefault="00062382" w:rsidP="00062382">
      <w:pPr>
        <w:pStyle w:val="paragraph0"/>
        <w:spacing w:before="0" w:beforeAutospacing="0" w:after="0" w:afterAutospacing="0"/>
        <w:textAlignment w:val="baseline"/>
        <w:rPr>
          <w:rFonts w:ascii="Arial" w:hAnsi="Arial" w:cs="Arial"/>
          <w:color w:val="000000" w:themeColor="text1"/>
        </w:rPr>
      </w:pPr>
      <w:r w:rsidRPr="00746F54">
        <w:rPr>
          <w:rStyle w:val="normaltextrun"/>
          <w:rFonts w:ascii="Arial" w:hAnsi="Arial" w:cs="Arial"/>
          <w:b/>
          <w:bCs/>
          <w:iCs/>
          <w:color w:val="000000" w:themeColor="text1"/>
          <w:sz w:val="22"/>
          <w:szCs w:val="22"/>
        </w:rPr>
        <w:t>Market Separation  </w:t>
      </w:r>
      <w:r w:rsidRPr="00746F54">
        <w:rPr>
          <w:rStyle w:val="eop"/>
          <w:rFonts w:ascii="Arial" w:hAnsi="Arial" w:cs="Arial"/>
          <w:color w:val="000000" w:themeColor="text1"/>
          <w:sz w:val="22"/>
          <w:szCs w:val="22"/>
        </w:rPr>
        <w:t> </w:t>
      </w:r>
    </w:p>
    <w:p w14:paraId="41D37D24" w14:textId="77777777" w:rsidR="00062382" w:rsidRPr="00746F54" w:rsidRDefault="00062382" w:rsidP="00062382">
      <w:pPr>
        <w:pStyle w:val="paragraph0"/>
        <w:spacing w:before="0" w:beforeAutospacing="0" w:after="0" w:afterAutospacing="0"/>
        <w:textAlignment w:val="baseline"/>
        <w:rPr>
          <w:rFonts w:ascii="Arial" w:hAnsi="Arial" w:cs="Arial"/>
          <w:color w:val="000000" w:themeColor="text1"/>
        </w:rPr>
      </w:pPr>
      <w:r w:rsidRPr="00746F54">
        <w:rPr>
          <w:rStyle w:val="eop"/>
          <w:rFonts w:ascii="Arial" w:hAnsi="Arial" w:cs="Arial"/>
          <w:color w:val="000000" w:themeColor="text1"/>
          <w:sz w:val="22"/>
          <w:szCs w:val="22"/>
        </w:rPr>
        <w:t> </w:t>
      </w:r>
    </w:p>
    <w:p w14:paraId="217CFEB3" w14:textId="621790FA" w:rsidR="00062382" w:rsidRPr="00746F54" w:rsidRDefault="00062382" w:rsidP="008B6343">
      <w:pPr>
        <w:pStyle w:val="paragraph0"/>
        <w:spacing w:before="0" w:beforeAutospacing="0" w:after="0" w:afterAutospacing="0" w:line="360" w:lineRule="auto"/>
        <w:textAlignment w:val="baseline"/>
        <w:rPr>
          <w:rFonts w:ascii="Arial" w:hAnsi="Arial" w:cs="Arial"/>
          <w:color w:val="000000" w:themeColor="text1"/>
        </w:rPr>
      </w:pPr>
      <w:r w:rsidRPr="00746F54">
        <w:rPr>
          <w:rStyle w:val="normaltextrun"/>
          <w:rFonts w:ascii="Arial" w:hAnsi="Arial" w:cs="Arial"/>
          <w:iCs/>
          <w:color w:val="000000" w:themeColor="text1"/>
          <w:sz w:val="22"/>
          <w:szCs w:val="22"/>
        </w:rPr>
        <w:t>Market separations are typically reserved for catastrophic events such as the inability to receive or process dispatches (technology issues), inability to staff (human resource issues), electricity issues (severe network failure) or the inability to monitor (operations facility issues).  Market Separations require several days of coordinated steps from CAISO IT and other EDAM teams to complete.  As such, this requires significant coordination between the affected EDAM entity, the CAISO and all its neighbors.  An EDAM entity cannot expect to contact the market operator just prior to the Day-Ahead execution and expect a fully coordinated market separation equal to returning to a WEIM-only entity to immediately occur for tomorrow's trade date.  </w:t>
      </w:r>
      <w:r w:rsidRPr="00746F54">
        <w:rPr>
          <w:rStyle w:val="eop"/>
          <w:rFonts w:ascii="Arial" w:hAnsi="Arial" w:cs="Arial"/>
          <w:color w:val="000000" w:themeColor="text1"/>
          <w:sz w:val="22"/>
          <w:szCs w:val="22"/>
        </w:rPr>
        <w:t> </w:t>
      </w:r>
    </w:p>
    <w:p w14:paraId="58C06C06" w14:textId="5BCCAEC6" w:rsidR="00E64FF1" w:rsidRPr="00746F54" w:rsidRDefault="00E64FF1" w:rsidP="00636D40">
      <w:pPr>
        <w:pStyle w:val="Heading1"/>
        <w:rPr>
          <w:rFonts w:ascii="Arial" w:hAnsi="Arial" w:cs="Arial"/>
        </w:rPr>
      </w:pPr>
      <w:bookmarkStart w:id="91" w:name="_Toc211337886"/>
      <w:bookmarkStart w:id="92" w:name="_Toc212733041"/>
      <w:r w:rsidRPr="00746F54">
        <w:rPr>
          <w:rFonts w:ascii="Arial" w:hAnsi="Arial" w:cs="Arial"/>
        </w:rPr>
        <w:lastRenderedPageBreak/>
        <w:t>Ancillary Services in EDAM</w:t>
      </w:r>
      <w:bookmarkEnd w:id="91"/>
      <w:bookmarkEnd w:id="92"/>
    </w:p>
    <w:p w14:paraId="68FD1471" w14:textId="2F42CB8D" w:rsidR="00E64FF1" w:rsidRPr="00746F54" w:rsidRDefault="00E64FF1" w:rsidP="00E64FF1">
      <w:pPr>
        <w:pStyle w:val="ParaText"/>
        <w:rPr>
          <w:rFonts w:ascii="Arial" w:hAnsi="Arial" w:cs="Arial"/>
          <w:u w:val="single"/>
        </w:rPr>
      </w:pPr>
      <w:r w:rsidRPr="00746F54">
        <w:rPr>
          <w:rFonts w:ascii="Arial" w:hAnsi="Arial" w:cs="Arial"/>
          <w:u w:val="single"/>
        </w:rPr>
        <w:t>Reference tariff section 33.8</w:t>
      </w:r>
    </w:p>
    <w:p w14:paraId="50063354" w14:textId="77777777" w:rsidR="00E64FF1" w:rsidRPr="00746F54" w:rsidRDefault="00E64FF1" w:rsidP="00E64FF1">
      <w:pPr>
        <w:pStyle w:val="ParaText"/>
        <w:rPr>
          <w:rFonts w:ascii="Arial" w:hAnsi="Arial" w:cs="Arial"/>
        </w:rPr>
      </w:pPr>
      <w:r w:rsidRPr="00746F54">
        <w:rPr>
          <w:rFonts w:ascii="Arial" w:hAnsi="Arial" w:cs="Arial"/>
        </w:rPr>
        <w:t xml:space="preserve">The Ancillary Services provisions of Section 8 of the CAISO Tariff do not apply to the Extended Day-Ahead Market, except to the extent they apply to the CAISO BAA as a participating balancing authority in the EDAM Area.  </w:t>
      </w:r>
    </w:p>
    <w:p w14:paraId="18EBF629" w14:textId="77777777" w:rsidR="00E64FF1" w:rsidRPr="00746F54" w:rsidRDefault="00E64FF1" w:rsidP="00E64FF1">
      <w:pPr>
        <w:pStyle w:val="ParaText"/>
        <w:rPr>
          <w:rFonts w:ascii="Arial" w:hAnsi="Arial" w:cs="Arial"/>
        </w:rPr>
      </w:pPr>
      <w:r w:rsidRPr="00746F54">
        <w:rPr>
          <w:rFonts w:ascii="Arial" w:hAnsi="Arial" w:cs="Arial"/>
        </w:rPr>
        <w:t xml:space="preserve">EDAM does not co-optimize energy and ancillary services across all the participating EDAM balancing areas.  Procurement of ancillary services remains within the authority and autonomy of each EDAM balancing authority area, consistent with its established processes and procedures.  The market operator does not monitor or provide any assurance that the amounts of ancillary service self-schedules submitted by EDAM participants will meet NERC standards.   For the CAISO balancing authority area, as is the case prior to launch of EDAM, the market will co-optimize procurement of energy and ancillary services consistent with applicable tariff provisions.      </w:t>
      </w:r>
    </w:p>
    <w:p w14:paraId="3EDB5C59" w14:textId="45A00599" w:rsidR="00E64FF1" w:rsidRPr="00746F54" w:rsidRDefault="00E64FF1" w:rsidP="00AC0E4B">
      <w:pPr>
        <w:pStyle w:val="ParaText"/>
        <w:rPr>
          <w:rFonts w:ascii="Arial" w:hAnsi="Arial" w:cs="Arial"/>
        </w:rPr>
      </w:pPr>
      <w:r w:rsidRPr="00746F54">
        <w:rPr>
          <w:rFonts w:ascii="Arial" w:hAnsi="Arial" w:cs="Arial"/>
        </w:rPr>
        <w:t xml:space="preserve">Each EDAM entity must submit Ancillary Services self-schedules via </w:t>
      </w:r>
      <w:commentRangeStart w:id="93"/>
      <w:r w:rsidRPr="00746F54">
        <w:rPr>
          <w:rFonts w:ascii="Arial" w:hAnsi="Arial" w:cs="Arial"/>
        </w:rPr>
        <w:t xml:space="preserve">SIBR </w:t>
      </w:r>
      <w:commentRangeEnd w:id="93"/>
      <w:r w:rsidRPr="00746F54">
        <w:rPr>
          <w:rStyle w:val="CommentReference"/>
          <w:rFonts w:ascii="Arial" w:hAnsi="Arial" w:cs="Arial"/>
        </w:rPr>
        <w:commentReference w:id="93"/>
      </w:r>
      <w:commentRangeStart w:id="94"/>
      <w:r w:rsidRPr="00746F54">
        <w:rPr>
          <w:rFonts w:ascii="Arial" w:hAnsi="Arial" w:cs="Arial"/>
        </w:rPr>
        <w:t xml:space="preserve">to protect capacity  in the market to be used to meet their own reserve requirements.  The market will not settle these ancillary services self-schedules. </w:t>
      </w:r>
      <w:commentRangeEnd w:id="94"/>
      <w:r w:rsidRPr="00746F54">
        <w:rPr>
          <w:rStyle w:val="CommentReference"/>
          <w:rFonts w:ascii="Arial" w:hAnsi="Arial" w:cs="Arial"/>
        </w:rPr>
        <w:commentReference w:id="94"/>
      </w:r>
      <w:r w:rsidRPr="00746F54">
        <w:rPr>
          <w:rFonts w:ascii="Arial" w:hAnsi="Arial" w:cs="Arial"/>
        </w:rPr>
        <w:t xml:space="preserve">w.  The day-ahead RSE process  checks to ensure that self-scheduled ancillary services in SIBR meet the ancillary services requirements provided by the EDAM entity.  Each EDAM entity remains responsible to ensure that its self-scheduled ancillary services are  deliverable across its  balancing authority </w:t>
      </w:r>
      <w:commentRangeStart w:id="95"/>
      <w:r w:rsidRPr="00746F54">
        <w:rPr>
          <w:rFonts w:ascii="Arial" w:hAnsi="Arial" w:cs="Arial"/>
        </w:rPr>
        <w:t>footprint</w:t>
      </w:r>
      <w:commentRangeEnd w:id="95"/>
      <w:r w:rsidRPr="00746F54">
        <w:rPr>
          <w:rStyle w:val="CommentReference"/>
          <w:rFonts w:ascii="Arial" w:hAnsi="Arial" w:cs="Arial"/>
        </w:rPr>
        <w:commentReference w:id="95"/>
      </w:r>
      <w:r w:rsidRPr="00746F54">
        <w:rPr>
          <w:rFonts w:ascii="Arial" w:hAnsi="Arial" w:cs="Arial"/>
        </w:rPr>
        <w:t xml:space="preserve">.  Should self-scheduled ancillary service resources become unavailable in WEIM, it is the responsibility of EDAM BA to follow the NERC Reliability Standard governing replacing Contingency Reserves.  </w:t>
      </w:r>
    </w:p>
    <w:p w14:paraId="734FEDFD" w14:textId="5BF28A4A" w:rsidR="005B69F3" w:rsidRPr="00746F54" w:rsidRDefault="005B69F3" w:rsidP="00447B38">
      <w:pPr>
        <w:pStyle w:val="Heading1"/>
        <w:rPr>
          <w:rFonts w:ascii="Arial" w:hAnsi="Arial" w:cs="Arial"/>
        </w:rPr>
      </w:pPr>
      <w:bookmarkStart w:id="96" w:name="_Toc212733042"/>
      <w:bookmarkStart w:id="97" w:name="_Toc211337887"/>
      <w:r w:rsidRPr="00746F54">
        <w:rPr>
          <w:rFonts w:ascii="Arial" w:hAnsi="Arial" w:cs="Arial"/>
        </w:rPr>
        <w:t>Outage and Critical Contingencies</w:t>
      </w:r>
      <w:bookmarkEnd w:id="96"/>
      <w:r w:rsidRPr="00746F54">
        <w:rPr>
          <w:rFonts w:ascii="Arial" w:hAnsi="Arial" w:cs="Arial"/>
        </w:rPr>
        <w:t xml:space="preserve"> </w:t>
      </w:r>
      <w:bookmarkEnd w:id="97"/>
    </w:p>
    <w:p w14:paraId="5C69EAD3" w14:textId="5F68785D" w:rsidR="005B69F3" w:rsidRPr="00746F54" w:rsidRDefault="005B69F3" w:rsidP="005B69F3">
      <w:pPr>
        <w:pStyle w:val="ParaText"/>
        <w:rPr>
          <w:rFonts w:ascii="Arial" w:hAnsi="Arial" w:cs="Arial"/>
          <w:u w:val="single"/>
        </w:rPr>
      </w:pPr>
      <w:r w:rsidRPr="00746F54">
        <w:rPr>
          <w:rFonts w:ascii="Arial" w:hAnsi="Arial" w:cs="Arial"/>
          <w:u w:val="single"/>
        </w:rPr>
        <w:t>Reference tariff section 33.9</w:t>
      </w:r>
    </w:p>
    <w:p w14:paraId="66628F2B" w14:textId="77777777" w:rsidR="005B69F3" w:rsidRPr="00746F54" w:rsidRDefault="005B69F3" w:rsidP="005B69F3">
      <w:pPr>
        <w:pStyle w:val="BPM"/>
        <w:spacing w:after="0"/>
        <w:rPr>
          <w:rFonts w:ascii="Arial" w:hAnsi="Arial"/>
        </w:rPr>
      </w:pPr>
      <w:r w:rsidRPr="00746F54">
        <w:rPr>
          <w:rFonts w:ascii="Arial" w:hAnsi="Arial"/>
        </w:rPr>
        <w:t>EDAM entities that are already part of RC West shall remain subject to the outage coordination process established in operating procedure RC0630.  The outage coordination process for EDAM is not intended to address the RC and BAA’s reliability requirements under NERC Reliability Standard IRO-017-1 or supersede RC0630, but instead is focused on accurately reflecting system topology in the Day-Ahead Market and enforcement of market constraints.  There are actions taken during outage planning process as part of the Reliability Coordinator function that do have an impact on EDAM and will be described here along with the necessary information about the outage scheduling tool WebOMS.</w:t>
      </w:r>
    </w:p>
    <w:p w14:paraId="6E1B61C0" w14:textId="77777777" w:rsidR="005B69F3" w:rsidRPr="00746F54" w:rsidRDefault="005B69F3" w:rsidP="005B69F3">
      <w:pPr>
        <w:pStyle w:val="BPM"/>
        <w:spacing w:after="0"/>
        <w:rPr>
          <w:rFonts w:ascii="Arial" w:hAnsi="Arial"/>
        </w:rPr>
      </w:pPr>
    </w:p>
    <w:p w14:paraId="2B81E9A1" w14:textId="65A0E023" w:rsidR="005B69F3" w:rsidRPr="00746F54" w:rsidRDefault="005B69F3" w:rsidP="00776EBF">
      <w:pPr>
        <w:pStyle w:val="Heading2"/>
        <w:rPr>
          <w:rFonts w:ascii="Arial" w:hAnsi="Arial" w:cs="Arial"/>
        </w:rPr>
      </w:pPr>
      <w:bookmarkStart w:id="98" w:name="_Toc211337888"/>
      <w:bookmarkStart w:id="99" w:name="_Toc212733043"/>
      <w:r w:rsidRPr="00746F54">
        <w:rPr>
          <w:rFonts w:ascii="Arial" w:hAnsi="Arial" w:cs="Arial"/>
        </w:rPr>
        <w:lastRenderedPageBreak/>
        <w:t>Outage Coordination Tool</w:t>
      </w:r>
      <w:bookmarkEnd w:id="98"/>
      <w:bookmarkEnd w:id="99"/>
      <w:r w:rsidRPr="00746F54">
        <w:rPr>
          <w:rFonts w:ascii="Arial" w:hAnsi="Arial" w:cs="Arial"/>
        </w:rPr>
        <w:t xml:space="preserve"> </w:t>
      </w:r>
    </w:p>
    <w:p w14:paraId="31EC881A" w14:textId="6BB69BA3" w:rsidR="005B69F3" w:rsidRPr="00746F54" w:rsidRDefault="005B69F3" w:rsidP="005B69F3">
      <w:pPr>
        <w:pStyle w:val="BPM"/>
        <w:spacing w:after="0"/>
        <w:rPr>
          <w:rFonts w:ascii="Arial" w:hAnsi="Arial"/>
        </w:rPr>
      </w:pPr>
      <w:r w:rsidRPr="00746F54">
        <w:rPr>
          <w:rFonts w:ascii="Arial" w:hAnsi="Arial"/>
        </w:rPr>
        <w:t xml:space="preserve">CAISO uses WebOMS as the primary mechanism for data necessary to support the Outage Coordination Process. It is expected that all required entities submit outages to WebOMS through one of two options: </w:t>
      </w:r>
    </w:p>
    <w:p w14:paraId="5A2E1347" w14:textId="77777777" w:rsidR="005B69F3" w:rsidRPr="00746F54" w:rsidRDefault="005B69F3" w:rsidP="005B69F3">
      <w:pPr>
        <w:pStyle w:val="BPM"/>
        <w:numPr>
          <w:ilvl w:val="0"/>
          <w:numId w:val="91"/>
        </w:numPr>
        <w:spacing w:after="0"/>
        <w:rPr>
          <w:rFonts w:ascii="Arial" w:hAnsi="Arial"/>
        </w:rPr>
      </w:pPr>
      <w:r w:rsidRPr="00746F54">
        <w:rPr>
          <w:rFonts w:ascii="Arial" w:hAnsi="Arial"/>
        </w:rPr>
        <w:t xml:space="preserve">Via the WebOMS User Interface (WebUI), or </w:t>
      </w:r>
    </w:p>
    <w:p w14:paraId="34A66FB9" w14:textId="77777777" w:rsidR="005B69F3" w:rsidRPr="00746F54" w:rsidRDefault="005B69F3" w:rsidP="005B69F3">
      <w:pPr>
        <w:pStyle w:val="BPM"/>
        <w:numPr>
          <w:ilvl w:val="0"/>
          <w:numId w:val="91"/>
        </w:numPr>
        <w:spacing w:after="0"/>
        <w:rPr>
          <w:rFonts w:ascii="Arial" w:hAnsi="Arial"/>
        </w:rPr>
      </w:pPr>
      <w:r w:rsidRPr="00746F54">
        <w:rPr>
          <w:rFonts w:ascii="Arial" w:hAnsi="Arial"/>
        </w:rPr>
        <w:t xml:space="preserve">WebOMS Application Programming Interface (API). </w:t>
      </w:r>
    </w:p>
    <w:p w14:paraId="7018D961" w14:textId="77777777" w:rsidR="005B69F3" w:rsidRPr="00746F54" w:rsidRDefault="005B69F3" w:rsidP="005B69F3">
      <w:pPr>
        <w:pStyle w:val="BPM"/>
        <w:spacing w:after="0"/>
        <w:rPr>
          <w:rFonts w:ascii="Arial" w:hAnsi="Arial"/>
        </w:rPr>
      </w:pPr>
      <w:r w:rsidRPr="00746F54">
        <w:rPr>
          <w:rFonts w:ascii="Arial" w:hAnsi="Arial"/>
          <w:b/>
          <w:bCs/>
        </w:rPr>
        <w:t>Required Outage Information</w:t>
      </w:r>
      <w:r w:rsidRPr="00746F54">
        <w:rPr>
          <w:rFonts w:ascii="Arial" w:hAnsi="Arial"/>
        </w:rPr>
        <w:t xml:space="preserve"> </w:t>
      </w:r>
    </w:p>
    <w:p w14:paraId="045861E4" w14:textId="577DA364" w:rsidR="005B69F3" w:rsidRPr="00746F54" w:rsidRDefault="005B69F3" w:rsidP="005B69F3">
      <w:pPr>
        <w:pStyle w:val="BPM"/>
        <w:spacing w:after="0"/>
        <w:rPr>
          <w:rFonts w:ascii="Arial" w:hAnsi="Arial"/>
        </w:rPr>
      </w:pPr>
      <w:r w:rsidRPr="00746F54">
        <w:rPr>
          <w:rFonts w:ascii="Arial" w:hAnsi="Arial"/>
        </w:rPr>
        <w:t xml:space="preserve">Outage requests cover many different types of work, but must provide the following information to support assessment/studies and coordination: </w:t>
      </w:r>
    </w:p>
    <w:p w14:paraId="4DB020D9" w14:textId="77777777" w:rsidR="005B69F3" w:rsidRPr="00746F54" w:rsidRDefault="005B69F3" w:rsidP="005B69F3">
      <w:pPr>
        <w:pStyle w:val="BPM"/>
        <w:numPr>
          <w:ilvl w:val="0"/>
          <w:numId w:val="92"/>
        </w:numPr>
        <w:spacing w:after="0"/>
        <w:rPr>
          <w:rFonts w:ascii="Arial" w:hAnsi="Arial"/>
        </w:rPr>
      </w:pPr>
      <w:r w:rsidRPr="00746F54">
        <w:rPr>
          <w:rFonts w:ascii="Arial" w:hAnsi="Arial"/>
        </w:rPr>
        <w:t>Outage start/end dates/times</w:t>
      </w:r>
    </w:p>
    <w:p w14:paraId="78E9076F" w14:textId="77777777" w:rsidR="005B69F3" w:rsidRPr="00746F54" w:rsidRDefault="005B69F3" w:rsidP="005B69F3">
      <w:pPr>
        <w:pStyle w:val="BPM"/>
        <w:numPr>
          <w:ilvl w:val="1"/>
          <w:numId w:val="92"/>
        </w:numPr>
        <w:spacing w:after="0"/>
        <w:rPr>
          <w:rFonts w:ascii="Arial" w:hAnsi="Arial"/>
        </w:rPr>
      </w:pPr>
      <w:r w:rsidRPr="00746F54">
        <w:rPr>
          <w:rFonts w:ascii="Arial" w:hAnsi="Arial"/>
        </w:rPr>
        <w:t>Should be based on the best available information by the BA/TOP and reviewed before EDAM Market close at 1000</w:t>
      </w:r>
    </w:p>
    <w:p w14:paraId="1ECF2F07" w14:textId="77777777" w:rsidR="005B69F3" w:rsidRPr="00746F54" w:rsidRDefault="005B69F3" w:rsidP="005B69F3">
      <w:pPr>
        <w:pStyle w:val="BPM"/>
        <w:numPr>
          <w:ilvl w:val="1"/>
          <w:numId w:val="92"/>
        </w:numPr>
        <w:spacing w:after="0"/>
        <w:rPr>
          <w:rFonts w:ascii="Arial" w:hAnsi="Arial"/>
        </w:rPr>
      </w:pPr>
      <w:r w:rsidRPr="00746F54">
        <w:rPr>
          <w:rFonts w:ascii="Arial" w:hAnsi="Arial"/>
        </w:rPr>
        <w:t>See the section “Details of OMS Outage Timing” below for important details</w:t>
      </w:r>
    </w:p>
    <w:p w14:paraId="0D4BE335" w14:textId="77777777" w:rsidR="005B69F3" w:rsidRPr="00746F54" w:rsidRDefault="005B69F3" w:rsidP="005B69F3">
      <w:pPr>
        <w:pStyle w:val="BPM"/>
        <w:numPr>
          <w:ilvl w:val="0"/>
          <w:numId w:val="92"/>
        </w:numPr>
        <w:spacing w:after="0"/>
        <w:rPr>
          <w:rFonts w:ascii="Arial" w:hAnsi="Arial"/>
        </w:rPr>
      </w:pPr>
      <w:r w:rsidRPr="00746F54">
        <w:rPr>
          <w:rFonts w:ascii="Arial" w:hAnsi="Arial"/>
        </w:rPr>
        <w:t>Equipment/Facilities “out-of-service”</w:t>
      </w:r>
    </w:p>
    <w:p w14:paraId="33581C8E" w14:textId="77777777" w:rsidR="005B69F3" w:rsidRPr="00746F54" w:rsidRDefault="005B69F3" w:rsidP="005B69F3">
      <w:pPr>
        <w:pStyle w:val="BPM"/>
        <w:numPr>
          <w:ilvl w:val="0"/>
          <w:numId w:val="92"/>
        </w:numPr>
        <w:spacing w:after="0"/>
        <w:rPr>
          <w:rFonts w:ascii="Arial" w:hAnsi="Arial"/>
        </w:rPr>
      </w:pPr>
      <w:r w:rsidRPr="00746F54">
        <w:rPr>
          <w:rFonts w:ascii="Arial" w:hAnsi="Arial"/>
        </w:rPr>
        <w:t>Clearance or switching boundaries</w:t>
      </w:r>
    </w:p>
    <w:p w14:paraId="564C452F" w14:textId="77777777" w:rsidR="005B69F3" w:rsidRPr="00746F54" w:rsidRDefault="005B69F3" w:rsidP="005B69F3">
      <w:pPr>
        <w:pStyle w:val="BPM"/>
        <w:numPr>
          <w:ilvl w:val="1"/>
          <w:numId w:val="92"/>
        </w:numPr>
        <w:spacing w:after="0"/>
        <w:rPr>
          <w:rFonts w:ascii="Arial" w:hAnsi="Arial"/>
        </w:rPr>
      </w:pPr>
      <w:r w:rsidRPr="00746F54">
        <w:rPr>
          <w:rFonts w:ascii="Arial" w:hAnsi="Arial"/>
        </w:rPr>
        <w:t>Exact switching can be very important to the market solution, especially in cases of overlapping outages or outages on or near tie lines.  Any normally open station equipment that will be closed as part of the outage should be modeled in the OMS card (e.g: a bus tie breaker closed to support the outage).</w:t>
      </w:r>
    </w:p>
    <w:p w14:paraId="4706EE7F" w14:textId="77777777" w:rsidR="005B69F3" w:rsidRPr="00746F54" w:rsidRDefault="005B69F3" w:rsidP="005B69F3">
      <w:pPr>
        <w:pStyle w:val="BPM"/>
        <w:numPr>
          <w:ilvl w:val="0"/>
          <w:numId w:val="92"/>
        </w:numPr>
        <w:spacing w:after="0"/>
        <w:rPr>
          <w:rFonts w:ascii="Arial" w:hAnsi="Arial"/>
        </w:rPr>
      </w:pPr>
      <w:r w:rsidRPr="00746F54">
        <w:rPr>
          <w:rFonts w:ascii="Arial" w:hAnsi="Arial"/>
        </w:rPr>
        <w:t>Name of requesting BA/TOP</w:t>
      </w:r>
    </w:p>
    <w:p w14:paraId="6FF8507B" w14:textId="77777777" w:rsidR="005B69F3" w:rsidRPr="00746F54" w:rsidRDefault="005B69F3" w:rsidP="005B69F3">
      <w:pPr>
        <w:pStyle w:val="BPM"/>
        <w:numPr>
          <w:ilvl w:val="0"/>
          <w:numId w:val="92"/>
        </w:numPr>
        <w:spacing w:after="0"/>
        <w:rPr>
          <w:rFonts w:ascii="Arial" w:hAnsi="Arial"/>
        </w:rPr>
      </w:pPr>
      <w:r w:rsidRPr="00746F54">
        <w:rPr>
          <w:rFonts w:ascii="Arial" w:hAnsi="Arial"/>
        </w:rPr>
        <w:t>Supporting operating plan(s) as needed</w:t>
      </w:r>
    </w:p>
    <w:p w14:paraId="2434706D" w14:textId="26A23447" w:rsidR="005B69F3" w:rsidRPr="00746F54" w:rsidRDefault="005B69F3" w:rsidP="005B69F3">
      <w:pPr>
        <w:pStyle w:val="BPM"/>
        <w:numPr>
          <w:ilvl w:val="1"/>
          <w:numId w:val="92"/>
        </w:numPr>
        <w:spacing w:after="0"/>
        <w:rPr>
          <w:rFonts w:ascii="Arial" w:hAnsi="Arial"/>
        </w:rPr>
      </w:pPr>
      <w:r w:rsidRPr="00746F54">
        <w:rPr>
          <w:rFonts w:ascii="Arial" w:hAnsi="Arial"/>
        </w:rPr>
        <w:t>If additional equipment status changes beyond the outage clearance are planned for mitigation, those should be submitted in an OMS card.</w:t>
      </w:r>
    </w:p>
    <w:p w14:paraId="7C06AEF2" w14:textId="77777777" w:rsidR="005B69F3" w:rsidRPr="00746F54" w:rsidRDefault="005B69F3" w:rsidP="005B69F3">
      <w:pPr>
        <w:pStyle w:val="BPM"/>
        <w:numPr>
          <w:ilvl w:val="0"/>
          <w:numId w:val="92"/>
        </w:numPr>
        <w:spacing w:after="0"/>
        <w:rPr>
          <w:rFonts w:ascii="Arial" w:hAnsi="Arial"/>
        </w:rPr>
      </w:pPr>
      <w:r w:rsidRPr="00746F54">
        <w:rPr>
          <w:rFonts w:ascii="Arial" w:hAnsi="Arial"/>
        </w:rPr>
        <w:t>Outage Type, listed from highest to lowest priority</w:t>
      </w:r>
    </w:p>
    <w:p w14:paraId="27726AAF" w14:textId="032775CE" w:rsidR="005B69F3" w:rsidRPr="00746F54" w:rsidRDefault="005B69F3" w:rsidP="005B69F3">
      <w:pPr>
        <w:pStyle w:val="BPM"/>
        <w:numPr>
          <w:ilvl w:val="1"/>
          <w:numId w:val="92"/>
        </w:numPr>
        <w:spacing w:after="0"/>
        <w:rPr>
          <w:rFonts w:ascii="Arial" w:hAnsi="Arial"/>
        </w:rPr>
      </w:pPr>
      <w:r w:rsidRPr="00746F54">
        <w:rPr>
          <w:rFonts w:ascii="Arial" w:hAnsi="Arial"/>
          <w:b/>
          <w:bCs/>
        </w:rPr>
        <w:t>Forced</w:t>
      </w:r>
      <w:r w:rsidRPr="00746F54">
        <w:rPr>
          <w:rFonts w:ascii="Arial" w:hAnsi="Arial"/>
        </w:rPr>
        <w:t xml:space="preserve"> - Facility/equipment that is removed from service in real time with limited or no notice.  Submissions are required to have a scheduled end time based on the best information available at the time. It is expected that submitters update the scheduled end time of a forced outage as information becomes available.</w:t>
      </w:r>
    </w:p>
    <w:p w14:paraId="6B737D49" w14:textId="1BDF2466" w:rsidR="005B69F3" w:rsidRPr="00746F54" w:rsidRDefault="005B69F3" w:rsidP="005B69F3">
      <w:pPr>
        <w:pStyle w:val="BPM"/>
        <w:numPr>
          <w:ilvl w:val="1"/>
          <w:numId w:val="92"/>
        </w:numPr>
        <w:spacing w:after="0"/>
        <w:rPr>
          <w:rFonts w:ascii="Arial" w:hAnsi="Arial"/>
        </w:rPr>
      </w:pPr>
      <w:r w:rsidRPr="00746F54">
        <w:rPr>
          <w:rFonts w:ascii="Arial" w:hAnsi="Arial"/>
          <w:b/>
          <w:bCs/>
        </w:rPr>
        <w:t>Urgent</w:t>
      </w:r>
      <w:r w:rsidRPr="00746F54">
        <w:rPr>
          <w:rFonts w:ascii="Arial" w:hAnsi="Arial"/>
        </w:rPr>
        <w:t xml:space="preserve"> - Facility/equipment that is known to be operable, yet carries an increased risk of a forced outage occurring. Facility/equipment remains in service until personnel, equipment and/or system conditions allow the outage to occur.</w:t>
      </w:r>
    </w:p>
    <w:p w14:paraId="489A3ED3" w14:textId="77777777" w:rsidR="005B69F3" w:rsidRPr="00746F54" w:rsidRDefault="005B69F3" w:rsidP="005B69F3">
      <w:pPr>
        <w:pStyle w:val="BPM"/>
        <w:numPr>
          <w:ilvl w:val="1"/>
          <w:numId w:val="92"/>
        </w:numPr>
        <w:spacing w:after="0"/>
        <w:rPr>
          <w:rFonts w:ascii="Arial" w:hAnsi="Arial"/>
        </w:rPr>
      </w:pPr>
      <w:r w:rsidRPr="00746F54">
        <w:rPr>
          <w:rFonts w:ascii="Arial" w:hAnsi="Arial"/>
          <w:b/>
          <w:bCs/>
        </w:rPr>
        <w:t>Operational</w:t>
      </w:r>
      <w:r w:rsidRPr="00746F54">
        <w:rPr>
          <w:rFonts w:ascii="Arial" w:hAnsi="Arial"/>
        </w:rPr>
        <w:t xml:space="preserve"> - Transmission Facility/equipment that is removed from service to support system reliability but remains available if needed upon short notice.  Work is not being performed on the equipment/facility, but may be part of an operating plan.</w:t>
      </w:r>
    </w:p>
    <w:p w14:paraId="6068EE4E" w14:textId="10C548C3" w:rsidR="005B69F3" w:rsidRPr="00746F54" w:rsidRDefault="005B69F3" w:rsidP="005B69F3">
      <w:pPr>
        <w:pStyle w:val="BPM"/>
        <w:numPr>
          <w:ilvl w:val="1"/>
          <w:numId w:val="92"/>
        </w:numPr>
        <w:spacing w:after="0"/>
        <w:rPr>
          <w:rFonts w:ascii="Arial" w:hAnsi="Arial"/>
        </w:rPr>
      </w:pPr>
      <w:r w:rsidRPr="00746F54">
        <w:rPr>
          <w:rFonts w:ascii="Arial" w:hAnsi="Arial"/>
          <w:b/>
          <w:bCs/>
        </w:rPr>
        <w:t>Planned</w:t>
      </w:r>
      <w:r w:rsidRPr="00746F54">
        <w:rPr>
          <w:rFonts w:ascii="Arial" w:hAnsi="Arial"/>
        </w:rPr>
        <w:t xml:space="preserve"> - Facility/equipment outage with enough advance notice to meet short-range submittal requirements (submitted with at least seven days notice).</w:t>
      </w:r>
    </w:p>
    <w:p w14:paraId="348B1561" w14:textId="7B852B04" w:rsidR="005B69F3" w:rsidRPr="00746F54" w:rsidRDefault="005B69F3" w:rsidP="005B69F3">
      <w:pPr>
        <w:pStyle w:val="BPM"/>
        <w:numPr>
          <w:ilvl w:val="1"/>
          <w:numId w:val="92"/>
        </w:numPr>
        <w:spacing w:after="0"/>
        <w:rPr>
          <w:rFonts w:ascii="Arial" w:hAnsi="Arial"/>
        </w:rPr>
      </w:pPr>
      <w:r w:rsidRPr="00746F54">
        <w:rPr>
          <w:rFonts w:ascii="Arial" w:hAnsi="Arial"/>
          <w:b/>
          <w:bCs/>
        </w:rPr>
        <w:lastRenderedPageBreak/>
        <w:t>Opportunity</w:t>
      </w:r>
      <w:r w:rsidRPr="00746F54">
        <w:rPr>
          <w:rFonts w:ascii="Arial" w:hAnsi="Arial"/>
        </w:rPr>
        <w:t xml:space="preserve"> – Outages submitted after the planning horizon (less than seven days notice).  Subject to lower priority and stricter criteria than planned outages.</w:t>
      </w:r>
    </w:p>
    <w:p w14:paraId="56C00B6B" w14:textId="77777777" w:rsidR="005B69F3" w:rsidRPr="00746F54" w:rsidRDefault="005B69F3" w:rsidP="005B69F3">
      <w:pPr>
        <w:pStyle w:val="BPM"/>
        <w:numPr>
          <w:ilvl w:val="1"/>
          <w:numId w:val="92"/>
        </w:numPr>
        <w:spacing w:after="0"/>
        <w:rPr>
          <w:rFonts w:ascii="Arial" w:hAnsi="Arial"/>
        </w:rPr>
      </w:pPr>
      <w:r w:rsidRPr="00746F54">
        <w:rPr>
          <w:rFonts w:ascii="Arial" w:hAnsi="Arial"/>
          <w:b/>
          <w:bCs/>
        </w:rPr>
        <w:t>Informational</w:t>
      </w:r>
      <w:r w:rsidRPr="00746F54">
        <w:rPr>
          <w:rFonts w:ascii="Arial" w:hAnsi="Arial"/>
        </w:rPr>
        <w:t xml:space="preserve"> – Submitted for situational awareness, generally not impactful for EDAM</w:t>
      </w:r>
    </w:p>
    <w:p w14:paraId="2082F844" w14:textId="77777777" w:rsidR="005B69F3" w:rsidRPr="00746F54" w:rsidRDefault="005B69F3" w:rsidP="005B69F3">
      <w:pPr>
        <w:pStyle w:val="BPM"/>
        <w:numPr>
          <w:ilvl w:val="0"/>
          <w:numId w:val="92"/>
        </w:numPr>
        <w:spacing w:after="0"/>
        <w:rPr>
          <w:rFonts w:ascii="Arial" w:hAnsi="Arial"/>
        </w:rPr>
      </w:pPr>
      <w:r w:rsidRPr="00746F54">
        <w:rPr>
          <w:rFonts w:ascii="Arial" w:hAnsi="Arial"/>
        </w:rPr>
        <w:t xml:space="preserve">Outage status </w:t>
      </w:r>
    </w:p>
    <w:p w14:paraId="5B7B0DDC" w14:textId="77777777" w:rsidR="005B69F3" w:rsidRPr="00746F54" w:rsidRDefault="005B69F3" w:rsidP="005B69F3">
      <w:pPr>
        <w:pStyle w:val="BPM"/>
        <w:numPr>
          <w:ilvl w:val="1"/>
          <w:numId w:val="92"/>
        </w:numPr>
        <w:spacing w:after="0"/>
        <w:rPr>
          <w:rFonts w:ascii="Arial" w:hAnsi="Arial"/>
        </w:rPr>
      </w:pPr>
      <w:r w:rsidRPr="00746F54">
        <w:rPr>
          <w:rFonts w:ascii="Arial" w:hAnsi="Arial"/>
        </w:rPr>
        <w:t>Considered out of service in EDAM runs:</w:t>
      </w:r>
    </w:p>
    <w:p w14:paraId="1ACFA3DD" w14:textId="77777777" w:rsidR="005B69F3" w:rsidRPr="00746F54" w:rsidRDefault="005B69F3" w:rsidP="005B69F3">
      <w:pPr>
        <w:pStyle w:val="BPM"/>
        <w:numPr>
          <w:ilvl w:val="2"/>
          <w:numId w:val="92"/>
        </w:numPr>
        <w:spacing w:after="0"/>
        <w:rPr>
          <w:rFonts w:ascii="Arial" w:hAnsi="Arial"/>
          <w:b/>
          <w:bCs/>
        </w:rPr>
      </w:pPr>
      <w:r w:rsidRPr="00746F54">
        <w:rPr>
          <w:rFonts w:ascii="Arial" w:hAnsi="Arial"/>
          <w:b/>
          <w:bCs/>
        </w:rPr>
        <w:t xml:space="preserve">Approved – </w:t>
      </w:r>
      <w:r w:rsidRPr="00746F54">
        <w:rPr>
          <w:rFonts w:ascii="Arial" w:hAnsi="Arial"/>
        </w:rPr>
        <w:t>Studied and approved by RC west</w:t>
      </w:r>
    </w:p>
    <w:p w14:paraId="2ACE2130" w14:textId="77777777" w:rsidR="005B69F3" w:rsidRPr="00746F54" w:rsidRDefault="005B69F3" w:rsidP="005B69F3">
      <w:pPr>
        <w:pStyle w:val="BPM"/>
        <w:numPr>
          <w:ilvl w:val="2"/>
          <w:numId w:val="92"/>
        </w:numPr>
        <w:spacing w:after="0"/>
        <w:rPr>
          <w:rFonts w:ascii="Arial" w:hAnsi="Arial"/>
        </w:rPr>
      </w:pPr>
      <w:r w:rsidRPr="00746F54">
        <w:rPr>
          <w:rFonts w:ascii="Arial" w:hAnsi="Arial"/>
          <w:b/>
          <w:bCs/>
        </w:rPr>
        <w:t>Out</w:t>
      </w:r>
      <w:r w:rsidRPr="00746F54">
        <w:rPr>
          <w:rFonts w:ascii="Arial" w:hAnsi="Arial"/>
        </w:rPr>
        <w:t xml:space="preserve"> – Outage currently underway</w:t>
      </w:r>
    </w:p>
    <w:p w14:paraId="40DC085A" w14:textId="77777777" w:rsidR="005B69F3" w:rsidRPr="00746F54" w:rsidRDefault="005B69F3" w:rsidP="005B69F3">
      <w:pPr>
        <w:pStyle w:val="BPM"/>
        <w:numPr>
          <w:ilvl w:val="2"/>
          <w:numId w:val="92"/>
        </w:numPr>
        <w:spacing w:after="0"/>
        <w:rPr>
          <w:rFonts w:ascii="Arial" w:hAnsi="Arial"/>
        </w:rPr>
      </w:pPr>
      <w:r w:rsidRPr="00746F54">
        <w:rPr>
          <w:rFonts w:ascii="Arial" w:hAnsi="Arial"/>
          <w:b/>
          <w:bCs/>
        </w:rPr>
        <w:t>Study</w:t>
      </w:r>
      <w:r w:rsidRPr="00746F54">
        <w:rPr>
          <w:rFonts w:ascii="Arial" w:hAnsi="Arial"/>
        </w:rPr>
        <w:t xml:space="preserve"> – Outage still under RC West review, but will be considered in the EDAM run and OPA </w:t>
      </w:r>
    </w:p>
    <w:p w14:paraId="32F2E183" w14:textId="5A5B3E15" w:rsidR="005B69F3" w:rsidRPr="00746F54" w:rsidRDefault="005B69F3" w:rsidP="005B69F3">
      <w:pPr>
        <w:pStyle w:val="BPM"/>
        <w:numPr>
          <w:ilvl w:val="2"/>
          <w:numId w:val="92"/>
        </w:numPr>
        <w:spacing w:after="0"/>
        <w:rPr>
          <w:rFonts w:ascii="Arial" w:hAnsi="Arial"/>
        </w:rPr>
      </w:pPr>
      <w:r w:rsidRPr="00746F54">
        <w:rPr>
          <w:rFonts w:ascii="Arial" w:hAnsi="Arial"/>
          <w:b/>
          <w:bCs/>
        </w:rPr>
        <w:t>Submitted</w:t>
      </w:r>
      <w:r w:rsidRPr="00746F54">
        <w:rPr>
          <w:rFonts w:ascii="Arial" w:hAnsi="Arial"/>
        </w:rPr>
        <w:t xml:space="preserve"> – Submitted by the BA/TOP but has not been reviewed by RC West</w:t>
      </w:r>
    </w:p>
    <w:p w14:paraId="2AC22D31" w14:textId="77777777" w:rsidR="005B69F3" w:rsidRPr="00746F54" w:rsidRDefault="005B69F3" w:rsidP="005B69F3">
      <w:pPr>
        <w:pStyle w:val="BPM"/>
        <w:numPr>
          <w:ilvl w:val="1"/>
          <w:numId w:val="92"/>
        </w:numPr>
        <w:spacing w:after="0"/>
        <w:rPr>
          <w:rFonts w:ascii="Arial" w:hAnsi="Arial"/>
        </w:rPr>
      </w:pPr>
      <w:r w:rsidRPr="00746F54">
        <w:rPr>
          <w:rFonts w:ascii="Arial" w:hAnsi="Arial"/>
        </w:rPr>
        <w:t>Not considered in EDAM runs:</w:t>
      </w:r>
    </w:p>
    <w:p w14:paraId="6ECC05A4" w14:textId="77777777" w:rsidR="005B69F3" w:rsidRPr="00746F54" w:rsidRDefault="005B69F3" w:rsidP="005B69F3">
      <w:pPr>
        <w:pStyle w:val="BPM"/>
        <w:numPr>
          <w:ilvl w:val="2"/>
          <w:numId w:val="92"/>
        </w:numPr>
        <w:spacing w:after="0"/>
        <w:rPr>
          <w:rFonts w:ascii="Arial" w:hAnsi="Arial"/>
        </w:rPr>
      </w:pPr>
      <w:r w:rsidRPr="00746F54">
        <w:rPr>
          <w:rFonts w:ascii="Arial" w:hAnsi="Arial"/>
          <w:b/>
          <w:bCs/>
        </w:rPr>
        <w:t>Denied</w:t>
      </w:r>
      <w:r w:rsidRPr="00746F54">
        <w:rPr>
          <w:rFonts w:ascii="Arial" w:hAnsi="Arial"/>
        </w:rPr>
        <w:t xml:space="preserve"> – Outages determined to cause reliability issues that can not be adequately mitigated according to the study process. (only applicable to RC West entities)</w:t>
      </w:r>
    </w:p>
    <w:p w14:paraId="24014769" w14:textId="77777777" w:rsidR="005B69F3" w:rsidRPr="00746F54" w:rsidRDefault="005B69F3" w:rsidP="005B69F3">
      <w:pPr>
        <w:pStyle w:val="BPM"/>
        <w:numPr>
          <w:ilvl w:val="2"/>
          <w:numId w:val="92"/>
        </w:numPr>
        <w:spacing w:after="0"/>
        <w:rPr>
          <w:rFonts w:ascii="Arial" w:hAnsi="Arial"/>
        </w:rPr>
      </w:pPr>
      <w:r w:rsidRPr="00746F54">
        <w:rPr>
          <w:rFonts w:ascii="Arial" w:hAnsi="Arial"/>
          <w:b/>
          <w:bCs/>
        </w:rPr>
        <w:t>Conflict Identified</w:t>
      </w:r>
      <w:r w:rsidRPr="00746F54">
        <w:rPr>
          <w:rFonts w:ascii="Arial" w:hAnsi="Arial"/>
        </w:rPr>
        <w:t xml:space="preserve"> – Indicates that this outage has been determined to cause reliability issues by RC West but may be rescheduled subject to coordination with the market operator and RC West (only applicable to RC West entities).  </w:t>
      </w:r>
    </w:p>
    <w:p w14:paraId="601D5119" w14:textId="77777777" w:rsidR="005B69F3" w:rsidRPr="00746F54" w:rsidRDefault="005B69F3" w:rsidP="005B69F3">
      <w:pPr>
        <w:pStyle w:val="BPM"/>
        <w:numPr>
          <w:ilvl w:val="2"/>
          <w:numId w:val="92"/>
        </w:numPr>
        <w:spacing w:after="0"/>
        <w:rPr>
          <w:rFonts w:ascii="Arial" w:hAnsi="Arial"/>
        </w:rPr>
      </w:pPr>
      <w:r w:rsidRPr="00746F54">
        <w:rPr>
          <w:rFonts w:ascii="Arial" w:hAnsi="Arial"/>
          <w:b/>
          <w:bCs/>
        </w:rPr>
        <w:t>In Service Editable</w:t>
      </w:r>
      <w:r w:rsidRPr="00746F54">
        <w:rPr>
          <w:rFonts w:ascii="Arial" w:hAnsi="Arial"/>
        </w:rPr>
        <w:t xml:space="preserve"> – Indicated a completed outage.  For EDAM purposes, the planned end time is automatically changed to match the actual end time.</w:t>
      </w:r>
    </w:p>
    <w:p w14:paraId="5FBD10A2" w14:textId="77777777" w:rsidR="005B69F3" w:rsidRPr="00746F54" w:rsidRDefault="005B69F3" w:rsidP="005B69F3">
      <w:pPr>
        <w:pStyle w:val="BPM"/>
        <w:numPr>
          <w:ilvl w:val="2"/>
          <w:numId w:val="92"/>
        </w:numPr>
        <w:spacing w:after="0"/>
        <w:rPr>
          <w:rFonts w:ascii="Arial" w:hAnsi="Arial"/>
        </w:rPr>
      </w:pPr>
      <w:r w:rsidRPr="00746F54">
        <w:rPr>
          <w:rFonts w:ascii="Arial" w:hAnsi="Arial"/>
          <w:b/>
          <w:bCs/>
        </w:rPr>
        <w:t>Cancelled</w:t>
      </w:r>
      <w:r w:rsidRPr="00746F54">
        <w:rPr>
          <w:rFonts w:ascii="Arial" w:hAnsi="Arial"/>
        </w:rPr>
        <w:t xml:space="preserve"> – Outage voluntarily cancelled by the BAA/TOP.</w:t>
      </w:r>
    </w:p>
    <w:p w14:paraId="73340DE9" w14:textId="77777777" w:rsidR="005B69F3" w:rsidRPr="00746F54" w:rsidRDefault="005B69F3" w:rsidP="005B69F3">
      <w:pPr>
        <w:pStyle w:val="BPM"/>
        <w:numPr>
          <w:ilvl w:val="0"/>
          <w:numId w:val="92"/>
        </w:numPr>
        <w:spacing w:after="0"/>
        <w:rPr>
          <w:rFonts w:ascii="Arial" w:hAnsi="Arial"/>
        </w:rPr>
      </w:pPr>
      <w:r w:rsidRPr="00746F54">
        <w:rPr>
          <w:rFonts w:ascii="Arial" w:hAnsi="Arial"/>
        </w:rPr>
        <w:t>Continuous vs. Non-Continuous (optional; default to Continuous)</w:t>
      </w:r>
    </w:p>
    <w:p w14:paraId="2F069589" w14:textId="77777777" w:rsidR="005B69F3" w:rsidRPr="00746F54" w:rsidRDefault="005B69F3" w:rsidP="005B69F3">
      <w:pPr>
        <w:pStyle w:val="BPM"/>
        <w:numPr>
          <w:ilvl w:val="1"/>
          <w:numId w:val="92"/>
        </w:numPr>
        <w:spacing w:after="0"/>
        <w:rPr>
          <w:rFonts w:ascii="Arial" w:hAnsi="Arial"/>
        </w:rPr>
      </w:pPr>
      <w:r w:rsidRPr="00746F54">
        <w:rPr>
          <w:rFonts w:ascii="Arial" w:hAnsi="Arial"/>
        </w:rPr>
        <w:t>If the outage is submitted as non-continuous then all applicable market impacts and equipment rating changes (ERC) are enforced only during the timeframe where the outage is in effect.</w:t>
      </w:r>
    </w:p>
    <w:p w14:paraId="2AA38635" w14:textId="77777777" w:rsidR="005B69F3" w:rsidRPr="00746F54" w:rsidRDefault="005B69F3" w:rsidP="005B69F3">
      <w:pPr>
        <w:pStyle w:val="BPM"/>
        <w:spacing w:after="0"/>
        <w:rPr>
          <w:rFonts w:ascii="Arial" w:hAnsi="Arial"/>
          <w:b/>
          <w:bCs/>
        </w:rPr>
      </w:pPr>
    </w:p>
    <w:p w14:paraId="5E606622" w14:textId="77777777" w:rsidR="005B69F3" w:rsidRPr="00746F54" w:rsidRDefault="005B69F3" w:rsidP="005B69F3">
      <w:pPr>
        <w:pStyle w:val="BPM"/>
        <w:spacing w:after="0"/>
        <w:rPr>
          <w:rFonts w:ascii="Arial" w:hAnsi="Arial"/>
          <w:b/>
          <w:bCs/>
        </w:rPr>
      </w:pPr>
      <w:r w:rsidRPr="00746F54">
        <w:rPr>
          <w:rFonts w:ascii="Arial" w:hAnsi="Arial"/>
          <w:b/>
          <w:bCs/>
        </w:rPr>
        <w:t>Constraint Modeling in WebOMS</w:t>
      </w:r>
    </w:p>
    <w:p w14:paraId="333B201C" w14:textId="62C4797E" w:rsidR="005B69F3" w:rsidRPr="00746F54" w:rsidRDefault="005B69F3" w:rsidP="005B69F3">
      <w:pPr>
        <w:pStyle w:val="BPM"/>
        <w:spacing w:after="0"/>
        <w:rPr>
          <w:rFonts w:ascii="Arial" w:hAnsi="Arial"/>
        </w:rPr>
      </w:pPr>
      <w:r w:rsidRPr="00746F54">
        <w:rPr>
          <w:rFonts w:ascii="Arial" w:hAnsi="Arial"/>
        </w:rPr>
        <w:t>In addition to the required information listed above, the EDAM entity should provide market information in the form of constraint activation and conformances associated with the appropriate outage card. This market information should be provided as soon as possible to ensure proper modeling coordination with the market operator before the final Day-Ahead Market runs.  More details can be found in Section 18.2.2 EDAM Constraint Definitions.</w:t>
      </w:r>
    </w:p>
    <w:p w14:paraId="7E4BB260" w14:textId="77777777" w:rsidR="005B69F3" w:rsidRPr="00746F54" w:rsidRDefault="005B69F3" w:rsidP="005B69F3">
      <w:pPr>
        <w:pStyle w:val="BPM"/>
        <w:spacing w:after="0"/>
        <w:rPr>
          <w:rFonts w:ascii="Arial" w:hAnsi="Arial"/>
        </w:rPr>
      </w:pPr>
    </w:p>
    <w:p w14:paraId="390715C5" w14:textId="77777777" w:rsidR="005B69F3" w:rsidRPr="00746F54" w:rsidRDefault="005B69F3" w:rsidP="005B69F3">
      <w:pPr>
        <w:pStyle w:val="BPM"/>
        <w:spacing w:after="0"/>
        <w:rPr>
          <w:rFonts w:ascii="Arial" w:hAnsi="Arial"/>
          <w:b/>
          <w:bCs/>
        </w:rPr>
      </w:pPr>
      <w:r w:rsidRPr="00746F54">
        <w:rPr>
          <w:rFonts w:ascii="Arial" w:hAnsi="Arial"/>
          <w:b/>
          <w:bCs/>
        </w:rPr>
        <w:t>Details of OMS Outage Timing</w:t>
      </w:r>
    </w:p>
    <w:p w14:paraId="5FDAFB02" w14:textId="4C0DD99A" w:rsidR="005B69F3" w:rsidRPr="00746F54" w:rsidRDefault="005B69F3" w:rsidP="005B69F3">
      <w:pPr>
        <w:pStyle w:val="BPM"/>
        <w:spacing w:after="0"/>
        <w:rPr>
          <w:rFonts w:ascii="Arial" w:hAnsi="Arial"/>
        </w:rPr>
      </w:pPr>
      <w:r w:rsidRPr="00746F54">
        <w:rPr>
          <w:rFonts w:ascii="Arial" w:hAnsi="Arial"/>
        </w:rPr>
        <w:t xml:space="preserve">For both transmission and generation outages in the day-ahead timeframe, or the outage to be considered in a </w:t>
      </w:r>
      <w:commentRangeStart w:id="100"/>
      <w:commentRangeStart w:id="101"/>
      <w:r w:rsidRPr="00746F54">
        <w:rPr>
          <w:rFonts w:ascii="Arial" w:hAnsi="Arial"/>
        </w:rPr>
        <w:t>given</w:t>
      </w:r>
      <w:commentRangeEnd w:id="100"/>
      <w:r w:rsidRPr="00746F54">
        <w:rPr>
          <w:rStyle w:val="CommentReference"/>
          <w:rFonts w:ascii="Arial" w:hAnsi="Arial"/>
        </w:rPr>
        <w:commentReference w:id="100"/>
      </w:r>
      <w:commentRangeEnd w:id="101"/>
      <w:r w:rsidRPr="00746F54">
        <w:rPr>
          <w:rStyle w:val="CommentReference"/>
          <w:rFonts w:ascii="Arial" w:hAnsi="Arial"/>
        </w:rPr>
        <w:commentReference w:id="101"/>
      </w:r>
      <w:r w:rsidRPr="00746F54">
        <w:rPr>
          <w:rFonts w:ascii="Arial" w:hAnsi="Arial"/>
        </w:rPr>
        <w:t xml:space="preserve"> hour, the outage must start either before or equal to the start time of the </w:t>
      </w:r>
      <w:r w:rsidRPr="00746F54">
        <w:rPr>
          <w:rFonts w:ascii="Arial" w:hAnsi="Arial"/>
        </w:rPr>
        <w:lastRenderedPageBreak/>
        <w:t xml:space="preserve">given hour and last for at least 60 min.  For the outage end time, the outage is still considered effective until the top of the given hour (XX:00).  For example, should an outage start at 18:00, the Day-Ahead would consider the start time 18:00, as referred to as HE19.  However, should the start time of outage equal 18:01, the Day-Ahead would consider the outage not in effect for HE19 and starting HE20.   Note that it is possible to schedule a real-time outage up to 59-minutes not observable in Day Ahead.  Below are additional examples:  </w:t>
      </w:r>
    </w:p>
    <w:p w14:paraId="6EDC70C3" w14:textId="77777777" w:rsidR="005B69F3" w:rsidRPr="00746F54" w:rsidRDefault="005B69F3" w:rsidP="005B69F3">
      <w:pPr>
        <w:pStyle w:val="BPM"/>
        <w:spacing w:after="0"/>
        <w:rPr>
          <w:rFonts w:ascii="Arial" w:hAnsi="Arial"/>
        </w:rPr>
      </w:pPr>
    </w:p>
    <w:tbl>
      <w:tblPr>
        <w:tblW w:w="0" w:type="auto"/>
        <w:tblCellMar>
          <w:left w:w="0" w:type="dxa"/>
          <w:right w:w="0" w:type="dxa"/>
        </w:tblCellMar>
        <w:tblLook w:val="04A0" w:firstRow="1" w:lastRow="0" w:firstColumn="1" w:lastColumn="0" w:noHBand="0" w:noVBand="1"/>
      </w:tblPr>
      <w:tblGrid>
        <w:gridCol w:w="3113"/>
        <w:gridCol w:w="3113"/>
        <w:gridCol w:w="3114"/>
      </w:tblGrid>
      <w:tr w:rsidR="005B69F3" w:rsidRPr="00746F54" w14:paraId="2F9B4DEA" w14:textId="77777777" w:rsidTr="00FA2852">
        <w:tc>
          <w:tcPr>
            <w:tcW w:w="3113" w:type="dxa"/>
            <w:tcBorders>
              <w:top w:val="single" w:sz="8" w:space="0" w:color="auto"/>
              <w:left w:val="single" w:sz="8" w:space="0" w:color="auto"/>
              <w:bottom w:val="single" w:sz="8" w:space="0" w:color="auto"/>
              <w:right w:val="single" w:sz="8" w:space="0" w:color="auto"/>
            </w:tcBorders>
            <w:shd w:val="clear" w:color="auto" w:fill="000000"/>
            <w:tcMar>
              <w:top w:w="0" w:type="dxa"/>
              <w:left w:w="108" w:type="dxa"/>
              <w:bottom w:w="0" w:type="dxa"/>
              <w:right w:w="108" w:type="dxa"/>
            </w:tcMar>
            <w:hideMark/>
          </w:tcPr>
          <w:p w14:paraId="19DEDE68" w14:textId="77777777" w:rsidR="005B69F3" w:rsidRPr="00746F54" w:rsidRDefault="005B69F3" w:rsidP="00D62922">
            <w:pPr>
              <w:pStyle w:val="BPM"/>
              <w:spacing w:after="0"/>
              <w:jc w:val="both"/>
              <w:rPr>
                <w:rFonts w:ascii="Arial" w:hAnsi="Arial"/>
              </w:rPr>
            </w:pPr>
            <w:r w:rsidRPr="00746F54">
              <w:rPr>
                <w:rFonts w:ascii="Arial" w:hAnsi="Arial"/>
              </w:rPr>
              <w:t>Outage Start Time Submitted</w:t>
            </w:r>
          </w:p>
        </w:tc>
        <w:tc>
          <w:tcPr>
            <w:tcW w:w="3113" w:type="dxa"/>
            <w:tcBorders>
              <w:top w:val="single" w:sz="8" w:space="0" w:color="auto"/>
              <w:left w:val="nil"/>
              <w:bottom w:val="single" w:sz="8" w:space="0" w:color="auto"/>
              <w:right w:val="single" w:sz="8" w:space="0" w:color="auto"/>
            </w:tcBorders>
            <w:shd w:val="clear" w:color="auto" w:fill="000000"/>
            <w:tcMar>
              <w:top w:w="0" w:type="dxa"/>
              <w:left w:w="108" w:type="dxa"/>
              <w:bottom w:w="0" w:type="dxa"/>
              <w:right w:w="108" w:type="dxa"/>
            </w:tcMar>
            <w:hideMark/>
          </w:tcPr>
          <w:p w14:paraId="1606EF1C" w14:textId="77777777" w:rsidR="005B69F3" w:rsidRPr="00746F54" w:rsidRDefault="005B69F3" w:rsidP="00D62922">
            <w:pPr>
              <w:pStyle w:val="BPM"/>
              <w:spacing w:after="0"/>
              <w:jc w:val="both"/>
              <w:rPr>
                <w:rFonts w:ascii="Arial" w:hAnsi="Arial"/>
              </w:rPr>
            </w:pPr>
            <w:r w:rsidRPr="00746F54">
              <w:rPr>
                <w:rFonts w:ascii="Arial" w:hAnsi="Arial"/>
              </w:rPr>
              <w:t>Outage End Time Submitted</w:t>
            </w:r>
          </w:p>
        </w:tc>
        <w:tc>
          <w:tcPr>
            <w:tcW w:w="3114" w:type="dxa"/>
            <w:tcBorders>
              <w:top w:val="single" w:sz="8" w:space="0" w:color="auto"/>
              <w:left w:val="nil"/>
              <w:bottom w:val="single" w:sz="8" w:space="0" w:color="auto"/>
              <w:right w:val="single" w:sz="8" w:space="0" w:color="auto"/>
            </w:tcBorders>
            <w:shd w:val="clear" w:color="auto" w:fill="000000"/>
            <w:tcMar>
              <w:top w:w="0" w:type="dxa"/>
              <w:left w:w="108" w:type="dxa"/>
              <w:bottom w:w="0" w:type="dxa"/>
              <w:right w:w="108" w:type="dxa"/>
            </w:tcMar>
            <w:hideMark/>
          </w:tcPr>
          <w:p w14:paraId="230FC8E9" w14:textId="5988168B" w:rsidR="005B69F3" w:rsidRPr="00746F54" w:rsidRDefault="005B69F3" w:rsidP="00D62922">
            <w:pPr>
              <w:pStyle w:val="BPM"/>
              <w:spacing w:after="0"/>
              <w:jc w:val="both"/>
              <w:rPr>
                <w:rFonts w:ascii="Arial" w:hAnsi="Arial"/>
              </w:rPr>
            </w:pPr>
            <w:r w:rsidRPr="00746F54">
              <w:rPr>
                <w:rFonts w:ascii="Arial" w:hAnsi="Arial"/>
              </w:rPr>
              <w:t>Day-AheadHour(s) Affected</w:t>
            </w:r>
          </w:p>
        </w:tc>
      </w:tr>
      <w:tr w:rsidR="005B69F3" w:rsidRPr="00746F54" w14:paraId="64096540" w14:textId="77777777" w:rsidTr="00FA2852">
        <w:tc>
          <w:tcPr>
            <w:tcW w:w="311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408D77B" w14:textId="77777777" w:rsidR="005B69F3" w:rsidRPr="00746F54" w:rsidRDefault="005B69F3" w:rsidP="00D62922">
            <w:pPr>
              <w:pStyle w:val="BPM"/>
              <w:spacing w:after="0"/>
              <w:jc w:val="both"/>
              <w:rPr>
                <w:rFonts w:ascii="Arial" w:hAnsi="Arial"/>
              </w:rPr>
            </w:pPr>
            <w:r w:rsidRPr="00746F54">
              <w:rPr>
                <w:rFonts w:ascii="Arial" w:hAnsi="Arial"/>
              </w:rPr>
              <w:t>18:00</w:t>
            </w:r>
          </w:p>
        </w:tc>
        <w:tc>
          <w:tcPr>
            <w:tcW w:w="3113" w:type="dxa"/>
            <w:tcBorders>
              <w:top w:val="nil"/>
              <w:left w:val="nil"/>
              <w:bottom w:val="single" w:sz="8" w:space="0" w:color="auto"/>
              <w:right w:val="single" w:sz="8" w:space="0" w:color="auto"/>
            </w:tcBorders>
            <w:tcMar>
              <w:top w:w="0" w:type="dxa"/>
              <w:left w:w="108" w:type="dxa"/>
              <w:bottom w:w="0" w:type="dxa"/>
              <w:right w:w="108" w:type="dxa"/>
            </w:tcMar>
            <w:hideMark/>
          </w:tcPr>
          <w:p w14:paraId="123F82D9" w14:textId="77777777" w:rsidR="005B69F3" w:rsidRPr="00746F54" w:rsidRDefault="005B69F3" w:rsidP="00D62922">
            <w:pPr>
              <w:pStyle w:val="BPM"/>
              <w:spacing w:after="0"/>
              <w:jc w:val="both"/>
              <w:rPr>
                <w:rFonts w:ascii="Arial" w:hAnsi="Arial"/>
              </w:rPr>
            </w:pPr>
            <w:r w:rsidRPr="00746F54">
              <w:rPr>
                <w:rFonts w:ascii="Arial" w:hAnsi="Arial"/>
              </w:rPr>
              <w:t>19:00</w:t>
            </w:r>
          </w:p>
        </w:tc>
        <w:tc>
          <w:tcPr>
            <w:tcW w:w="3114" w:type="dxa"/>
            <w:tcBorders>
              <w:top w:val="nil"/>
              <w:left w:val="nil"/>
              <w:bottom w:val="single" w:sz="8" w:space="0" w:color="auto"/>
              <w:right w:val="single" w:sz="8" w:space="0" w:color="auto"/>
            </w:tcBorders>
            <w:tcMar>
              <w:top w:w="0" w:type="dxa"/>
              <w:left w:w="108" w:type="dxa"/>
              <w:bottom w:w="0" w:type="dxa"/>
              <w:right w:w="108" w:type="dxa"/>
            </w:tcMar>
            <w:hideMark/>
          </w:tcPr>
          <w:p w14:paraId="298B675F" w14:textId="77777777" w:rsidR="005B69F3" w:rsidRPr="00746F54" w:rsidRDefault="005B69F3" w:rsidP="00D62922">
            <w:pPr>
              <w:pStyle w:val="BPM"/>
              <w:spacing w:after="0"/>
              <w:jc w:val="both"/>
              <w:rPr>
                <w:rFonts w:ascii="Arial" w:hAnsi="Arial"/>
              </w:rPr>
            </w:pPr>
            <w:r w:rsidRPr="00746F54">
              <w:rPr>
                <w:rFonts w:ascii="Arial" w:hAnsi="Arial"/>
              </w:rPr>
              <w:t>HE19</w:t>
            </w:r>
          </w:p>
        </w:tc>
      </w:tr>
      <w:tr w:rsidR="005B69F3" w:rsidRPr="00746F54" w14:paraId="31C6A3CD" w14:textId="77777777" w:rsidTr="00FA2852">
        <w:tc>
          <w:tcPr>
            <w:tcW w:w="311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77E3BDD" w14:textId="77777777" w:rsidR="005B69F3" w:rsidRPr="00746F54" w:rsidRDefault="005B69F3" w:rsidP="00D62922">
            <w:pPr>
              <w:pStyle w:val="BPM"/>
              <w:spacing w:after="0"/>
              <w:jc w:val="both"/>
              <w:rPr>
                <w:rFonts w:ascii="Arial" w:hAnsi="Arial"/>
              </w:rPr>
            </w:pPr>
            <w:r w:rsidRPr="00746F54">
              <w:rPr>
                <w:rFonts w:ascii="Arial" w:hAnsi="Arial"/>
              </w:rPr>
              <w:t>18:00</w:t>
            </w:r>
          </w:p>
        </w:tc>
        <w:tc>
          <w:tcPr>
            <w:tcW w:w="3113" w:type="dxa"/>
            <w:tcBorders>
              <w:top w:val="nil"/>
              <w:left w:val="nil"/>
              <w:bottom w:val="single" w:sz="8" w:space="0" w:color="auto"/>
              <w:right w:val="single" w:sz="8" w:space="0" w:color="auto"/>
            </w:tcBorders>
            <w:tcMar>
              <w:top w:w="0" w:type="dxa"/>
              <w:left w:w="108" w:type="dxa"/>
              <w:bottom w:w="0" w:type="dxa"/>
              <w:right w:w="108" w:type="dxa"/>
            </w:tcMar>
            <w:hideMark/>
          </w:tcPr>
          <w:p w14:paraId="20CB718B" w14:textId="77777777" w:rsidR="005B69F3" w:rsidRPr="00746F54" w:rsidRDefault="005B69F3" w:rsidP="00D62922">
            <w:pPr>
              <w:pStyle w:val="BPM"/>
              <w:spacing w:after="0"/>
              <w:jc w:val="both"/>
              <w:rPr>
                <w:rFonts w:ascii="Arial" w:hAnsi="Arial"/>
              </w:rPr>
            </w:pPr>
            <w:r w:rsidRPr="00746F54">
              <w:rPr>
                <w:rFonts w:ascii="Arial" w:hAnsi="Arial"/>
              </w:rPr>
              <w:t>19:01</w:t>
            </w:r>
          </w:p>
        </w:tc>
        <w:tc>
          <w:tcPr>
            <w:tcW w:w="3114" w:type="dxa"/>
            <w:tcBorders>
              <w:top w:val="nil"/>
              <w:left w:val="nil"/>
              <w:bottom w:val="single" w:sz="8" w:space="0" w:color="auto"/>
              <w:right w:val="single" w:sz="8" w:space="0" w:color="auto"/>
            </w:tcBorders>
            <w:tcMar>
              <w:top w:w="0" w:type="dxa"/>
              <w:left w:w="108" w:type="dxa"/>
              <w:bottom w:w="0" w:type="dxa"/>
              <w:right w:w="108" w:type="dxa"/>
            </w:tcMar>
            <w:hideMark/>
          </w:tcPr>
          <w:p w14:paraId="37CF9652" w14:textId="77777777" w:rsidR="005B69F3" w:rsidRPr="00746F54" w:rsidRDefault="005B69F3" w:rsidP="00D62922">
            <w:pPr>
              <w:pStyle w:val="BPM"/>
              <w:spacing w:after="0"/>
              <w:jc w:val="both"/>
              <w:rPr>
                <w:rFonts w:ascii="Arial" w:hAnsi="Arial"/>
              </w:rPr>
            </w:pPr>
            <w:r w:rsidRPr="00746F54">
              <w:rPr>
                <w:rFonts w:ascii="Arial" w:hAnsi="Arial"/>
              </w:rPr>
              <w:t>HE19 and HE20</w:t>
            </w:r>
          </w:p>
        </w:tc>
      </w:tr>
      <w:tr w:rsidR="005B69F3" w:rsidRPr="00746F54" w14:paraId="0B5E6FD8" w14:textId="77777777" w:rsidTr="00FA2852">
        <w:tc>
          <w:tcPr>
            <w:tcW w:w="311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C86CB69" w14:textId="77777777" w:rsidR="005B69F3" w:rsidRPr="00746F54" w:rsidRDefault="005B69F3" w:rsidP="00D62922">
            <w:pPr>
              <w:pStyle w:val="BPM"/>
              <w:spacing w:after="0"/>
              <w:jc w:val="both"/>
              <w:rPr>
                <w:rFonts w:ascii="Arial" w:hAnsi="Arial"/>
              </w:rPr>
            </w:pPr>
            <w:r w:rsidRPr="00746F54">
              <w:rPr>
                <w:rFonts w:ascii="Arial" w:hAnsi="Arial"/>
              </w:rPr>
              <w:t>18:00</w:t>
            </w:r>
          </w:p>
        </w:tc>
        <w:tc>
          <w:tcPr>
            <w:tcW w:w="3113" w:type="dxa"/>
            <w:tcBorders>
              <w:top w:val="nil"/>
              <w:left w:val="nil"/>
              <w:bottom w:val="single" w:sz="8" w:space="0" w:color="auto"/>
              <w:right w:val="single" w:sz="8" w:space="0" w:color="auto"/>
            </w:tcBorders>
            <w:tcMar>
              <w:top w:w="0" w:type="dxa"/>
              <w:left w:w="108" w:type="dxa"/>
              <w:bottom w:w="0" w:type="dxa"/>
              <w:right w:w="108" w:type="dxa"/>
            </w:tcMar>
            <w:hideMark/>
          </w:tcPr>
          <w:p w14:paraId="4A36501D" w14:textId="77777777" w:rsidR="005B69F3" w:rsidRPr="00746F54" w:rsidRDefault="005B69F3" w:rsidP="00D62922">
            <w:pPr>
              <w:pStyle w:val="BPM"/>
              <w:spacing w:after="0"/>
              <w:jc w:val="both"/>
              <w:rPr>
                <w:rFonts w:ascii="Arial" w:hAnsi="Arial"/>
              </w:rPr>
            </w:pPr>
            <w:r w:rsidRPr="00746F54">
              <w:rPr>
                <w:rFonts w:ascii="Arial" w:hAnsi="Arial"/>
              </w:rPr>
              <w:t>19:59</w:t>
            </w:r>
          </w:p>
        </w:tc>
        <w:tc>
          <w:tcPr>
            <w:tcW w:w="3114" w:type="dxa"/>
            <w:tcBorders>
              <w:top w:val="nil"/>
              <w:left w:val="nil"/>
              <w:bottom w:val="single" w:sz="8" w:space="0" w:color="auto"/>
              <w:right w:val="single" w:sz="8" w:space="0" w:color="auto"/>
            </w:tcBorders>
            <w:tcMar>
              <w:top w:w="0" w:type="dxa"/>
              <w:left w:w="108" w:type="dxa"/>
              <w:bottom w:w="0" w:type="dxa"/>
              <w:right w:w="108" w:type="dxa"/>
            </w:tcMar>
            <w:hideMark/>
          </w:tcPr>
          <w:p w14:paraId="20AC41A1" w14:textId="77777777" w:rsidR="005B69F3" w:rsidRPr="00746F54" w:rsidRDefault="005B69F3" w:rsidP="00D62922">
            <w:pPr>
              <w:pStyle w:val="BPM"/>
              <w:spacing w:after="0"/>
              <w:jc w:val="both"/>
              <w:rPr>
                <w:rFonts w:ascii="Arial" w:hAnsi="Arial"/>
              </w:rPr>
            </w:pPr>
            <w:r w:rsidRPr="00746F54">
              <w:rPr>
                <w:rFonts w:ascii="Arial" w:hAnsi="Arial"/>
              </w:rPr>
              <w:t>HE19 and HE20</w:t>
            </w:r>
          </w:p>
        </w:tc>
      </w:tr>
      <w:tr w:rsidR="005B69F3" w:rsidRPr="00746F54" w14:paraId="46D54AD1" w14:textId="77777777" w:rsidTr="00FA2852">
        <w:tc>
          <w:tcPr>
            <w:tcW w:w="311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0F56758" w14:textId="77777777" w:rsidR="005B69F3" w:rsidRPr="00746F54" w:rsidRDefault="005B69F3" w:rsidP="00D62922">
            <w:pPr>
              <w:pStyle w:val="BPM"/>
              <w:spacing w:after="0"/>
              <w:jc w:val="both"/>
              <w:rPr>
                <w:rFonts w:ascii="Arial" w:hAnsi="Arial"/>
              </w:rPr>
            </w:pPr>
            <w:r w:rsidRPr="00746F54">
              <w:rPr>
                <w:rFonts w:ascii="Arial" w:hAnsi="Arial"/>
              </w:rPr>
              <w:t>18:01</w:t>
            </w:r>
          </w:p>
        </w:tc>
        <w:tc>
          <w:tcPr>
            <w:tcW w:w="3113" w:type="dxa"/>
            <w:tcBorders>
              <w:top w:val="nil"/>
              <w:left w:val="nil"/>
              <w:bottom w:val="single" w:sz="8" w:space="0" w:color="auto"/>
              <w:right w:val="single" w:sz="8" w:space="0" w:color="auto"/>
            </w:tcBorders>
            <w:tcMar>
              <w:top w:w="0" w:type="dxa"/>
              <w:left w:w="108" w:type="dxa"/>
              <w:bottom w:w="0" w:type="dxa"/>
              <w:right w:w="108" w:type="dxa"/>
            </w:tcMar>
            <w:hideMark/>
          </w:tcPr>
          <w:p w14:paraId="218A6573" w14:textId="77777777" w:rsidR="005B69F3" w:rsidRPr="00746F54" w:rsidRDefault="005B69F3" w:rsidP="00D62922">
            <w:pPr>
              <w:pStyle w:val="BPM"/>
              <w:spacing w:after="0"/>
              <w:jc w:val="both"/>
              <w:rPr>
                <w:rFonts w:ascii="Arial" w:hAnsi="Arial"/>
              </w:rPr>
            </w:pPr>
            <w:r w:rsidRPr="00746F54">
              <w:rPr>
                <w:rFonts w:ascii="Arial" w:hAnsi="Arial"/>
              </w:rPr>
              <w:t>19:00</w:t>
            </w:r>
          </w:p>
        </w:tc>
        <w:tc>
          <w:tcPr>
            <w:tcW w:w="3114" w:type="dxa"/>
            <w:tcBorders>
              <w:top w:val="nil"/>
              <w:left w:val="nil"/>
              <w:bottom w:val="single" w:sz="8" w:space="0" w:color="auto"/>
              <w:right w:val="single" w:sz="8" w:space="0" w:color="auto"/>
            </w:tcBorders>
            <w:tcMar>
              <w:top w:w="0" w:type="dxa"/>
              <w:left w:w="108" w:type="dxa"/>
              <w:bottom w:w="0" w:type="dxa"/>
              <w:right w:w="108" w:type="dxa"/>
            </w:tcMar>
            <w:hideMark/>
          </w:tcPr>
          <w:p w14:paraId="5562B562" w14:textId="77777777" w:rsidR="005B69F3" w:rsidRPr="00746F54" w:rsidRDefault="005B69F3" w:rsidP="00D62922">
            <w:pPr>
              <w:pStyle w:val="BPM"/>
              <w:spacing w:after="0"/>
              <w:jc w:val="both"/>
              <w:rPr>
                <w:rFonts w:ascii="Arial" w:hAnsi="Arial"/>
                <w:strike/>
              </w:rPr>
            </w:pPr>
            <w:r w:rsidRPr="00746F54">
              <w:rPr>
                <w:rFonts w:ascii="Arial" w:hAnsi="Arial"/>
              </w:rPr>
              <w:t>Inactive in Day Ahead</w:t>
            </w:r>
          </w:p>
        </w:tc>
      </w:tr>
      <w:tr w:rsidR="005B69F3" w:rsidRPr="00746F54" w14:paraId="0533808B" w14:textId="77777777" w:rsidTr="00FA2852">
        <w:tc>
          <w:tcPr>
            <w:tcW w:w="311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FA40213" w14:textId="77777777" w:rsidR="005B69F3" w:rsidRPr="00746F54" w:rsidRDefault="005B69F3" w:rsidP="00D62922">
            <w:pPr>
              <w:pStyle w:val="BPM"/>
              <w:spacing w:after="0"/>
              <w:jc w:val="both"/>
              <w:rPr>
                <w:rFonts w:ascii="Arial" w:hAnsi="Arial"/>
                <w:color w:val="000000" w:themeColor="text1"/>
              </w:rPr>
            </w:pPr>
            <w:r w:rsidRPr="00746F54">
              <w:rPr>
                <w:rFonts w:ascii="Arial" w:hAnsi="Arial"/>
                <w:color w:val="000000" w:themeColor="text1"/>
              </w:rPr>
              <w:t>18:01</w:t>
            </w:r>
          </w:p>
        </w:tc>
        <w:tc>
          <w:tcPr>
            <w:tcW w:w="3113" w:type="dxa"/>
            <w:tcBorders>
              <w:top w:val="nil"/>
              <w:left w:val="nil"/>
              <w:bottom w:val="single" w:sz="8" w:space="0" w:color="auto"/>
              <w:right w:val="single" w:sz="8" w:space="0" w:color="auto"/>
            </w:tcBorders>
            <w:tcMar>
              <w:top w:w="0" w:type="dxa"/>
              <w:left w:w="108" w:type="dxa"/>
              <w:bottom w:w="0" w:type="dxa"/>
              <w:right w:w="108" w:type="dxa"/>
            </w:tcMar>
            <w:hideMark/>
          </w:tcPr>
          <w:p w14:paraId="51F07E0D" w14:textId="77777777" w:rsidR="005B69F3" w:rsidRPr="00746F54" w:rsidRDefault="005B69F3" w:rsidP="00D62922">
            <w:pPr>
              <w:pStyle w:val="BPM"/>
              <w:spacing w:after="0"/>
              <w:jc w:val="both"/>
              <w:rPr>
                <w:rFonts w:ascii="Arial" w:hAnsi="Arial"/>
                <w:color w:val="000000" w:themeColor="text1"/>
              </w:rPr>
            </w:pPr>
            <w:r w:rsidRPr="00746F54">
              <w:rPr>
                <w:rFonts w:ascii="Arial" w:hAnsi="Arial"/>
                <w:color w:val="000000" w:themeColor="text1"/>
              </w:rPr>
              <w:t>19:01</w:t>
            </w:r>
          </w:p>
        </w:tc>
        <w:tc>
          <w:tcPr>
            <w:tcW w:w="3114" w:type="dxa"/>
            <w:tcBorders>
              <w:top w:val="nil"/>
              <w:left w:val="nil"/>
              <w:bottom w:val="single" w:sz="8" w:space="0" w:color="auto"/>
              <w:right w:val="single" w:sz="8" w:space="0" w:color="auto"/>
            </w:tcBorders>
            <w:tcMar>
              <w:top w:w="0" w:type="dxa"/>
              <w:left w:w="108" w:type="dxa"/>
              <w:bottom w:w="0" w:type="dxa"/>
              <w:right w:w="108" w:type="dxa"/>
            </w:tcMar>
            <w:hideMark/>
          </w:tcPr>
          <w:p w14:paraId="122088F9" w14:textId="77777777" w:rsidR="005B69F3" w:rsidRPr="00746F54" w:rsidRDefault="005B69F3" w:rsidP="00D62922">
            <w:pPr>
              <w:pStyle w:val="BPM"/>
              <w:spacing w:after="0"/>
              <w:jc w:val="both"/>
              <w:rPr>
                <w:rFonts w:ascii="Arial" w:hAnsi="Arial"/>
                <w:color w:val="000000" w:themeColor="text1"/>
              </w:rPr>
            </w:pPr>
            <w:r w:rsidRPr="00746F54">
              <w:rPr>
                <w:rFonts w:ascii="Arial" w:hAnsi="Arial"/>
                <w:color w:val="000000" w:themeColor="text1"/>
              </w:rPr>
              <w:t xml:space="preserve">HE20 </w:t>
            </w:r>
          </w:p>
        </w:tc>
      </w:tr>
      <w:tr w:rsidR="005B69F3" w:rsidRPr="00746F54" w14:paraId="0BE3F04C" w14:textId="77777777" w:rsidTr="00FA2852">
        <w:tc>
          <w:tcPr>
            <w:tcW w:w="311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3D6FDEF" w14:textId="77777777" w:rsidR="005B69F3" w:rsidRPr="00746F54" w:rsidRDefault="005B69F3" w:rsidP="00D62922">
            <w:pPr>
              <w:pStyle w:val="BPM"/>
              <w:spacing w:after="0"/>
              <w:jc w:val="both"/>
              <w:rPr>
                <w:rFonts w:ascii="Arial" w:hAnsi="Arial"/>
                <w:color w:val="000000" w:themeColor="text1"/>
              </w:rPr>
            </w:pPr>
            <w:r w:rsidRPr="00746F54">
              <w:rPr>
                <w:rFonts w:ascii="Arial" w:hAnsi="Arial"/>
                <w:color w:val="000000" w:themeColor="text1"/>
              </w:rPr>
              <w:t>18:01</w:t>
            </w:r>
          </w:p>
        </w:tc>
        <w:tc>
          <w:tcPr>
            <w:tcW w:w="3113" w:type="dxa"/>
            <w:tcBorders>
              <w:top w:val="nil"/>
              <w:left w:val="nil"/>
              <w:bottom w:val="single" w:sz="8" w:space="0" w:color="auto"/>
              <w:right w:val="single" w:sz="8" w:space="0" w:color="auto"/>
            </w:tcBorders>
            <w:tcMar>
              <w:top w:w="0" w:type="dxa"/>
              <w:left w:w="108" w:type="dxa"/>
              <w:bottom w:w="0" w:type="dxa"/>
              <w:right w:w="108" w:type="dxa"/>
            </w:tcMar>
            <w:hideMark/>
          </w:tcPr>
          <w:p w14:paraId="09D87E76" w14:textId="77777777" w:rsidR="005B69F3" w:rsidRPr="00746F54" w:rsidRDefault="005B69F3" w:rsidP="00D62922">
            <w:pPr>
              <w:pStyle w:val="BPM"/>
              <w:spacing w:after="0"/>
              <w:jc w:val="both"/>
              <w:rPr>
                <w:rFonts w:ascii="Arial" w:hAnsi="Arial"/>
                <w:color w:val="000000" w:themeColor="text1"/>
              </w:rPr>
            </w:pPr>
            <w:r w:rsidRPr="00746F54">
              <w:rPr>
                <w:rFonts w:ascii="Arial" w:hAnsi="Arial"/>
                <w:color w:val="000000" w:themeColor="text1"/>
              </w:rPr>
              <w:t>19:59</w:t>
            </w:r>
          </w:p>
        </w:tc>
        <w:tc>
          <w:tcPr>
            <w:tcW w:w="3114" w:type="dxa"/>
            <w:tcBorders>
              <w:top w:val="nil"/>
              <w:left w:val="nil"/>
              <w:bottom w:val="single" w:sz="8" w:space="0" w:color="auto"/>
              <w:right w:val="single" w:sz="8" w:space="0" w:color="auto"/>
            </w:tcBorders>
            <w:tcMar>
              <w:top w:w="0" w:type="dxa"/>
              <w:left w:w="108" w:type="dxa"/>
              <w:bottom w:w="0" w:type="dxa"/>
              <w:right w:w="108" w:type="dxa"/>
            </w:tcMar>
            <w:hideMark/>
          </w:tcPr>
          <w:p w14:paraId="51783707" w14:textId="77777777" w:rsidR="005B69F3" w:rsidRPr="00746F54" w:rsidRDefault="005B69F3" w:rsidP="00D62922">
            <w:pPr>
              <w:pStyle w:val="BPM"/>
              <w:spacing w:after="0"/>
              <w:jc w:val="both"/>
              <w:rPr>
                <w:rFonts w:ascii="Arial" w:hAnsi="Arial"/>
                <w:color w:val="000000" w:themeColor="text1"/>
              </w:rPr>
            </w:pPr>
            <w:r w:rsidRPr="00746F54">
              <w:rPr>
                <w:rFonts w:ascii="Arial" w:hAnsi="Arial"/>
                <w:color w:val="000000" w:themeColor="text1"/>
              </w:rPr>
              <w:t xml:space="preserve">HE20 </w:t>
            </w:r>
          </w:p>
        </w:tc>
      </w:tr>
      <w:tr w:rsidR="005B69F3" w:rsidRPr="00746F54" w14:paraId="39552823" w14:textId="77777777" w:rsidTr="00FA2852">
        <w:tc>
          <w:tcPr>
            <w:tcW w:w="311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286448A" w14:textId="77777777" w:rsidR="005B69F3" w:rsidRPr="00746F54" w:rsidRDefault="005B69F3" w:rsidP="00D62922">
            <w:pPr>
              <w:pStyle w:val="BPM"/>
              <w:spacing w:after="0"/>
              <w:jc w:val="both"/>
              <w:rPr>
                <w:rFonts w:ascii="Arial" w:hAnsi="Arial"/>
                <w:color w:val="000000" w:themeColor="text1"/>
              </w:rPr>
            </w:pPr>
            <w:r w:rsidRPr="00746F54">
              <w:rPr>
                <w:rFonts w:ascii="Arial" w:hAnsi="Arial"/>
                <w:color w:val="000000" w:themeColor="text1"/>
              </w:rPr>
              <w:t>17:59</w:t>
            </w:r>
          </w:p>
        </w:tc>
        <w:tc>
          <w:tcPr>
            <w:tcW w:w="3113" w:type="dxa"/>
            <w:tcBorders>
              <w:top w:val="nil"/>
              <w:left w:val="nil"/>
              <w:bottom w:val="single" w:sz="8" w:space="0" w:color="auto"/>
              <w:right w:val="single" w:sz="8" w:space="0" w:color="auto"/>
            </w:tcBorders>
            <w:tcMar>
              <w:top w:w="0" w:type="dxa"/>
              <w:left w:w="108" w:type="dxa"/>
              <w:bottom w:w="0" w:type="dxa"/>
              <w:right w:w="108" w:type="dxa"/>
            </w:tcMar>
            <w:hideMark/>
          </w:tcPr>
          <w:p w14:paraId="34002D10" w14:textId="77777777" w:rsidR="005B69F3" w:rsidRPr="00746F54" w:rsidRDefault="005B69F3" w:rsidP="00D62922">
            <w:pPr>
              <w:pStyle w:val="BPM"/>
              <w:spacing w:after="0"/>
              <w:jc w:val="both"/>
              <w:rPr>
                <w:rFonts w:ascii="Arial" w:hAnsi="Arial"/>
                <w:color w:val="000000" w:themeColor="text1"/>
              </w:rPr>
            </w:pPr>
            <w:r w:rsidRPr="00746F54">
              <w:rPr>
                <w:rFonts w:ascii="Arial" w:hAnsi="Arial"/>
                <w:color w:val="000000" w:themeColor="text1"/>
              </w:rPr>
              <w:t>19:00</w:t>
            </w:r>
          </w:p>
        </w:tc>
        <w:tc>
          <w:tcPr>
            <w:tcW w:w="3114" w:type="dxa"/>
            <w:tcBorders>
              <w:top w:val="nil"/>
              <w:left w:val="nil"/>
              <w:bottom w:val="single" w:sz="8" w:space="0" w:color="auto"/>
              <w:right w:val="single" w:sz="8" w:space="0" w:color="auto"/>
            </w:tcBorders>
            <w:tcMar>
              <w:top w:w="0" w:type="dxa"/>
              <w:left w:w="108" w:type="dxa"/>
              <w:bottom w:w="0" w:type="dxa"/>
              <w:right w:w="108" w:type="dxa"/>
            </w:tcMar>
            <w:hideMark/>
          </w:tcPr>
          <w:p w14:paraId="05CD8ADE" w14:textId="77777777" w:rsidR="005B69F3" w:rsidRPr="00746F54" w:rsidRDefault="005B69F3" w:rsidP="00D62922">
            <w:pPr>
              <w:pStyle w:val="BPM"/>
              <w:spacing w:after="0"/>
              <w:jc w:val="both"/>
              <w:rPr>
                <w:rFonts w:ascii="Arial" w:hAnsi="Arial"/>
                <w:color w:val="000000" w:themeColor="text1"/>
              </w:rPr>
            </w:pPr>
            <w:r w:rsidRPr="00746F54">
              <w:rPr>
                <w:rFonts w:ascii="Arial" w:hAnsi="Arial"/>
                <w:color w:val="000000" w:themeColor="text1"/>
              </w:rPr>
              <w:t>HE 19</w:t>
            </w:r>
          </w:p>
        </w:tc>
      </w:tr>
      <w:tr w:rsidR="005B69F3" w:rsidRPr="00746F54" w14:paraId="57CED4D3" w14:textId="77777777" w:rsidTr="00FA2852">
        <w:tc>
          <w:tcPr>
            <w:tcW w:w="311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2F1971E" w14:textId="77777777" w:rsidR="005B69F3" w:rsidRPr="00746F54" w:rsidRDefault="005B69F3" w:rsidP="00D62922">
            <w:pPr>
              <w:pStyle w:val="BPM"/>
              <w:spacing w:after="0"/>
              <w:jc w:val="both"/>
              <w:rPr>
                <w:rFonts w:ascii="Arial" w:hAnsi="Arial"/>
                <w:color w:val="000000" w:themeColor="text1"/>
              </w:rPr>
            </w:pPr>
            <w:r w:rsidRPr="00746F54">
              <w:rPr>
                <w:rFonts w:ascii="Arial" w:hAnsi="Arial"/>
                <w:color w:val="000000" w:themeColor="text1"/>
              </w:rPr>
              <w:t>17:59</w:t>
            </w:r>
          </w:p>
        </w:tc>
        <w:tc>
          <w:tcPr>
            <w:tcW w:w="3113" w:type="dxa"/>
            <w:tcBorders>
              <w:top w:val="nil"/>
              <w:left w:val="nil"/>
              <w:bottom w:val="single" w:sz="8" w:space="0" w:color="auto"/>
              <w:right w:val="single" w:sz="8" w:space="0" w:color="auto"/>
            </w:tcBorders>
            <w:tcMar>
              <w:top w:w="0" w:type="dxa"/>
              <w:left w:w="108" w:type="dxa"/>
              <w:bottom w:w="0" w:type="dxa"/>
              <w:right w:w="108" w:type="dxa"/>
            </w:tcMar>
            <w:hideMark/>
          </w:tcPr>
          <w:p w14:paraId="593F098D" w14:textId="77777777" w:rsidR="005B69F3" w:rsidRPr="00746F54" w:rsidRDefault="005B69F3" w:rsidP="00D62922">
            <w:pPr>
              <w:pStyle w:val="BPM"/>
              <w:spacing w:after="0"/>
              <w:jc w:val="both"/>
              <w:rPr>
                <w:rFonts w:ascii="Arial" w:hAnsi="Arial"/>
                <w:color w:val="000000" w:themeColor="text1"/>
              </w:rPr>
            </w:pPr>
            <w:r w:rsidRPr="00746F54">
              <w:rPr>
                <w:rFonts w:ascii="Arial" w:hAnsi="Arial"/>
                <w:color w:val="000000" w:themeColor="text1"/>
              </w:rPr>
              <w:t>19:01</w:t>
            </w:r>
          </w:p>
        </w:tc>
        <w:tc>
          <w:tcPr>
            <w:tcW w:w="3114" w:type="dxa"/>
            <w:tcBorders>
              <w:top w:val="nil"/>
              <w:left w:val="nil"/>
              <w:bottom w:val="single" w:sz="8" w:space="0" w:color="auto"/>
              <w:right w:val="single" w:sz="8" w:space="0" w:color="auto"/>
            </w:tcBorders>
            <w:tcMar>
              <w:top w:w="0" w:type="dxa"/>
              <w:left w:w="108" w:type="dxa"/>
              <w:bottom w:w="0" w:type="dxa"/>
              <w:right w:w="108" w:type="dxa"/>
            </w:tcMar>
            <w:hideMark/>
          </w:tcPr>
          <w:p w14:paraId="625E5424" w14:textId="77777777" w:rsidR="005B69F3" w:rsidRPr="00746F54" w:rsidRDefault="005B69F3" w:rsidP="00D62922">
            <w:pPr>
              <w:pStyle w:val="BPM"/>
              <w:spacing w:after="0"/>
              <w:jc w:val="both"/>
              <w:rPr>
                <w:rFonts w:ascii="Arial" w:hAnsi="Arial"/>
                <w:color w:val="000000" w:themeColor="text1"/>
              </w:rPr>
            </w:pPr>
            <w:r w:rsidRPr="00746F54">
              <w:rPr>
                <w:rFonts w:ascii="Arial" w:hAnsi="Arial"/>
                <w:color w:val="000000" w:themeColor="text1"/>
              </w:rPr>
              <w:t>HE19 and HE20</w:t>
            </w:r>
          </w:p>
        </w:tc>
      </w:tr>
      <w:tr w:rsidR="005B69F3" w:rsidRPr="00746F54" w14:paraId="0B970EBF" w14:textId="77777777" w:rsidTr="00FA2852">
        <w:tc>
          <w:tcPr>
            <w:tcW w:w="311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4C78423" w14:textId="77777777" w:rsidR="005B69F3" w:rsidRPr="00746F54" w:rsidRDefault="005B69F3" w:rsidP="00D62922">
            <w:pPr>
              <w:pStyle w:val="BPM"/>
              <w:spacing w:after="0"/>
              <w:jc w:val="both"/>
              <w:rPr>
                <w:rFonts w:ascii="Arial" w:hAnsi="Arial"/>
                <w:color w:val="000000" w:themeColor="text1"/>
              </w:rPr>
            </w:pPr>
            <w:r w:rsidRPr="00746F54">
              <w:rPr>
                <w:rFonts w:ascii="Arial" w:hAnsi="Arial"/>
                <w:color w:val="000000" w:themeColor="text1"/>
              </w:rPr>
              <w:t>17:59</w:t>
            </w:r>
          </w:p>
        </w:tc>
        <w:tc>
          <w:tcPr>
            <w:tcW w:w="3113" w:type="dxa"/>
            <w:tcBorders>
              <w:top w:val="nil"/>
              <w:left w:val="nil"/>
              <w:bottom w:val="single" w:sz="8" w:space="0" w:color="auto"/>
              <w:right w:val="single" w:sz="8" w:space="0" w:color="auto"/>
            </w:tcBorders>
            <w:tcMar>
              <w:top w:w="0" w:type="dxa"/>
              <w:left w:w="108" w:type="dxa"/>
              <w:bottom w:w="0" w:type="dxa"/>
              <w:right w:w="108" w:type="dxa"/>
            </w:tcMar>
            <w:hideMark/>
          </w:tcPr>
          <w:p w14:paraId="6524F241" w14:textId="77777777" w:rsidR="005B69F3" w:rsidRPr="00746F54" w:rsidRDefault="005B69F3" w:rsidP="00D62922">
            <w:pPr>
              <w:pStyle w:val="BPM"/>
              <w:spacing w:after="0"/>
              <w:jc w:val="both"/>
              <w:rPr>
                <w:rFonts w:ascii="Arial" w:hAnsi="Arial"/>
                <w:color w:val="000000" w:themeColor="text1"/>
              </w:rPr>
            </w:pPr>
            <w:r w:rsidRPr="00746F54">
              <w:rPr>
                <w:rFonts w:ascii="Arial" w:hAnsi="Arial"/>
                <w:color w:val="000000" w:themeColor="text1"/>
              </w:rPr>
              <w:t>19:59</w:t>
            </w:r>
          </w:p>
        </w:tc>
        <w:tc>
          <w:tcPr>
            <w:tcW w:w="3114" w:type="dxa"/>
            <w:tcBorders>
              <w:top w:val="nil"/>
              <w:left w:val="nil"/>
              <w:bottom w:val="single" w:sz="8" w:space="0" w:color="auto"/>
              <w:right w:val="single" w:sz="8" w:space="0" w:color="auto"/>
            </w:tcBorders>
            <w:tcMar>
              <w:top w:w="0" w:type="dxa"/>
              <w:left w:w="108" w:type="dxa"/>
              <w:bottom w:w="0" w:type="dxa"/>
              <w:right w:w="108" w:type="dxa"/>
            </w:tcMar>
            <w:hideMark/>
          </w:tcPr>
          <w:p w14:paraId="556E82A6" w14:textId="77777777" w:rsidR="005B69F3" w:rsidRPr="00746F54" w:rsidRDefault="005B69F3" w:rsidP="00D62922">
            <w:pPr>
              <w:pStyle w:val="BPM"/>
              <w:spacing w:after="0"/>
              <w:jc w:val="both"/>
              <w:rPr>
                <w:rFonts w:ascii="Arial" w:hAnsi="Arial"/>
                <w:color w:val="000000" w:themeColor="text1"/>
              </w:rPr>
            </w:pPr>
            <w:r w:rsidRPr="00746F54">
              <w:rPr>
                <w:rFonts w:ascii="Arial" w:hAnsi="Arial"/>
                <w:color w:val="000000" w:themeColor="text1"/>
              </w:rPr>
              <w:t>HE19 and HE20</w:t>
            </w:r>
          </w:p>
        </w:tc>
      </w:tr>
    </w:tbl>
    <w:p w14:paraId="288941CF" w14:textId="77777777" w:rsidR="00FA2852" w:rsidRPr="00746F54" w:rsidRDefault="00FA2852" w:rsidP="00776EBF">
      <w:pPr>
        <w:pStyle w:val="Heading2"/>
        <w:rPr>
          <w:rFonts w:ascii="Arial" w:hAnsi="Arial" w:cs="Arial"/>
        </w:rPr>
      </w:pPr>
      <w:bookmarkStart w:id="102" w:name="_Toc211337889"/>
      <w:bookmarkStart w:id="103" w:name="_Toc212733044"/>
      <w:bookmarkStart w:id="104" w:name="_Hlk212561984"/>
      <w:r w:rsidRPr="00746F54">
        <w:rPr>
          <w:rFonts w:ascii="Arial" w:hAnsi="Arial" w:cs="Arial"/>
        </w:rPr>
        <w:t>Obligation to Notify the Market operator of Transmission Limitations</w:t>
      </w:r>
      <w:bookmarkEnd w:id="102"/>
      <w:bookmarkEnd w:id="103"/>
    </w:p>
    <w:p w14:paraId="04C8D78B" w14:textId="54D5ABA9" w:rsidR="009962F6" w:rsidRPr="00746F54" w:rsidRDefault="00FA2852" w:rsidP="00FA2852">
      <w:pPr>
        <w:pStyle w:val="ParaText"/>
        <w:rPr>
          <w:rFonts w:ascii="Arial" w:hAnsi="Arial" w:cs="Arial"/>
        </w:rPr>
      </w:pPr>
      <w:commentRangeStart w:id="105"/>
      <w:r w:rsidRPr="00746F54">
        <w:rPr>
          <w:rFonts w:ascii="Arial" w:hAnsi="Arial" w:cs="Arial"/>
        </w:rPr>
        <w:t xml:space="preserve">An </w:t>
      </w:r>
      <w:commentRangeEnd w:id="105"/>
      <w:r w:rsidRPr="00746F54">
        <w:rPr>
          <w:rStyle w:val="CommentReference"/>
          <w:rFonts w:ascii="Arial" w:hAnsi="Arial" w:cs="Arial"/>
        </w:rPr>
        <w:commentReference w:id="105"/>
      </w:r>
      <w:r w:rsidRPr="00746F54">
        <w:rPr>
          <w:rFonts w:ascii="Arial" w:hAnsi="Arial" w:cs="Arial"/>
        </w:rPr>
        <w:t>EDAM entity Scheduling Coordinator must notify the CAISO by the means and in the manner specified in the Business Practice Manual for the Extended Day-Ahead Market regarding transmission limits on the transmission capacity made available to the Day-Ahead Market within the EDAM Entity Balancing Authority Area that need to be enforced in the Day-Ahead Market.</w:t>
      </w:r>
      <w:r w:rsidR="00080F86" w:rsidRPr="00746F54">
        <w:rPr>
          <w:rFonts w:ascii="Arial" w:hAnsi="Arial" w:cs="Arial"/>
        </w:rPr>
        <w:t xml:space="preserve">   </w:t>
      </w:r>
      <w:r w:rsidRPr="00746F54">
        <w:rPr>
          <w:rFonts w:ascii="Arial" w:hAnsi="Arial" w:cs="Arial"/>
        </w:rPr>
        <w:t xml:space="preserve">  </w:t>
      </w:r>
    </w:p>
    <w:p w14:paraId="34AE74B2" w14:textId="622FF774" w:rsidR="00FA2852" w:rsidRPr="00746F54" w:rsidRDefault="00080F86" w:rsidP="00FA2852">
      <w:pPr>
        <w:pStyle w:val="ParaText"/>
        <w:rPr>
          <w:rFonts w:ascii="Arial" w:hAnsi="Arial" w:cs="Arial"/>
        </w:rPr>
      </w:pPr>
      <w:r w:rsidRPr="00746F54">
        <w:rPr>
          <w:rFonts w:ascii="Arial" w:hAnsi="Arial" w:cs="Arial"/>
        </w:rPr>
        <w:t>EDAM entities shall submit capacity limits via</w:t>
      </w:r>
      <w:r w:rsidR="009962F6" w:rsidRPr="00746F54">
        <w:rPr>
          <w:rFonts w:ascii="Arial" w:hAnsi="Arial" w:cs="Arial"/>
        </w:rPr>
        <w:t xml:space="preserve"> PLC, a pass-through interface for path limit submission</w:t>
      </w:r>
      <w:r w:rsidR="00931AC8" w:rsidRPr="00746F54">
        <w:rPr>
          <w:rFonts w:ascii="Arial" w:hAnsi="Arial" w:cs="Arial"/>
        </w:rPr>
        <w:t xml:space="preserve">. This may include submission of hourly Transmission Corridors (TCORs) </w:t>
      </w:r>
      <w:r w:rsidR="00205BDC" w:rsidRPr="00746F54">
        <w:rPr>
          <w:rFonts w:ascii="Arial" w:hAnsi="Arial" w:cs="Arial"/>
        </w:rPr>
        <w:t xml:space="preserve">path limits </w:t>
      </w:r>
      <w:r w:rsidR="00931AC8" w:rsidRPr="00746F54">
        <w:rPr>
          <w:rFonts w:ascii="Arial" w:hAnsi="Arial" w:cs="Arial"/>
        </w:rPr>
        <w:t xml:space="preserve">and/or Intertie Transmission Constraints (ITCs). </w:t>
      </w:r>
      <w:r w:rsidR="00205BDC" w:rsidRPr="00746F54">
        <w:rPr>
          <w:rFonts w:ascii="Arial" w:hAnsi="Arial" w:cs="Arial"/>
        </w:rPr>
        <w:t xml:space="preserve">Transmission limitations submitted to the PLC system will be enforced </w:t>
      </w:r>
      <w:r w:rsidR="00A13086" w:rsidRPr="00746F54">
        <w:rPr>
          <w:rFonts w:ascii="Arial" w:hAnsi="Arial" w:cs="Arial"/>
        </w:rPr>
        <w:t xml:space="preserve">as constraints </w:t>
      </w:r>
      <w:r w:rsidR="00205BDC" w:rsidRPr="00746F54">
        <w:rPr>
          <w:rFonts w:ascii="Arial" w:hAnsi="Arial" w:cs="Arial"/>
        </w:rPr>
        <w:t xml:space="preserve">in the EDAM </w:t>
      </w:r>
      <w:r w:rsidR="00A13086" w:rsidRPr="00746F54">
        <w:rPr>
          <w:rFonts w:ascii="Arial" w:hAnsi="Arial" w:cs="Arial"/>
        </w:rPr>
        <w:t xml:space="preserve">optimization </w:t>
      </w:r>
      <w:r w:rsidR="00205BDC" w:rsidRPr="00746F54">
        <w:rPr>
          <w:rFonts w:ascii="Arial" w:hAnsi="Arial" w:cs="Arial"/>
        </w:rPr>
        <w:t>only if they are within the EDAM footprint and have been defined in the Full Network Model.</w:t>
      </w:r>
    </w:p>
    <w:p w14:paraId="23EDF136" w14:textId="2981D9D6" w:rsidR="007B4DDD" w:rsidRPr="00746F54" w:rsidRDefault="007B4DDD" w:rsidP="007B4DDD">
      <w:pPr>
        <w:pStyle w:val="Heading1"/>
        <w:rPr>
          <w:rFonts w:ascii="Arial" w:hAnsi="Arial" w:cs="Arial"/>
        </w:rPr>
      </w:pPr>
      <w:bookmarkStart w:id="106" w:name="_Toc211337890"/>
      <w:bookmarkStart w:id="107" w:name="_Toc212733045"/>
      <w:bookmarkEnd w:id="104"/>
      <w:r w:rsidRPr="00746F54">
        <w:rPr>
          <w:rFonts w:ascii="Arial" w:hAnsi="Arial" w:cs="Arial"/>
        </w:rPr>
        <w:t>Metering and Telemetry</w:t>
      </w:r>
      <w:bookmarkEnd w:id="106"/>
      <w:bookmarkEnd w:id="107"/>
      <w:r w:rsidRPr="00746F54">
        <w:rPr>
          <w:rFonts w:ascii="Arial" w:hAnsi="Arial" w:cs="Arial"/>
        </w:rPr>
        <w:t xml:space="preserve"> </w:t>
      </w:r>
    </w:p>
    <w:p w14:paraId="66C3A1D6" w14:textId="7BA2B1FB" w:rsidR="007B4DDD" w:rsidRPr="00746F54" w:rsidRDefault="007B4DDD" w:rsidP="007B4DDD">
      <w:pPr>
        <w:pStyle w:val="ParaText"/>
        <w:rPr>
          <w:rFonts w:ascii="Arial" w:hAnsi="Arial" w:cs="Arial"/>
          <w:u w:val="single"/>
        </w:rPr>
      </w:pPr>
      <w:r w:rsidRPr="00746F54">
        <w:rPr>
          <w:rFonts w:ascii="Arial" w:hAnsi="Arial" w:cs="Arial"/>
          <w:u w:val="single"/>
        </w:rPr>
        <w:t>Reference tariff section</w:t>
      </w:r>
      <w:r w:rsidR="002D0301" w:rsidRPr="00746F54">
        <w:rPr>
          <w:rFonts w:ascii="Arial" w:hAnsi="Arial" w:cs="Arial"/>
          <w:u w:val="single"/>
        </w:rPr>
        <w:t xml:space="preserve"> 10, </w:t>
      </w:r>
      <w:r w:rsidRPr="00746F54">
        <w:rPr>
          <w:rFonts w:ascii="Arial" w:hAnsi="Arial" w:cs="Arial"/>
          <w:u w:val="single"/>
        </w:rPr>
        <w:t xml:space="preserve"> 33.10</w:t>
      </w:r>
      <w:r w:rsidR="002D0301" w:rsidRPr="00746F54">
        <w:rPr>
          <w:rFonts w:ascii="Arial" w:hAnsi="Arial" w:cs="Arial"/>
          <w:u w:val="single"/>
        </w:rPr>
        <w:t>, Appendix Q</w:t>
      </w:r>
    </w:p>
    <w:p w14:paraId="7A4B6640" w14:textId="649F501D" w:rsidR="007B4DDD" w:rsidRPr="00746F54" w:rsidRDefault="007B4DDD" w:rsidP="002D0301">
      <w:pPr>
        <w:pStyle w:val="ParaText"/>
        <w:rPr>
          <w:rFonts w:ascii="Arial" w:hAnsi="Arial" w:cs="Arial"/>
        </w:rPr>
      </w:pPr>
      <w:commentRangeStart w:id="108"/>
      <w:commentRangeStart w:id="109"/>
      <w:r w:rsidRPr="00746F54">
        <w:rPr>
          <w:rFonts w:ascii="Arial" w:hAnsi="Arial" w:cs="Arial"/>
        </w:rPr>
        <w:t xml:space="preserve">Section 10 </w:t>
      </w:r>
      <w:commentRangeEnd w:id="108"/>
      <w:r w:rsidRPr="00746F54">
        <w:rPr>
          <w:rStyle w:val="CommentReference"/>
          <w:rFonts w:ascii="Arial" w:hAnsi="Arial" w:cs="Arial"/>
          <w:sz w:val="22"/>
          <w:szCs w:val="22"/>
        </w:rPr>
        <w:commentReference w:id="108"/>
      </w:r>
      <w:commentRangeEnd w:id="109"/>
      <w:r w:rsidR="00BA09C1" w:rsidRPr="00746F54">
        <w:rPr>
          <w:rStyle w:val="CommentReference"/>
          <w:rFonts w:ascii="Arial" w:hAnsi="Arial" w:cs="Arial"/>
        </w:rPr>
        <w:commentReference w:id="109"/>
      </w:r>
      <w:r w:rsidRPr="00746F54">
        <w:rPr>
          <w:rFonts w:ascii="Arial" w:hAnsi="Arial" w:cs="Arial"/>
        </w:rPr>
        <w:t>of the CAISO tariff will apply in the EDAM unless otherwise noted in this Section 33.10.  In the event of any conflict, this</w:t>
      </w:r>
      <w:r w:rsidR="002D0301" w:rsidRPr="00746F54">
        <w:rPr>
          <w:rFonts w:ascii="Arial" w:hAnsi="Arial" w:cs="Arial"/>
        </w:rPr>
        <w:t xml:space="preserve"> tariff</w:t>
      </w:r>
      <w:r w:rsidRPr="00746F54">
        <w:rPr>
          <w:rFonts w:ascii="Arial" w:hAnsi="Arial" w:cs="Arial"/>
        </w:rPr>
        <w:t xml:space="preserve"> </w:t>
      </w:r>
      <w:r w:rsidR="002D0301" w:rsidRPr="00746F54">
        <w:rPr>
          <w:rFonts w:ascii="Arial" w:hAnsi="Arial" w:cs="Arial"/>
        </w:rPr>
        <w:t>s</w:t>
      </w:r>
      <w:r w:rsidRPr="00746F54">
        <w:rPr>
          <w:rFonts w:ascii="Arial" w:hAnsi="Arial" w:cs="Arial"/>
        </w:rPr>
        <w:t xml:space="preserve">ection 33.10 will apply.  </w:t>
      </w:r>
    </w:p>
    <w:p w14:paraId="399EA9F3" w14:textId="50272364" w:rsidR="007B4DDD" w:rsidRPr="00746F54" w:rsidRDefault="007B4DDD" w:rsidP="002D0301">
      <w:pPr>
        <w:pStyle w:val="ParaText"/>
        <w:rPr>
          <w:rFonts w:ascii="Arial" w:hAnsi="Arial" w:cs="Arial"/>
        </w:rPr>
      </w:pPr>
      <w:r w:rsidRPr="00746F54">
        <w:rPr>
          <w:rFonts w:ascii="Arial" w:hAnsi="Arial" w:cs="Arial"/>
        </w:rPr>
        <w:lastRenderedPageBreak/>
        <w:t>The EDAM Entity Scheduling Coordinator will ensure compliance with t</w:t>
      </w:r>
      <w:r w:rsidR="002D0301" w:rsidRPr="00746F54">
        <w:rPr>
          <w:rFonts w:ascii="Arial" w:hAnsi="Arial" w:cs="Arial"/>
        </w:rPr>
        <w:t>ariff</w:t>
      </w:r>
      <w:r w:rsidRPr="00746F54">
        <w:rPr>
          <w:rFonts w:ascii="Arial" w:hAnsi="Arial" w:cs="Arial"/>
        </w:rPr>
        <w:t xml:space="preserve"> </w:t>
      </w:r>
      <w:r w:rsidR="002D0301" w:rsidRPr="00746F54">
        <w:rPr>
          <w:rFonts w:ascii="Arial" w:hAnsi="Arial" w:cs="Arial"/>
        </w:rPr>
        <w:t>s</w:t>
      </w:r>
      <w:r w:rsidRPr="00746F54">
        <w:rPr>
          <w:rFonts w:ascii="Arial" w:hAnsi="Arial" w:cs="Arial"/>
        </w:rPr>
        <w:t>ection 33.10 for each Energy, Demand, Intertie, or other resource in its Balancing Authority Area unless that resource has its own Scheduling Coordinator.</w:t>
      </w:r>
      <w:r w:rsidR="00BA09C1" w:rsidRPr="00746F54">
        <w:rPr>
          <w:rFonts w:ascii="Arial" w:hAnsi="Arial" w:cs="Arial"/>
        </w:rPr>
        <w:t xml:space="preserve">  Appendix Q of the CAISO tariff specifies the telemetry requirements associated with Variable Energy Resources and Hybrid Resources.  </w:t>
      </w:r>
    </w:p>
    <w:p w14:paraId="16EA9D21" w14:textId="434E289B" w:rsidR="007B4DDD" w:rsidRPr="00746F54" w:rsidRDefault="007B4DDD" w:rsidP="007B4DDD">
      <w:pPr>
        <w:pStyle w:val="ParaText"/>
        <w:rPr>
          <w:rFonts w:ascii="Arial" w:hAnsi="Arial" w:cs="Arial"/>
        </w:rPr>
      </w:pPr>
      <w:r w:rsidRPr="00746F54">
        <w:rPr>
          <w:rFonts w:ascii="Arial" w:hAnsi="Arial" w:cs="Arial"/>
        </w:rPr>
        <w:t xml:space="preserve">The EDAM entity will ensure that any Load Aggregation Point in its Balancing Authority Area not represented by the EDAM entity Scheduling Coordinator is metered separately so that the associated demand may be settled. All EDAM resources, including without limitation Generating Units, storage resources, Distributed Energy Resource Providers, and Demand Response Providers, must be CAISO Metered Entities or Scheduling Coordinator Metered Entities and comply with Section 10.  </w:t>
      </w:r>
    </w:p>
    <w:p w14:paraId="1DCF8CF3" w14:textId="55D0C13D" w:rsidR="007B4DDD" w:rsidRPr="00746F54" w:rsidRDefault="007B4DDD" w:rsidP="007B4DDD">
      <w:pPr>
        <w:pStyle w:val="ParaText"/>
        <w:rPr>
          <w:rFonts w:ascii="Arial" w:hAnsi="Arial" w:cs="Arial"/>
        </w:rPr>
      </w:pPr>
      <w:r w:rsidRPr="00746F54">
        <w:rPr>
          <w:rFonts w:ascii="Arial" w:hAnsi="Arial" w:cs="Arial"/>
        </w:rPr>
        <w:t>Scheduling Coordinators for EDAM Resources may elect to submit Meter Data in 5-minute or 15-minute intervals.  Scheduling Coordinators for EDAM Resources that cannot meter the EDAM Resource’s Energy every 15 minutes or faster may not submit Economic Bids or provide Ancillary Services and must submit Self-Schedules in the EDAM and Real-Time Market.</w:t>
      </w:r>
      <w:r w:rsidR="00BA09C1" w:rsidRPr="00746F54">
        <w:rPr>
          <w:rFonts w:ascii="Arial" w:hAnsi="Arial" w:cs="Arial"/>
        </w:rPr>
        <w:t xml:space="preserve">  For additional information and procedures on metering and telemetry, please refer to the Metering Business Practice Manual.  </w:t>
      </w:r>
    </w:p>
    <w:p w14:paraId="246D761F" w14:textId="6C49B334" w:rsidR="00662EAF" w:rsidRPr="00746F54" w:rsidRDefault="00662EAF" w:rsidP="00662EAF">
      <w:pPr>
        <w:pStyle w:val="Heading1"/>
        <w:rPr>
          <w:rFonts w:ascii="Arial" w:hAnsi="Arial" w:cs="Arial"/>
        </w:rPr>
      </w:pPr>
      <w:bookmarkStart w:id="110" w:name="_Toc212733046"/>
      <w:bookmarkStart w:id="111" w:name="_Toc211337891"/>
      <w:r w:rsidRPr="00746F54">
        <w:rPr>
          <w:rFonts w:ascii="Arial" w:hAnsi="Arial" w:cs="Arial"/>
        </w:rPr>
        <w:t>Settlement and Billin</w:t>
      </w:r>
      <w:r w:rsidR="00490EC0" w:rsidRPr="00746F54">
        <w:rPr>
          <w:rFonts w:ascii="Arial" w:hAnsi="Arial" w:cs="Arial"/>
        </w:rPr>
        <w:t>g</w:t>
      </w:r>
      <w:r w:rsidRPr="00746F54">
        <w:rPr>
          <w:rFonts w:ascii="Arial" w:hAnsi="Arial" w:cs="Arial"/>
        </w:rPr>
        <w:t xml:space="preserve"> for EDAM Market Participants</w:t>
      </w:r>
      <w:bookmarkEnd w:id="110"/>
      <w:r w:rsidRPr="00746F54">
        <w:rPr>
          <w:rFonts w:ascii="Arial" w:hAnsi="Arial" w:cs="Arial"/>
        </w:rPr>
        <w:t xml:space="preserve"> </w:t>
      </w:r>
      <w:bookmarkEnd w:id="111"/>
    </w:p>
    <w:p w14:paraId="165944D4" w14:textId="69D1EC76" w:rsidR="00662EAF" w:rsidRPr="00746F54" w:rsidRDefault="00662EAF" w:rsidP="00662EAF">
      <w:pPr>
        <w:pStyle w:val="ParaText"/>
        <w:rPr>
          <w:rFonts w:ascii="Arial" w:hAnsi="Arial" w:cs="Arial"/>
          <w:u w:val="single"/>
        </w:rPr>
      </w:pPr>
      <w:r w:rsidRPr="00746F54">
        <w:rPr>
          <w:rFonts w:ascii="Arial" w:hAnsi="Arial" w:cs="Arial"/>
          <w:u w:val="single"/>
        </w:rPr>
        <w:t>Reference tariff sections 11 and 33.11</w:t>
      </w:r>
    </w:p>
    <w:p w14:paraId="79B22A04" w14:textId="64428FBD" w:rsidR="00662EAF" w:rsidRPr="00746F54" w:rsidRDefault="00662EAF" w:rsidP="00662EAF">
      <w:pPr>
        <w:pStyle w:val="ParaText"/>
        <w:rPr>
          <w:rFonts w:ascii="Arial" w:hAnsi="Arial" w:cs="Arial"/>
        </w:rPr>
      </w:pPr>
      <w:r w:rsidRPr="00746F54">
        <w:rPr>
          <w:rFonts w:ascii="Arial" w:hAnsi="Arial" w:cs="Arial"/>
        </w:rPr>
        <w:t xml:space="preserve">Section 33.11 of the ISO Tariff governs settlement with EDAM Entity Scheduling Coordinators, EDAM Resource Scheduling Coordinators, EDAM Load-Serving Entity Scheduling Coordinators and EDAM Market Participants, unless otherwise provided.  Section 11 governs settlement for charges not exclusive to the Extended Day-Ahead Market.  </w:t>
      </w:r>
    </w:p>
    <w:p w14:paraId="768728CF" w14:textId="2DDC7B1D" w:rsidR="00662EAF" w:rsidRPr="00746F54" w:rsidRDefault="00662EAF" w:rsidP="00662EAF">
      <w:pPr>
        <w:pStyle w:val="ParaText"/>
        <w:rPr>
          <w:rFonts w:ascii="Arial" w:hAnsi="Arial" w:cs="Arial"/>
        </w:rPr>
      </w:pPr>
      <w:r w:rsidRPr="00746F54">
        <w:rPr>
          <w:rFonts w:ascii="Arial" w:hAnsi="Arial" w:cs="Arial"/>
        </w:rPr>
        <w:t xml:space="preserve">The details of the charge codes associated with EDAM participation, and their associated calculation formulae, are further described in the </w:t>
      </w:r>
      <w:r w:rsidRPr="00746F54">
        <w:rPr>
          <w:rFonts w:ascii="Arial" w:hAnsi="Arial" w:cs="Arial"/>
          <w:i/>
          <w:iCs/>
        </w:rPr>
        <w:t xml:space="preserve">Settlements and Billing </w:t>
      </w:r>
      <w:r w:rsidRPr="00746F54">
        <w:rPr>
          <w:rFonts w:ascii="Arial" w:hAnsi="Arial" w:cs="Arial"/>
        </w:rPr>
        <w:t xml:space="preserve">BPM.  </w:t>
      </w:r>
    </w:p>
    <w:p w14:paraId="2BC8B56C" w14:textId="7E0B098B" w:rsidR="00A33050" w:rsidRPr="00746F54" w:rsidRDefault="00A33050" w:rsidP="00A33050">
      <w:pPr>
        <w:pStyle w:val="Heading1"/>
        <w:rPr>
          <w:rFonts w:ascii="Arial" w:hAnsi="Arial" w:cs="Arial"/>
        </w:rPr>
      </w:pPr>
      <w:bookmarkStart w:id="112" w:name="_Toc211337892"/>
      <w:bookmarkStart w:id="113" w:name="_Toc212733047"/>
      <w:r w:rsidRPr="00746F54">
        <w:rPr>
          <w:rFonts w:ascii="Arial" w:hAnsi="Arial" w:cs="Arial"/>
        </w:rPr>
        <w:t>Creditworthiness</w:t>
      </w:r>
      <w:bookmarkEnd w:id="112"/>
      <w:bookmarkEnd w:id="113"/>
      <w:r w:rsidRPr="00746F54">
        <w:rPr>
          <w:rFonts w:ascii="Arial" w:hAnsi="Arial" w:cs="Arial"/>
        </w:rPr>
        <w:t xml:space="preserve"> </w:t>
      </w:r>
    </w:p>
    <w:p w14:paraId="4DE4B5FE" w14:textId="3CAB11DA" w:rsidR="00A33050" w:rsidRPr="00746F54" w:rsidRDefault="00A33050" w:rsidP="00A33050">
      <w:pPr>
        <w:pStyle w:val="ParaText"/>
        <w:rPr>
          <w:rFonts w:ascii="Arial" w:hAnsi="Arial" w:cs="Arial"/>
          <w:u w:val="single"/>
        </w:rPr>
      </w:pPr>
      <w:r w:rsidRPr="00746F54">
        <w:rPr>
          <w:rFonts w:ascii="Arial" w:hAnsi="Arial" w:cs="Arial"/>
          <w:u w:val="single"/>
        </w:rPr>
        <w:t>Reference tariff section 12 and 33.12</w:t>
      </w:r>
    </w:p>
    <w:p w14:paraId="6E2C296F" w14:textId="5F6F1BDB" w:rsidR="00A33050" w:rsidRPr="00746F54" w:rsidRDefault="00A33050" w:rsidP="00A33050">
      <w:pPr>
        <w:pStyle w:val="ParaText"/>
        <w:rPr>
          <w:rFonts w:ascii="Arial" w:hAnsi="Arial" w:cs="Arial"/>
        </w:rPr>
      </w:pPr>
      <w:r w:rsidRPr="00746F54">
        <w:rPr>
          <w:rFonts w:ascii="Arial" w:hAnsi="Arial" w:cs="Arial"/>
        </w:rPr>
        <w:t xml:space="preserve">EDAM Entity Scheduling Coordinators, EDAM Load Serving Entity Scheduling Coordinators, and EDAM Resource Scheduling Coordinators must comply with the creditworthiness requirements of Section 12 of the ISO Tariff, which are further explained in the business practice manual for Credit Management and Market Clearing.  </w:t>
      </w:r>
    </w:p>
    <w:p w14:paraId="2EE3B93D" w14:textId="77777777" w:rsidR="00E7663B" w:rsidRPr="00746F54" w:rsidRDefault="00E7663B" w:rsidP="00E7663B">
      <w:pPr>
        <w:pStyle w:val="Heading1"/>
        <w:rPr>
          <w:rFonts w:ascii="Arial" w:hAnsi="Arial" w:cs="Arial"/>
        </w:rPr>
      </w:pPr>
      <w:bookmarkStart w:id="114" w:name="_Toc211337893"/>
      <w:bookmarkStart w:id="115" w:name="_Toc212733048"/>
      <w:r w:rsidRPr="00746F54">
        <w:rPr>
          <w:rFonts w:ascii="Arial" w:hAnsi="Arial" w:cs="Arial"/>
        </w:rPr>
        <w:lastRenderedPageBreak/>
        <w:t>Dispute Resolution Provisions of the ISO Tariff in EDAM</w:t>
      </w:r>
      <w:bookmarkEnd w:id="114"/>
      <w:bookmarkEnd w:id="115"/>
      <w:r w:rsidRPr="00746F54">
        <w:rPr>
          <w:rFonts w:ascii="Arial" w:hAnsi="Arial" w:cs="Arial"/>
        </w:rPr>
        <w:t xml:space="preserve"> </w:t>
      </w:r>
    </w:p>
    <w:p w14:paraId="714624FC" w14:textId="28B95A53" w:rsidR="00E7663B" w:rsidRPr="00746F54" w:rsidRDefault="00E7663B" w:rsidP="00E7663B">
      <w:pPr>
        <w:pStyle w:val="ParaText"/>
        <w:rPr>
          <w:rFonts w:ascii="Arial" w:hAnsi="Arial" w:cs="Arial"/>
          <w:u w:val="single"/>
        </w:rPr>
      </w:pPr>
      <w:r w:rsidRPr="00746F54">
        <w:rPr>
          <w:rFonts w:ascii="Arial" w:hAnsi="Arial" w:cs="Arial"/>
          <w:u w:val="single"/>
        </w:rPr>
        <w:t>Reference tariff section 13 and 33.13</w:t>
      </w:r>
    </w:p>
    <w:p w14:paraId="2B05D0DB" w14:textId="77777777" w:rsidR="00E7663B" w:rsidRPr="00746F54" w:rsidRDefault="00E7663B" w:rsidP="00E7663B">
      <w:pPr>
        <w:pStyle w:val="ParaText"/>
        <w:rPr>
          <w:rFonts w:ascii="Arial" w:hAnsi="Arial" w:cs="Arial"/>
        </w:rPr>
      </w:pPr>
      <w:r w:rsidRPr="00746F54">
        <w:rPr>
          <w:rFonts w:ascii="Arial" w:hAnsi="Arial" w:cs="Arial"/>
        </w:rPr>
        <w:t xml:space="preserve">EDAM Market Participants will be subject to dispute resolution provisions of Section 13 of the ISO Tariff. </w:t>
      </w:r>
    </w:p>
    <w:p w14:paraId="1A5F06E9" w14:textId="0517515F" w:rsidR="00E7663B" w:rsidRPr="00746F54" w:rsidRDefault="00E7663B" w:rsidP="00E7663B">
      <w:pPr>
        <w:pStyle w:val="ParaText"/>
        <w:rPr>
          <w:rFonts w:ascii="Arial" w:hAnsi="Arial" w:cs="Arial"/>
        </w:rPr>
      </w:pPr>
      <w:r w:rsidRPr="00746F54">
        <w:rPr>
          <w:rFonts w:ascii="Arial" w:hAnsi="Arial" w:cs="Arial"/>
        </w:rPr>
        <w:t xml:space="preserve">Disputes associated with participation in the Day-Ahead Market will be managed through the CAISO customer inquiry, dispute, and information system.  For further information on the dispute process, please review the </w:t>
      </w:r>
      <w:r w:rsidRPr="00746F54">
        <w:rPr>
          <w:rFonts w:ascii="Arial" w:hAnsi="Arial" w:cs="Arial"/>
          <w:i/>
          <w:iCs/>
        </w:rPr>
        <w:t>Settlements and Billing</w:t>
      </w:r>
      <w:r w:rsidRPr="00746F54">
        <w:rPr>
          <w:rFonts w:ascii="Arial" w:hAnsi="Arial" w:cs="Arial"/>
        </w:rPr>
        <w:t xml:space="preserve"> Business Practice Manual.   </w:t>
      </w:r>
    </w:p>
    <w:p w14:paraId="4FF20996" w14:textId="1A2EE791" w:rsidR="00E7663B" w:rsidRPr="00746F54" w:rsidRDefault="00E7663B" w:rsidP="00E7663B">
      <w:pPr>
        <w:pStyle w:val="Heading1"/>
        <w:rPr>
          <w:rFonts w:ascii="Arial" w:hAnsi="Arial" w:cs="Arial"/>
        </w:rPr>
      </w:pPr>
      <w:bookmarkStart w:id="116" w:name="_Toc211337894"/>
      <w:bookmarkStart w:id="117" w:name="_Toc212733049"/>
      <w:commentRangeStart w:id="118"/>
      <w:commentRangeStart w:id="119"/>
      <w:r w:rsidRPr="00746F54">
        <w:rPr>
          <w:rFonts w:ascii="Arial" w:hAnsi="Arial" w:cs="Arial"/>
        </w:rPr>
        <w:t>Force Majeure</w:t>
      </w:r>
      <w:r w:rsidR="009F44E1" w:rsidRPr="00746F54">
        <w:rPr>
          <w:rFonts w:ascii="Arial" w:hAnsi="Arial" w:cs="Arial"/>
        </w:rPr>
        <w:t>, Indemnity, Liabilities, and Penalties</w:t>
      </w:r>
      <w:commentRangeEnd w:id="118"/>
      <w:r w:rsidR="009F44E1" w:rsidRPr="00746F54">
        <w:rPr>
          <w:rStyle w:val="CommentReference"/>
          <w:rFonts w:ascii="Arial" w:hAnsi="Arial" w:cs="Arial"/>
          <w:b w:val="0"/>
          <w:kern w:val="0"/>
        </w:rPr>
        <w:commentReference w:id="118"/>
      </w:r>
      <w:bookmarkEnd w:id="116"/>
      <w:commentRangeEnd w:id="119"/>
      <w:r w:rsidR="0072123C" w:rsidRPr="00746F54">
        <w:rPr>
          <w:rStyle w:val="CommentReference"/>
          <w:rFonts w:ascii="Arial" w:hAnsi="Arial" w:cs="Arial"/>
          <w:b w:val="0"/>
          <w:kern w:val="0"/>
        </w:rPr>
        <w:commentReference w:id="119"/>
      </w:r>
      <w:bookmarkEnd w:id="117"/>
    </w:p>
    <w:p w14:paraId="13669CB5" w14:textId="65014999" w:rsidR="00E7663B" w:rsidRPr="00746F54" w:rsidRDefault="00E7663B" w:rsidP="00E7663B">
      <w:pPr>
        <w:pStyle w:val="ParaText"/>
        <w:rPr>
          <w:rFonts w:ascii="Arial" w:hAnsi="Arial" w:cs="Arial"/>
          <w:u w:val="single"/>
        </w:rPr>
      </w:pPr>
      <w:r w:rsidRPr="00746F54">
        <w:rPr>
          <w:rFonts w:ascii="Arial" w:hAnsi="Arial" w:cs="Arial"/>
          <w:u w:val="single"/>
        </w:rPr>
        <w:t>Reference tariff section 14 and 33.14</w:t>
      </w:r>
    </w:p>
    <w:p w14:paraId="62967DBB" w14:textId="52767F4F" w:rsidR="00E7663B" w:rsidRPr="00746F54" w:rsidRDefault="00E7663B" w:rsidP="00E7663B">
      <w:pPr>
        <w:pStyle w:val="ParaText"/>
        <w:rPr>
          <w:rFonts w:ascii="Arial" w:hAnsi="Arial" w:cs="Arial"/>
        </w:rPr>
      </w:pPr>
      <w:r w:rsidRPr="00746F54">
        <w:rPr>
          <w:rFonts w:ascii="Arial" w:hAnsi="Arial" w:cs="Arial"/>
        </w:rPr>
        <w:t xml:space="preserve">The provisions of Section 14 regarding </w:t>
      </w:r>
      <w:commentRangeStart w:id="120"/>
      <w:r w:rsidRPr="00746F54">
        <w:rPr>
          <w:rFonts w:ascii="Arial" w:hAnsi="Arial" w:cs="Arial"/>
        </w:rPr>
        <w:t>uncontrollable</w:t>
      </w:r>
      <w:commentRangeEnd w:id="120"/>
      <w:r w:rsidRPr="00746F54">
        <w:rPr>
          <w:rStyle w:val="CommentReference"/>
          <w:rFonts w:ascii="Arial" w:hAnsi="Arial" w:cs="Arial"/>
        </w:rPr>
        <w:commentReference w:id="120"/>
      </w:r>
      <w:r w:rsidRPr="00746F54">
        <w:rPr>
          <w:rFonts w:ascii="Arial" w:hAnsi="Arial" w:cs="Arial"/>
        </w:rPr>
        <w:t xml:space="preserve"> force, indemnity, liability, and penalties will apply to the participation of EDAM market participants. </w:t>
      </w:r>
    </w:p>
    <w:p w14:paraId="5AD71C9C" w14:textId="77777777" w:rsidR="007679BE" w:rsidRPr="00746F54" w:rsidRDefault="007679BE" w:rsidP="007679BE">
      <w:pPr>
        <w:pStyle w:val="Heading1"/>
        <w:numPr>
          <w:ilvl w:val="0"/>
          <w:numId w:val="5"/>
        </w:numPr>
        <w:rPr>
          <w:rFonts w:ascii="Arial" w:hAnsi="Arial" w:cs="Arial"/>
        </w:rPr>
      </w:pPr>
      <w:bookmarkStart w:id="121" w:name="_Toc211337895"/>
      <w:bookmarkStart w:id="122" w:name="_Toc212733050"/>
      <w:r w:rsidRPr="00746F54">
        <w:rPr>
          <w:rFonts w:ascii="Arial" w:hAnsi="Arial" w:cs="Arial"/>
        </w:rPr>
        <w:t>EDAM Legacy Contracts</w:t>
      </w:r>
      <w:bookmarkEnd w:id="121"/>
      <w:bookmarkEnd w:id="122"/>
    </w:p>
    <w:p w14:paraId="097163BE" w14:textId="77777777" w:rsidR="007679BE" w:rsidRPr="00746F54" w:rsidRDefault="007679BE" w:rsidP="007679BE">
      <w:pPr>
        <w:pStyle w:val="ParaText"/>
        <w:rPr>
          <w:rFonts w:ascii="Arial" w:hAnsi="Arial" w:cs="Arial"/>
        </w:rPr>
      </w:pPr>
      <w:r w:rsidRPr="00746F54">
        <w:rPr>
          <w:rFonts w:ascii="Arial" w:hAnsi="Arial" w:cs="Arial"/>
        </w:rPr>
        <w:t xml:space="preserve">EDAM Legacy Contracts represent transmission contracts governed by the terms and conditions of the transmission agreement, and not under the terms and conditions of applicable transmission provider tariff.  Within the CAISO balancing area, these legacy contracts are also recognized as Existing Transmission Contracts (ETC).  Within other EDAM balancing areas, these legacy contracts are also recognized as those established prior to adoption of the open access transmission tariff and not governed by its terms.  </w:t>
      </w:r>
    </w:p>
    <w:p w14:paraId="5E0C260C" w14:textId="77777777" w:rsidR="007679BE" w:rsidRPr="00746F54" w:rsidRDefault="007679BE" w:rsidP="007679BE">
      <w:pPr>
        <w:pStyle w:val="Heading2"/>
        <w:rPr>
          <w:rFonts w:ascii="Arial" w:hAnsi="Arial" w:cs="Arial"/>
        </w:rPr>
      </w:pPr>
      <w:bookmarkStart w:id="123" w:name="_Toc211337896"/>
      <w:bookmarkStart w:id="124" w:name="_Toc212733051"/>
      <w:r w:rsidRPr="00746F54">
        <w:rPr>
          <w:rFonts w:ascii="Arial" w:hAnsi="Arial" w:cs="Arial"/>
        </w:rPr>
        <w:t>Registration of EDAM Legacy Contracts</w:t>
      </w:r>
      <w:bookmarkEnd w:id="123"/>
      <w:bookmarkEnd w:id="124"/>
    </w:p>
    <w:p w14:paraId="131C72C7" w14:textId="77777777" w:rsidR="007679BE" w:rsidRPr="00746F54" w:rsidRDefault="007679BE" w:rsidP="007679BE">
      <w:pPr>
        <w:pStyle w:val="ParaText"/>
        <w:rPr>
          <w:rFonts w:ascii="Arial" w:hAnsi="Arial" w:cs="Arial"/>
        </w:rPr>
      </w:pPr>
      <w:r w:rsidRPr="00746F54">
        <w:rPr>
          <w:rFonts w:ascii="Arial" w:hAnsi="Arial" w:cs="Arial"/>
        </w:rPr>
        <w:t>Consistent with section 33.16.2 of the Tariff, the EDAM entity for the balancing authority area associated with the potential EDAM Legay Contract will determine if a transmission agreement qualifies as an EDAM Legacy Contract and will coordinate with EDAM Legacy Contract rights holder and the impacted EDAM Transmission Service Providers.</w:t>
      </w:r>
    </w:p>
    <w:p w14:paraId="456BFCA8" w14:textId="77777777" w:rsidR="007679BE" w:rsidRPr="00746F54" w:rsidRDefault="007679BE" w:rsidP="007679BE">
      <w:pPr>
        <w:pStyle w:val="ParaText"/>
        <w:rPr>
          <w:rFonts w:ascii="Arial" w:hAnsi="Arial" w:cs="Arial"/>
        </w:rPr>
      </w:pPr>
      <w:r w:rsidRPr="00746F54">
        <w:rPr>
          <w:rFonts w:ascii="Arial" w:hAnsi="Arial" w:cs="Arial"/>
        </w:rPr>
        <w:t>The EDAM entity for the balancing authority area associated with the EDAM Legacy Contract rights holder will register the transmission rights and provide the market with the necessary information and instructions, consistent with section 16.4 of the tariff.  The transmission rights under the EDAM Legacy Contract will be registered in Masterfile, identifying the following information associated with the transmission rights:</w:t>
      </w:r>
    </w:p>
    <w:p w14:paraId="5AC893FE" w14:textId="77777777" w:rsidR="007679BE" w:rsidRPr="00746F54" w:rsidRDefault="007679BE" w:rsidP="007679BE">
      <w:pPr>
        <w:pStyle w:val="ListParagraph"/>
        <w:numPr>
          <w:ilvl w:val="0"/>
          <w:numId w:val="100"/>
        </w:numPr>
        <w:spacing w:line="278" w:lineRule="auto"/>
        <w:contextualSpacing/>
        <w:rPr>
          <w:rFonts w:ascii="Arial" w:hAnsi="Arial" w:cs="Arial"/>
        </w:rPr>
      </w:pPr>
      <w:r w:rsidRPr="00746F54">
        <w:rPr>
          <w:rFonts w:ascii="Arial" w:hAnsi="Arial" w:cs="Arial"/>
        </w:rPr>
        <w:lastRenderedPageBreak/>
        <w:t>EDAM Balancing Area (EDAM Entity)</w:t>
      </w:r>
    </w:p>
    <w:p w14:paraId="5BE264BE" w14:textId="77777777" w:rsidR="007679BE" w:rsidRPr="00746F54" w:rsidRDefault="007679BE" w:rsidP="007679BE">
      <w:pPr>
        <w:pStyle w:val="ParaText"/>
        <w:numPr>
          <w:ilvl w:val="1"/>
          <w:numId w:val="100"/>
        </w:numPr>
        <w:spacing w:line="240" w:lineRule="auto"/>
        <w:contextualSpacing/>
        <w:rPr>
          <w:rFonts w:ascii="Arial" w:hAnsi="Arial" w:cs="Arial"/>
        </w:rPr>
      </w:pPr>
      <w:r w:rsidRPr="00746F54">
        <w:rPr>
          <w:rFonts w:ascii="Arial" w:hAnsi="Arial" w:cs="Arial"/>
        </w:rPr>
        <w:t>Transfer Location ID (optional): used to validate TSR Type 1 bids and Released Capacity bids at that Transfer location</w:t>
      </w:r>
    </w:p>
    <w:p w14:paraId="173FB554" w14:textId="77777777" w:rsidR="007679BE" w:rsidRPr="00746F54" w:rsidRDefault="007679BE" w:rsidP="007679BE">
      <w:pPr>
        <w:pStyle w:val="ParaText"/>
        <w:numPr>
          <w:ilvl w:val="2"/>
          <w:numId w:val="100"/>
        </w:numPr>
        <w:spacing w:line="240" w:lineRule="auto"/>
        <w:contextualSpacing/>
        <w:rPr>
          <w:rFonts w:ascii="Arial" w:hAnsi="Arial" w:cs="Arial"/>
        </w:rPr>
      </w:pPr>
      <w:r w:rsidRPr="00746F54">
        <w:rPr>
          <w:rFonts w:ascii="Arial" w:hAnsi="Arial" w:cs="Arial"/>
        </w:rPr>
        <w:t>Transmission Customer SC ID</w:t>
      </w:r>
    </w:p>
    <w:p w14:paraId="021C0500" w14:textId="77777777" w:rsidR="007679BE" w:rsidRPr="00746F54" w:rsidRDefault="007679BE" w:rsidP="007679BE">
      <w:pPr>
        <w:pStyle w:val="ParaText"/>
        <w:numPr>
          <w:ilvl w:val="3"/>
          <w:numId w:val="100"/>
        </w:numPr>
        <w:spacing w:line="240" w:lineRule="auto"/>
        <w:contextualSpacing/>
        <w:rPr>
          <w:rFonts w:ascii="Arial" w:hAnsi="Arial" w:cs="Arial"/>
        </w:rPr>
      </w:pPr>
      <w:r w:rsidRPr="00746F54">
        <w:rPr>
          <w:rFonts w:ascii="Arial" w:hAnsi="Arial" w:cs="Arial"/>
        </w:rPr>
        <w:t>Contract capacity for that Transmission Customer SC ID</w:t>
      </w:r>
    </w:p>
    <w:p w14:paraId="07F88E4C" w14:textId="77777777" w:rsidR="007679BE" w:rsidRPr="00746F54" w:rsidRDefault="007679BE" w:rsidP="007679BE">
      <w:pPr>
        <w:pStyle w:val="ParaText"/>
        <w:numPr>
          <w:ilvl w:val="1"/>
          <w:numId w:val="100"/>
        </w:numPr>
        <w:spacing w:after="0" w:line="240" w:lineRule="auto"/>
        <w:contextualSpacing/>
        <w:rPr>
          <w:rFonts w:ascii="Arial" w:hAnsi="Arial" w:cs="Arial"/>
        </w:rPr>
      </w:pPr>
      <w:r w:rsidRPr="00746F54">
        <w:rPr>
          <w:rFonts w:ascii="Arial" w:hAnsi="Arial" w:cs="Arial"/>
        </w:rPr>
        <w:t>Resource ID (required for registered TSRs with physical source/sinks)</w:t>
      </w:r>
    </w:p>
    <w:p w14:paraId="65779D0D" w14:textId="77777777" w:rsidR="007679BE" w:rsidRPr="00746F54" w:rsidRDefault="007679BE" w:rsidP="007679BE">
      <w:pPr>
        <w:pStyle w:val="ListParagraph"/>
        <w:numPr>
          <w:ilvl w:val="0"/>
          <w:numId w:val="100"/>
        </w:numPr>
        <w:spacing w:line="278" w:lineRule="auto"/>
        <w:contextualSpacing/>
        <w:rPr>
          <w:rFonts w:ascii="Arial" w:hAnsi="Arial" w:cs="Arial"/>
        </w:rPr>
      </w:pPr>
      <w:r w:rsidRPr="00746F54">
        <w:rPr>
          <w:rFonts w:ascii="Arial" w:hAnsi="Arial" w:cs="Arial"/>
        </w:rPr>
        <w:t>Contract capacity for that resource ID Physical source and sink locations</w:t>
      </w:r>
    </w:p>
    <w:p w14:paraId="38D0E956" w14:textId="77777777" w:rsidR="007679BE" w:rsidRPr="00746F54" w:rsidRDefault="007679BE" w:rsidP="007679BE">
      <w:pPr>
        <w:pStyle w:val="ListParagraph"/>
        <w:numPr>
          <w:ilvl w:val="0"/>
          <w:numId w:val="100"/>
        </w:numPr>
        <w:spacing w:line="278" w:lineRule="auto"/>
        <w:contextualSpacing/>
        <w:rPr>
          <w:rFonts w:ascii="Arial" w:hAnsi="Arial" w:cs="Arial"/>
        </w:rPr>
      </w:pPr>
      <w:r w:rsidRPr="00746F54">
        <w:rPr>
          <w:rFonts w:ascii="Arial" w:hAnsi="Arial" w:cs="Arial"/>
        </w:rPr>
        <w:t>Start and stop dates (duration)</w:t>
      </w:r>
    </w:p>
    <w:p w14:paraId="419448D5" w14:textId="77777777" w:rsidR="007679BE" w:rsidRPr="00746F54" w:rsidRDefault="007679BE" w:rsidP="007679BE">
      <w:pPr>
        <w:pStyle w:val="ListParagraph"/>
        <w:numPr>
          <w:ilvl w:val="0"/>
          <w:numId w:val="100"/>
        </w:numPr>
        <w:spacing w:line="278" w:lineRule="auto"/>
        <w:contextualSpacing/>
        <w:rPr>
          <w:rFonts w:ascii="Arial" w:hAnsi="Arial" w:cs="Arial"/>
        </w:rPr>
      </w:pPr>
      <w:r w:rsidRPr="00746F54">
        <w:rPr>
          <w:rFonts w:ascii="Arial" w:hAnsi="Arial" w:cs="Arial"/>
        </w:rPr>
        <w:t>MW quantity</w:t>
      </w:r>
    </w:p>
    <w:p w14:paraId="70BADCE2" w14:textId="77777777" w:rsidR="007679BE" w:rsidRPr="00746F54" w:rsidRDefault="007679BE" w:rsidP="007679BE">
      <w:pPr>
        <w:pStyle w:val="ListParagraph"/>
        <w:numPr>
          <w:ilvl w:val="0"/>
          <w:numId w:val="100"/>
        </w:numPr>
        <w:spacing w:line="278" w:lineRule="auto"/>
        <w:contextualSpacing/>
        <w:rPr>
          <w:rFonts w:ascii="Arial" w:hAnsi="Arial" w:cs="Arial"/>
        </w:rPr>
      </w:pPr>
      <w:r w:rsidRPr="00746F54">
        <w:rPr>
          <w:rFonts w:ascii="Arial" w:hAnsi="Arial" w:cs="Arial"/>
        </w:rPr>
        <w:t>Any associated special instructions (if applicable) provided pursuant to section 16.4 of the tariff</w:t>
      </w:r>
    </w:p>
    <w:p w14:paraId="4BB8AB35" w14:textId="77777777" w:rsidR="007679BE" w:rsidRPr="00746F54" w:rsidRDefault="007679BE" w:rsidP="007679BE">
      <w:pPr>
        <w:pStyle w:val="ParaText"/>
        <w:rPr>
          <w:rFonts w:ascii="Arial" w:hAnsi="Arial" w:cs="Arial"/>
        </w:rPr>
      </w:pPr>
      <w:r w:rsidRPr="00746F54">
        <w:rPr>
          <w:rFonts w:ascii="Arial" w:hAnsi="Arial" w:cs="Arial"/>
        </w:rPr>
        <w:t>Through the Masterfile registration process, the registered EDAM Legacy Contract representing transmission rights will be associated with a Contract Reference ID which will support the exercise of these transmission rights in the market.  The ISO will model and manage EDAM Legacy Contract rights in the same manner as current CAISO ETC/TOR rights to accommodate their use.</w:t>
      </w:r>
    </w:p>
    <w:p w14:paraId="068CF9AF" w14:textId="77777777" w:rsidR="007679BE" w:rsidRPr="00746F54" w:rsidRDefault="007679BE" w:rsidP="007679BE">
      <w:pPr>
        <w:pStyle w:val="Heading2"/>
        <w:rPr>
          <w:rFonts w:ascii="Arial" w:hAnsi="Arial" w:cs="Arial"/>
        </w:rPr>
      </w:pPr>
      <w:bookmarkStart w:id="125" w:name="_Toc211337897"/>
      <w:bookmarkStart w:id="126" w:name="_Toc212733052"/>
      <w:r w:rsidRPr="00746F54">
        <w:rPr>
          <w:rFonts w:ascii="Arial" w:hAnsi="Arial" w:cs="Arial"/>
        </w:rPr>
        <w:t>Availability and Scheduling of EDAM Legacy Contracts</w:t>
      </w:r>
      <w:bookmarkEnd w:id="125"/>
      <w:bookmarkEnd w:id="126"/>
    </w:p>
    <w:p w14:paraId="6953517D" w14:textId="77777777" w:rsidR="007679BE" w:rsidRPr="00746F54" w:rsidRDefault="007679BE" w:rsidP="007679BE">
      <w:pPr>
        <w:pStyle w:val="ParaText"/>
        <w:rPr>
          <w:rFonts w:ascii="Arial" w:hAnsi="Arial" w:cs="Arial"/>
        </w:rPr>
      </w:pPr>
      <w:r w:rsidRPr="00746F54">
        <w:rPr>
          <w:rFonts w:ascii="Arial" w:hAnsi="Arial" w:cs="Arial"/>
        </w:rPr>
        <w:t xml:space="preserve">An EDAM Legacy Contract rights holder, through its scheduling coordinator, may exercise these transmission rights in the day-ahead and real-time markets.  To exercise the EDAM Legacy Contract transmission rights, the scheduling coordinator must submit a Self-Schedule for all or a portion of the capacity associated with a Contract Reference Number representing the transmission rights registered in Masterfile. EDAM Legacy Contract rights cannot be exercised through the submission of an economic bid in the market. </w:t>
      </w:r>
    </w:p>
    <w:p w14:paraId="3C6A1AFA" w14:textId="77777777" w:rsidR="007679BE" w:rsidRPr="00746F54" w:rsidRDefault="007679BE" w:rsidP="007679BE">
      <w:pPr>
        <w:pStyle w:val="ParaText"/>
        <w:rPr>
          <w:rFonts w:ascii="Arial" w:hAnsi="Arial" w:cs="Arial"/>
        </w:rPr>
      </w:pPr>
      <w:r w:rsidRPr="00746F54">
        <w:rPr>
          <w:rFonts w:ascii="Arial" w:hAnsi="Arial" w:cs="Arial"/>
        </w:rPr>
        <w:t xml:space="preserve">The market and specifically the SIBR system will validate submitted self-schedules associated with Contract Reference Numbers representing EDAM Legacy Contract rights under the procedures described in section 16.6 of the tariff.  Submitted Self-Schedules exercising their EDAM Legacy Contract rights as described in this section will receive a market clearing priority commensurate with ETC/TOR rights and the registered characteristics of those transmission rights, consistent with section 16.5 of the tariff.   </w:t>
      </w:r>
    </w:p>
    <w:p w14:paraId="4D99B83E" w14:textId="77777777" w:rsidR="007679BE" w:rsidRPr="00746F54" w:rsidRDefault="007679BE" w:rsidP="007679BE">
      <w:pPr>
        <w:pStyle w:val="ParaText"/>
        <w:rPr>
          <w:rFonts w:ascii="Arial" w:hAnsi="Arial" w:cs="Arial"/>
        </w:rPr>
      </w:pPr>
      <w:r w:rsidRPr="00746F54">
        <w:rPr>
          <w:rFonts w:ascii="Arial" w:hAnsi="Arial" w:cs="Arial"/>
        </w:rPr>
        <w:t xml:space="preserve">EDAM Legacy Contract rights exercised through self-schedules associated with a Contract Reference Numbers will be settled directly with the Scheduling Coordinator at the LMP similar to other day-ahead awards.  The balanced portion of the resulting market schedule associated with the EDAM Legacy Contract will be eligible for mitigation of congestion costs by reversing the Marginal Cost of Congestion component of the LMP difference between the balanced source day-ahead schedule and the sink day-ahead schedule.  For further information on </w:t>
      </w:r>
      <w:r w:rsidRPr="00746F54">
        <w:rPr>
          <w:rFonts w:ascii="Arial" w:hAnsi="Arial" w:cs="Arial"/>
        </w:rPr>
        <w:lastRenderedPageBreak/>
        <w:t xml:space="preserve">settlements associated with EDAM Legacy Contracts, please refer to the Business Practice Manual for Settlements and Billing.  </w:t>
      </w:r>
    </w:p>
    <w:p w14:paraId="1D3E110C" w14:textId="77777777" w:rsidR="007679BE" w:rsidRPr="00746F54" w:rsidRDefault="007679BE" w:rsidP="007679BE">
      <w:pPr>
        <w:pStyle w:val="ParaText"/>
        <w:rPr>
          <w:rFonts w:ascii="Arial" w:hAnsi="Arial" w:cs="Arial"/>
        </w:rPr>
      </w:pPr>
      <w:r w:rsidRPr="00746F54">
        <w:rPr>
          <w:rFonts w:ascii="Arial" w:hAnsi="Arial" w:cs="Arial"/>
        </w:rPr>
        <w:t>When exercising the EDAM Legacy Contract rights through the processes described above, the scheduling coordinator must coordinate the use and scheduling of these rights with the EDAM entity.  This will allow the EDAM entity to timely communicate to the market the transmission capacity available for EDAM transfers.</w:t>
      </w:r>
    </w:p>
    <w:p w14:paraId="7120A9C3" w14:textId="77777777" w:rsidR="007679BE" w:rsidRPr="00746F54" w:rsidRDefault="007679BE" w:rsidP="007679BE">
      <w:pPr>
        <w:pStyle w:val="Heading1"/>
        <w:rPr>
          <w:rFonts w:ascii="Arial" w:hAnsi="Arial" w:cs="Arial"/>
        </w:rPr>
      </w:pPr>
      <w:bookmarkStart w:id="127" w:name="_Toc211337898"/>
      <w:bookmarkStart w:id="128" w:name="_Toc212733053"/>
      <w:r w:rsidRPr="00746F54">
        <w:rPr>
          <w:rFonts w:ascii="Arial" w:hAnsi="Arial" w:cs="Arial"/>
        </w:rPr>
        <w:t>EDAM Transmission Ownership Rights</w:t>
      </w:r>
      <w:bookmarkEnd w:id="127"/>
      <w:bookmarkEnd w:id="128"/>
    </w:p>
    <w:p w14:paraId="0D1D84B8" w14:textId="77777777" w:rsidR="007679BE" w:rsidRPr="00746F54" w:rsidRDefault="007679BE" w:rsidP="007679BE">
      <w:pPr>
        <w:pStyle w:val="ParaText"/>
        <w:rPr>
          <w:rFonts w:ascii="Arial" w:hAnsi="Arial" w:cs="Arial"/>
        </w:rPr>
      </w:pPr>
      <w:r w:rsidRPr="00746F54">
        <w:rPr>
          <w:rFonts w:ascii="Arial" w:hAnsi="Arial" w:cs="Arial"/>
        </w:rPr>
        <w:t xml:space="preserve">EDAM Transmission Ownership Rights represent ownership rights by a third-party on transmission facilities within an EDAM entity balancing authority area which does not offer service to third parties on its transmission system, </w:t>
      </w:r>
      <w:r w:rsidRPr="00746F54">
        <w:rPr>
          <w:rFonts w:ascii="Arial" w:hAnsi="Arial" w:cs="Arial"/>
          <w:i/>
          <w:iCs/>
        </w:rPr>
        <w:t>i.e.</w:t>
      </w:r>
      <w:r w:rsidRPr="00746F54">
        <w:rPr>
          <w:rFonts w:ascii="Arial" w:hAnsi="Arial" w:cs="Arial"/>
        </w:rPr>
        <w:t xml:space="preserve">, the owner is not an EDAM Transmission Service Provider.  A transmission owner which provides transmission service for sale under its open access transmission tariff would not be considered an EDAM transmission ownership rights holder.  </w:t>
      </w:r>
    </w:p>
    <w:p w14:paraId="40794975" w14:textId="77777777" w:rsidR="007679BE" w:rsidRPr="00746F54" w:rsidRDefault="007679BE" w:rsidP="007679BE">
      <w:pPr>
        <w:pStyle w:val="Heading2"/>
        <w:rPr>
          <w:rFonts w:ascii="Arial" w:hAnsi="Arial" w:cs="Arial"/>
        </w:rPr>
      </w:pPr>
      <w:bookmarkStart w:id="129" w:name="_Toc211337899"/>
      <w:bookmarkStart w:id="130" w:name="_Toc212733054"/>
      <w:r w:rsidRPr="00746F54">
        <w:rPr>
          <w:rFonts w:ascii="Arial" w:hAnsi="Arial" w:cs="Arial"/>
        </w:rPr>
        <w:t>Registration of EDAM Transmission Ownership Rights</w:t>
      </w:r>
      <w:bookmarkEnd w:id="129"/>
      <w:bookmarkEnd w:id="130"/>
    </w:p>
    <w:p w14:paraId="0803D357" w14:textId="77777777" w:rsidR="007679BE" w:rsidRPr="00746F54" w:rsidRDefault="007679BE" w:rsidP="007679BE">
      <w:pPr>
        <w:pStyle w:val="ParaText"/>
        <w:rPr>
          <w:rFonts w:ascii="Arial" w:hAnsi="Arial" w:cs="Arial"/>
        </w:rPr>
      </w:pPr>
      <w:r w:rsidRPr="00746F54">
        <w:rPr>
          <w:rFonts w:ascii="Arial" w:hAnsi="Arial" w:cs="Arial"/>
        </w:rPr>
        <w:t xml:space="preserve">Consistent with section 33.17.2 of the Tariff, the EDAM entity for the balancing authority area associated with the EDAM Transmission Ownership Rights will coordinate with the EDAM Transmission Ownership Rights holder to provide necessary information and any associated special instructions to enable effectuation of the transmission rights in the market.  </w:t>
      </w:r>
    </w:p>
    <w:p w14:paraId="15CF6F2C" w14:textId="77777777" w:rsidR="007679BE" w:rsidRPr="00746F54" w:rsidRDefault="007679BE" w:rsidP="007679BE">
      <w:pPr>
        <w:pStyle w:val="ParaText"/>
        <w:rPr>
          <w:rFonts w:ascii="Arial" w:hAnsi="Arial" w:cs="Arial"/>
        </w:rPr>
      </w:pPr>
      <w:r w:rsidRPr="00746F54">
        <w:rPr>
          <w:rFonts w:ascii="Arial" w:hAnsi="Arial" w:cs="Arial"/>
        </w:rPr>
        <w:t>The Scheduling Coordinator for the EDAM Legacy Contract rights holder will register the transmission rights and provide the market with the necessary information and instructions, consistent with section 17.1 of the tariff.  The transmission rights under the EDAM Transmission Ownership Rights will be registered in Masterfile, identifying the following information associated with the transmission rights:</w:t>
      </w:r>
    </w:p>
    <w:p w14:paraId="51E8B829" w14:textId="77777777" w:rsidR="007679BE" w:rsidRPr="00746F54" w:rsidRDefault="007679BE" w:rsidP="007679BE">
      <w:pPr>
        <w:pStyle w:val="ParaText"/>
        <w:numPr>
          <w:ilvl w:val="0"/>
          <w:numId w:val="85"/>
        </w:numPr>
        <w:spacing w:line="240" w:lineRule="auto"/>
        <w:contextualSpacing/>
        <w:rPr>
          <w:rFonts w:ascii="Arial" w:hAnsi="Arial" w:cs="Arial"/>
        </w:rPr>
      </w:pPr>
      <w:r w:rsidRPr="00746F54">
        <w:rPr>
          <w:rFonts w:ascii="Arial" w:hAnsi="Arial" w:cs="Arial"/>
        </w:rPr>
        <w:t>EDAM balancing area (EDAM entity)</w:t>
      </w:r>
    </w:p>
    <w:p w14:paraId="67EDDA2E" w14:textId="77777777" w:rsidR="007679BE" w:rsidRPr="00746F54" w:rsidRDefault="007679BE" w:rsidP="007679BE">
      <w:pPr>
        <w:pStyle w:val="ParaText"/>
        <w:numPr>
          <w:ilvl w:val="1"/>
          <w:numId w:val="85"/>
        </w:numPr>
        <w:spacing w:line="240" w:lineRule="auto"/>
        <w:contextualSpacing/>
        <w:rPr>
          <w:rFonts w:ascii="Arial" w:hAnsi="Arial" w:cs="Arial"/>
        </w:rPr>
      </w:pPr>
      <w:r w:rsidRPr="00746F54">
        <w:rPr>
          <w:rFonts w:ascii="Arial" w:hAnsi="Arial" w:cs="Arial"/>
        </w:rPr>
        <w:t>Transfer Location ID (optional): used to validate TSR Type 1 bids and Released Capacity bids at that Transfer location</w:t>
      </w:r>
    </w:p>
    <w:p w14:paraId="2AD7F605" w14:textId="77777777" w:rsidR="007679BE" w:rsidRPr="00746F54" w:rsidRDefault="007679BE" w:rsidP="007679BE">
      <w:pPr>
        <w:pStyle w:val="ParaText"/>
        <w:numPr>
          <w:ilvl w:val="2"/>
          <w:numId w:val="85"/>
        </w:numPr>
        <w:spacing w:line="240" w:lineRule="auto"/>
        <w:contextualSpacing/>
        <w:rPr>
          <w:rFonts w:ascii="Arial" w:hAnsi="Arial" w:cs="Arial"/>
        </w:rPr>
      </w:pPr>
      <w:r w:rsidRPr="00746F54">
        <w:rPr>
          <w:rFonts w:ascii="Arial" w:hAnsi="Arial" w:cs="Arial"/>
        </w:rPr>
        <w:t>Transmission Customer SC ID</w:t>
      </w:r>
    </w:p>
    <w:p w14:paraId="3A05F974" w14:textId="77777777" w:rsidR="007679BE" w:rsidRPr="00746F54" w:rsidRDefault="007679BE" w:rsidP="007679BE">
      <w:pPr>
        <w:pStyle w:val="ParaText"/>
        <w:numPr>
          <w:ilvl w:val="3"/>
          <w:numId w:val="85"/>
        </w:numPr>
        <w:spacing w:line="240" w:lineRule="auto"/>
        <w:contextualSpacing/>
        <w:rPr>
          <w:rFonts w:ascii="Arial" w:hAnsi="Arial" w:cs="Arial"/>
        </w:rPr>
      </w:pPr>
      <w:r w:rsidRPr="00746F54">
        <w:rPr>
          <w:rFonts w:ascii="Arial" w:hAnsi="Arial" w:cs="Arial"/>
        </w:rPr>
        <w:t>Contract capacity for that Transmission Customer SC ID</w:t>
      </w:r>
    </w:p>
    <w:p w14:paraId="123FB69A" w14:textId="77777777" w:rsidR="007679BE" w:rsidRPr="00746F54" w:rsidRDefault="007679BE" w:rsidP="007679BE">
      <w:pPr>
        <w:pStyle w:val="ParaText"/>
        <w:numPr>
          <w:ilvl w:val="1"/>
          <w:numId w:val="85"/>
        </w:numPr>
        <w:spacing w:after="0" w:line="240" w:lineRule="auto"/>
        <w:ind w:left="1800"/>
        <w:contextualSpacing/>
        <w:rPr>
          <w:rFonts w:ascii="Arial" w:hAnsi="Arial" w:cs="Arial"/>
        </w:rPr>
      </w:pPr>
      <w:r w:rsidRPr="00746F54">
        <w:rPr>
          <w:rFonts w:ascii="Arial" w:hAnsi="Arial" w:cs="Arial"/>
        </w:rPr>
        <w:t>Resource ID (required for registered TSRs with physical source/sinks)</w:t>
      </w:r>
    </w:p>
    <w:p w14:paraId="314CF528" w14:textId="77777777" w:rsidR="007679BE" w:rsidRPr="00746F54" w:rsidRDefault="007679BE" w:rsidP="007679BE">
      <w:pPr>
        <w:pStyle w:val="ParaText"/>
        <w:numPr>
          <w:ilvl w:val="2"/>
          <w:numId w:val="85"/>
        </w:numPr>
        <w:spacing w:after="0" w:line="240" w:lineRule="auto"/>
        <w:contextualSpacing/>
        <w:rPr>
          <w:rFonts w:ascii="Arial" w:hAnsi="Arial" w:cs="Arial"/>
        </w:rPr>
      </w:pPr>
      <w:r w:rsidRPr="00746F54">
        <w:rPr>
          <w:rFonts w:ascii="Arial" w:hAnsi="Arial" w:cs="Arial"/>
        </w:rPr>
        <w:t xml:space="preserve">Contract capacity for that resource ID </w:t>
      </w:r>
    </w:p>
    <w:p w14:paraId="7065D6BF" w14:textId="77777777" w:rsidR="007679BE" w:rsidRPr="00746F54" w:rsidRDefault="007679BE" w:rsidP="007679BE">
      <w:pPr>
        <w:pStyle w:val="ParaText"/>
        <w:numPr>
          <w:ilvl w:val="0"/>
          <w:numId w:val="85"/>
        </w:numPr>
        <w:spacing w:line="240" w:lineRule="auto"/>
        <w:contextualSpacing/>
        <w:rPr>
          <w:rFonts w:ascii="Arial" w:hAnsi="Arial" w:cs="Arial"/>
        </w:rPr>
      </w:pPr>
      <w:r w:rsidRPr="00746F54">
        <w:rPr>
          <w:rFonts w:ascii="Arial" w:hAnsi="Arial" w:cs="Arial"/>
        </w:rPr>
        <w:t>Physical source and sink locations</w:t>
      </w:r>
    </w:p>
    <w:p w14:paraId="0DEC47B7" w14:textId="77777777" w:rsidR="007679BE" w:rsidRPr="00746F54" w:rsidRDefault="007679BE" w:rsidP="007679BE">
      <w:pPr>
        <w:pStyle w:val="ParaText"/>
        <w:numPr>
          <w:ilvl w:val="0"/>
          <w:numId w:val="85"/>
        </w:numPr>
        <w:contextualSpacing/>
        <w:rPr>
          <w:rFonts w:ascii="Arial" w:hAnsi="Arial" w:cs="Arial"/>
        </w:rPr>
      </w:pPr>
      <w:r w:rsidRPr="00746F54">
        <w:rPr>
          <w:rFonts w:ascii="Arial" w:hAnsi="Arial" w:cs="Arial"/>
        </w:rPr>
        <w:t>Start and stop dates (duration)</w:t>
      </w:r>
    </w:p>
    <w:p w14:paraId="3C87E15E" w14:textId="77777777" w:rsidR="007679BE" w:rsidRPr="00746F54" w:rsidRDefault="007679BE" w:rsidP="007679BE">
      <w:pPr>
        <w:pStyle w:val="ParaText"/>
        <w:numPr>
          <w:ilvl w:val="0"/>
          <w:numId w:val="85"/>
        </w:numPr>
        <w:contextualSpacing/>
        <w:rPr>
          <w:rFonts w:ascii="Arial" w:hAnsi="Arial" w:cs="Arial"/>
        </w:rPr>
      </w:pPr>
      <w:r w:rsidRPr="00746F54">
        <w:rPr>
          <w:rFonts w:ascii="Arial" w:hAnsi="Arial" w:cs="Arial"/>
        </w:rPr>
        <w:t>MW quantity</w:t>
      </w:r>
    </w:p>
    <w:p w14:paraId="43DD9B3B" w14:textId="77777777" w:rsidR="007679BE" w:rsidRPr="00746F54" w:rsidRDefault="007679BE" w:rsidP="007679BE">
      <w:pPr>
        <w:pStyle w:val="ParaText"/>
        <w:numPr>
          <w:ilvl w:val="0"/>
          <w:numId w:val="85"/>
        </w:numPr>
        <w:contextualSpacing/>
        <w:rPr>
          <w:rFonts w:ascii="Arial" w:hAnsi="Arial" w:cs="Arial"/>
        </w:rPr>
      </w:pPr>
      <w:r w:rsidRPr="00746F54">
        <w:rPr>
          <w:rFonts w:ascii="Arial" w:hAnsi="Arial" w:cs="Arial"/>
        </w:rPr>
        <w:lastRenderedPageBreak/>
        <w:t>Any associated special instructions (if applicable) provided pursuant to section 17.4 of the Tariff</w:t>
      </w:r>
    </w:p>
    <w:p w14:paraId="2798F63C" w14:textId="77777777" w:rsidR="007679BE" w:rsidRPr="00746F54" w:rsidRDefault="007679BE" w:rsidP="007679BE">
      <w:pPr>
        <w:pStyle w:val="ParaText"/>
        <w:ind w:left="720"/>
        <w:contextualSpacing/>
        <w:rPr>
          <w:rFonts w:ascii="Arial" w:hAnsi="Arial" w:cs="Arial"/>
        </w:rPr>
      </w:pPr>
    </w:p>
    <w:p w14:paraId="322B206F" w14:textId="77777777" w:rsidR="007679BE" w:rsidRPr="00746F54" w:rsidRDefault="007679BE" w:rsidP="007679BE">
      <w:pPr>
        <w:pStyle w:val="ParaText"/>
        <w:spacing w:before="120"/>
        <w:rPr>
          <w:rFonts w:ascii="Arial" w:hAnsi="Arial" w:cs="Arial"/>
        </w:rPr>
      </w:pPr>
      <w:r w:rsidRPr="00746F54">
        <w:rPr>
          <w:rFonts w:ascii="Arial" w:hAnsi="Arial" w:cs="Arial"/>
        </w:rPr>
        <w:t>Through the Masterfile registration process, the registered EDAM Transmission Ownership Rights will be associated with a Contract Reference Number which will support the exercise of these transmission rights in the market.  The ISO will model these EDAM Transmission Ownership Rights in the same manner as current CAISO ETC/TOR rights to accommodate their use.</w:t>
      </w:r>
    </w:p>
    <w:p w14:paraId="3B88047D" w14:textId="77777777" w:rsidR="007679BE" w:rsidRPr="00746F54" w:rsidRDefault="007679BE" w:rsidP="007679BE">
      <w:pPr>
        <w:pStyle w:val="Heading2"/>
        <w:rPr>
          <w:rFonts w:ascii="Arial" w:hAnsi="Arial" w:cs="Arial"/>
        </w:rPr>
      </w:pPr>
      <w:bookmarkStart w:id="131" w:name="_Toc211337900"/>
      <w:bookmarkStart w:id="132" w:name="_Toc212733055"/>
      <w:r w:rsidRPr="00746F54">
        <w:rPr>
          <w:rFonts w:ascii="Arial" w:hAnsi="Arial" w:cs="Arial"/>
        </w:rPr>
        <w:t>Availability and Scheduling of EDAM Transmission Ownership Rights</w:t>
      </w:r>
      <w:bookmarkEnd w:id="131"/>
      <w:bookmarkEnd w:id="132"/>
    </w:p>
    <w:p w14:paraId="6C20F1CB" w14:textId="77777777" w:rsidR="007679BE" w:rsidRPr="00746F54" w:rsidRDefault="007679BE" w:rsidP="007679BE">
      <w:pPr>
        <w:pStyle w:val="ParaText"/>
        <w:rPr>
          <w:rFonts w:ascii="Arial" w:hAnsi="Arial" w:cs="Arial"/>
        </w:rPr>
      </w:pPr>
      <w:r w:rsidRPr="00746F54">
        <w:rPr>
          <w:rFonts w:ascii="Arial" w:hAnsi="Arial" w:cs="Arial"/>
        </w:rPr>
        <w:t xml:space="preserve">An EDAM Transmission Ownership Rights holder, through their Scheduling Coordinator, may exercise these transmission rights in the day-ahead and real-time markets.  To exercise the EDAM Transmission Ownership Rights, the Scheduling Coordinator must submit a Self-Schedule for all or a portion of the capacity associated with a Contract Reference Number representing the transmission rights registered in Masterfile.  EDAM Transmission Ownership Rights cannot be exercised through the submission of an economic bid in the market. </w:t>
      </w:r>
    </w:p>
    <w:p w14:paraId="46E8F667" w14:textId="08858F7E" w:rsidR="007679BE" w:rsidRPr="00746F54" w:rsidRDefault="007679BE" w:rsidP="007679BE">
      <w:pPr>
        <w:pStyle w:val="ParaText"/>
        <w:rPr>
          <w:rFonts w:ascii="Arial" w:hAnsi="Arial" w:cs="Arial"/>
        </w:rPr>
      </w:pPr>
      <w:r w:rsidRPr="00746F54">
        <w:rPr>
          <w:rFonts w:ascii="Arial" w:hAnsi="Arial" w:cs="Arial"/>
        </w:rPr>
        <w:t xml:space="preserve">The SIBR system will validate submitted Self-Schedules associated with Contract Reference Numbers representing EDAM Transmission Ownership Rights under the procedures described in section 16.6 of the </w:t>
      </w:r>
      <w:r w:rsidR="00B60E1B" w:rsidRPr="00746F54">
        <w:rPr>
          <w:rFonts w:ascii="Arial" w:hAnsi="Arial" w:cs="Arial"/>
        </w:rPr>
        <w:t>T</w:t>
      </w:r>
      <w:r w:rsidRPr="00746F54">
        <w:rPr>
          <w:rFonts w:ascii="Arial" w:hAnsi="Arial" w:cs="Arial"/>
        </w:rPr>
        <w:t xml:space="preserve">ariff.  Submitted </w:t>
      </w:r>
      <w:r w:rsidR="00B60E1B" w:rsidRPr="00746F54">
        <w:rPr>
          <w:rFonts w:ascii="Arial" w:hAnsi="Arial" w:cs="Arial"/>
        </w:rPr>
        <w:t xml:space="preserve">balanced </w:t>
      </w:r>
      <w:r w:rsidRPr="00746F54">
        <w:rPr>
          <w:rFonts w:ascii="Arial" w:hAnsi="Arial" w:cs="Arial"/>
        </w:rPr>
        <w:t xml:space="preserve">Self-Schedules exercising their EDAM Transmission Ownership Rights as described in this section will receive a market clearing priority commensurate with all ETC/TOR rights and the registered characteristics of those transmission rights, consistent with section 16.5 of the tariff.   </w:t>
      </w:r>
    </w:p>
    <w:p w14:paraId="7241986B" w14:textId="77777777" w:rsidR="007679BE" w:rsidRPr="00746F54" w:rsidRDefault="007679BE" w:rsidP="007679BE">
      <w:pPr>
        <w:pStyle w:val="ParaText"/>
        <w:rPr>
          <w:rFonts w:ascii="Arial" w:hAnsi="Arial" w:cs="Arial"/>
        </w:rPr>
      </w:pPr>
      <w:r w:rsidRPr="00746F54">
        <w:rPr>
          <w:rFonts w:ascii="Arial" w:hAnsi="Arial" w:cs="Arial"/>
        </w:rPr>
        <w:t xml:space="preserve">EDAM Transmission Ownership Rights exercised through Self-Schedules associated with a Contract Reference Numbers will be settled directly with the Scheduling Coordinator at the LMP similar to other day-ahead awards.  The balanced portion of the resulting market schedule associated with the EDAM Transmission Ownership Rights will be eligible for mitigation of congestion costs by reversing the Marginal Cost of Congestion component of the LMP difference between the balanced source day-ahead schedule and the sink day-ahead schedule.  For further information on settlements associated with EDAM Transmission Ownership Rights, please refer to the Settlements Business Practice Manual.  </w:t>
      </w:r>
    </w:p>
    <w:p w14:paraId="59813A41" w14:textId="77777777" w:rsidR="007679BE" w:rsidRPr="00746F54" w:rsidRDefault="007679BE" w:rsidP="007679BE">
      <w:pPr>
        <w:pStyle w:val="ParaText"/>
        <w:rPr>
          <w:rFonts w:ascii="Arial" w:hAnsi="Arial" w:cs="Arial"/>
        </w:rPr>
      </w:pPr>
      <w:r w:rsidRPr="00746F54">
        <w:rPr>
          <w:rFonts w:ascii="Arial" w:hAnsi="Arial" w:cs="Arial"/>
        </w:rPr>
        <w:t>When exercising the EDAM Transmission Ownership Rights through the processes described above, the Scheduling Coordinator must coordinate the use and scheduling of these rights with the EDAM Entity.  This will allow the EDAM Entity to timely communicate to the market the transmission capacity available for EDAM Transfers.</w:t>
      </w:r>
    </w:p>
    <w:p w14:paraId="4DA4B358" w14:textId="06DE984A" w:rsidR="007679BE" w:rsidRPr="00746F54" w:rsidRDefault="007679BE" w:rsidP="007679BE">
      <w:pPr>
        <w:pStyle w:val="ParaText"/>
        <w:rPr>
          <w:rFonts w:ascii="Arial" w:hAnsi="Arial" w:cs="Arial"/>
        </w:rPr>
      </w:pPr>
      <w:r w:rsidRPr="00746F54">
        <w:rPr>
          <w:rFonts w:ascii="Arial" w:hAnsi="Arial" w:cs="Arial"/>
        </w:rPr>
        <w:lastRenderedPageBreak/>
        <w:t xml:space="preserve">If the EDAM Transmission Ownership Rights holder is also a transmission service provider enabling the sale of these rights through the open access transmission tariff, and executes an EDAM Transmission Service Provider Agreement, its transmission customers will register those transmission </w:t>
      </w:r>
      <w:r w:rsidR="00B60E1B" w:rsidRPr="00746F54">
        <w:rPr>
          <w:rFonts w:ascii="Arial" w:hAnsi="Arial" w:cs="Arial"/>
        </w:rPr>
        <w:t>rights,</w:t>
      </w:r>
      <w:r w:rsidRPr="00746F54">
        <w:rPr>
          <w:rFonts w:ascii="Arial" w:hAnsi="Arial" w:cs="Arial"/>
        </w:rPr>
        <w:t xml:space="preserve"> and these transmission rights will be considered tariff transmission service and subject to the processes described in section 6 of this BPM.  </w:t>
      </w:r>
    </w:p>
    <w:p w14:paraId="428107BE" w14:textId="77777777" w:rsidR="007679BE" w:rsidRPr="00746F54" w:rsidRDefault="007679BE" w:rsidP="007679BE">
      <w:pPr>
        <w:pStyle w:val="Heading1"/>
        <w:rPr>
          <w:rFonts w:ascii="Arial" w:hAnsi="Arial" w:cs="Arial"/>
        </w:rPr>
      </w:pPr>
      <w:bookmarkStart w:id="133" w:name="_Toc211337901"/>
      <w:bookmarkStart w:id="134" w:name="_Toc212733056"/>
      <w:r w:rsidRPr="00746F54">
        <w:rPr>
          <w:rFonts w:ascii="Arial" w:hAnsi="Arial" w:cs="Arial"/>
        </w:rPr>
        <w:t>Tariff Transmission Service by EDAM Transmission Service Providers</w:t>
      </w:r>
      <w:bookmarkEnd w:id="133"/>
      <w:bookmarkEnd w:id="134"/>
      <w:r w:rsidRPr="00746F54">
        <w:rPr>
          <w:rFonts w:ascii="Arial" w:hAnsi="Arial" w:cs="Arial"/>
        </w:rPr>
        <w:t xml:space="preserve"> </w:t>
      </w:r>
    </w:p>
    <w:p w14:paraId="6B12D684" w14:textId="77777777" w:rsidR="007679BE" w:rsidRPr="00746F54" w:rsidRDefault="007679BE" w:rsidP="007679BE">
      <w:pPr>
        <w:pStyle w:val="ParaText"/>
        <w:rPr>
          <w:rFonts w:ascii="Arial" w:hAnsi="Arial" w:cs="Arial"/>
        </w:rPr>
      </w:pPr>
      <w:r w:rsidRPr="00746F54">
        <w:rPr>
          <w:rFonts w:ascii="Arial" w:hAnsi="Arial" w:cs="Arial"/>
        </w:rPr>
        <w:t>The market includes in its Full Network Model the full transmission system and associated capability</w:t>
      </w:r>
      <w:r w:rsidRPr="00746F54" w:rsidDel="008D3D1A">
        <w:rPr>
          <w:rFonts w:ascii="Arial" w:hAnsi="Arial" w:cs="Arial"/>
        </w:rPr>
        <w:t xml:space="preserve"> </w:t>
      </w:r>
      <w:r w:rsidRPr="00746F54">
        <w:rPr>
          <w:rFonts w:ascii="Arial" w:hAnsi="Arial" w:cs="Arial"/>
        </w:rPr>
        <w:t>to support Day-Ahead Market unit commitments and Real-Time Market dispatch.  Transmission customers holding firm transmission rights under the EDAM Transmission Service Provider Open Access Transmission Tariff (OATT), are able to register these transmission rights with the market to support the exercise of these rights in the market.  This section of the business practice describes:</w:t>
      </w:r>
    </w:p>
    <w:p w14:paraId="4CBC85A1" w14:textId="77777777" w:rsidR="007679BE" w:rsidRPr="00746F54" w:rsidRDefault="007679BE" w:rsidP="007679BE">
      <w:pPr>
        <w:pStyle w:val="ParaText"/>
        <w:numPr>
          <w:ilvl w:val="0"/>
          <w:numId w:val="88"/>
        </w:numPr>
        <w:rPr>
          <w:rFonts w:ascii="Arial" w:hAnsi="Arial" w:cs="Arial"/>
        </w:rPr>
      </w:pPr>
      <w:r w:rsidRPr="00746F54">
        <w:rPr>
          <w:rFonts w:ascii="Arial" w:hAnsi="Arial" w:cs="Arial"/>
        </w:rPr>
        <w:t>How OATT transmission rights are registered with the market.</w:t>
      </w:r>
    </w:p>
    <w:p w14:paraId="775F5F1B" w14:textId="77777777" w:rsidR="007679BE" w:rsidRPr="00746F54" w:rsidRDefault="007679BE" w:rsidP="007679BE">
      <w:pPr>
        <w:pStyle w:val="ParaText"/>
        <w:numPr>
          <w:ilvl w:val="0"/>
          <w:numId w:val="88"/>
        </w:numPr>
        <w:rPr>
          <w:rFonts w:ascii="Arial" w:hAnsi="Arial" w:cs="Arial"/>
        </w:rPr>
      </w:pPr>
      <w:r w:rsidRPr="00746F54">
        <w:rPr>
          <w:rFonts w:ascii="Arial" w:hAnsi="Arial" w:cs="Arial"/>
        </w:rPr>
        <w:t>How OATT transmission rights are exercised through the market.</w:t>
      </w:r>
    </w:p>
    <w:p w14:paraId="20D0850C" w14:textId="77777777" w:rsidR="007679BE" w:rsidRPr="00746F54" w:rsidRDefault="007679BE" w:rsidP="007679BE">
      <w:pPr>
        <w:pStyle w:val="ParaText"/>
        <w:numPr>
          <w:ilvl w:val="0"/>
          <w:numId w:val="88"/>
        </w:numPr>
        <w:rPr>
          <w:rFonts w:ascii="Arial" w:hAnsi="Arial" w:cs="Arial"/>
        </w:rPr>
      </w:pPr>
      <w:r w:rsidRPr="00746F54">
        <w:rPr>
          <w:rFonts w:ascii="Arial" w:hAnsi="Arial" w:cs="Arial"/>
        </w:rPr>
        <w:t>How transmission capability at the interties between EDAM balancing areas is made available to support optimized market transfers.</w:t>
      </w:r>
    </w:p>
    <w:p w14:paraId="7A8CE91C" w14:textId="77777777" w:rsidR="007679BE" w:rsidRPr="00746F54" w:rsidRDefault="007679BE" w:rsidP="007679BE">
      <w:pPr>
        <w:pStyle w:val="Heading2"/>
        <w:rPr>
          <w:rFonts w:ascii="Arial" w:hAnsi="Arial" w:cs="Arial"/>
        </w:rPr>
      </w:pPr>
      <w:bookmarkStart w:id="135" w:name="_Toc211337902"/>
      <w:bookmarkStart w:id="136" w:name="_Toc212733057"/>
      <w:r w:rsidRPr="00746F54">
        <w:rPr>
          <w:rFonts w:ascii="Arial" w:hAnsi="Arial" w:cs="Arial"/>
        </w:rPr>
        <w:t>Registration of OATT Transmission Rights</w:t>
      </w:r>
      <w:bookmarkEnd w:id="135"/>
      <w:bookmarkEnd w:id="136"/>
    </w:p>
    <w:p w14:paraId="0AD7C984" w14:textId="77777777" w:rsidR="007679BE" w:rsidRPr="00746F54" w:rsidRDefault="007679BE" w:rsidP="007679BE">
      <w:pPr>
        <w:pStyle w:val="ParaText"/>
        <w:rPr>
          <w:rFonts w:ascii="Arial" w:hAnsi="Arial" w:cs="Arial"/>
        </w:rPr>
      </w:pPr>
      <w:r w:rsidRPr="00746F54">
        <w:rPr>
          <w:rFonts w:ascii="Arial" w:hAnsi="Arial" w:cs="Arial"/>
        </w:rPr>
        <w:t xml:space="preserve">Consistent with section 33.18 of the Tariff, the EDAM entity in coordination with the transmission customer will provide the necessary information and any necessary instructions to enable representation of the transmission rights in the market.  The qualifying OATT transmission rights registered with the market are firm and conditional firm point-to-point (PTP) and network integration transmission service (NITS) of a yearly, monthly, weekly, daily and hourly duration as provided under the EDAM entity and EDAM transmission provider OATT.  </w:t>
      </w:r>
    </w:p>
    <w:p w14:paraId="135A87A0" w14:textId="77777777" w:rsidR="007679BE" w:rsidRPr="00746F54" w:rsidRDefault="007679BE" w:rsidP="007679BE">
      <w:pPr>
        <w:pStyle w:val="ParaText"/>
        <w:rPr>
          <w:rFonts w:ascii="Arial" w:hAnsi="Arial" w:cs="Arial"/>
        </w:rPr>
      </w:pPr>
      <w:r w:rsidRPr="00746F54">
        <w:rPr>
          <w:rFonts w:ascii="Arial" w:hAnsi="Arial" w:cs="Arial"/>
        </w:rPr>
        <w:t>The Scheduling Coordinator for the transmission customer holding qualified OATT transmission service rights under the OATT will register these and provide the market with the necessary information reflective of the transmission rights. The qualified OATT transmission rights will be registered in Masterfile, identifying the following information associated with the transmission rights:</w:t>
      </w:r>
    </w:p>
    <w:p w14:paraId="1311C138" w14:textId="77777777" w:rsidR="007679BE" w:rsidRPr="00746F54" w:rsidRDefault="007679BE" w:rsidP="007679BE">
      <w:pPr>
        <w:pStyle w:val="ParaText"/>
        <w:numPr>
          <w:ilvl w:val="0"/>
          <w:numId w:val="85"/>
        </w:numPr>
        <w:spacing w:after="0" w:line="240" w:lineRule="auto"/>
        <w:contextualSpacing/>
        <w:rPr>
          <w:rFonts w:ascii="Arial" w:hAnsi="Arial" w:cs="Arial"/>
        </w:rPr>
      </w:pPr>
      <w:r w:rsidRPr="00746F54">
        <w:rPr>
          <w:rFonts w:ascii="Arial" w:hAnsi="Arial" w:cs="Arial"/>
        </w:rPr>
        <w:t>EDAM balancing area (EDAM entity)</w:t>
      </w:r>
    </w:p>
    <w:p w14:paraId="2B2E4EBF" w14:textId="77777777" w:rsidR="007679BE" w:rsidRPr="00746F54" w:rsidRDefault="007679BE" w:rsidP="007679BE">
      <w:pPr>
        <w:pStyle w:val="ParaText"/>
        <w:numPr>
          <w:ilvl w:val="1"/>
          <w:numId w:val="85"/>
        </w:numPr>
        <w:spacing w:line="240" w:lineRule="auto"/>
        <w:contextualSpacing/>
        <w:rPr>
          <w:rFonts w:ascii="Arial" w:hAnsi="Arial" w:cs="Arial"/>
        </w:rPr>
      </w:pPr>
      <w:r w:rsidRPr="00746F54">
        <w:rPr>
          <w:rFonts w:ascii="Arial" w:hAnsi="Arial" w:cs="Arial"/>
        </w:rPr>
        <w:lastRenderedPageBreak/>
        <w:t>Transfer Location ID (optional): used to validate TSR Type 1 bids and Released Capacity bids at that Transfer location</w:t>
      </w:r>
    </w:p>
    <w:p w14:paraId="2A8FC137" w14:textId="77777777" w:rsidR="007679BE" w:rsidRPr="00746F54" w:rsidRDefault="007679BE" w:rsidP="007679BE">
      <w:pPr>
        <w:pStyle w:val="ParaText"/>
        <w:numPr>
          <w:ilvl w:val="2"/>
          <w:numId w:val="85"/>
        </w:numPr>
        <w:spacing w:line="240" w:lineRule="auto"/>
        <w:contextualSpacing/>
        <w:rPr>
          <w:rFonts w:ascii="Arial" w:hAnsi="Arial" w:cs="Arial"/>
        </w:rPr>
      </w:pPr>
      <w:r w:rsidRPr="00746F54">
        <w:rPr>
          <w:rFonts w:ascii="Arial" w:hAnsi="Arial" w:cs="Arial"/>
        </w:rPr>
        <w:t>Transmission Customer SC ID</w:t>
      </w:r>
    </w:p>
    <w:p w14:paraId="67F42DED" w14:textId="77777777" w:rsidR="007679BE" w:rsidRPr="00746F54" w:rsidRDefault="007679BE" w:rsidP="007679BE">
      <w:pPr>
        <w:pStyle w:val="ParaText"/>
        <w:numPr>
          <w:ilvl w:val="3"/>
          <w:numId w:val="85"/>
        </w:numPr>
        <w:spacing w:line="240" w:lineRule="auto"/>
        <w:contextualSpacing/>
        <w:rPr>
          <w:rFonts w:ascii="Arial" w:hAnsi="Arial" w:cs="Arial"/>
        </w:rPr>
      </w:pPr>
      <w:r w:rsidRPr="00746F54">
        <w:rPr>
          <w:rFonts w:ascii="Arial" w:hAnsi="Arial" w:cs="Arial"/>
        </w:rPr>
        <w:t>Contract capacity for that Transmission Customer SC ID</w:t>
      </w:r>
    </w:p>
    <w:p w14:paraId="1D92B9DC" w14:textId="77777777" w:rsidR="007679BE" w:rsidRPr="00746F54" w:rsidRDefault="007679BE" w:rsidP="007679BE">
      <w:pPr>
        <w:pStyle w:val="ParaText"/>
        <w:numPr>
          <w:ilvl w:val="1"/>
          <w:numId w:val="85"/>
        </w:numPr>
        <w:spacing w:after="0" w:line="240" w:lineRule="auto"/>
        <w:ind w:left="1800"/>
        <w:contextualSpacing/>
        <w:rPr>
          <w:rFonts w:ascii="Arial" w:hAnsi="Arial" w:cs="Arial"/>
        </w:rPr>
      </w:pPr>
      <w:r w:rsidRPr="00746F54">
        <w:rPr>
          <w:rFonts w:ascii="Arial" w:hAnsi="Arial" w:cs="Arial"/>
        </w:rPr>
        <w:t>Resource ID (required for registered TSRs with physical source/sinks)</w:t>
      </w:r>
    </w:p>
    <w:p w14:paraId="20F101D1" w14:textId="77777777" w:rsidR="007679BE" w:rsidRPr="00746F54" w:rsidRDefault="007679BE" w:rsidP="007679BE">
      <w:pPr>
        <w:pStyle w:val="ParaText"/>
        <w:numPr>
          <w:ilvl w:val="2"/>
          <w:numId w:val="85"/>
        </w:numPr>
        <w:spacing w:after="0" w:line="240" w:lineRule="auto"/>
        <w:contextualSpacing/>
        <w:rPr>
          <w:rFonts w:ascii="Arial" w:hAnsi="Arial" w:cs="Arial"/>
        </w:rPr>
      </w:pPr>
      <w:r w:rsidRPr="00746F54">
        <w:rPr>
          <w:rFonts w:ascii="Arial" w:hAnsi="Arial" w:cs="Arial"/>
        </w:rPr>
        <w:t>Contract capacity for that resource ID</w:t>
      </w:r>
    </w:p>
    <w:p w14:paraId="58DF810C" w14:textId="77777777" w:rsidR="007679BE" w:rsidRPr="00746F54" w:rsidRDefault="007679BE" w:rsidP="007679BE">
      <w:pPr>
        <w:pStyle w:val="ParaText"/>
        <w:numPr>
          <w:ilvl w:val="0"/>
          <w:numId w:val="85"/>
        </w:numPr>
        <w:spacing w:after="0" w:line="240" w:lineRule="auto"/>
        <w:contextualSpacing/>
        <w:rPr>
          <w:rFonts w:ascii="Arial" w:hAnsi="Arial" w:cs="Arial"/>
        </w:rPr>
      </w:pPr>
      <w:r w:rsidRPr="00746F54">
        <w:rPr>
          <w:rFonts w:ascii="Arial" w:hAnsi="Arial" w:cs="Arial"/>
        </w:rPr>
        <w:t>Type of OATT transmission service right and duration (NITS or PTP)</w:t>
      </w:r>
    </w:p>
    <w:p w14:paraId="11668633" w14:textId="77777777" w:rsidR="007679BE" w:rsidRPr="00746F54" w:rsidRDefault="007679BE" w:rsidP="007679BE">
      <w:pPr>
        <w:pStyle w:val="ParaText"/>
        <w:numPr>
          <w:ilvl w:val="0"/>
          <w:numId w:val="85"/>
        </w:numPr>
        <w:spacing w:after="0" w:line="240" w:lineRule="auto"/>
        <w:contextualSpacing/>
        <w:rPr>
          <w:rFonts w:ascii="Arial" w:hAnsi="Arial" w:cs="Arial"/>
        </w:rPr>
      </w:pPr>
      <w:r w:rsidRPr="00746F54">
        <w:rPr>
          <w:rFonts w:ascii="Arial" w:hAnsi="Arial" w:cs="Arial"/>
        </w:rPr>
        <w:t>Physical Right Level: OATT 1 vs. OATT 2</w:t>
      </w:r>
    </w:p>
    <w:p w14:paraId="5ECDE5D7" w14:textId="7A1ED633" w:rsidR="008860AA" w:rsidRPr="00746F54" w:rsidRDefault="008860AA" w:rsidP="008860AA">
      <w:pPr>
        <w:pStyle w:val="ParaText"/>
        <w:numPr>
          <w:ilvl w:val="1"/>
          <w:numId w:val="85"/>
        </w:numPr>
        <w:spacing w:after="0" w:line="240" w:lineRule="auto"/>
        <w:contextualSpacing/>
        <w:rPr>
          <w:rFonts w:ascii="Arial" w:hAnsi="Arial" w:cs="Arial"/>
        </w:rPr>
      </w:pPr>
      <w:r w:rsidRPr="00746F54">
        <w:rPr>
          <w:rFonts w:ascii="Arial" w:hAnsi="Arial" w:cs="Arial"/>
        </w:rPr>
        <w:t>OATT 1 rights are afforded higher scheduling priority in real-time than day-ahead schedules</w:t>
      </w:r>
    </w:p>
    <w:p w14:paraId="367E565B" w14:textId="56E41BA9" w:rsidR="008860AA" w:rsidRPr="00746F54" w:rsidRDefault="008860AA" w:rsidP="00636D40">
      <w:pPr>
        <w:pStyle w:val="ParaText"/>
        <w:numPr>
          <w:ilvl w:val="1"/>
          <w:numId w:val="85"/>
        </w:numPr>
        <w:spacing w:after="0" w:line="240" w:lineRule="auto"/>
        <w:contextualSpacing/>
        <w:rPr>
          <w:rFonts w:ascii="Arial" w:hAnsi="Arial" w:cs="Arial"/>
        </w:rPr>
      </w:pPr>
      <w:r w:rsidRPr="00746F54">
        <w:rPr>
          <w:rFonts w:ascii="Arial" w:hAnsi="Arial" w:cs="Arial"/>
        </w:rPr>
        <w:t>OATT 2 rights receive equal scheduling priority in real-time as day-ahead schedules</w:t>
      </w:r>
    </w:p>
    <w:p w14:paraId="25370807" w14:textId="77777777" w:rsidR="007679BE" w:rsidRPr="00746F54" w:rsidRDefault="007679BE" w:rsidP="007679BE">
      <w:pPr>
        <w:pStyle w:val="ParaText"/>
        <w:numPr>
          <w:ilvl w:val="0"/>
          <w:numId w:val="85"/>
        </w:numPr>
        <w:spacing w:after="0" w:line="240" w:lineRule="auto"/>
        <w:contextualSpacing/>
        <w:rPr>
          <w:rFonts w:ascii="Arial" w:hAnsi="Arial" w:cs="Arial"/>
        </w:rPr>
      </w:pPr>
      <w:r w:rsidRPr="00746F54">
        <w:rPr>
          <w:rFonts w:ascii="Arial" w:hAnsi="Arial" w:cs="Arial"/>
        </w:rPr>
        <w:t>Physical source and sink locations</w:t>
      </w:r>
    </w:p>
    <w:p w14:paraId="4B3BC28B" w14:textId="77777777" w:rsidR="007679BE" w:rsidRPr="00746F54" w:rsidRDefault="007679BE" w:rsidP="007679BE">
      <w:pPr>
        <w:pStyle w:val="ListParagraph"/>
        <w:numPr>
          <w:ilvl w:val="0"/>
          <w:numId w:val="85"/>
        </w:numPr>
        <w:spacing w:after="0" w:line="240" w:lineRule="auto"/>
        <w:contextualSpacing/>
        <w:rPr>
          <w:rFonts w:ascii="Arial" w:hAnsi="Arial" w:cs="Arial"/>
        </w:rPr>
      </w:pPr>
      <w:r w:rsidRPr="00746F54">
        <w:rPr>
          <w:rFonts w:ascii="Arial" w:hAnsi="Arial" w:cs="Arial"/>
        </w:rPr>
        <w:t>Financial rights (if applicable)</w:t>
      </w:r>
    </w:p>
    <w:p w14:paraId="4EA32BB5" w14:textId="77777777" w:rsidR="007679BE" w:rsidRPr="00746F54" w:rsidRDefault="007679BE" w:rsidP="007679BE">
      <w:pPr>
        <w:pStyle w:val="ListParagraph"/>
        <w:numPr>
          <w:ilvl w:val="0"/>
          <w:numId w:val="85"/>
        </w:numPr>
        <w:spacing w:after="0" w:line="240" w:lineRule="auto"/>
        <w:contextualSpacing/>
        <w:rPr>
          <w:rFonts w:ascii="Arial" w:hAnsi="Arial" w:cs="Arial"/>
        </w:rPr>
      </w:pPr>
      <w:r w:rsidRPr="00746F54">
        <w:rPr>
          <w:rFonts w:ascii="Arial" w:hAnsi="Arial" w:cs="Arial"/>
        </w:rPr>
        <w:t>Financial source and sink locations (if applicable)</w:t>
      </w:r>
    </w:p>
    <w:p w14:paraId="64D09718" w14:textId="77777777" w:rsidR="007679BE" w:rsidRPr="00746F54" w:rsidRDefault="007679BE" w:rsidP="007679BE">
      <w:pPr>
        <w:pStyle w:val="ListParagraph"/>
        <w:numPr>
          <w:ilvl w:val="0"/>
          <w:numId w:val="85"/>
        </w:numPr>
        <w:spacing w:after="0" w:line="240" w:lineRule="auto"/>
        <w:contextualSpacing/>
        <w:rPr>
          <w:rFonts w:ascii="Arial" w:hAnsi="Arial" w:cs="Arial"/>
        </w:rPr>
      </w:pPr>
      <w:r w:rsidRPr="00746F54">
        <w:rPr>
          <w:rFonts w:ascii="Arial" w:hAnsi="Arial" w:cs="Arial"/>
        </w:rPr>
        <w:t>Financial SC (if applicable)</w:t>
      </w:r>
    </w:p>
    <w:p w14:paraId="3141537A" w14:textId="77777777" w:rsidR="007679BE" w:rsidRPr="00746F54" w:rsidRDefault="007679BE" w:rsidP="007679BE">
      <w:pPr>
        <w:pStyle w:val="ParaText"/>
        <w:numPr>
          <w:ilvl w:val="0"/>
          <w:numId w:val="85"/>
        </w:numPr>
        <w:spacing w:after="0" w:line="240" w:lineRule="auto"/>
        <w:contextualSpacing/>
        <w:rPr>
          <w:rFonts w:ascii="Arial" w:hAnsi="Arial" w:cs="Arial"/>
        </w:rPr>
      </w:pPr>
      <w:r w:rsidRPr="00746F54">
        <w:rPr>
          <w:rFonts w:ascii="Arial" w:hAnsi="Arial" w:cs="Arial"/>
        </w:rPr>
        <w:t>Start and stop dates (duration)</w:t>
      </w:r>
    </w:p>
    <w:p w14:paraId="322C4E68" w14:textId="77777777" w:rsidR="007679BE" w:rsidRPr="00746F54" w:rsidRDefault="007679BE" w:rsidP="007679BE">
      <w:pPr>
        <w:pStyle w:val="ParaText"/>
        <w:numPr>
          <w:ilvl w:val="0"/>
          <w:numId w:val="85"/>
        </w:numPr>
        <w:spacing w:after="0" w:line="240" w:lineRule="auto"/>
        <w:contextualSpacing/>
        <w:rPr>
          <w:rFonts w:ascii="Arial" w:hAnsi="Arial" w:cs="Arial"/>
        </w:rPr>
      </w:pPr>
      <w:r w:rsidRPr="00746F54">
        <w:rPr>
          <w:rFonts w:ascii="Arial" w:hAnsi="Arial" w:cs="Arial"/>
        </w:rPr>
        <w:t>MW quantity</w:t>
      </w:r>
    </w:p>
    <w:p w14:paraId="68C8B283" w14:textId="77777777" w:rsidR="007679BE" w:rsidRPr="00746F54" w:rsidRDefault="007679BE" w:rsidP="007679BE">
      <w:pPr>
        <w:pStyle w:val="ParaText"/>
        <w:numPr>
          <w:ilvl w:val="0"/>
          <w:numId w:val="85"/>
        </w:numPr>
        <w:spacing w:after="0" w:line="240" w:lineRule="auto"/>
        <w:contextualSpacing/>
        <w:rPr>
          <w:rFonts w:ascii="Arial" w:hAnsi="Arial" w:cs="Arial"/>
        </w:rPr>
      </w:pPr>
      <w:r w:rsidRPr="00746F54">
        <w:rPr>
          <w:rFonts w:ascii="Arial" w:hAnsi="Arial" w:cs="Arial"/>
        </w:rPr>
        <w:t>Any associated special instructions (if applicable) provided pursuant to section 16.4 of the Tariff</w:t>
      </w:r>
    </w:p>
    <w:p w14:paraId="76753769" w14:textId="77777777" w:rsidR="007679BE" w:rsidRPr="00746F54" w:rsidRDefault="007679BE" w:rsidP="007679BE">
      <w:pPr>
        <w:pStyle w:val="ParaText"/>
        <w:spacing w:line="240" w:lineRule="auto"/>
        <w:ind w:left="720"/>
        <w:contextualSpacing/>
        <w:rPr>
          <w:rFonts w:ascii="Arial" w:hAnsi="Arial" w:cs="Arial"/>
        </w:rPr>
      </w:pPr>
    </w:p>
    <w:p w14:paraId="09DB9F99" w14:textId="77777777" w:rsidR="007679BE" w:rsidRPr="00746F54" w:rsidRDefault="007679BE" w:rsidP="007679BE">
      <w:pPr>
        <w:pStyle w:val="ParaText"/>
        <w:rPr>
          <w:rFonts w:ascii="Arial" w:hAnsi="Arial" w:cs="Arial"/>
        </w:rPr>
      </w:pPr>
      <w:r w:rsidRPr="00746F54">
        <w:rPr>
          <w:rFonts w:ascii="Arial" w:hAnsi="Arial" w:cs="Arial"/>
        </w:rPr>
        <w:t>The ISO will process Masterfile change requests within 5-11 business days, and market participants should consider these timelines when submitting registrations of transmission rights.</w:t>
      </w:r>
      <w:r w:rsidRPr="00746F54" w:rsidDel="00E72BB6">
        <w:rPr>
          <w:rFonts w:ascii="Arial" w:hAnsi="Arial" w:cs="Arial"/>
        </w:rPr>
        <w:t xml:space="preserve"> </w:t>
      </w:r>
      <w:r w:rsidRPr="00746F54">
        <w:rPr>
          <w:rFonts w:ascii="Arial" w:hAnsi="Arial" w:cs="Arial"/>
        </w:rPr>
        <w:t xml:space="preserve">Through the Masterfile registration process, the registered EDAM Transmission Ownership Rights will be associated with a Contract Reference Number which will support the exercise of these transmission rights in the market.  </w:t>
      </w:r>
    </w:p>
    <w:p w14:paraId="49866C26" w14:textId="77777777" w:rsidR="007679BE" w:rsidRPr="00746F54" w:rsidRDefault="007679BE" w:rsidP="007679BE">
      <w:pPr>
        <w:pStyle w:val="ParaText"/>
        <w:rPr>
          <w:rFonts w:ascii="Arial" w:hAnsi="Arial" w:cs="Arial"/>
        </w:rPr>
      </w:pPr>
      <w:r w:rsidRPr="00746F54">
        <w:rPr>
          <w:rFonts w:ascii="Arial" w:hAnsi="Arial" w:cs="Arial"/>
        </w:rPr>
        <w:t xml:space="preserve">Short-term firm OATT transmission rights, which may have a start date that does not lend itself for registration through the Masterfile process due to the 5-11 business day processing period, also can be registered with the market </w:t>
      </w:r>
      <w:r w:rsidRPr="00746F54" w:rsidDel="004F3EE2">
        <w:rPr>
          <w:rFonts w:ascii="Arial" w:hAnsi="Arial" w:cs="Arial"/>
        </w:rPr>
        <w:t>operator</w:t>
      </w:r>
      <w:r w:rsidRPr="00746F54">
        <w:rPr>
          <w:rFonts w:ascii="Arial" w:hAnsi="Arial" w:cs="Arial"/>
        </w:rPr>
        <w:t xml:space="preserve"> and exercised through the market:</w:t>
      </w:r>
    </w:p>
    <w:p w14:paraId="44EFD727" w14:textId="77777777" w:rsidR="007679BE" w:rsidRPr="00746F54" w:rsidRDefault="007679BE" w:rsidP="007679BE">
      <w:pPr>
        <w:pStyle w:val="ParaText"/>
        <w:numPr>
          <w:ilvl w:val="0"/>
          <w:numId w:val="93"/>
        </w:numPr>
        <w:rPr>
          <w:rFonts w:ascii="Arial" w:hAnsi="Arial" w:cs="Arial"/>
        </w:rPr>
      </w:pPr>
      <w:r w:rsidRPr="00746F54">
        <w:rPr>
          <w:rFonts w:ascii="Arial" w:hAnsi="Arial" w:cs="Arial"/>
          <w:i/>
          <w:iCs/>
        </w:rPr>
        <w:t>Short-term firm OATT transmission rights between EDAM balancing areas</w:t>
      </w:r>
      <w:r w:rsidRPr="00746F54">
        <w:rPr>
          <w:rFonts w:ascii="Arial" w:hAnsi="Arial" w:cs="Arial"/>
        </w:rPr>
        <w:t xml:space="preserve">: the Scheduling Coordinator for the transmission customer will establish a transient Transfer System Resource (TSR) which reflects the transmission rights from source to sink across interties between EDAM balancing areas.  The transient TSR is not established in Masterfile, but through the Scheduling Infrastructure Business Rules (SIBR) system interface; however, to associate a contract reference number (CRN) with a transient TSR, the CRN must be registered in the Masterfile. The transient TSR must be established by 9:00 am prior to the operation of the Day-Ahead Market, and may be established in SIBR up to 7 days before the DAM run.  </w:t>
      </w:r>
    </w:p>
    <w:p w14:paraId="401DDBD8" w14:textId="77777777" w:rsidR="007679BE" w:rsidRPr="00746F54" w:rsidRDefault="007679BE" w:rsidP="007679BE">
      <w:pPr>
        <w:pStyle w:val="ParaText"/>
        <w:numPr>
          <w:ilvl w:val="0"/>
          <w:numId w:val="93"/>
        </w:numPr>
        <w:rPr>
          <w:rFonts w:ascii="Arial" w:hAnsi="Arial" w:cs="Arial"/>
        </w:rPr>
      </w:pPr>
      <w:r w:rsidRPr="00746F54">
        <w:rPr>
          <w:rFonts w:ascii="Arial" w:hAnsi="Arial" w:cs="Arial"/>
          <w:i/>
          <w:iCs/>
        </w:rPr>
        <w:t xml:space="preserve">Short-term firm OATT transmission rights for exporting out of or wheeling through an EDAM balancing area to a non-EDAM balancing area: </w:t>
      </w:r>
      <w:r w:rsidRPr="00746F54">
        <w:rPr>
          <w:rFonts w:ascii="Arial" w:hAnsi="Arial" w:cs="Arial"/>
        </w:rPr>
        <w:t xml:space="preserve">the Scheduling Coordinator for </w:t>
      </w:r>
      <w:r w:rsidRPr="00746F54">
        <w:rPr>
          <w:rFonts w:ascii="Arial" w:hAnsi="Arial" w:cs="Arial"/>
        </w:rPr>
        <w:lastRenderedPageBreak/>
        <w:t xml:space="preserve">the transmission customer should pre-register in Masterfile potential transmission rights location in advance representing the location from which the transmission rights are likely to source and associated sink.  In Masterfile, these transmission rights should be associated with zero MW, and will receive an associated Contract Reference Number.  Once the short-term transmission rights are acquired, the scheduling coordinator will submit a self-schedule in SIBR and will identify the MW in SIBR through the bid associated with the transmission rights.  The market will afford the same market clearing priority to this self-schedule associated with a Contract Reference Number exercising short-term firm OATT transmission rights as the exercise of firm OATT transmission rights registered with the market regardless of duration.  </w:t>
      </w:r>
    </w:p>
    <w:p w14:paraId="5487BDCA" w14:textId="77777777" w:rsidR="007679BE" w:rsidRPr="00746F54" w:rsidRDefault="007679BE" w:rsidP="007679BE">
      <w:pPr>
        <w:pStyle w:val="Heading2"/>
        <w:rPr>
          <w:rFonts w:ascii="Arial" w:hAnsi="Arial" w:cs="Arial"/>
        </w:rPr>
      </w:pPr>
      <w:bookmarkStart w:id="137" w:name="_Toc211337903"/>
      <w:bookmarkStart w:id="138" w:name="_Toc212733058"/>
      <w:r w:rsidRPr="00746F54">
        <w:rPr>
          <w:rFonts w:ascii="Arial" w:hAnsi="Arial" w:cs="Arial"/>
        </w:rPr>
        <w:t>Scheduling the Exercise of OATT Transmission Rights</w:t>
      </w:r>
      <w:bookmarkEnd w:id="137"/>
      <w:bookmarkEnd w:id="138"/>
    </w:p>
    <w:p w14:paraId="7688E3CB" w14:textId="759B97B7" w:rsidR="007679BE" w:rsidRPr="00746F54" w:rsidRDefault="007679BE" w:rsidP="007679BE">
      <w:pPr>
        <w:pStyle w:val="ParaText"/>
        <w:rPr>
          <w:rFonts w:ascii="Arial" w:hAnsi="Arial" w:cs="Arial"/>
        </w:rPr>
      </w:pPr>
      <w:r w:rsidRPr="00746F54">
        <w:rPr>
          <w:rFonts w:ascii="Arial" w:hAnsi="Arial" w:cs="Arial"/>
        </w:rPr>
        <w:t xml:space="preserve">Transmission customers with qualifying OATT transmission rights registered with the market can schedule and exercise these rights in the </w:t>
      </w:r>
      <w:r w:rsidRPr="00746F54" w:rsidDel="00750440">
        <w:rPr>
          <w:rFonts w:ascii="Arial" w:hAnsi="Arial" w:cs="Arial"/>
        </w:rPr>
        <w:t>Day</w:t>
      </w:r>
      <w:r w:rsidRPr="00746F54">
        <w:rPr>
          <w:rFonts w:ascii="Arial" w:hAnsi="Arial" w:cs="Arial"/>
        </w:rPr>
        <w:t>-Ahead and Real-Time Markets.  To</w:t>
      </w:r>
      <w:r w:rsidRPr="00746F54" w:rsidDel="00E72BB6">
        <w:rPr>
          <w:rFonts w:ascii="Arial" w:hAnsi="Arial" w:cs="Arial"/>
        </w:rPr>
        <w:t xml:space="preserve"> </w:t>
      </w:r>
      <w:r w:rsidRPr="00746F54">
        <w:rPr>
          <w:rFonts w:ascii="Arial" w:hAnsi="Arial" w:cs="Arial"/>
        </w:rPr>
        <w:t xml:space="preserve">schedule the exercise of the registered OATT transmission rights, the scheduling coordinator must submit a self-schedule in the market associated with the contract reference number established through the </w:t>
      </w:r>
      <w:r w:rsidR="00B60E1B" w:rsidRPr="00746F54">
        <w:rPr>
          <w:rFonts w:ascii="Arial" w:hAnsi="Arial" w:cs="Arial"/>
        </w:rPr>
        <w:t>Master</w:t>
      </w:r>
      <w:r w:rsidR="008860AA" w:rsidRPr="00746F54">
        <w:rPr>
          <w:rFonts w:ascii="Arial" w:hAnsi="Arial" w:cs="Arial"/>
        </w:rPr>
        <w:t xml:space="preserve"> File </w:t>
      </w:r>
      <w:r w:rsidRPr="00746F54">
        <w:rPr>
          <w:rFonts w:ascii="Arial" w:hAnsi="Arial" w:cs="Arial"/>
        </w:rPr>
        <w:t xml:space="preserve">registration process which reflects that the self-schedule is explicitly utilizing the registered transmission rights.  The use of a contract reference number differentiates the self-schedule from a simple self-schedule that is not exercising its transmission rights.  </w:t>
      </w:r>
      <w:r w:rsidR="008860AA" w:rsidRPr="00746F54">
        <w:rPr>
          <w:rFonts w:ascii="Arial" w:hAnsi="Arial" w:cs="Arial"/>
        </w:rPr>
        <w:t>Note that EDAM OATT Transmission Rights cannot be exercised through the submission of an economic bid in the market.</w:t>
      </w:r>
    </w:p>
    <w:p w14:paraId="7C97D4C9" w14:textId="69B1E752" w:rsidR="007679BE" w:rsidRPr="00746F54" w:rsidRDefault="007679BE" w:rsidP="007679BE">
      <w:pPr>
        <w:pStyle w:val="ParaText"/>
        <w:rPr>
          <w:rFonts w:ascii="Arial" w:hAnsi="Arial" w:cs="Arial"/>
        </w:rPr>
      </w:pPr>
      <w:r w:rsidRPr="00746F54">
        <w:rPr>
          <w:rFonts w:ascii="Arial" w:hAnsi="Arial" w:cs="Arial"/>
        </w:rPr>
        <w:t>When these OATT transmission rights are exercised through a self-schedule associated with a contract reference number, the market</w:t>
      </w:r>
      <w:r w:rsidRPr="00746F54" w:rsidDel="004F3EE2">
        <w:rPr>
          <w:rFonts w:ascii="Arial" w:hAnsi="Arial" w:cs="Arial"/>
        </w:rPr>
        <w:t xml:space="preserve"> </w:t>
      </w:r>
      <w:r w:rsidRPr="00746F54">
        <w:rPr>
          <w:rFonts w:ascii="Arial" w:hAnsi="Arial" w:cs="Arial"/>
        </w:rPr>
        <w:t xml:space="preserve">will afford these self-schedules a market clearing priority over other self-schedules that are not exercising their transmission rights and other economic bids.  This will ensure that these schedules clear the market, depending upon the grid conditions, and are able to exercise and utilize their OATT transmission service rights.  </w:t>
      </w:r>
    </w:p>
    <w:p w14:paraId="67CB0E8A" w14:textId="398083E0" w:rsidR="007679BE" w:rsidRPr="00746F54" w:rsidRDefault="007679BE" w:rsidP="007679BE">
      <w:pPr>
        <w:pStyle w:val="ParaText"/>
        <w:rPr>
          <w:rFonts w:ascii="Arial" w:hAnsi="Arial" w:cs="Arial"/>
          <w:b/>
          <w:bCs/>
        </w:rPr>
      </w:pPr>
      <w:r w:rsidRPr="00746F54">
        <w:rPr>
          <w:rFonts w:ascii="Arial" w:hAnsi="Arial" w:cs="Arial"/>
        </w:rPr>
        <w:tab/>
      </w:r>
      <w:r w:rsidR="00C03530" w:rsidRPr="00746F54">
        <w:rPr>
          <w:rFonts w:ascii="Arial" w:hAnsi="Arial" w:cs="Arial"/>
          <w:b/>
          <w:bCs/>
        </w:rPr>
        <w:t>13</w:t>
      </w:r>
      <w:r w:rsidRPr="00746F54">
        <w:rPr>
          <w:rFonts w:ascii="Arial" w:hAnsi="Arial" w:cs="Arial"/>
          <w:b/>
          <w:bCs/>
        </w:rPr>
        <w:t>.2.1</w:t>
      </w:r>
      <w:r w:rsidRPr="00746F54">
        <w:rPr>
          <w:rFonts w:ascii="Arial" w:hAnsi="Arial" w:cs="Arial"/>
          <w:b/>
          <w:bCs/>
        </w:rPr>
        <w:tab/>
      </w:r>
      <w:r w:rsidRPr="00746F54">
        <w:rPr>
          <w:rStyle w:val="Heading3Char"/>
          <w:rFonts w:ascii="Arial" w:hAnsi="Arial" w:cs="Arial"/>
        </w:rPr>
        <w:t>Permissible Intra-Day Transmission Schedule Changes</w:t>
      </w:r>
    </w:p>
    <w:p w14:paraId="73F9B725" w14:textId="77777777" w:rsidR="007679BE" w:rsidRPr="00746F54" w:rsidRDefault="007679BE" w:rsidP="007679BE">
      <w:pPr>
        <w:pStyle w:val="ParaText"/>
        <w:rPr>
          <w:rFonts w:ascii="Arial" w:hAnsi="Arial" w:cs="Arial"/>
        </w:rPr>
      </w:pPr>
      <w:r w:rsidRPr="00746F54">
        <w:rPr>
          <w:rFonts w:ascii="Arial" w:hAnsi="Arial" w:cs="Arial"/>
        </w:rPr>
        <w:t>Scheduling coordinators representing transmission customers holding qualifying OATT transmission rights registered with the market can exercise these in the Day-Ahead Market and/or the Real-Time Market.  The scheduling coordinator can make permissible intra-day schedule changes associated with the exercise of the OATT transmission service right in accordance with section 33.18.2.2.3 of the Tariff.</w:t>
      </w:r>
    </w:p>
    <w:p w14:paraId="4DF3FFAD" w14:textId="77777777" w:rsidR="007679BE" w:rsidRPr="00746F54" w:rsidRDefault="007679BE" w:rsidP="007679BE">
      <w:pPr>
        <w:pStyle w:val="ParaText"/>
        <w:rPr>
          <w:rFonts w:ascii="Arial" w:hAnsi="Arial" w:cs="Arial"/>
        </w:rPr>
      </w:pPr>
      <w:r w:rsidRPr="00746F54">
        <w:rPr>
          <w:rFonts w:ascii="Arial" w:hAnsi="Arial" w:cs="Arial"/>
        </w:rPr>
        <w:t xml:space="preserve">To the extent that the scheduling coordinator does schedule the use of all of its OATT transmission rights in the market, and otherwise does not release transmission at EDAM interties in advance of the Day-Ahead Market, the transmission customers may exercise its </w:t>
      </w:r>
      <w:r w:rsidRPr="00746F54">
        <w:rPr>
          <w:rFonts w:ascii="Arial" w:hAnsi="Arial" w:cs="Arial"/>
        </w:rPr>
        <w:lastRenderedPageBreak/>
        <w:t xml:space="preserve">OATT transmission service rights later in advance of the Real-Time Market.  The scheduling coordinator for the transmission customer would submit a later, after the Day-Ahead Market closes, a self-schedule associated with a contract reference numbers exercising its remaining transmission rights and the ISO will accommodate that schedule in the Real-Time Market.  </w:t>
      </w:r>
    </w:p>
    <w:p w14:paraId="24A465CB" w14:textId="77777777" w:rsidR="007679BE" w:rsidRPr="00746F54" w:rsidRDefault="007679BE" w:rsidP="007679BE">
      <w:pPr>
        <w:pStyle w:val="ParaText"/>
        <w:rPr>
          <w:rFonts w:ascii="Arial" w:hAnsi="Arial" w:cs="Arial"/>
        </w:rPr>
      </w:pPr>
      <w:r w:rsidRPr="00746F54">
        <w:rPr>
          <w:rFonts w:ascii="Arial" w:hAnsi="Arial" w:cs="Arial"/>
        </w:rPr>
        <w:t xml:space="preserve">The Real-Time Market may redispatch generation, if necessary, to accommodate the later self-schedule associated with the OATT transmission service rights; the market will afford these self-schedules equal priority to cleared Day-Ahead Schedules and higher priority than other self-schedules not associated with the exercise of OATT transmission rights submitted in the Real-Time Market.  These actions and priorities will provide a high degree of confidence in accommodating the schedule change based on grid conditions.  </w:t>
      </w:r>
    </w:p>
    <w:p w14:paraId="51E1DD55" w14:textId="77777777" w:rsidR="007679BE" w:rsidRPr="00746F54" w:rsidRDefault="007679BE" w:rsidP="007679BE">
      <w:pPr>
        <w:pStyle w:val="ParaText"/>
        <w:rPr>
          <w:rFonts w:ascii="Arial" w:hAnsi="Arial" w:cs="Arial"/>
        </w:rPr>
      </w:pPr>
      <w:r w:rsidRPr="00746F54">
        <w:rPr>
          <w:rFonts w:ascii="Arial" w:hAnsi="Arial" w:cs="Arial"/>
        </w:rPr>
        <w:t xml:space="preserve">The EDAM Transmission Service Provider can provide instructions as to the level of priority to afford to schedules exercising their OATT transmission service rights through a self-schedule associated with a contract reference number, including higher priority than cleared Day-Ahead Schedules in accordance with the EDAM Transmission Service Provider tariff.  To the extent that there is a Real-Time Market infeasibility such that the market cannot accommodate the submitted schedules including the exercise of OATT transmission rights, the market defers to the EDAM entity to resolve that infeasibility and inform the market of how to prioritize the conflicting schedules contributing to the infeasibility.  </w:t>
      </w:r>
    </w:p>
    <w:p w14:paraId="60F4F5BF" w14:textId="124FEDFD" w:rsidR="007679BE" w:rsidRPr="00746F54" w:rsidRDefault="007679BE" w:rsidP="007679BE">
      <w:pPr>
        <w:pStyle w:val="ParaText"/>
        <w:rPr>
          <w:rFonts w:ascii="Arial" w:hAnsi="Arial" w:cs="Arial"/>
          <w:b/>
          <w:bCs/>
        </w:rPr>
      </w:pPr>
      <w:r w:rsidRPr="00746F54">
        <w:rPr>
          <w:rFonts w:ascii="Arial" w:hAnsi="Arial" w:cs="Arial"/>
        </w:rPr>
        <w:tab/>
      </w:r>
      <w:r w:rsidR="00C03530" w:rsidRPr="00746F54">
        <w:rPr>
          <w:rFonts w:ascii="Arial" w:hAnsi="Arial" w:cs="Arial"/>
          <w:b/>
          <w:bCs/>
        </w:rPr>
        <w:t>13</w:t>
      </w:r>
      <w:r w:rsidRPr="00746F54">
        <w:rPr>
          <w:rFonts w:ascii="Arial" w:hAnsi="Arial" w:cs="Arial"/>
          <w:b/>
          <w:bCs/>
        </w:rPr>
        <w:t>.2.1</w:t>
      </w:r>
      <w:r w:rsidRPr="00746F54">
        <w:rPr>
          <w:rFonts w:ascii="Arial" w:hAnsi="Arial" w:cs="Arial"/>
          <w:b/>
          <w:bCs/>
        </w:rPr>
        <w:tab/>
      </w:r>
      <w:r w:rsidRPr="00746F54">
        <w:rPr>
          <w:rStyle w:val="Heading3Char"/>
          <w:rFonts w:ascii="Arial" w:hAnsi="Arial" w:cs="Arial"/>
        </w:rPr>
        <w:t>Settlements Associated with the Exercise of OATT Transmission Service Rights</w:t>
      </w:r>
    </w:p>
    <w:p w14:paraId="3084817F" w14:textId="2AEF3F80" w:rsidR="007679BE" w:rsidRPr="00746F54" w:rsidRDefault="007679BE" w:rsidP="007679BE">
      <w:pPr>
        <w:pStyle w:val="ParaText"/>
        <w:rPr>
          <w:rFonts w:ascii="Arial" w:hAnsi="Arial" w:cs="Arial"/>
        </w:rPr>
      </w:pPr>
      <w:r w:rsidRPr="00746F54">
        <w:rPr>
          <w:rFonts w:ascii="Arial" w:hAnsi="Arial" w:cs="Arial"/>
        </w:rPr>
        <w:t>The energy associated with the Self-Schedule submitted associated with a contract reference number exercising its OATT transmission service rights will be settled by the market</w:t>
      </w:r>
      <w:r w:rsidRPr="00746F54" w:rsidDel="004F3EE2">
        <w:rPr>
          <w:rFonts w:ascii="Arial" w:hAnsi="Arial" w:cs="Arial"/>
        </w:rPr>
        <w:t xml:space="preserve"> </w:t>
      </w:r>
      <w:r w:rsidRPr="00746F54">
        <w:rPr>
          <w:rFonts w:ascii="Arial" w:hAnsi="Arial" w:cs="Arial"/>
        </w:rPr>
        <w:t xml:space="preserve">with the scheduling coordinator for the registered OATT transmission service rights.  Congestion revenues associated with the Self-Scheduled exercising the OATT transmission service rights will be settled with the EDAM entity for further sub-allocation under the terms of its  tariff.  For a comprehensive description of the settlements associated with the exercise of OATT transmission service rights, please refer to the </w:t>
      </w:r>
      <w:r w:rsidRPr="00746F54">
        <w:rPr>
          <w:rFonts w:ascii="Arial" w:hAnsi="Arial" w:cs="Arial"/>
          <w:i/>
          <w:iCs/>
        </w:rPr>
        <w:t xml:space="preserve">Settlements and Billing </w:t>
      </w:r>
      <w:r w:rsidRPr="00746F54">
        <w:rPr>
          <w:rFonts w:ascii="Arial" w:hAnsi="Arial" w:cs="Arial"/>
        </w:rPr>
        <w:t xml:space="preserve">Business Practice Manual.  </w:t>
      </w:r>
    </w:p>
    <w:p w14:paraId="6668A832" w14:textId="77777777" w:rsidR="007679BE" w:rsidRPr="00746F54" w:rsidRDefault="007679BE" w:rsidP="007679BE">
      <w:pPr>
        <w:pStyle w:val="Heading2"/>
        <w:rPr>
          <w:rFonts w:ascii="Arial" w:hAnsi="Arial" w:cs="Arial"/>
        </w:rPr>
      </w:pPr>
      <w:bookmarkStart w:id="139" w:name="_Toc211337904"/>
      <w:bookmarkStart w:id="140" w:name="_Toc212733059"/>
      <w:r w:rsidRPr="00746F54">
        <w:rPr>
          <w:rFonts w:ascii="Arial" w:hAnsi="Arial" w:cs="Arial"/>
        </w:rPr>
        <w:t>Transmission at EDAM Interties Supporting EDAM Transfers</w:t>
      </w:r>
      <w:bookmarkEnd w:id="139"/>
      <w:bookmarkEnd w:id="140"/>
    </w:p>
    <w:p w14:paraId="580975CE" w14:textId="77777777" w:rsidR="007679BE" w:rsidRPr="00746F54" w:rsidRDefault="007679BE" w:rsidP="007679BE">
      <w:pPr>
        <w:pStyle w:val="ParaText"/>
        <w:rPr>
          <w:rFonts w:ascii="Arial" w:hAnsi="Arial" w:cs="Arial"/>
        </w:rPr>
      </w:pPr>
      <w:r w:rsidRPr="00746F54">
        <w:rPr>
          <w:rFonts w:ascii="Arial" w:hAnsi="Arial" w:cs="Arial"/>
        </w:rPr>
        <w:t xml:space="preserve">In EDAM, transmission capability at interties between EDAM balancing areas is made available to the Day-Ahead Market to support efficient energy transfers.  The EDAM Transmission Provider and transmission customers holding OATT transmission rights registered with the market make transmission capability available at the interties for energy transfers.  The EDAM </w:t>
      </w:r>
      <w:r w:rsidRPr="00746F54">
        <w:rPr>
          <w:rFonts w:ascii="Arial" w:hAnsi="Arial" w:cs="Arial"/>
        </w:rPr>
        <w:lastRenderedPageBreak/>
        <w:t xml:space="preserve">entity scheduling coordinator is responsible for identifying the transmission limits at EDAM interties available for supporting EDAM transfers and submitting associated transfer e-tags as described in section 33.18.2 of the Tariff.    </w:t>
      </w:r>
    </w:p>
    <w:p w14:paraId="7DF95266" w14:textId="77777777" w:rsidR="007679BE" w:rsidRPr="00746F54" w:rsidRDefault="007679BE" w:rsidP="007679BE">
      <w:pPr>
        <w:pStyle w:val="Heading3"/>
        <w:rPr>
          <w:rFonts w:ascii="Arial" w:hAnsi="Arial" w:cs="Arial"/>
        </w:rPr>
      </w:pPr>
      <w:bookmarkStart w:id="141" w:name="_Toc211337905"/>
      <w:r w:rsidRPr="00746F54">
        <w:rPr>
          <w:rFonts w:ascii="Arial" w:hAnsi="Arial" w:cs="Arial"/>
        </w:rPr>
        <w:t>Transmission at EDAM Interties Supporting Resource Sufficiency</w:t>
      </w:r>
      <w:bookmarkEnd w:id="141"/>
    </w:p>
    <w:p w14:paraId="60DB08D7" w14:textId="77777777" w:rsidR="007679BE" w:rsidRPr="00746F54" w:rsidRDefault="007679BE" w:rsidP="007679BE">
      <w:pPr>
        <w:pStyle w:val="ParaText"/>
        <w:rPr>
          <w:rFonts w:ascii="Arial" w:hAnsi="Arial" w:cs="Arial"/>
        </w:rPr>
      </w:pPr>
      <w:r w:rsidRPr="00746F54">
        <w:rPr>
          <w:rFonts w:ascii="Arial" w:hAnsi="Arial" w:cs="Arial"/>
        </w:rPr>
        <w:t xml:space="preserve">Transmission capability supporting delivery of contracted generation across an intertie between two EDAM balancing areas is made available to the market to support market optimized EDAM energy transfers as described in section 33.18.2.1 of the Tariff.  The OATT transmission rights supporting the resource sufficiency evaluation consist of firm or conditional firm PTP rights or NITS service at EDAM interties.   </w:t>
      </w:r>
    </w:p>
    <w:p w14:paraId="4DEF0EA0" w14:textId="1BC14BBA" w:rsidR="007679BE" w:rsidRPr="00746F54" w:rsidRDefault="007679BE" w:rsidP="007679BE">
      <w:pPr>
        <w:pStyle w:val="ParaText"/>
        <w:rPr>
          <w:rFonts w:ascii="Arial" w:hAnsi="Arial" w:cs="Arial"/>
        </w:rPr>
      </w:pPr>
      <w:r w:rsidRPr="00746F54">
        <w:rPr>
          <w:rFonts w:ascii="Arial" w:hAnsi="Arial" w:cs="Arial"/>
        </w:rPr>
        <w:t xml:space="preserve">The transmission customers, and associated scheduling coordinators, will coordinate with the EDAM entity to establish Transfer System Resources (TSR) associated with contracted generation and transmission rights supporting the EDAM balancing area resource sufficiency evaluation.  </w:t>
      </w:r>
      <w:r w:rsidR="007B12ED" w:rsidRPr="00746F54">
        <w:rPr>
          <w:rFonts w:ascii="Arial" w:hAnsi="Arial" w:cs="Arial"/>
        </w:rPr>
        <w:t xml:space="preserve">Registered </w:t>
      </w:r>
      <w:r w:rsidRPr="00746F54">
        <w:rPr>
          <w:rFonts w:ascii="Arial" w:hAnsi="Arial" w:cs="Arial"/>
        </w:rPr>
        <w:t>TSRs are established with the market through the Master</w:t>
      </w:r>
      <w:r w:rsidR="007B12ED" w:rsidRPr="00746F54">
        <w:rPr>
          <w:rFonts w:ascii="Arial" w:hAnsi="Arial" w:cs="Arial"/>
        </w:rPr>
        <w:t xml:space="preserve"> </w:t>
      </w:r>
      <w:r w:rsidRPr="00746F54">
        <w:rPr>
          <w:rFonts w:ascii="Arial" w:hAnsi="Arial" w:cs="Arial"/>
        </w:rPr>
        <w:t xml:space="preserve">file process, </w:t>
      </w:r>
      <w:r w:rsidR="007B12ED" w:rsidRPr="00746F54">
        <w:rPr>
          <w:rFonts w:ascii="Arial" w:hAnsi="Arial" w:cs="Arial"/>
        </w:rPr>
        <w:t xml:space="preserve">and transient TSRs are developed in SIBR for a specified trading day, </w:t>
      </w:r>
      <w:r w:rsidRPr="00746F54">
        <w:rPr>
          <w:rFonts w:ascii="Arial" w:hAnsi="Arial" w:cs="Arial"/>
        </w:rPr>
        <w:t>as described in</w:t>
      </w:r>
      <w:r w:rsidR="007B12ED" w:rsidRPr="00746F54">
        <w:rPr>
          <w:rFonts w:ascii="Arial" w:hAnsi="Arial" w:cs="Arial"/>
        </w:rPr>
        <w:t xml:space="preserve"> section 3.1 of</w:t>
      </w:r>
      <w:r w:rsidRPr="00746F54">
        <w:rPr>
          <w:rFonts w:ascii="Arial" w:hAnsi="Arial" w:cs="Arial"/>
        </w:rPr>
        <w:t xml:space="preserve"> this BPM.  </w:t>
      </w:r>
      <w:r w:rsidR="007B12ED" w:rsidRPr="00746F54">
        <w:rPr>
          <w:rFonts w:ascii="Arial" w:hAnsi="Arial" w:cs="Arial"/>
        </w:rPr>
        <w:t>Only Type 1 and Type 3 TSRs are eligible for participation in the day-ahead Resource Sufficiency Evaluation; TSR types are further described in section 3.1.2 of this BPM.</w:t>
      </w:r>
    </w:p>
    <w:p w14:paraId="6710E6E4" w14:textId="77777777" w:rsidR="007679BE" w:rsidRPr="00746F54" w:rsidRDefault="007679BE" w:rsidP="007679BE">
      <w:pPr>
        <w:pStyle w:val="Heading3"/>
        <w:rPr>
          <w:rFonts w:ascii="Arial" w:hAnsi="Arial" w:cs="Arial"/>
        </w:rPr>
      </w:pPr>
      <w:bookmarkStart w:id="142" w:name="_Toc211337906"/>
      <w:r w:rsidRPr="00746F54">
        <w:rPr>
          <w:rFonts w:ascii="Arial" w:hAnsi="Arial" w:cs="Arial"/>
        </w:rPr>
        <w:t>Transmission Capacity Made Available by Transmission Customers</w:t>
      </w:r>
      <w:bookmarkEnd w:id="142"/>
    </w:p>
    <w:p w14:paraId="0E769FB5" w14:textId="77777777" w:rsidR="007679BE" w:rsidRPr="00746F54" w:rsidRDefault="007679BE" w:rsidP="007679BE">
      <w:pPr>
        <w:pStyle w:val="ParaText"/>
        <w:rPr>
          <w:rFonts w:ascii="Arial" w:hAnsi="Arial" w:cs="Arial"/>
        </w:rPr>
      </w:pPr>
      <w:r w:rsidRPr="00746F54">
        <w:rPr>
          <w:rFonts w:ascii="Arial" w:hAnsi="Arial" w:cs="Arial"/>
        </w:rPr>
        <w:t>Beyond transmission capacity reserved at EDAM interties that is made available as a result of delivery of contracted supply to meet the resource sufficiency evaluation as described above, transmission capacity is made available based on the transmission reserved by transmission customers on the EDAM Transmission Provider system to support efficiency energy transfers between EDAM balancing areas.  Transmission customers holding firm or conditional firm transmission OATT transmission rights, whether point-to-point or network integration transmission service rights, have three pathways associated with these transmission rights and how the transmission is utilized to support efficient energy transfers between EDAM balancing areas as described in section 33.18.2.2 of the Tariff:</w:t>
      </w:r>
    </w:p>
    <w:p w14:paraId="77D9A54A" w14:textId="77777777" w:rsidR="007679BE" w:rsidRPr="00746F54" w:rsidRDefault="007679BE" w:rsidP="007679BE">
      <w:pPr>
        <w:pStyle w:val="ParaText"/>
        <w:numPr>
          <w:ilvl w:val="0"/>
          <w:numId w:val="90"/>
        </w:numPr>
        <w:rPr>
          <w:rFonts w:ascii="Arial" w:hAnsi="Arial" w:cs="Arial"/>
        </w:rPr>
      </w:pPr>
      <w:r w:rsidRPr="00746F54">
        <w:rPr>
          <w:rFonts w:ascii="Arial" w:hAnsi="Arial" w:cs="Arial"/>
        </w:rPr>
        <w:t>Exercise of the firm OATT transmission rights through a self-schedule.</w:t>
      </w:r>
    </w:p>
    <w:p w14:paraId="73A6ED1C" w14:textId="77777777" w:rsidR="007679BE" w:rsidRPr="00746F54" w:rsidRDefault="007679BE" w:rsidP="007679BE">
      <w:pPr>
        <w:pStyle w:val="ParaText"/>
        <w:numPr>
          <w:ilvl w:val="0"/>
          <w:numId w:val="90"/>
        </w:numPr>
        <w:rPr>
          <w:rFonts w:ascii="Arial" w:hAnsi="Arial" w:cs="Arial"/>
        </w:rPr>
      </w:pPr>
      <w:r w:rsidRPr="00746F54">
        <w:rPr>
          <w:rFonts w:ascii="Arial" w:hAnsi="Arial" w:cs="Arial"/>
        </w:rPr>
        <w:t>Release of transmission rights ahead of the Day-Ahead Market.</w:t>
      </w:r>
    </w:p>
    <w:p w14:paraId="65E3344B" w14:textId="77777777" w:rsidR="007679BE" w:rsidRPr="00746F54" w:rsidRDefault="007679BE" w:rsidP="007679BE">
      <w:pPr>
        <w:pStyle w:val="ParaText"/>
        <w:numPr>
          <w:ilvl w:val="0"/>
          <w:numId w:val="90"/>
        </w:numPr>
        <w:rPr>
          <w:rFonts w:ascii="Arial" w:hAnsi="Arial" w:cs="Arial"/>
        </w:rPr>
      </w:pPr>
      <w:r w:rsidRPr="00746F54">
        <w:rPr>
          <w:rFonts w:ascii="Arial" w:hAnsi="Arial" w:cs="Arial"/>
        </w:rPr>
        <w:t xml:space="preserve">Availability of unscheduled firm OATT transmission rights to support market transfers.  </w:t>
      </w:r>
    </w:p>
    <w:p w14:paraId="585A1B74" w14:textId="77777777" w:rsidR="007679BE" w:rsidRPr="00746F54" w:rsidRDefault="007679BE" w:rsidP="007679BE">
      <w:pPr>
        <w:pStyle w:val="ParaText"/>
        <w:rPr>
          <w:rFonts w:ascii="Arial" w:hAnsi="Arial" w:cs="Arial"/>
        </w:rPr>
      </w:pPr>
      <w:r w:rsidRPr="00746F54">
        <w:rPr>
          <w:rFonts w:ascii="Arial" w:hAnsi="Arial" w:cs="Arial"/>
        </w:rPr>
        <w:lastRenderedPageBreak/>
        <w:t>As a starting point, and as described in section 6.2 of this BPM, transmission customers of an EDAM Transmission Service Provider can elect to exercise and utilize their specific reserved firm or conditional firm point to point or network integration transmission service rights reserved at EDAM interties under the EDAM Transmission Service Provider OATT and registered with the market.  These transmission rights are exercised through the submission of a self-schedule in the market associated with a Contract Reference Number representing the registered transmission rights.  The market will seek to prioritize these self-schedules in the market clearing process and supporting energy transfers between EDAM balancing areas.</w:t>
      </w:r>
    </w:p>
    <w:p w14:paraId="13DC14CC" w14:textId="77777777" w:rsidR="007679BE" w:rsidRPr="00746F54" w:rsidRDefault="007679BE" w:rsidP="007679BE">
      <w:pPr>
        <w:pStyle w:val="ParaText"/>
        <w:rPr>
          <w:rFonts w:ascii="Arial" w:hAnsi="Arial" w:cs="Arial"/>
        </w:rPr>
      </w:pPr>
      <w:r w:rsidRPr="00746F54">
        <w:rPr>
          <w:rFonts w:ascii="Arial" w:hAnsi="Arial" w:cs="Arial"/>
        </w:rPr>
        <w:t xml:space="preserve">Scheduling Coordinators for a transmission customer of an EDAM Transmission Service Provider can proactively release their firm or conditional firm point to point or network integration transmission service rights held at EDAM interties by 9:00am the morning of the Day-Ahead and this transmission capacity will be made available to support efficient EDAM transfers, as described in section 33.18.2.2.2 of the Tariff.  The Scheduling Coordinator representing the transmission customer associated with the registered transmission rights can determine on a daily basis whether to release the transmission rights for the day, and if released whether to release part or all of the transmission rights to support EDAM transfers.  Importantly, transmission rights at an EDAM intertie that are released to the market cannot be reclaimed or scheduled for the duration of the trade date for which they have been released.  </w:t>
      </w:r>
      <w:commentRangeStart w:id="143"/>
      <w:commentRangeStart w:id="144"/>
      <w:r w:rsidRPr="00746F54">
        <w:rPr>
          <w:rFonts w:ascii="Arial" w:hAnsi="Arial" w:cs="Arial"/>
        </w:rPr>
        <w:t xml:space="preserve">The EDAM Entity Scheduling Coordinator will ensure that that release of transmission rights is communicated to the market associated with a Transfer System resource.  </w:t>
      </w:r>
      <w:commentRangeEnd w:id="143"/>
      <w:r w:rsidRPr="00746F54">
        <w:rPr>
          <w:rStyle w:val="CommentReference"/>
          <w:rFonts w:ascii="Arial" w:hAnsi="Arial" w:cs="Arial"/>
        </w:rPr>
        <w:commentReference w:id="143"/>
      </w:r>
      <w:commentRangeEnd w:id="144"/>
      <w:r w:rsidRPr="00746F54">
        <w:rPr>
          <w:rStyle w:val="CommentReference"/>
          <w:rFonts w:ascii="Arial" w:hAnsi="Arial" w:cs="Arial"/>
        </w:rPr>
        <w:commentReference w:id="144"/>
      </w:r>
      <w:r w:rsidRPr="00746F54">
        <w:rPr>
          <w:rFonts w:ascii="Arial" w:hAnsi="Arial" w:cs="Arial"/>
        </w:rPr>
        <w:t>The market</w:t>
      </w:r>
      <w:r w:rsidRPr="00746F54" w:rsidDel="004F3EE2">
        <w:rPr>
          <w:rFonts w:ascii="Arial" w:hAnsi="Arial" w:cs="Arial"/>
        </w:rPr>
        <w:t xml:space="preserve"> </w:t>
      </w:r>
      <w:r w:rsidRPr="00746F54">
        <w:rPr>
          <w:rFonts w:ascii="Arial" w:hAnsi="Arial" w:cs="Arial"/>
        </w:rPr>
        <w:t xml:space="preserve">will directly allocated and settle transfer revenue that may accrue at the specific EDAM intertie with the Scheduling Coordinator for the transmission customer which has released their transmission rights as described above.  </w:t>
      </w:r>
    </w:p>
    <w:p w14:paraId="7D169FE9" w14:textId="77777777" w:rsidR="007679BE" w:rsidRPr="00746F54" w:rsidRDefault="007679BE" w:rsidP="00636D40">
      <w:pPr>
        <w:pStyle w:val="ParaText"/>
        <w:rPr>
          <w:rFonts w:ascii="Arial" w:hAnsi="Arial" w:cs="Arial"/>
          <w:sz w:val="24"/>
          <w:szCs w:val="24"/>
        </w:rPr>
      </w:pPr>
      <w:r w:rsidRPr="00746F54">
        <w:rPr>
          <w:rFonts w:ascii="Arial" w:hAnsi="Arial" w:cs="Arial"/>
        </w:rPr>
        <w:t xml:space="preserve">TSR Capacity will be available in a SIBR UI, (tentative named “TSR Capacity Notification.”  The report shall provide </w:t>
      </w:r>
      <w:r w:rsidRPr="00241862">
        <w:rPr>
          <w:rFonts w:ascii="Arial" w:hAnsi="Arial" w:cs="Arial"/>
          <w:sz w:val="20"/>
          <w:szCs w:val="20"/>
        </w:rPr>
        <w:t>the CRN Capacity for that Trading Hour, Transfer Location, CRN Reference, and SC, the Released Capacity for that Trading Hour, Transfer Location, CRN Reference, and SC, the exercised right calculated as the sum of CRN Self-Schedule Quantities specified in the CRN Self-Schedule Bid Components in all Inter-Tie Resource Bids for TSR Type 1 for that Trading Hour, Transfer Location, CRN Reference, and SC; and the reserved right calculated as that CRN Capacity minus that Released Capacity minus that exercised right.</w:t>
      </w:r>
    </w:p>
    <w:p w14:paraId="6801AA9F" w14:textId="77777777" w:rsidR="007679BE" w:rsidRPr="00746F54" w:rsidRDefault="007679BE" w:rsidP="007679BE">
      <w:pPr>
        <w:rPr>
          <w:rFonts w:ascii="Arial" w:hAnsi="Arial" w:cs="Arial"/>
        </w:rPr>
      </w:pPr>
      <w:r w:rsidRPr="00746F54">
        <w:rPr>
          <w:rFonts w:ascii="Arial" w:hAnsi="Arial" w:cs="Arial"/>
        </w:rPr>
        <w:t>Example Report:</w:t>
      </w:r>
    </w:p>
    <w:tbl>
      <w:tblPr>
        <w:tblW w:w="10784" w:type="dxa"/>
        <w:tblInd w:w="5" w:type="dxa"/>
        <w:tblCellMar>
          <w:left w:w="0" w:type="dxa"/>
          <w:right w:w="0" w:type="dxa"/>
        </w:tblCellMar>
        <w:tblLook w:val="04A0" w:firstRow="1" w:lastRow="0" w:firstColumn="1" w:lastColumn="0" w:noHBand="0" w:noVBand="1"/>
      </w:tblPr>
      <w:tblGrid>
        <w:gridCol w:w="522"/>
        <w:gridCol w:w="3187"/>
        <w:gridCol w:w="1500"/>
        <w:gridCol w:w="1208"/>
        <w:gridCol w:w="1072"/>
        <w:gridCol w:w="1370"/>
        <w:gridCol w:w="1182"/>
        <w:gridCol w:w="1158"/>
      </w:tblGrid>
      <w:tr w:rsidR="007679BE" w:rsidRPr="00746F54" w14:paraId="78DD8B1E" w14:textId="77777777" w:rsidTr="00D826BF">
        <w:trPr>
          <w:trHeight w:val="1201"/>
        </w:trPr>
        <w:tc>
          <w:tcPr>
            <w:tcW w:w="71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22FB9511" w14:textId="77777777" w:rsidR="007679BE" w:rsidRPr="00746F54" w:rsidRDefault="007679BE" w:rsidP="00D62922">
            <w:pPr>
              <w:jc w:val="center"/>
              <w:rPr>
                <w:rFonts w:ascii="Arial" w:hAnsi="Arial" w:cs="Arial"/>
              </w:rPr>
            </w:pPr>
            <w:r w:rsidRPr="00746F54">
              <w:rPr>
                <w:rFonts w:ascii="Arial" w:hAnsi="Arial" w:cs="Arial"/>
              </w:rPr>
              <w:t>HE</w:t>
            </w:r>
          </w:p>
        </w:tc>
        <w:tc>
          <w:tcPr>
            <w:tcW w:w="2741" w:type="dxa"/>
            <w:tcBorders>
              <w:top w:val="single" w:sz="8" w:space="0" w:color="auto"/>
              <w:left w:val="nil"/>
              <w:bottom w:val="single" w:sz="8" w:space="0" w:color="auto"/>
              <w:right w:val="single" w:sz="8" w:space="0" w:color="auto"/>
            </w:tcBorders>
            <w:noWrap/>
            <w:tcMar>
              <w:top w:w="0" w:type="dxa"/>
              <w:left w:w="108" w:type="dxa"/>
              <w:bottom w:w="0" w:type="dxa"/>
              <w:right w:w="108" w:type="dxa"/>
            </w:tcMar>
            <w:vAlign w:val="center"/>
            <w:hideMark/>
          </w:tcPr>
          <w:p w14:paraId="289277F5" w14:textId="77777777" w:rsidR="007679BE" w:rsidRPr="00746F54" w:rsidRDefault="007679BE" w:rsidP="00D62922">
            <w:pPr>
              <w:jc w:val="center"/>
              <w:rPr>
                <w:rFonts w:ascii="Arial" w:hAnsi="Arial" w:cs="Arial"/>
              </w:rPr>
            </w:pPr>
            <w:r w:rsidRPr="00746F54">
              <w:rPr>
                <w:rFonts w:ascii="Arial" w:hAnsi="Arial" w:cs="Arial"/>
              </w:rPr>
              <w:t>Transfer Location</w:t>
            </w:r>
          </w:p>
        </w:tc>
        <w:tc>
          <w:tcPr>
            <w:tcW w:w="1289" w:type="dxa"/>
            <w:tcBorders>
              <w:top w:val="single" w:sz="8" w:space="0" w:color="auto"/>
              <w:left w:val="nil"/>
              <w:bottom w:val="single" w:sz="8" w:space="0" w:color="auto"/>
              <w:right w:val="single" w:sz="8" w:space="0" w:color="auto"/>
            </w:tcBorders>
            <w:noWrap/>
            <w:tcMar>
              <w:top w:w="0" w:type="dxa"/>
              <w:left w:w="108" w:type="dxa"/>
              <w:bottom w:w="0" w:type="dxa"/>
              <w:right w:w="108" w:type="dxa"/>
            </w:tcMar>
            <w:vAlign w:val="center"/>
            <w:hideMark/>
          </w:tcPr>
          <w:p w14:paraId="1610B01F" w14:textId="77777777" w:rsidR="007679BE" w:rsidRPr="00746F54" w:rsidRDefault="007679BE" w:rsidP="00D62922">
            <w:pPr>
              <w:jc w:val="center"/>
              <w:rPr>
                <w:rFonts w:ascii="Arial" w:hAnsi="Arial" w:cs="Arial"/>
              </w:rPr>
            </w:pPr>
            <w:r w:rsidRPr="00746F54">
              <w:rPr>
                <w:rFonts w:ascii="Arial" w:hAnsi="Arial" w:cs="Arial"/>
              </w:rPr>
              <w:t>CRN</w:t>
            </w:r>
          </w:p>
        </w:tc>
        <w:tc>
          <w:tcPr>
            <w:tcW w:w="1208" w:type="dxa"/>
            <w:tcBorders>
              <w:top w:val="single" w:sz="8" w:space="0" w:color="auto"/>
              <w:left w:val="nil"/>
              <w:bottom w:val="single" w:sz="8" w:space="0" w:color="auto"/>
              <w:right w:val="single" w:sz="8" w:space="0" w:color="auto"/>
            </w:tcBorders>
            <w:noWrap/>
            <w:tcMar>
              <w:top w:w="0" w:type="dxa"/>
              <w:left w:w="108" w:type="dxa"/>
              <w:bottom w:w="0" w:type="dxa"/>
              <w:right w:w="108" w:type="dxa"/>
            </w:tcMar>
            <w:vAlign w:val="center"/>
            <w:hideMark/>
          </w:tcPr>
          <w:p w14:paraId="19415EFE" w14:textId="77777777" w:rsidR="007679BE" w:rsidRPr="00746F54" w:rsidRDefault="007679BE" w:rsidP="00D62922">
            <w:pPr>
              <w:jc w:val="center"/>
              <w:rPr>
                <w:rFonts w:ascii="Arial" w:hAnsi="Arial" w:cs="Arial"/>
              </w:rPr>
            </w:pPr>
            <w:r w:rsidRPr="00746F54">
              <w:rPr>
                <w:rFonts w:ascii="Arial" w:hAnsi="Arial" w:cs="Arial"/>
              </w:rPr>
              <w:t>SC</w:t>
            </w:r>
          </w:p>
        </w:tc>
        <w:tc>
          <w:tcPr>
            <w:tcW w:w="1208"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7BE605EB" w14:textId="77777777" w:rsidR="007679BE" w:rsidRPr="00746F54" w:rsidRDefault="007679BE" w:rsidP="00D62922">
            <w:pPr>
              <w:jc w:val="center"/>
              <w:rPr>
                <w:rFonts w:ascii="Arial" w:hAnsi="Arial" w:cs="Arial"/>
              </w:rPr>
            </w:pPr>
            <w:r w:rsidRPr="00746F54">
              <w:rPr>
                <w:rFonts w:ascii="Arial" w:hAnsi="Arial" w:cs="Arial"/>
              </w:rPr>
              <w:t>CRN Capacity</w:t>
            </w:r>
          </w:p>
        </w:tc>
        <w:tc>
          <w:tcPr>
            <w:tcW w:w="1370" w:type="dxa"/>
            <w:tcBorders>
              <w:top w:val="single" w:sz="8" w:space="0" w:color="auto"/>
              <w:left w:val="nil"/>
              <w:bottom w:val="single" w:sz="8" w:space="0" w:color="auto"/>
              <w:right w:val="single" w:sz="8" w:space="0" w:color="auto"/>
            </w:tcBorders>
            <w:noWrap/>
            <w:tcMar>
              <w:top w:w="0" w:type="dxa"/>
              <w:left w:w="108" w:type="dxa"/>
              <w:bottom w:w="0" w:type="dxa"/>
              <w:right w:w="108" w:type="dxa"/>
            </w:tcMar>
            <w:vAlign w:val="center"/>
            <w:hideMark/>
          </w:tcPr>
          <w:p w14:paraId="427E0BCC" w14:textId="77777777" w:rsidR="007679BE" w:rsidRPr="00746F54" w:rsidRDefault="007679BE" w:rsidP="00D62922">
            <w:pPr>
              <w:jc w:val="center"/>
              <w:rPr>
                <w:rFonts w:ascii="Arial" w:hAnsi="Arial" w:cs="Arial"/>
              </w:rPr>
            </w:pPr>
            <w:r w:rsidRPr="00746F54">
              <w:rPr>
                <w:rFonts w:ascii="Arial" w:hAnsi="Arial" w:cs="Arial"/>
              </w:rPr>
              <w:t>Released Capacity</w:t>
            </w:r>
          </w:p>
        </w:tc>
        <w:tc>
          <w:tcPr>
            <w:tcW w:w="1127"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78975BA9" w14:textId="77777777" w:rsidR="007679BE" w:rsidRPr="00746F54" w:rsidRDefault="007679BE" w:rsidP="00D62922">
            <w:pPr>
              <w:jc w:val="center"/>
              <w:rPr>
                <w:rFonts w:ascii="Arial" w:hAnsi="Arial" w:cs="Arial"/>
              </w:rPr>
            </w:pPr>
            <w:r w:rsidRPr="00746F54">
              <w:rPr>
                <w:rFonts w:ascii="Arial" w:hAnsi="Arial" w:cs="Arial"/>
              </w:rPr>
              <w:t>Exercised Right</w:t>
            </w:r>
          </w:p>
        </w:tc>
        <w:tc>
          <w:tcPr>
            <w:tcW w:w="1127" w:type="dxa"/>
            <w:tcBorders>
              <w:top w:val="single" w:sz="8" w:space="0" w:color="auto"/>
              <w:left w:val="nil"/>
              <w:bottom w:val="single" w:sz="8" w:space="0" w:color="auto"/>
              <w:right w:val="single" w:sz="8" w:space="0" w:color="auto"/>
            </w:tcBorders>
            <w:noWrap/>
            <w:tcMar>
              <w:top w:w="0" w:type="dxa"/>
              <w:left w:w="108" w:type="dxa"/>
              <w:bottom w:w="0" w:type="dxa"/>
              <w:right w:w="108" w:type="dxa"/>
            </w:tcMar>
            <w:vAlign w:val="center"/>
            <w:hideMark/>
          </w:tcPr>
          <w:p w14:paraId="61A45854" w14:textId="77777777" w:rsidR="007679BE" w:rsidRPr="00746F54" w:rsidRDefault="007679BE" w:rsidP="00D62922">
            <w:pPr>
              <w:jc w:val="center"/>
              <w:rPr>
                <w:rFonts w:ascii="Arial" w:hAnsi="Arial" w:cs="Arial"/>
              </w:rPr>
            </w:pPr>
            <w:r w:rsidRPr="00746F54">
              <w:rPr>
                <w:rFonts w:ascii="Arial" w:hAnsi="Arial" w:cs="Arial"/>
              </w:rPr>
              <w:t>Reserved Right</w:t>
            </w:r>
          </w:p>
        </w:tc>
      </w:tr>
      <w:tr w:rsidR="007679BE" w:rsidRPr="00746F54" w14:paraId="04ED1B5A" w14:textId="77777777" w:rsidTr="00D826BF">
        <w:trPr>
          <w:trHeight w:val="1201"/>
        </w:trPr>
        <w:tc>
          <w:tcPr>
            <w:tcW w:w="714"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62F00B9" w14:textId="77777777" w:rsidR="007679BE" w:rsidRPr="00746F54" w:rsidRDefault="007679BE" w:rsidP="00D62922">
            <w:pPr>
              <w:jc w:val="center"/>
              <w:rPr>
                <w:rFonts w:ascii="Arial" w:hAnsi="Arial" w:cs="Arial"/>
                <w:b/>
                <w:highlight w:val="yellow"/>
              </w:rPr>
            </w:pPr>
            <w:r w:rsidRPr="00746F54">
              <w:rPr>
                <w:rFonts w:ascii="Arial" w:hAnsi="Arial" w:cs="Arial"/>
                <w:b/>
                <w:highlight w:val="yellow"/>
              </w:rPr>
              <w:lastRenderedPageBreak/>
              <w:t>1</w:t>
            </w:r>
          </w:p>
        </w:tc>
        <w:tc>
          <w:tcPr>
            <w:tcW w:w="2741"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343B98BE" w14:textId="77777777" w:rsidR="007679BE" w:rsidRPr="00746F54" w:rsidRDefault="007679BE" w:rsidP="00D62922">
            <w:pPr>
              <w:jc w:val="center"/>
              <w:rPr>
                <w:rFonts w:ascii="Arial" w:hAnsi="Arial" w:cs="Arial"/>
                <w:b/>
                <w:highlight w:val="yellow"/>
              </w:rPr>
            </w:pPr>
            <w:r w:rsidRPr="00746F54">
              <w:rPr>
                <w:rFonts w:ascii="Arial" w:hAnsi="Arial" w:cs="Arial"/>
                <w:b/>
                <w:highlight w:val="yellow"/>
              </w:rPr>
              <w:t>BAA1_TRANS_NAME_BAA2</w:t>
            </w:r>
          </w:p>
        </w:tc>
        <w:tc>
          <w:tcPr>
            <w:tcW w:w="1289"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6D5F7B33" w14:textId="77777777" w:rsidR="007679BE" w:rsidRPr="00746F54" w:rsidRDefault="007679BE" w:rsidP="00D62922">
            <w:pPr>
              <w:jc w:val="center"/>
              <w:rPr>
                <w:rFonts w:ascii="Arial" w:hAnsi="Arial" w:cs="Arial"/>
                <w:b/>
                <w:highlight w:val="yellow"/>
              </w:rPr>
            </w:pPr>
            <w:r w:rsidRPr="00746F54">
              <w:rPr>
                <w:rFonts w:ascii="Arial" w:hAnsi="Arial" w:cs="Arial"/>
                <w:b/>
                <w:highlight w:val="yellow"/>
              </w:rPr>
              <w:t>BAA1_TSR1</w:t>
            </w:r>
          </w:p>
        </w:tc>
        <w:tc>
          <w:tcPr>
            <w:tcW w:w="1208"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03064CFD" w14:textId="77777777" w:rsidR="007679BE" w:rsidRPr="00746F54" w:rsidRDefault="007679BE" w:rsidP="00D62922">
            <w:pPr>
              <w:jc w:val="center"/>
              <w:rPr>
                <w:rFonts w:ascii="Arial" w:hAnsi="Arial" w:cs="Arial"/>
                <w:highlight w:val="yellow"/>
              </w:rPr>
            </w:pPr>
            <w:r w:rsidRPr="00746F54">
              <w:rPr>
                <w:rFonts w:ascii="Arial" w:hAnsi="Arial" w:cs="Arial"/>
                <w:highlight w:val="yellow"/>
              </w:rPr>
              <w:t>BAA1</w:t>
            </w:r>
          </w:p>
        </w:tc>
        <w:tc>
          <w:tcPr>
            <w:tcW w:w="120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3C44A52" w14:textId="77777777" w:rsidR="007679BE" w:rsidRPr="00746F54" w:rsidRDefault="007679BE" w:rsidP="00D62922">
            <w:pPr>
              <w:jc w:val="center"/>
              <w:rPr>
                <w:rFonts w:ascii="Arial" w:hAnsi="Arial" w:cs="Arial"/>
                <w:highlight w:val="yellow"/>
              </w:rPr>
            </w:pPr>
            <w:r w:rsidRPr="00746F54">
              <w:rPr>
                <w:rFonts w:ascii="Arial" w:hAnsi="Arial" w:cs="Arial"/>
                <w:highlight w:val="yellow"/>
              </w:rPr>
              <w:t>200</w:t>
            </w:r>
          </w:p>
        </w:tc>
        <w:tc>
          <w:tcPr>
            <w:tcW w:w="137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3C63FF69" w14:textId="77777777" w:rsidR="007679BE" w:rsidRPr="00746F54" w:rsidRDefault="007679BE" w:rsidP="00D62922">
            <w:pPr>
              <w:jc w:val="center"/>
              <w:rPr>
                <w:rFonts w:ascii="Arial" w:hAnsi="Arial" w:cs="Arial"/>
                <w:highlight w:val="yellow"/>
              </w:rPr>
            </w:pPr>
            <w:r w:rsidRPr="00746F54">
              <w:rPr>
                <w:rFonts w:ascii="Arial" w:hAnsi="Arial" w:cs="Arial"/>
                <w:highlight w:val="yellow"/>
              </w:rPr>
              <w:t>50</w:t>
            </w:r>
          </w:p>
        </w:tc>
        <w:tc>
          <w:tcPr>
            <w:tcW w:w="112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34A44E5" w14:textId="77777777" w:rsidR="007679BE" w:rsidRPr="00746F54" w:rsidRDefault="007679BE" w:rsidP="00D62922">
            <w:pPr>
              <w:jc w:val="center"/>
              <w:rPr>
                <w:rFonts w:ascii="Arial" w:hAnsi="Arial" w:cs="Arial"/>
                <w:highlight w:val="yellow"/>
              </w:rPr>
            </w:pPr>
            <w:r w:rsidRPr="00746F54">
              <w:rPr>
                <w:rFonts w:ascii="Arial" w:hAnsi="Arial" w:cs="Arial"/>
                <w:highlight w:val="yellow"/>
              </w:rPr>
              <w:t>150</w:t>
            </w:r>
          </w:p>
        </w:tc>
        <w:tc>
          <w:tcPr>
            <w:tcW w:w="1127"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3341F8A8" w14:textId="77777777" w:rsidR="007679BE" w:rsidRPr="00746F54" w:rsidRDefault="007679BE" w:rsidP="00D62922">
            <w:pPr>
              <w:jc w:val="center"/>
              <w:rPr>
                <w:rFonts w:ascii="Arial" w:hAnsi="Arial" w:cs="Arial"/>
                <w:highlight w:val="yellow"/>
              </w:rPr>
            </w:pPr>
            <w:r w:rsidRPr="00746F54">
              <w:rPr>
                <w:rFonts w:ascii="Arial" w:hAnsi="Arial" w:cs="Arial"/>
                <w:highlight w:val="yellow"/>
              </w:rPr>
              <w:t>0</w:t>
            </w:r>
          </w:p>
        </w:tc>
      </w:tr>
      <w:tr w:rsidR="007679BE" w:rsidRPr="00746F54" w14:paraId="6CB82516" w14:textId="77777777" w:rsidTr="00D826BF">
        <w:trPr>
          <w:trHeight w:val="1201"/>
        </w:trPr>
        <w:tc>
          <w:tcPr>
            <w:tcW w:w="714"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73F08C4" w14:textId="77777777" w:rsidR="007679BE" w:rsidRPr="00746F54" w:rsidRDefault="007679BE" w:rsidP="00D62922">
            <w:pPr>
              <w:jc w:val="center"/>
              <w:rPr>
                <w:rFonts w:ascii="Arial" w:hAnsi="Arial" w:cs="Arial"/>
                <w:highlight w:val="yellow"/>
              </w:rPr>
            </w:pPr>
            <w:r w:rsidRPr="00746F54">
              <w:rPr>
                <w:rFonts w:ascii="Arial" w:hAnsi="Arial" w:cs="Arial"/>
                <w:highlight w:val="yellow"/>
              </w:rPr>
              <w:t>1</w:t>
            </w:r>
          </w:p>
        </w:tc>
        <w:tc>
          <w:tcPr>
            <w:tcW w:w="2741"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683FFC1A" w14:textId="77777777" w:rsidR="007679BE" w:rsidRPr="00746F54" w:rsidRDefault="007679BE" w:rsidP="00D62922">
            <w:pPr>
              <w:jc w:val="center"/>
              <w:rPr>
                <w:rFonts w:ascii="Arial" w:hAnsi="Arial" w:cs="Arial"/>
                <w:highlight w:val="yellow"/>
              </w:rPr>
            </w:pPr>
            <w:r w:rsidRPr="00746F54">
              <w:rPr>
                <w:rFonts w:ascii="Arial" w:hAnsi="Arial" w:cs="Arial"/>
                <w:b/>
                <w:highlight w:val="yellow"/>
              </w:rPr>
              <w:t>BAA1_TRANS_NAME_BAA2</w:t>
            </w:r>
          </w:p>
        </w:tc>
        <w:tc>
          <w:tcPr>
            <w:tcW w:w="1289"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79B7546C" w14:textId="77777777" w:rsidR="007679BE" w:rsidRPr="00746F54" w:rsidRDefault="007679BE" w:rsidP="00D62922">
            <w:pPr>
              <w:jc w:val="center"/>
              <w:rPr>
                <w:rFonts w:ascii="Arial" w:hAnsi="Arial" w:cs="Arial"/>
                <w:highlight w:val="yellow"/>
              </w:rPr>
            </w:pPr>
            <w:r w:rsidRPr="00746F54">
              <w:rPr>
                <w:rFonts w:ascii="Arial" w:hAnsi="Arial" w:cs="Arial"/>
                <w:b/>
                <w:highlight w:val="yellow"/>
              </w:rPr>
              <w:t>BAA1_TSR2</w:t>
            </w:r>
          </w:p>
        </w:tc>
        <w:tc>
          <w:tcPr>
            <w:tcW w:w="120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92EB16B" w14:textId="77777777" w:rsidR="007679BE" w:rsidRPr="00746F54" w:rsidRDefault="007679BE" w:rsidP="00D62922">
            <w:pPr>
              <w:jc w:val="center"/>
              <w:rPr>
                <w:rFonts w:ascii="Arial" w:hAnsi="Arial" w:cs="Arial"/>
                <w:highlight w:val="yellow"/>
              </w:rPr>
            </w:pPr>
            <w:r w:rsidRPr="00746F54">
              <w:rPr>
                <w:rFonts w:ascii="Arial" w:hAnsi="Arial" w:cs="Arial"/>
                <w:highlight w:val="yellow"/>
              </w:rPr>
              <w:t>BAA1</w:t>
            </w:r>
          </w:p>
        </w:tc>
        <w:tc>
          <w:tcPr>
            <w:tcW w:w="120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F5904D9" w14:textId="77777777" w:rsidR="007679BE" w:rsidRPr="00746F54" w:rsidRDefault="007679BE" w:rsidP="00D62922">
            <w:pPr>
              <w:jc w:val="center"/>
              <w:rPr>
                <w:rFonts w:ascii="Arial" w:hAnsi="Arial" w:cs="Arial"/>
                <w:highlight w:val="yellow"/>
              </w:rPr>
            </w:pPr>
            <w:r w:rsidRPr="00746F54">
              <w:rPr>
                <w:rFonts w:ascii="Arial" w:hAnsi="Arial" w:cs="Arial"/>
                <w:highlight w:val="yellow"/>
              </w:rPr>
              <w:t>300</w:t>
            </w:r>
          </w:p>
        </w:tc>
        <w:tc>
          <w:tcPr>
            <w:tcW w:w="137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751BF4C3" w14:textId="77777777" w:rsidR="007679BE" w:rsidRPr="00746F54" w:rsidRDefault="007679BE" w:rsidP="00D62922">
            <w:pPr>
              <w:jc w:val="center"/>
              <w:rPr>
                <w:rFonts w:ascii="Arial" w:hAnsi="Arial" w:cs="Arial"/>
                <w:highlight w:val="yellow"/>
              </w:rPr>
            </w:pPr>
            <w:r w:rsidRPr="00746F54">
              <w:rPr>
                <w:rFonts w:ascii="Arial" w:hAnsi="Arial" w:cs="Arial"/>
                <w:highlight w:val="yellow"/>
              </w:rPr>
              <w:t>100</w:t>
            </w:r>
          </w:p>
        </w:tc>
        <w:tc>
          <w:tcPr>
            <w:tcW w:w="112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C89C750" w14:textId="77777777" w:rsidR="007679BE" w:rsidRPr="00746F54" w:rsidRDefault="007679BE" w:rsidP="00D62922">
            <w:pPr>
              <w:jc w:val="center"/>
              <w:rPr>
                <w:rFonts w:ascii="Arial" w:hAnsi="Arial" w:cs="Arial"/>
                <w:highlight w:val="yellow"/>
              </w:rPr>
            </w:pPr>
            <w:r w:rsidRPr="00746F54">
              <w:rPr>
                <w:rFonts w:ascii="Arial" w:hAnsi="Arial" w:cs="Arial"/>
                <w:highlight w:val="yellow"/>
              </w:rPr>
              <w:t>200</w:t>
            </w:r>
          </w:p>
        </w:tc>
        <w:tc>
          <w:tcPr>
            <w:tcW w:w="1127"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5CB0263F" w14:textId="77777777" w:rsidR="007679BE" w:rsidRPr="00746F54" w:rsidRDefault="007679BE" w:rsidP="00D62922">
            <w:pPr>
              <w:jc w:val="center"/>
              <w:rPr>
                <w:rFonts w:ascii="Arial" w:hAnsi="Arial" w:cs="Arial"/>
                <w:highlight w:val="yellow"/>
              </w:rPr>
            </w:pPr>
            <w:r w:rsidRPr="00746F54">
              <w:rPr>
                <w:rFonts w:ascii="Arial" w:hAnsi="Arial" w:cs="Arial"/>
                <w:highlight w:val="yellow"/>
              </w:rPr>
              <w:t>0</w:t>
            </w:r>
          </w:p>
        </w:tc>
      </w:tr>
      <w:tr w:rsidR="007679BE" w:rsidRPr="00746F54" w14:paraId="75BE4B9A" w14:textId="77777777" w:rsidTr="00D826BF">
        <w:trPr>
          <w:trHeight w:val="1201"/>
        </w:trPr>
        <w:tc>
          <w:tcPr>
            <w:tcW w:w="714"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F73B3E7" w14:textId="77777777" w:rsidR="007679BE" w:rsidRPr="00746F54" w:rsidRDefault="007679BE" w:rsidP="00D62922">
            <w:pPr>
              <w:jc w:val="center"/>
              <w:rPr>
                <w:rFonts w:ascii="Arial" w:hAnsi="Arial" w:cs="Arial"/>
                <w:highlight w:val="cyan"/>
              </w:rPr>
            </w:pPr>
            <w:r w:rsidRPr="00746F54">
              <w:rPr>
                <w:rFonts w:ascii="Arial" w:hAnsi="Arial" w:cs="Arial"/>
                <w:highlight w:val="cyan"/>
              </w:rPr>
              <w:t>2</w:t>
            </w:r>
          </w:p>
        </w:tc>
        <w:tc>
          <w:tcPr>
            <w:tcW w:w="2741"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44C988F3" w14:textId="77777777" w:rsidR="007679BE" w:rsidRPr="00746F54" w:rsidRDefault="007679BE" w:rsidP="00D62922">
            <w:pPr>
              <w:jc w:val="center"/>
              <w:rPr>
                <w:rFonts w:ascii="Arial" w:hAnsi="Arial" w:cs="Arial"/>
                <w:highlight w:val="cyan"/>
              </w:rPr>
            </w:pPr>
            <w:r w:rsidRPr="00746F54">
              <w:rPr>
                <w:rFonts w:ascii="Arial" w:hAnsi="Arial" w:cs="Arial"/>
                <w:b/>
                <w:highlight w:val="yellow"/>
              </w:rPr>
              <w:t>BAA1_TRANS_NAME_BAA2</w:t>
            </w:r>
          </w:p>
        </w:tc>
        <w:tc>
          <w:tcPr>
            <w:tcW w:w="1289"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029798A4" w14:textId="77777777" w:rsidR="007679BE" w:rsidRPr="00746F54" w:rsidRDefault="007679BE" w:rsidP="00D62922">
            <w:pPr>
              <w:jc w:val="center"/>
              <w:rPr>
                <w:rFonts w:ascii="Arial" w:hAnsi="Arial" w:cs="Arial"/>
                <w:highlight w:val="cyan"/>
              </w:rPr>
            </w:pPr>
            <w:r w:rsidRPr="00746F54">
              <w:rPr>
                <w:rFonts w:ascii="Arial" w:hAnsi="Arial" w:cs="Arial"/>
                <w:b/>
                <w:highlight w:val="yellow"/>
              </w:rPr>
              <w:t>BAA1_TSR1</w:t>
            </w:r>
          </w:p>
        </w:tc>
        <w:tc>
          <w:tcPr>
            <w:tcW w:w="120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CC76E33" w14:textId="77777777" w:rsidR="007679BE" w:rsidRPr="00746F54" w:rsidRDefault="007679BE" w:rsidP="00D62922">
            <w:pPr>
              <w:jc w:val="center"/>
              <w:rPr>
                <w:rFonts w:ascii="Arial" w:hAnsi="Arial" w:cs="Arial"/>
                <w:highlight w:val="cyan"/>
              </w:rPr>
            </w:pPr>
            <w:r w:rsidRPr="00746F54">
              <w:rPr>
                <w:rFonts w:ascii="Arial" w:hAnsi="Arial" w:cs="Arial"/>
                <w:highlight w:val="yellow"/>
              </w:rPr>
              <w:t>BAA1</w:t>
            </w:r>
          </w:p>
        </w:tc>
        <w:tc>
          <w:tcPr>
            <w:tcW w:w="120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9DB4ADB" w14:textId="77777777" w:rsidR="007679BE" w:rsidRPr="00746F54" w:rsidRDefault="007679BE" w:rsidP="00D62922">
            <w:pPr>
              <w:jc w:val="center"/>
              <w:rPr>
                <w:rFonts w:ascii="Arial" w:hAnsi="Arial" w:cs="Arial"/>
                <w:highlight w:val="cyan"/>
              </w:rPr>
            </w:pPr>
            <w:r w:rsidRPr="00746F54">
              <w:rPr>
                <w:rFonts w:ascii="Arial" w:hAnsi="Arial" w:cs="Arial"/>
                <w:highlight w:val="cyan"/>
              </w:rPr>
              <w:t>200</w:t>
            </w:r>
          </w:p>
        </w:tc>
        <w:tc>
          <w:tcPr>
            <w:tcW w:w="137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4CD3AA76" w14:textId="77777777" w:rsidR="007679BE" w:rsidRPr="00746F54" w:rsidRDefault="007679BE" w:rsidP="00D62922">
            <w:pPr>
              <w:jc w:val="center"/>
              <w:rPr>
                <w:rFonts w:ascii="Arial" w:hAnsi="Arial" w:cs="Arial"/>
                <w:highlight w:val="cyan"/>
              </w:rPr>
            </w:pPr>
            <w:r w:rsidRPr="00746F54">
              <w:rPr>
                <w:rFonts w:ascii="Arial" w:hAnsi="Arial" w:cs="Arial"/>
                <w:highlight w:val="cyan"/>
              </w:rPr>
              <w:t>2</w:t>
            </w:r>
          </w:p>
        </w:tc>
        <w:tc>
          <w:tcPr>
            <w:tcW w:w="112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F3F4589" w14:textId="77777777" w:rsidR="007679BE" w:rsidRPr="00746F54" w:rsidRDefault="007679BE" w:rsidP="00D62922">
            <w:pPr>
              <w:jc w:val="center"/>
              <w:rPr>
                <w:rFonts w:ascii="Arial" w:hAnsi="Arial" w:cs="Arial"/>
                <w:highlight w:val="cyan"/>
              </w:rPr>
            </w:pPr>
            <w:r w:rsidRPr="00746F54">
              <w:rPr>
                <w:rFonts w:ascii="Arial" w:hAnsi="Arial" w:cs="Arial"/>
                <w:highlight w:val="cyan"/>
              </w:rPr>
              <w:t>150</w:t>
            </w:r>
          </w:p>
        </w:tc>
        <w:tc>
          <w:tcPr>
            <w:tcW w:w="1127"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695B7C59" w14:textId="77777777" w:rsidR="007679BE" w:rsidRPr="00746F54" w:rsidRDefault="007679BE" w:rsidP="00D62922">
            <w:pPr>
              <w:jc w:val="center"/>
              <w:rPr>
                <w:rFonts w:ascii="Arial" w:hAnsi="Arial" w:cs="Arial"/>
                <w:highlight w:val="cyan"/>
              </w:rPr>
            </w:pPr>
            <w:r w:rsidRPr="00746F54">
              <w:rPr>
                <w:rFonts w:ascii="Arial" w:hAnsi="Arial" w:cs="Arial"/>
                <w:highlight w:val="cyan"/>
              </w:rPr>
              <w:t>48</w:t>
            </w:r>
          </w:p>
        </w:tc>
      </w:tr>
      <w:tr w:rsidR="007679BE" w:rsidRPr="00746F54" w14:paraId="7D7E6017" w14:textId="77777777" w:rsidTr="00D826BF">
        <w:trPr>
          <w:trHeight w:val="2405"/>
        </w:trPr>
        <w:tc>
          <w:tcPr>
            <w:tcW w:w="714"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20675B04" w14:textId="77777777" w:rsidR="007679BE" w:rsidRPr="00746F54" w:rsidRDefault="007679BE" w:rsidP="00D62922">
            <w:pPr>
              <w:jc w:val="center"/>
              <w:rPr>
                <w:rFonts w:ascii="Arial" w:hAnsi="Arial" w:cs="Arial"/>
                <w:highlight w:val="cyan"/>
              </w:rPr>
            </w:pPr>
            <w:r w:rsidRPr="00746F54">
              <w:rPr>
                <w:rFonts w:ascii="Arial" w:hAnsi="Arial" w:cs="Arial"/>
                <w:highlight w:val="cyan"/>
              </w:rPr>
              <w:t>2</w:t>
            </w:r>
          </w:p>
        </w:tc>
        <w:tc>
          <w:tcPr>
            <w:tcW w:w="2741"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381B7CE6" w14:textId="77777777" w:rsidR="007679BE" w:rsidRPr="00746F54" w:rsidRDefault="007679BE" w:rsidP="00D62922">
            <w:pPr>
              <w:jc w:val="center"/>
              <w:rPr>
                <w:rFonts w:ascii="Arial" w:hAnsi="Arial" w:cs="Arial"/>
                <w:highlight w:val="cyan"/>
              </w:rPr>
            </w:pPr>
            <w:r w:rsidRPr="00746F54">
              <w:rPr>
                <w:rFonts w:ascii="Arial" w:hAnsi="Arial" w:cs="Arial"/>
                <w:b/>
                <w:highlight w:val="yellow"/>
              </w:rPr>
              <w:t>BAA1_TRANS_NAME_BAA2</w:t>
            </w:r>
          </w:p>
        </w:tc>
        <w:tc>
          <w:tcPr>
            <w:tcW w:w="1289"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1193523C" w14:textId="77777777" w:rsidR="007679BE" w:rsidRPr="00746F54" w:rsidRDefault="007679BE" w:rsidP="00D62922">
            <w:pPr>
              <w:jc w:val="center"/>
              <w:rPr>
                <w:rFonts w:ascii="Arial" w:hAnsi="Arial" w:cs="Arial"/>
                <w:highlight w:val="cyan"/>
              </w:rPr>
            </w:pPr>
            <w:r w:rsidRPr="00746F54">
              <w:rPr>
                <w:rFonts w:ascii="Arial" w:hAnsi="Arial" w:cs="Arial"/>
                <w:b/>
                <w:highlight w:val="yellow"/>
              </w:rPr>
              <w:t>BAA1_TSR2</w:t>
            </w:r>
          </w:p>
        </w:tc>
        <w:tc>
          <w:tcPr>
            <w:tcW w:w="120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BC670A2" w14:textId="77777777" w:rsidR="007679BE" w:rsidRPr="00746F54" w:rsidRDefault="007679BE" w:rsidP="00D62922">
            <w:pPr>
              <w:jc w:val="center"/>
              <w:rPr>
                <w:rFonts w:ascii="Arial" w:hAnsi="Arial" w:cs="Arial"/>
                <w:highlight w:val="cyan"/>
              </w:rPr>
            </w:pPr>
            <w:r w:rsidRPr="00746F54">
              <w:rPr>
                <w:rFonts w:ascii="Arial" w:hAnsi="Arial" w:cs="Arial"/>
                <w:highlight w:val="yellow"/>
              </w:rPr>
              <w:t>BAA1</w:t>
            </w:r>
          </w:p>
        </w:tc>
        <w:tc>
          <w:tcPr>
            <w:tcW w:w="120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6DBD077" w14:textId="77777777" w:rsidR="007679BE" w:rsidRPr="00746F54" w:rsidRDefault="007679BE" w:rsidP="00D62922">
            <w:pPr>
              <w:jc w:val="center"/>
              <w:rPr>
                <w:rFonts w:ascii="Arial" w:hAnsi="Arial" w:cs="Arial"/>
                <w:highlight w:val="cyan"/>
              </w:rPr>
            </w:pPr>
            <w:r w:rsidRPr="00746F54">
              <w:rPr>
                <w:rFonts w:ascii="Arial" w:hAnsi="Arial" w:cs="Arial"/>
                <w:highlight w:val="cyan"/>
              </w:rPr>
              <w:t>300</w:t>
            </w:r>
          </w:p>
        </w:tc>
        <w:tc>
          <w:tcPr>
            <w:tcW w:w="137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19D9485D" w14:textId="77777777" w:rsidR="007679BE" w:rsidRPr="00746F54" w:rsidRDefault="007679BE" w:rsidP="00D62922">
            <w:pPr>
              <w:jc w:val="center"/>
              <w:rPr>
                <w:rFonts w:ascii="Arial" w:hAnsi="Arial" w:cs="Arial"/>
                <w:highlight w:val="cyan"/>
              </w:rPr>
            </w:pPr>
            <w:r w:rsidRPr="00746F54">
              <w:rPr>
                <w:rFonts w:ascii="Arial" w:hAnsi="Arial" w:cs="Arial"/>
                <w:highlight w:val="cyan"/>
              </w:rPr>
              <w:t>100</w:t>
            </w:r>
          </w:p>
        </w:tc>
        <w:tc>
          <w:tcPr>
            <w:tcW w:w="112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FB9D72D" w14:textId="77777777" w:rsidR="007679BE" w:rsidRPr="00746F54" w:rsidRDefault="007679BE" w:rsidP="00D62922">
            <w:pPr>
              <w:jc w:val="center"/>
              <w:rPr>
                <w:rFonts w:ascii="Arial" w:hAnsi="Arial" w:cs="Arial"/>
                <w:highlight w:val="cyan"/>
              </w:rPr>
            </w:pPr>
            <w:r w:rsidRPr="00746F54">
              <w:rPr>
                <w:rFonts w:ascii="Arial" w:hAnsi="Arial" w:cs="Arial"/>
                <w:highlight w:val="cyan"/>
              </w:rPr>
              <w:t>100</w:t>
            </w:r>
          </w:p>
        </w:tc>
        <w:tc>
          <w:tcPr>
            <w:tcW w:w="1127"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5780A673" w14:textId="77777777" w:rsidR="007679BE" w:rsidRPr="00746F54" w:rsidRDefault="007679BE" w:rsidP="00D62922">
            <w:pPr>
              <w:jc w:val="center"/>
              <w:rPr>
                <w:rFonts w:ascii="Arial" w:hAnsi="Arial" w:cs="Arial"/>
                <w:highlight w:val="cyan"/>
              </w:rPr>
            </w:pPr>
            <w:r w:rsidRPr="00746F54">
              <w:rPr>
                <w:rFonts w:ascii="Arial" w:hAnsi="Arial" w:cs="Arial"/>
                <w:highlight w:val="cyan"/>
              </w:rPr>
              <w:t>100</w:t>
            </w:r>
          </w:p>
        </w:tc>
      </w:tr>
    </w:tbl>
    <w:p w14:paraId="27A4E1E3" w14:textId="77777777" w:rsidR="007679BE" w:rsidRPr="00746F54" w:rsidRDefault="007679BE" w:rsidP="007679BE">
      <w:pPr>
        <w:pStyle w:val="ParaText"/>
        <w:rPr>
          <w:rFonts w:ascii="Arial" w:hAnsi="Arial" w:cs="Arial"/>
        </w:rPr>
      </w:pPr>
    </w:p>
    <w:p w14:paraId="7B7A97DB" w14:textId="77777777" w:rsidR="007679BE" w:rsidRPr="00746F54" w:rsidRDefault="007679BE" w:rsidP="007679BE">
      <w:pPr>
        <w:pStyle w:val="ParaText"/>
        <w:rPr>
          <w:rFonts w:ascii="Arial" w:hAnsi="Arial" w:cs="Arial"/>
        </w:rPr>
      </w:pPr>
      <w:r w:rsidRPr="00746F54">
        <w:rPr>
          <w:rFonts w:ascii="Arial" w:hAnsi="Arial" w:cs="Arial"/>
        </w:rPr>
        <w:t xml:space="preserve">Transmission capacity held and reserved by transmission customers at interties between EDAM balancing areas which has not been made available to the market under the methods described above to support EDAM transfers or is otherwise not exercised such that it remains unscheduled by the time of the Day-Ahead Market run at 10:00am, is made available to support efficient EDAM transfers.  The transmission customer retains the ability to exercise these firm or conditional firm point-to-point and network integration transmission service right intra-day consistent with the terms of the EDAM Entity, after the Day-Ahead Market run, consistent with section 33.18.2.2.3 of the Tariff and as described in section 6.2.1 of this BPM.  </w:t>
      </w:r>
    </w:p>
    <w:p w14:paraId="292096F5" w14:textId="77777777" w:rsidR="007679BE" w:rsidRPr="00746F54" w:rsidRDefault="007679BE" w:rsidP="007679BE">
      <w:pPr>
        <w:pStyle w:val="Heading3"/>
        <w:rPr>
          <w:rFonts w:ascii="Arial" w:hAnsi="Arial" w:cs="Arial"/>
        </w:rPr>
      </w:pPr>
      <w:bookmarkStart w:id="145" w:name="_Toc211337907"/>
      <w:r w:rsidRPr="00746F54">
        <w:rPr>
          <w:rFonts w:ascii="Arial" w:hAnsi="Arial" w:cs="Arial"/>
        </w:rPr>
        <w:t>Unsold Transmission Capacity Made Available by the Transmission Provider</w:t>
      </w:r>
      <w:bookmarkEnd w:id="145"/>
      <w:r w:rsidRPr="00746F54">
        <w:rPr>
          <w:rFonts w:ascii="Arial" w:hAnsi="Arial" w:cs="Arial"/>
        </w:rPr>
        <w:t xml:space="preserve"> </w:t>
      </w:r>
    </w:p>
    <w:p w14:paraId="57553019" w14:textId="6182F03E" w:rsidR="007679BE" w:rsidRPr="00746F54" w:rsidRDefault="007679BE" w:rsidP="007679BE">
      <w:pPr>
        <w:pStyle w:val="ParaText"/>
        <w:rPr>
          <w:rFonts w:ascii="Arial" w:hAnsi="Arial" w:cs="Arial"/>
        </w:rPr>
      </w:pPr>
      <w:r w:rsidRPr="00746F54">
        <w:rPr>
          <w:rFonts w:ascii="Arial" w:hAnsi="Arial" w:cs="Arial"/>
        </w:rPr>
        <w:t>The EDAM entity scheduling coordinator, working in coordination with the EDAM transmission service provider, will determine the amount of unsold firm transmission capacity at interties between EDAM balancing areas available for supporting efficient energy transfers.  The EDAM entity scheduling coordinator will communicate to the market the unsold firm transmission capacity at the interties prior to 10:00</w:t>
      </w:r>
      <w:r w:rsidR="002938C0" w:rsidRPr="00746F54">
        <w:rPr>
          <w:rFonts w:ascii="Arial" w:hAnsi="Arial" w:cs="Arial"/>
        </w:rPr>
        <w:t xml:space="preserve"> </w:t>
      </w:r>
      <w:r w:rsidRPr="00746F54">
        <w:rPr>
          <w:rFonts w:ascii="Arial" w:hAnsi="Arial" w:cs="Arial"/>
        </w:rPr>
        <w:t>am on the morning of the Day-Ahead Market</w:t>
      </w:r>
      <w:r w:rsidR="002938C0" w:rsidRPr="00746F54">
        <w:rPr>
          <w:rFonts w:ascii="Arial" w:hAnsi="Arial" w:cs="Arial"/>
        </w:rPr>
        <w:t xml:space="preserve"> via a TSR or Released Capacity bid, as described in Section 3.1 and 3.1.5.3 of this BPM</w:t>
      </w:r>
      <w:r w:rsidRPr="00746F54">
        <w:rPr>
          <w:rFonts w:ascii="Arial" w:hAnsi="Arial" w:cs="Arial"/>
        </w:rPr>
        <w:t xml:space="preserve">.  The EDAM entity </w:t>
      </w:r>
      <w:r w:rsidRPr="00746F54">
        <w:rPr>
          <w:rFonts w:ascii="Arial" w:hAnsi="Arial" w:cs="Arial"/>
        </w:rPr>
        <w:lastRenderedPageBreak/>
        <w:t>scheduling coordinator may account for reserve sharing group obligations, margins within its available transfer capability methodology</w:t>
      </w:r>
      <w:r w:rsidR="002938C0" w:rsidRPr="00746F54">
        <w:rPr>
          <w:rFonts w:ascii="Arial" w:hAnsi="Arial" w:cs="Arial"/>
        </w:rPr>
        <w:t>,</w:t>
      </w:r>
      <w:r w:rsidRPr="00746F54">
        <w:rPr>
          <w:rFonts w:ascii="Arial" w:hAnsi="Arial" w:cs="Arial"/>
        </w:rPr>
        <w:t xml:space="preserve"> or other unique circumstances or arrangements as provided for under its tariff. This unsold transmission capacity will be made available to support EDAM transfers.   </w:t>
      </w:r>
    </w:p>
    <w:p w14:paraId="11ECE871" w14:textId="77777777" w:rsidR="00121501" w:rsidRPr="00746F54" w:rsidRDefault="00121501" w:rsidP="00121501">
      <w:pPr>
        <w:pStyle w:val="Heading1"/>
        <w:rPr>
          <w:rFonts w:ascii="Arial" w:hAnsi="Arial" w:cs="Arial"/>
        </w:rPr>
      </w:pPr>
      <w:bookmarkStart w:id="146" w:name="_Toc211337908"/>
      <w:bookmarkStart w:id="147" w:name="_Toc212733060"/>
      <w:r w:rsidRPr="00746F54">
        <w:rPr>
          <w:rFonts w:ascii="Arial" w:hAnsi="Arial" w:cs="Arial"/>
        </w:rPr>
        <w:t>Transmission Service Requirements for EDAM Resources</w:t>
      </w:r>
      <w:bookmarkEnd w:id="146"/>
      <w:bookmarkEnd w:id="147"/>
      <w:r w:rsidRPr="00746F54">
        <w:rPr>
          <w:rFonts w:ascii="Arial" w:hAnsi="Arial" w:cs="Arial"/>
        </w:rPr>
        <w:t xml:space="preserve"> </w:t>
      </w:r>
    </w:p>
    <w:p w14:paraId="6D2CAF5C" w14:textId="76F4BE91" w:rsidR="00121501" w:rsidRPr="00746F54" w:rsidRDefault="00121501" w:rsidP="00121501">
      <w:pPr>
        <w:pStyle w:val="ParaText"/>
        <w:rPr>
          <w:rFonts w:ascii="Arial" w:hAnsi="Arial" w:cs="Arial"/>
        </w:rPr>
      </w:pPr>
      <w:r w:rsidRPr="00746F54">
        <w:rPr>
          <w:rFonts w:ascii="Arial" w:hAnsi="Arial" w:cs="Arial"/>
        </w:rPr>
        <w:t>As described in section 33.23 of the tariff, EDAM resource scheduling coordinators must obtain transmission service from the host EDAM transmission service provider to meet the real-time dispatch obligations of the resource or the scheduling coordinator may be subject to additional transmission charges under the EDAM transmission service provider’s tariff.  This transmission obligation may be satisfied through any of the following:</w:t>
      </w:r>
    </w:p>
    <w:p w14:paraId="66504A6A" w14:textId="77777777" w:rsidR="00121501" w:rsidRPr="00746F54" w:rsidRDefault="00121501" w:rsidP="00121501">
      <w:pPr>
        <w:pStyle w:val="ParaText"/>
        <w:numPr>
          <w:ilvl w:val="0"/>
          <w:numId w:val="121"/>
        </w:numPr>
        <w:rPr>
          <w:rFonts w:ascii="Arial" w:hAnsi="Arial" w:cs="Arial"/>
        </w:rPr>
      </w:pPr>
      <w:r w:rsidRPr="00746F54">
        <w:rPr>
          <w:rFonts w:ascii="Arial" w:hAnsi="Arial" w:cs="Arial"/>
        </w:rPr>
        <w:t>The EDAM resource is a designated network resource under the terms of an EDAM transmission service provider tariff;</w:t>
      </w:r>
    </w:p>
    <w:p w14:paraId="3143B739" w14:textId="77777777" w:rsidR="00121501" w:rsidRPr="00746F54" w:rsidRDefault="00121501" w:rsidP="00121501">
      <w:pPr>
        <w:pStyle w:val="ParaText"/>
        <w:numPr>
          <w:ilvl w:val="0"/>
          <w:numId w:val="121"/>
        </w:numPr>
        <w:rPr>
          <w:rFonts w:ascii="Arial" w:hAnsi="Arial" w:cs="Arial"/>
        </w:rPr>
      </w:pPr>
      <w:r w:rsidRPr="00746F54">
        <w:rPr>
          <w:rFonts w:ascii="Arial" w:hAnsi="Arial" w:cs="Arial"/>
        </w:rPr>
        <w:t>The EDAM resource reserves firm point to point transmission service of any duration under the terms of the EDAM transmission service provider tariff; or</w:t>
      </w:r>
    </w:p>
    <w:p w14:paraId="0DD8E312" w14:textId="77777777" w:rsidR="00121501" w:rsidRPr="00746F54" w:rsidRDefault="00121501" w:rsidP="00121501">
      <w:pPr>
        <w:pStyle w:val="ParaText"/>
        <w:numPr>
          <w:ilvl w:val="0"/>
          <w:numId w:val="121"/>
        </w:numPr>
        <w:rPr>
          <w:rFonts w:ascii="Arial" w:hAnsi="Arial" w:cs="Arial"/>
        </w:rPr>
      </w:pPr>
      <w:r w:rsidRPr="00746F54">
        <w:rPr>
          <w:rFonts w:ascii="Arial" w:hAnsi="Arial" w:cs="Arial"/>
        </w:rPr>
        <w:t xml:space="preserve">The EDAM resource is associated with an EDAM legacy contract or an EDAM transmission ownership right.  </w:t>
      </w:r>
    </w:p>
    <w:p w14:paraId="548BE974" w14:textId="263FC800" w:rsidR="00121501" w:rsidRPr="00746F54" w:rsidRDefault="00121501" w:rsidP="00121501">
      <w:pPr>
        <w:pStyle w:val="ParaText"/>
        <w:rPr>
          <w:rFonts w:ascii="Arial" w:hAnsi="Arial" w:cs="Arial"/>
        </w:rPr>
      </w:pPr>
      <w:r w:rsidRPr="00746F54">
        <w:rPr>
          <w:rFonts w:ascii="Arial" w:hAnsi="Arial" w:cs="Arial"/>
        </w:rPr>
        <w:t xml:space="preserve">To the extent the EDAM resources do not have sufficient transmission service reserved on the host transmission provide system as described above to support its real-time dispatch obligations, the EDAM transmission service provider will assess a transmission charge based on the lowest duration of firm transmission service offered under the host transmission service provider tariff, which is typically hourly firm or daily firm transmission service.  </w:t>
      </w:r>
    </w:p>
    <w:p w14:paraId="1687DEA9" w14:textId="77E85D45" w:rsidR="00121501" w:rsidRPr="00746F54" w:rsidRDefault="00121501" w:rsidP="00121501">
      <w:pPr>
        <w:pStyle w:val="ParaText"/>
        <w:rPr>
          <w:rFonts w:ascii="Arial" w:hAnsi="Arial" w:cs="Arial"/>
        </w:rPr>
      </w:pPr>
      <w:r w:rsidRPr="00746F54">
        <w:rPr>
          <w:rFonts w:ascii="Arial" w:hAnsi="Arial" w:cs="Arial"/>
        </w:rPr>
        <w:t xml:space="preserve">To the extent the lowest duration firm transmission service offered by the EDAM transmission service provider is daily firm point-to-point transmission service, the transmission service charge is evaluated based on the single highest hour of real-time dispatch of the resource across the day based on the amount in excess of the reserved transmission service.  For example, if the highest hourly real-time dispatch for the day is 100 MW for the resource but it has only reserved 90 MW of transmission service, the EDAM transmission service provider will apply an additional transmission service charge for the 10 MW difference as described in the EDAM transmission provider tariff.  </w:t>
      </w:r>
    </w:p>
    <w:p w14:paraId="7575B2DD" w14:textId="7F6D5F2F" w:rsidR="00121501" w:rsidRPr="00746F54" w:rsidRDefault="00121501" w:rsidP="00121501">
      <w:pPr>
        <w:pStyle w:val="ParaText"/>
        <w:rPr>
          <w:rFonts w:ascii="Arial" w:hAnsi="Arial" w:cs="Arial"/>
        </w:rPr>
      </w:pPr>
      <w:r w:rsidRPr="00746F54">
        <w:rPr>
          <w:rFonts w:ascii="Arial" w:hAnsi="Arial" w:cs="Arial"/>
        </w:rPr>
        <w:t xml:space="preserve">Similarly, if the lowest duration firm transmission service offered by the EDAM transmission service provider is hourly firm point-to-point transmission service, the transmission service </w:t>
      </w:r>
      <w:r w:rsidRPr="00746F54">
        <w:rPr>
          <w:rFonts w:ascii="Arial" w:hAnsi="Arial" w:cs="Arial"/>
        </w:rPr>
        <w:lastRenderedPageBreak/>
        <w:t>charge is evaluated based on the real-time dispatch of the resource for each hour of the day for any excess above the reserved transmission service.  For example, if for hour ending 10</w:t>
      </w:r>
      <w:r w:rsidR="009A0C32" w:rsidRPr="00746F54">
        <w:rPr>
          <w:rFonts w:ascii="Arial" w:hAnsi="Arial" w:cs="Arial"/>
        </w:rPr>
        <w:t xml:space="preserve"> </w:t>
      </w:r>
      <w:r w:rsidRPr="00746F54">
        <w:rPr>
          <w:rFonts w:ascii="Arial" w:hAnsi="Arial" w:cs="Arial"/>
        </w:rPr>
        <w:t xml:space="preserve">am the resource was dispatched at 100 MW but it only reserved 90 MW of transmission service, the EDAM transmission service provider will apply an additional transmission service charge for the 10 MW difference for that particular hour real time dispatch consistent with the EDAM transmission service provider tariff </w:t>
      </w:r>
    </w:p>
    <w:p w14:paraId="36FECC61" w14:textId="34DD52EA" w:rsidR="00121501" w:rsidRPr="00746F54" w:rsidRDefault="00121501" w:rsidP="00121501">
      <w:pPr>
        <w:pStyle w:val="ParaText"/>
        <w:rPr>
          <w:rFonts w:ascii="Arial" w:hAnsi="Arial" w:cs="Arial"/>
        </w:rPr>
      </w:pPr>
      <w:r w:rsidRPr="00746F54">
        <w:rPr>
          <w:rFonts w:ascii="Arial" w:hAnsi="Arial" w:cs="Arial"/>
        </w:rPr>
        <w:t xml:space="preserve">The ISO will provide day-ahead market commitments and real-time market dispatch results, at an EDAM resource level, to EDAM entities through CMRI.  The EDAM entity will utilize these reports to help inform and compare the real-time dispatch levels of EDAM resources to the reserved transmission for the assessment of any potential additional transmission service charges or penalties.  The specific transmission service charges and/or penalties are assessed by and determined in accordance with the EDAM transmission service provider tariff. </w:t>
      </w:r>
    </w:p>
    <w:p w14:paraId="0E19F0D8" w14:textId="77777777" w:rsidR="009F25B5" w:rsidRPr="00746F54" w:rsidRDefault="009F25B5" w:rsidP="009F25B5">
      <w:pPr>
        <w:pStyle w:val="Heading1"/>
        <w:rPr>
          <w:rFonts w:ascii="Arial" w:hAnsi="Arial" w:cs="Arial"/>
        </w:rPr>
      </w:pPr>
      <w:bookmarkStart w:id="148" w:name="_Toc212733061"/>
      <w:r w:rsidRPr="00746F54">
        <w:rPr>
          <w:rFonts w:ascii="Arial" w:hAnsi="Arial" w:cs="Arial"/>
        </w:rPr>
        <w:t>Transmission Planning</w:t>
      </w:r>
      <w:bookmarkEnd w:id="148"/>
    </w:p>
    <w:p w14:paraId="143943F8" w14:textId="77777777" w:rsidR="009F25B5" w:rsidRPr="00746F54" w:rsidRDefault="009F25B5" w:rsidP="009F25B5">
      <w:pPr>
        <w:pStyle w:val="ParaText"/>
        <w:rPr>
          <w:rFonts w:ascii="Arial" w:hAnsi="Arial" w:cs="Arial"/>
          <w:u w:val="single"/>
        </w:rPr>
      </w:pPr>
      <w:r w:rsidRPr="00746F54">
        <w:rPr>
          <w:rFonts w:ascii="Arial" w:hAnsi="Arial" w:cs="Arial"/>
          <w:u w:val="single"/>
        </w:rPr>
        <w:t>Reference tariff section 33.24</w:t>
      </w:r>
    </w:p>
    <w:p w14:paraId="630C9242" w14:textId="19B61817" w:rsidR="009F25B5" w:rsidRPr="00746F54" w:rsidRDefault="009F25B5" w:rsidP="009F25B5">
      <w:pPr>
        <w:pStyle w:val="ParaText"/>
        <w:rPr>
          <w:rFonts w:ascii="Arial" w:hAnsi="Arial" w:cs="Arial"/>
        </w:rPr>
      </w:pPr>
      <w:r w:rsidRPr="00746F54">
        <w:rPr>
          <w:rFonts w:ascii="Arial" w:hAnsi="Arial" w:cs="Arial"/>
        </w:rPr>
        <w:t xml:space="preserve">Participation in the EDAM does not extend the administration of a transmission planning function or service to participating balancing authority areas.  EDAM entities, and other transmission service providers within and EDAM balancing authority area, as is the case with WEIM entities, continue to retain and administer their transmission planning function and processes consistent with the terms of their tariffs.  </w:t>
      </w:r>
    </w:p>
    <w:p w14:paraId="5E86C2C7" w14:textId="77777777" w:rsidR="00E148B7" w:rsidRPr="00746F54" w:rsidRDefault="00E148B7" w:rsidP="00E148B7">
      <w:pPr>
        <w:pStyle w:val="Heading1"/>
        <w:rPr>
          <w:rFonts w:ascii="Arial" w:hAnsi="Arial" w:cs="Arial"/>
        </w:rPr>
      </w:pPr>
      <w:bookmarkStart w:id="149" w:name="_Toc211337910"/>
      <w:bookmarkStart w:id="150" w:name="_Toc212733062"/>
      <w:r w:rsidRPr="00746F54">
        <w:rPr>
          <w:rFonts w:ascii="Arial" w:hAnsi="Arial" w:cs="Arial"/>
        </w:rPr>
        <w:t>Generator Interconnection</w:t>
      </w:r>
      <w:bookmarkEnd w:id="149"/>
      <w:bookmarkEnd w:id="150"/>
      <w:r w:rsidRPr="00746F54">
        <w:rPr>
          <w:rFonts w:ascii="Arial" w:hAnsi="Arial" w:cs="Arial"/>
        </w:rPr>
        <w:t xml:space="preserve"> </w:t>
      </w:r>
    </w:p>
    <w:p w14:paraId="72EB3377" w14:textId="7805780E" w:rsidR="00E148B7" w:rsidRPr="00746F54" w:rsidRDefault="00E148B7" w:rsidP="00E148B7">
      <w:pPr>
        <w:pStyle w:val="ParaText"/>
        <w:rPr>
          <w:rFonts w:ascii="Arial" w:hAnsi="Arial" w:cs="Arial"/>
        </w:rPr>
      </w:pPr>
      <w:r w:rsidRPr="00746F54">
        <w:rPr>
          <w:rFonts w:ascii="Arial" w:hAnsi="Arial" w:cs="Arial"/>
          <w:u w:val="single"/>
        </w:rPr>
        <w:t>Reference tariff section 33.25</w:t>
      </w:r>
    </w:p>
    <w:p w14:paraId="30C93851" w14:textId="4C17B0DC" w:rsidR="00243759" w:rsidRPr="00746F54" w:rsidRDefault="00E148B7" w:rsidP="00E148B7">
      <w:pPr>
        <w:pStyle w:val="ParaText"/>
        <w:rPr>
          <w:rFonts w:ascii="Arial" w:hAnsi="Arial" w:cs="Arial"/>
        </w:rPr>
      </w:pPr>
      <w:r w:rsidRPr="00746F54">
        <w:rPr>
          <w:rFonts w:ascii="Arial" w:hAnsi="Arial" w:cs="Arial"/>
        </w:rPr>
        <w:t xml:space="preserve">The Extended Day-Ahead Market does not include generator interconnection-related functions or services and Section 25 does not apply to EDAM market participants.  Generator interconnection processes and procedures continue to be administered under the EDAM entity and transmission service provider tariffs.  </w:t>
      </w:r>
    </w:p>
    <w:p w14:paraId="689403E2" w14:textId="527205F7" w:rsidR="00903C3A" w:rsidRPr="00746F54" w:rsidRDefault="00903C3A" w:rsidP="00903C3A">
      <w:pPr>
        <w:pStyle w:val="Heading1"/>
        <w:rPr>
          <w:rFonts w:ascii="Arial" w:hAnsi="Arial" w:cs="Arial"/>
        </w:rPr>
      </w:pPr>
      <w:bookmarkStart w:id="151" w:name="_Toc211337911"/>
      <w:bookmarkStart w:id="152" w:name="_Toc212733063"/>
      <w:r w:rsidRPr="00746F54">
        <w:rPr>
          <w:rFonts w:ascii="Arial" w:hAnsi="Arial" w:cs="Arial"/>
        </w:rPr>
        <w:t xml:space="preserve">Historical Transmission Revenue Recovery and EDAM Access </w:t>
      </w:r>
      <w:commentRangeStart w:id="153"/>
      <w:r w:rsidRPr="00746F54">
        <w:rPr>
          <w:rFonts w:ascii="Arial" w:hAnsi="Arial" w:cs="Arial"/>
        </w:rPr>
        <w:t>Charge</w:t>
      </w:r>
      <w:commentRangeEnd w:id="153"/>
      <w:r w:rsidRPr="00746F54">
        <w:rPr>
          <w:rStyle w:val="CommentReference"/>
          <w:rFonts w:ascii="Arial" w:hAnsi="Arial" w:cs="Arial"/>
          <w:b w:val="0"/>
          <w:kern w:val="0"/>
        </w:rPr>
        <w:commentReference w:id="153"/>
      </w:r>
      <w:bookmarkEnd w:id="151"/>
      <w:bookmarkEnd w:id="152"/>
    </w:p>
    <w:p w14:paraId="1165EF63" w14:textId="03C160C1" w:rsidR="00903C3A" w:rsidRPr="00746F54" w:rsidRDefault="00903C3A" w:rsidP="00903C3A">
      <w:pPr>
        <w:pStyle w:val="ParaText"/>
        <w:rPr>
          <w:rFonts w:ascii="Arial" w:hAnsi="Arial" w:cs="Arial"/>
        </w:rPr>
      </w:pPr>
      <w:r w:rsidRPr="00746F54">
        <w:rPr>
          <w:rFonts w:ascii="Arial" w:hAnsi="Arial" w:cs="Arial"/>
        </w:rPr>
        <w:t xml:space="preserve">Access Charges for Day-Ahead Market transactions serving load within the CAISO BAA that use the CAISO-controlled grid are governed by Section 26 of the CAISO tariff. Transmission service charges for Day-Ahead Market transactions serving Load within an EDAM entity BAA are governed by the applicable EDAM transmission service provider tariff. Transmission service </w:t>
      </w:r>
      <w:r w:rsidRPr="00746F54">
        <w:rPr>
          <w:rFonts w:ascii="Arial" w:hAnsi="Arial" w:cs="Arial"/>
        </w:rPr>
        <w:lastRenderedPageBreak/>
        <w:t>charges for Day-Ahead Market transactions supported by EDAM transfers are addressed in Section 33.26 of the CAISO tariff. Transmission service charges for Real-Time Market transactions are governed by Section 11, Section 26, or Section 29.26, as applicable.</w:t>
      </w:r>
    </w:p>
    <w:p w14:paraId="0E9D6D3A" w14:textId="7BDE890D" w:rsidR="00903C3A" w:rsidRPr="00746F54" w:rsidRDefault="00903C3A" w:rsidP="00903C3A">
      <w:pPr>
        <w:pStyle w:val="ParaText"/>
        <w:rPr>
          <w:rFonts w:ascii="Arial" w:hAnsi="Arial" w:cs="Arial"/>
        </w:rPr>
      </w:pPr>
      <w:r w:rsidRPr="00746F54">
        <w:rPr>
          <w:rFonts w:ascii="Arial" w:hAnsi="Arial" w:cs="Arial"/>
        </w:rPr>
        <w:t xml:space="preserve">Detailed examples of EDAM access charge year-to-year calculations are available in subsection 26.7 of this BPM. </w:t>
      </w:r>
    </w:p>
    <w:p w14:paraId="48740FC1" w14:textId="77777777" w:rsidR="00903C3A" w:rsidRPr="00746F54" w:rsidRDefault="00903C3A" w:rsidP="00903C3A">
      <w:pPr>
        <w:pStyle w:val="Heading2"/>
        <w:rPr>
          <w:rFonts w:ascii="Arial" w:hAnsi="Arial" w:cs="Arial"/>
        </w:rPr>
      </w:pPr>
      <w:bookmarkStart w:id="154" w:name="_Toc211337912"/>
      <w:bookmarkStart w:id="155" w:name="_Toc212733064"/>
      <w:r w:rsidRPr="00746F54">
        <w:rPr>
          <w:rFonts w:ascii="Arial" w:hAnsi="Arial" w:cs="Arial"/>
        </w:rPr>
        <w:t>EDAM Access Charges</w:t>
      </w:r>
      <w:bookmarkEnd w:id="154"/>
      <w:bookmarkEnd w:id="155"/>
    </w:p>
    <w:p w14:paraId="278D361B" w14:textId="28D8AD64" w:rsidR="00903C3A" w:rsidRPr="00746F54" w:rsidRDefault="00903C3A" w:rsidP="00903C3A">
      <w:pPr>
        <w:pStyle w:val="ParaText"/>
        <w:rPr>
          <w:rFonts w:ascii="Arial" w:hAnsi="Arial" w:cs="Arial"/>
        </w:rPr>
      </w:pPr>
      <w:r w:rsidRPr="00746F54">
        <w:rPr>
          <w:rFonts w:ascii="Arial" w:hAnsi="Arial" w:cs="Arial"/>
        </w:rPr>
        <w:t>The CAISO will determine an EDAM access charge for each BAA  in the EDAM area based on the aggregate inputs of each EDAM transmission service provider in that BAA. The CAISO will assess the EDAM access charges, allocate revenues collected, and true-up actual revenue recovery through calculation of the next year’s EDAM Access Charges. EDAM Entities will provide forecasts for their EDAM transmission service providers of the aggregate EDAM recoverable revenue from the three components described below, to be trued-up based on EDAM recoverable revenue each year.</w:t>
      </w:r>
    </w:p>
    <w:p w14:paraId="6F617F39" w14:textId="02DDE59C" w:rsidR="00903C3A" w:rsidRPr="00746F54" w:rsidRDefault="00903C3A" w:rsidP="00903C3A">
      <w:pPr>
        <w:pStyle w:val="ParaText"/>
        <w:rPr>
          <w:rFonts w:ascii="Arial" w:hAnsi="Arial" w:cs="Arial"/>
        </w:rPr>
      </w:pPr>
      <w:r w:rsidRPr="00746F54">
        <w:rPr>
          <w:rFonts w:ascii="Arial" w:hAnsi="Arial" w:cs="Arial"/>
        </w:rPr>
        <w:t xml:space="preserve">To assess the EDAM access charge consistent with Section 33.26.3, the CAISO will derive a rate in $/MWh specific to each EDAM entity BAA. The CAISO will calculate the rate by: </w:t>
      </w:r>
    </w:p>
    <w:p w14:paraId="0A5AB09C" w14:textId="05E71F42" w:rsidR="00903C3A" w:rsidRPr="00746F54" w:rsidRDefault="00903C3A" w:rsidP="00903C3A">
      <w:pPr>
        <w:pStyle w:val="ParaText"/>
        <w:ind w:left="720"/>
        <w:rPr>
          <w:rFonts w:ascii="Arial" w:hAnsi="Arial" w:cs="Arial"/>
        </w:rPr>
      </w:pPr>
      <w:r w:rsidRPr="00746F54">
        <w:rPr>
          <w:rFonts w:ascii="Arial" w:hAnsi="Arial" w:cs="Arial"/>
        </w:rPr>
        <w:t xml:space="preserve">1) allocating each EDAM transmission service provider’s EDAM recoverable revenue to the EDAM BAAs  associated with the other EDAM transmission service providers, on behalf of such other EDAM transmission service providers, in proportion to </w:t>
      </w:r>
    </w:p>
    <w:p w14:paraId="543610BC" w14:textId="1DFFB8B0" w:rsidR="00903C3A" w:rsidRPr="00746F54" w:rsidRDefault="00903C3A" w:rsidP="00903C3A">
      <w:pPr>
        <w:pStyle w:val="ParaText"/>
        <w:ind w:left="1440"/>
        <w:rPr>
          <w:rFonts w:ascii="Arial" w:hAnsi="Arial" w:cs="Arial"/>
        </w:rPr>
      </w:pPr>
      <w:r w:rsidRPr="00746F54">
        <w:rPr>
          <w:rFonts w:ascii="Arial" w:hAnsi="Arial" w:cs="Arial"/>
        </w:rPr>
        <w:t xml:space="preserve">(a) the EDAM transmission service provider’s gross load divided by </w:t>
      </w:r>
    </w:p>
    <w:p w14:paraId="392CE1C0" w14:textId="2E18C429" w:rsidR="00903C3A" w:rsidRPr="00746F54" w:rsidRDefault="00903C3A" w:rsidP="00903C3A">
      <w:pPr>
        <w:pStyle w:val="ParaText"/>
        <w:ind w:left="1440"/>
        <w:rPr>
          <w:rFonts w:ascii="Arial" w:hAnsi="Arial" w:cs="Arial"/>
        </w:rPr>
      </w:pPr>
      <w:r w:rsidRPr="00746F54">
        <w:rPr>
          <w:rFonts w:ascii="Arial" w:hAnsi="Arial" w:cs="Arial"/>
        </w:rPr>
        <w:t xml:space="preserve">(b) the total EDAM area gross load minus gross load of the EDAM transmission service provider; </w:t>
      </w:r>
    </w:p>
    <w:p w14:paraId="09DD5A58" w14:textId="792E24DD" w:rsidR="00903C3A" w:rsidRPr="00746F54" w:rsidRDefault="00903C3A" w:rsidP="00903C3A">
      <w:pPr>
        <w:pStyle w:val="ParaText"/>
        <w:ind w:left="720"/>
        <w:rPr>
          <w:rFonts w:ascii="Arial" w:hAnsi="Arial" w:cs="Arial"/>
        </w:rPr>
      </w:pPr>
      <w:r w:rsidRPr="00746F54">
        <w:rPr>
          <w:rFonts w:ascii="Arial" w:hAnsi="Arial" w:cs="Arial"/>
        </w:rPr>
        <w:t xml:space="preserve">(2) calculating the total EDAM recoverable revenue allocation; and </w:t>
      </w:r>
    </w:p>
    <w:p w14:paraId="0BDFA269" w14:textId="097ED1F5" w:rsidR="00903C3A" w:rsidRPr="00746F54" w:rsidRDefault="00903C3A" w:rsidP="00903C3A">
      <w:pPr>
        <w:pStyle w:val="ParaText"/>
        <w:ind w:left="720"/>
        <w:rPr>
          <w:rFonts w:ascii="Arial" w:hAnsi="Arial" w:cs="Arial"/>
        </w:rPr>
      </w:pPr>
      <w:r w:rsidRPr="00746F54">
        <w:rPr>
          <w:rFonts w:ascii="Arial" w:hAnsi="Arial" w:cs="Arial"/>
        </w:rPr>
        <w:t>(3) dividing the total EDAM recoverable revenue by the EDAM transmission service provider’s gross load.</w:t>
      </w:r>
    </w:p>
    <w:p w14:paraId="1D6651B7" w14:textId="77777777" w:rsidR="00903C3A" w:rsidRPr="00746F54" w:rsidRDefault="00903C3A" w:rsidP="00903C3A">
      <w:pPr>
        <w:pStyle w:val="Heading2"/>
        <w:rPr>
          <w:rFonts w:ascii="Arial" w:hAnsi="Arial" w:cs="Arial"/>
        </w:rPr>
      </w:pPr>
      <w:bookmarkStart w:id="156" w:name="_Toc211337913"/>
      <w:bookmarkStart w:id="157" w:name="_Toc212733065"/>
      <w:r w:rsidRPr="00746F54">
        <w:rPr>
          <w:rFonts w:ascii="Arial" w:hAnsi="Arial" w:cs="Arial"/>
        </w:rPr>
        <w:t>Calculation of EDAM Recoverable Revenue</w:t>
      </w:r>
      <w:bookmarkEnd w:id="156"/>
      <w:bookmarkEnd w:id="157"/>
    </w:p>
    <w:p w14:paraId="79599C77" w14:textId="54FBA35F" w:rsidR="00903C3A" w:rsidRPr="00746F54" w:rsidRDefault="00903C3A" w:rsidP="00903C3A">
      <w:pPr>
        <w:pStyle w:val="ParaText"/>
        <w:rPr>
          <w:rFonts w:ascii="Arial" w:hAnsi="Arial" w:cs="Arial"/>
        </w:rPr>
      </w:pPr>
      <w:r w:rsidRPr="00746F54">
        <w:rPr>
          <w:rFonts w:ascii="Arial" w:hAnsi="Arial" w:cs="Arial"/>
        </w:rPr>
        <w:t>EDAM recoverable revenue will consist of the sum of the following three components: short-term firm and non-firm point-to-point transmission and wheeling access charge revenues, new transmission capacity, and recovery of transmission costs associated with edam wheeling through volumes net of imports/exports.  Each calculation is explained below.</w:t>
      </w:r>
    </w:p>
    <w:p w14:paraId="7DD469E7" w14:textId="77777777" w:rsidR="00903C3A" w:rsidRPr="00746F54" w:rsidRDefault="00903C3A" w:rsidP="00903C3A">
      <w:pPr>
        <w:pStyle w:val="Heading3"/>
        <w:rPr>
          <w:rStyle w:val="Heading3Char"/>
          <w:rFonts w:ascii="Arial" w:hAnsi="Arial" w:cs="Arial"/>
          <w:b/>
          <w:bCs/>
        </w:rPr>
      </w:pPr>
      <w:bookmarkStart w:id="158" w:name="_Toc211337914"/>
      <w:r w:rsidRPr="00746F54">
        <w:rPr>
          <w:rStyle w:val="Heading3Char"/>
          <w:rFonts w:ascii="Arial" w:hAnsi="Arial" w:cs="Arial"/>
          <w:b/>
          <w:bCs/>
        </w:rPr>
        <w:lastRenderedPageBreak/>
        <w:t>Component 1: Short-Term Firm and Non-Firm Point-to-Point Transmission and Wheeling Access Charge Revenues</w:t>
      </w:r>
      <w:bookmarkEnd w:id="158"/>
      <w:r w:rsidRPr="00746F54">
        <w:rPr>
          <w:rStyle w:val="Heading3Char"/>
          <w:rFonts w:ascii="Arial" w:hAnsi="Arial" w:cs="Arial"/>
          <w:b/>
          <w:bCs/>
        </w:rPr>
        <w:t xml:space="preserve"> </w:t>
      </w:r>
    </w:p>
    <w:p w14:paraId="58EFB9AE" w14:textId="11A6D76D" w:rsidR="00903C3A" w:rsidRPr="00746F54" w:rsidRDefault="00903C3A" w:rsidP="00903C3A">
      <w:pPr>
        <w:pStyle w:val="ParaText"/>
        <w:rPr>
          <w:rFonts w:ascii="Arial" w:hAnsi="Arial" w:cs="Arial"/>
        </w:rPr>
      </w:pPr>
      <w:r w:rsidRPr="00746F54">
        <w:rPr>
          <w:rFonts w:ascii="Arial" w:hAnsi="Arial" w:cs="Arial"/>
        </w:rPr>
        <w:t>Eligible component 1 costs are revenue shortfalls associated with the costs of forgoing certain historical transmission sales to third parties, excluding costs related to sales to the EDAM entity marketing function associated with EDAM transmission service providers. Only forgone revenues associated with the following transmission products are eligible for historical revenue recovery: hourly non-firm point-to-point, daily non-firm point-to-point, weekly non-firm point-to-point, monthly non-firm point-to-point, hourly firm point-to-point, daily firm point-to-point, weekly firm point-to-point, and monthly firm point-to-point transmission service. Each EDAM transmission service provider will calculate the annual average of its revenues from the qualifying products described in Section 33.26.2.1 of the tariff for the three years leading up to its EDAM participation. That three-year average will be fixed for purposes of calculating the EDAM access charge for the EDAM entity’s EDAM participation. For component 1 of EDAM recoverable revenue, the EDAM transmission service provider will include only that portion of revenues from the three-year average the EDAM transmission service provider reasonably expects to forgo as a result of participating in the EDAM. In the annual true-up, the EDAM transmission service provider will use its actual shortfall in lieu of the forecasted shortfall. The actual shortfall will be the difference between the EDAM transmission service provider’s actual sales of qualifying products for the applicable calendar year compared to the fixed three-year pre-EDAM average. EDAM recoverable revenue for each EDAM entity will not exceed the product of (a) its projected component 1 EDAM recoverable revenue and (b) the percentage resulting from dividing exports from its EDAM BAA to the EDAM Area by total exports from the EDAM BAA.</w:t>
      </w:r>
    </w:p>
    <w:p w14:paraId="7FB31E4D" w14:textId="77777777" w:rsidR="00903C3A" w:rsidRPr="00746F54" w:rsidRDefault="00903C3A" w:rsidP="00903C3A">
      <w:pPr>
        <w:pStyle w:val="Heading3"/>
        <w:rPr>
          <w:rFonts w:ascii="Arial" w:hAnsi="Arial" w:cs="Arial"/>
        </w:rPr>
      </w:pPr>
      <w:bookmarkStart w:id="159" w:name="_Toc211337915"/>
      <w:r w:rsidRPr="00746F54">
        <w:rPr>
          <w:rFonts w:ascii="Arial" w:hAnsi="Arial" w:cs="Arial"/>
        </w:rPr>
        <w:t>Component 2: New Transmission Capacity</w:t>
      </w:r>
      <w:bookmarkEnd w:id="159"/>
      <w:r w:rsidRPr="00746F54">
        <w:rPr>
          <w:rFonts w:ascii="Arial" w:hAnsi="Arial" w:cs="Arial"/>
        </w:rPr>
        <w:t xml:space="preserve"> </w:t>
      </w:r>
    </w:p>
    <w:p w14:paraId="159E64DD" w14:textId="364CB755" w:rsidR="00903C3A" w:rsidRPr="00746F54" w:rsidRDefault="00903C3A" w:rsidP="00903C3A">
      <w:pPr>
        <w:pStyle w:val="ParaText"/>
        <w:rPr>
          <w:rFonts w:ascii="Arial" w:hAnsi="Arial" w:cs="Arial"/>
        </w:rPr>
      </w:pPr>
      <w:r w:rsidRPr="00746F54">
        <w:rPr>
          <w:rFonts w:ascii="Arial" w:hAnsi="Arial" w:cs="Arial"/>
        </w:rPr>
        <w:t xml:space="preserve">Eligible component 2 costs include (a) costs resulting from reduced revenues from sales of non-firm and short-term firm transmission associated with the release of transmission capacity resulting from the expiration of EDAM legacy contracts, and (b) the cost associated with forgone transmission sales on certain new network upgrades. </w:t>
      </w:r>
    </w:p>
    <w:p w14:paraId="7890338B" w14:textId="74197BC0" w:rsidR="00903C3A" w:rsidRPr="00746F54" w:rsidRDefault="00903C3A" w:rsidP="00903C3A">
      <w:pPr>
        <w:pStyle w:val="ParaText"/>
        <w:rPr>
          <w:rFonts w:ascii="Arial" w:hAnsi="Arial" w:cs="Arial"/>
        </w:rPr>
      </w:pPr>
      <w:r w:rsidRPr="00746F54">
        <w:rPr>
          <w:rFonts w:ascii="Arial" w:hAnsi="Arial" w:cs="Arial"/>
        </w:rPr>
        <w:t xml:space="preserve">An EDAM transmission service provider may include in its component 2 EDAM recoverable revenue those revenue shortfalls from sales of non-firm and short-term firm transmission associated with the release of transmission capacity resulting from the expiration of EDAM legacy contracts that were not included as EDAM recoverable revenue in component 1. The EDAM transmission service provider may not recover as EDAM recoverable revenue more than the product of the most recent annual revenue of the expired EDAM legacy contract multiplied by the ratio of (a) the non-firm and short-term firm point-to-point historical EDAM recoverable </w:t>
      </w:r>
      <w:r w:rsidRPr="00746F54">
        <w:rPr>
          <w:rFonts w:ascii="Arial" w:hAnsi="Arial" w:cs="Arial"/>
        </w:rPr>
        <w:lastRenderedPageBreak/>
        <w:t xml:space="preserve">transmission revenues from the pre-EDAM three-year average in component 1 to (b) the EDAM entity’s annual average revenue requirement over the same three years. </w:t>
      </w:r>
    </w:p>
    <w:p w14:paraId="4F1663B7" w14:textId="7F504F33" w:rsidR="00903C3A" w:rsidRPr="00746F54" w:rsidRDefault="00903C3A" w:rsidP="00903C3A">
      <w:pPr>
        <w:pStyle w:val="ParaText"/>
        <w:rPr>
          <w:rFonts w:ascii="Arial" w:hAnsi="Arial" w:cs="Arial"/>
        </w:rPr>
      </w:pPr>
      <w:r w:rsidRPr="00746F54">
        <w:rPr>
          <w:rFonts w:ascii="Arial" w:hAnsi="Arial" w:cs="Arial"/>
        </w:rPr>
        <w:t xml:space="preserve">An EDAM transmission service provider may include in its component 2 EDAM recoverable revenue forgone revenue from eligible new network upgrades. Eligible new network upgrades are those that: (a) are in service; (b) are already included in the EDAM transmission service provider’s transmission rates or have otherwise been approved for rate recovery by the local regulatory authority or FERC, as applicable; (c) increase transfer capability between the EDAM entity BAAs or between the CAISO BAA and an EDAM entity BAA; and (d) are energized after the applicable EDAM transmission service provider begins participation in the Day-Ahead Market. For each new qualifying network upgrade, the EDAM transmission service provider will calculate an estimate of forgone revenue applicable to that network upgrade. Because new network upgrades will not have a three-year historical baseline, the EDAM transmission service provider will calculate a proxy baseline. To do so, the EDAM transmission service provider will calculate the ratio of (a) the non-firm and short-term firm point-to-point historical transmission revenues from the pre-EDAM three-year average in component 1 to (b) the EDAM Entity’s annual average revenue requirement over the same three years. The EDAM transmission service provider’s proxy baseline for the new network upgrade will be the product of this ratio and the transmission revenue requirement for the new network upgrade. The EDAM transmission service provider will then include as its component 2 EDAM Recoverable Revenue those revenues it expects to forgo from the new network upgrade as a result of participating in the EDAM, not to exceed the proxy baseline. After the first year the new network upgrade is included in the EDAM access charge, the EDAM transmission service provider will true-up actual forgone revenues to projected forgone revenues in the following year’s component 2 EDAM recoverable revenue based on the proxy baseline. </w:t>
      </w:r>
    </w:p>
    <w:p w14:paraId="0F3C3794" w14:textId="4C3420DB" w:rsidR="00903C3A" w:rsidRPr="00746F54" w:rsidRDefault="00903C3A" w:rsidP="00903C3A">
      <w:pPr>
        <w:pStyle w:val="ParaText"/>
        <w:rPr>
          <w:rFonts w:ascii="Arial" w:hAnsi="Arial" w:cs="Arial"/>
        </w:rPr>
      </w:pPr>
      <w:r w:rsidRPr="00746F54">
        <w:rPr>
          <w:rFonts w:ascii="Arial" w:hAnsi="Arial" w:cs="Arial"/>
        </w:rPr>
        <w:t>Network upgrades will be deemed to increase transfer capability where they: (a) increase total transfer capability; (b) create new interfaces; (c) increase the simultaneous import limits at existing interfaces; (d) result from an Interregional Transmission Project to increase transfer capability; or (e) were identified through the WECC path rating process as increasing total transfer capability or creating new transmission interfaces; between EDAM entity BAAs or between the CAISO BAA and an EDAM entity BAA.</w:t>
      </w:r>
    </w:p>
    <w:p w14:paraId="142CD5CD" w14:textId="73486243" w:rsidR="00903C3A" w:rsidRPr="00746F54" w:rsidRDefault="00903C3A" w:rsidP="00903C3A">
      <w:pPr>
        <w:pStyle w:val="ParaText"/>
        <w:rPr>
          <w:rFonts w:ascii="Arial" w:hAnsi="Arial" w:cs="Arial"/>
        </w:rPr>
      </w:pPr>
      <w:r w:rsidRPr="00746F54">
        <w:rPr>
          <w:rFonts w:ascii="Arial" w:hAnsi="Arial" w:cs="Arial"/>
        </w:rPr>
        <w:t xml:space="preserve">Eligible component 3 costs are projected revenue shortfalls associated with wheeling-through an EDAM entity BAA or the CAISO BAA. An EDAM transmission service provider’s EDAM recoverable revenue will include those revenues associated with its total volume of wheeling-through transactions in excess of the total net transfers (imports and exports) of the applicable EDAM entity BAA or CAISO BAA,  as measured on a monthly basis. In periods where this excess occurs, the CAISO will calculate the EDAM recoverable revenue by multiplying that volume of wheeling-through transactions in excess of the total net transfers by the applicable </w:t>
      </w:r>
      <w:r w:rsidRPr="00746F54">
        <w:rPr>
          <w:rFonts w:ascii="Arial" w:hAnsi="Arial" w:cs="Arial"/>
        </w:rPr>
        <w:lastRenderedPageBreak/>
        <w:t>EDAM transmission service provider’s non-firm hourly point-to-point transmission rate. For participating transmission owners,  the CAISO will use the applicable wheeling access charge rate.</w:t>
      </w:r>
    </w:p>
    <w:p w14:paraId="1712D352" w14:textId="77777777" w:rsidR="00903C3A" w:rsidRPr="00746F54" w:rsidRDefault="00903C3A" w:rsidP="00903C3A">
      <w:pPr>
        <w:pStyle w:val="Heading2"/>
        <w:rPr>
          <w:rFonts w:ascii="Arial" w:hAnsi="Arial" w:cs="Arial"/>
        </w:rPr>
      </w:pPr>
      <w:bookmarkStart w:id="160" w:name="_Toc211337916"/>
      <w:bookmarkStart w:id="161" w:name="_Toc212733066"/>
      <w:r w:rsidRPr="00746F54">
        <w:rPr>
          <w:rFonts w:ascii="Arial" w:hAnsi="Arial" w:cs="Arial"/>
        </w:rPr>
        <w:t>Assessing Access Charges and Allocating Revenues in the EDAM</w:t>
      </w:r>
      <w:bookmarkEnd w:id="160"/>
      <w:bookmarkEnd w:id="161"/>
      <w:r w:rsidRPr="00746F54">
        <w:rPr>
          <w:rFonts w:ascii="Arial" w:hAnsi="Arial" w:cs="Arial"/>
        </w:rPr>
        <w:t xml:space="preserve"> </w:t>
      </w:r>
    </w:p>
    <w:p w14:paraId="4841ACF5" w14:textId="446C053B" w:rsidR="00903C3A" w:rsidRPr="00746F54" w:rsidRDefault="00903C3A" w:rsidP="00903C3A">
      <w:pPr>
        <w:pStyle w:val="ParaText"/>
        <w:rPr>
          <w:rFonts w:ascii="Arial" w:hAnsi="Arial" w:cs="Arial"/>
        </w:rPr>
      </w:pPr>
      <w:r w:rsidRPr="00746F54">
        <w:rPr>
          <w:rFonts w:ascii="Arial" w:hAnsi="Arial" w:cs="Arial"/>
        </w:rPr>
        <w:t>To recover each EDAM transmission service provider’s EDAM recoverable revenue, the CAISO will assess an EDAM access charge to gross load in each EDAM BAA. Each EDAM access charge will recover the projected EDAM recoverable revenue for the EDAM BAAs outside the BAA for that EDAM access charge, such that no EDAM BAA will be assessed its own projected EDAM recoverable revenue. The CAISO will assess EDAM access charges based on the EDAM BAAs’  gross loads. The CAISO will allocate revenues collected from the EDAM access charges to EDAM entities on behalf of each EDAM transmission service provider, in proportion to each EDAM entity’s proportionate share of total projected EDAM recoverable revenue. Any difference between projected EDAM recoverable revenue and actual EDAM recoverable revenue will be included as debits or credits in the annual true-up, as provided in Section 33.26.1.2 of the tariff.</w:t>
      </w:r>
    </w:p>
    <w:p w14:paraId="1A950760" w14:textId="77777777" w:rsidR="00903C3A" w:rsidRPr="00746F54" w:rsidRDefault="00903C3A" w:rsidP="00903C3A">
      <w:pPr>
        <w:pStyle w:val="Heading2"/>
        <w:rPr>
          <w:rFonts w:ascii="Arial" w:hAnsi="Arial" w:cs="Arial"/>
        </w:rPr>
      </w:pPr>
      <w:bookmarkStart w:id="162" w:name="_Toc211337917"/>
      <w:bookmarkStart w:id="163" w:name="_Toc212733067"/>
      <w:r w:rsidRPr="00746F54">
        <w:rPr>
          <w:rFonts w:ascii="Arial" w:hAnsi="Arial" w:cs="Arial"/>
        </w:rPr>
        <w:t>Documentation</w:t>
      </w:r>
      <w:bookmarkEnd w:id="162"/>
      <w:bookmarkEnd w:id="163"/>
      <w:r w:rsidRPr="00746F54">
        <w:rPr>
          <w:rFonts w:ascii="Arial" w:hAnsi="Arial" w:cs="Arial"/>
        </w:rPr>
        <w:t xml:space="preserve"> </w:t>
      </w:r>
    </w:p>
    <w:p w14:paraId="6248B594" w14:textId="6BC1623E" w:rsidR="00903C3A" w:rsidRPr="00746F54" w:rsidRDefault="00903C3A" w:rsidP="00903C3A">
      <w:pPr>
        <w:pStyle w:val="ParaText"/>
        <w:rPr>
          <w:rFonts w:ascii="Arial" w:hAnsi="Arial" w:cs="Arial"/>
        </w:rPr>
      </w:pPr>
      <w:r w:rsidRPr="00746F54">
        <w:rPr>
          <w:rFonts w:ascii="Arial" w:hAnsi="Arial" w:cs="Arial"/>
        </w:rPr>
        <w:t xml:space="preserve">EDAM transmission service providers will provide the CAISO all supporting documentation necessary to determine the local EDAM access charges in each BAA by July 1 of the year prior to each year in which the EDAM access charge will apply. The CAISO will publish all supporting documentation on the CAISO website. At a minimum EDAM entities must provide: (a) the final order from FERC or the local regulatory authority affecting their approved transmission rates and any informational filings or postings under relevant formula rates; (b) the sums for each EDAM recoverable revenue component and true-up; and (c) an authorized affidavit from each EDAM transmission service provider attesting to the accuracy of the data provided and that the EDAM transmission service provider will make reasonable efforts to avoid any double recovery of costs through the EDAM access charge. All data provided must be sufficiently granular to enable verification of the EDAM access charge rates by the CAISO and market participants. For each EDAM transmission service provider, the CAISO will maintain on its website the current sum of each recoverable revenue component, the total true-up amount, and the total eligible recovery amount. The CAISO will maintain on its website each EDAM access charge, including the rate, the gross load, and the total eligible recovery amount in that BAA.  </w:t>
      </w:r>
    </w:p>
    <w:p w14:paraId="1A6AE874" w14:textId="77777777" w:rsidR="00903C3A" w:rsidRPr="00746F54" w:rsidRDefault="00903C3A" w:rsidP="00903C3A">
      <w:pPr>
        <w:pStyle w:val="Heading2"/>
        <w:rPr>
          <w:rFonts w:ascii="Arial" w:hAnsi="Arial" w:cs="Arial"/>
        </w:rPr>
      </w:pPr>
      <w:bookmarkStart w:id="164" w:name="_Toc211337918"/>
      <w:bookmarkStart w:id="165" w:name="_Toc212733068"/>
      <w:r w:rsidRPr="00746F54">
        <w:rPr>
          <w:rFonts w:ascii="Arial" w:hAnsi="Arial" w:cs="Arial"/>
        </w:rPr>
        <w:lastRenderedPageBreak/>
        <w:t>Exit from EDAM</w:t>
      </w:r>
      <w:bookmarkEnd w:id="164"/>
      <w:bookmarkEnd w:id="165"/>
      <w:r w:rsidRPr="00746F54">
        <w:rPr>
          <w:rFonts w:ascii="Arial" w:hAnsi="Arial" w:cs="Arial"/>
        </w:rPr>
        <w:t xml:space="preserve"> </w:t>
      </w:r>
    </w:p>
    <w:p w14:paraId="12645D05" w14:textId="2529FDF2" w:rsidR="00903C3A" w:rsidRPr="00746F54" w:rsidRDefault="00903C3A" w:rsidP="00903C3A">
      <w:pPr>
        <w:pStyle w:val="ParaText"/>
        <w:rPr>
          <w:rFonts w:ascii="Arial" w:hAnsi="Arial" w:cs="Arial"/>
        </w:rPr>
      </w:pPr>
      <w:r w:rsidRPr="00746F54">
        <w:rPr>
          <w:rFonts w:ascii="Arial" w:hAnsi="Arial" w:cs="Arial"/>
        </w:rPr>
        <w:t xml:space="preserve">If an EDAM entity withdraws from the EDAM pursuant to Section 3 of its EDAM addendum to the EIM entity agreement, it will continue to collect and be assessed EDAM access charges only during the six-month interim notice period before withdrawing from the EDAM. A withdrawn EDAM entity will not collect, be assessed, or true-up any costs or revenues through the EDAM access charge after this interim notice period, except for the previous calendar year’s true-up under Section 33.26.5.1 of the tariff. </w:t>
      </w:r>
    </w:p>
    <w:p w14:paraId="2F51491B" w14:textId="63B30DCC" w:rsidR="00903C3A" w:rsidRPr="00746F54" w:rsidRDefault="00903C3A" w:rsidP="00903C3A">
      <w:pPr>
        <w:pStyle w:val="ParaText"/>
        <w:rPr>
          <w:rFonts w:ascii="Arial" w:hAnsi="Arial" w:cs="Arial"/>
        </w:rPr>
      </w:pPr>
      <w:r w:rsidRPr="00746F54">
        <w:rPr>
          <w:rFonts w:ascii="Arial" w:hAnsi="Arial" w:cs="Arial"/>
        </w:rPr>
        <w:t xml:space="preserve">If an EDAM entity owed or was owed any true-up amount from the previous calendar year pursuant to Section 33.26.1.2 of the tariff before it gave its written notice of termination to the CAISO in accordance with Section 3 of its EDAM addendum to the EIM entity agreement, and it withdraws from the EDAM before the end of the calendar year such that any true- up amount remains outstanding, either: (a) the EDAM entity will pay the CAISO the remaining true-up balance it owed upon the end of the interim period described in Section 33.26.5 of the tariff, and the CAISO will distribute that balance through the EDAM access charges over the rest of the calendar year; or (b) the CAISO will continue to collect the remaining true-up amount owed the EDAM entity through the EDAM access charges throughout the rest of the calendar year, and will pay that true-up amount to the EDAM entity thereafter. Section 33.26.5.1 of the tariff excludes all charges or payments outside of the previous calendar year true-up under Section 33.26.1.2. </w:t>
      </w:r>
    </w:p>
    <w:p w14:paraId="5C6E64CD" w14:textId="77777777" w:rsidR="00903C3A" w:rsidRPr="00746F54" w:rsidRDefault="00903C3A" w:rsidP="00903C3A">
      <w:pPr>
        <w:pStyle w:val="Heading2"/>
        <w:rPr>
          <w:rFonts w:ascii="Arial" w:hAnsi="Arial" w:cs="Arial"/>
        </w:rPr>
      </w:pPr>
      <w:bookmarkStart w:id="166" w:name="_Toc211337919"/>
      <w:bookmarkStart w:id="167" w:name="_Toc212733069"/>
      <w:r w:rsidRPr="00746F54">
        <w:rPr>
          <w:rFonts w:ascii="Arial" w:hAnsi="Arial" w:cs="Arial"/>
        </w:rPr>
        <w:t>Three-Year Review</w:t>
      </w:r>
      <w:bookmarkEnd w:id="166"/>
      <w:bookmarkEnd w:id="167"/>
      <w:r w:rsidRPr="00746F54">
        <w:rPr>
          <w:rFonts w:ascii="Arial" w:hAnsi="Arial" w:cs="Arial"/>
        </w:rPr>
        <w:t xml:space="preserve"> </w:t>
      </w:r>
    </w:p>
    <w:p w14:paraId="121DFE11" w14:textId="635C2270" w:rsidR="00903C3A" w:rsidRPr="00746F54" w:rsidRDefault="00903C3A" w:rsidP="00903C3A">
      <w:pPr>
        <w:pStyle w:val="ParaText"/>
        <w:rPr>
          <w:rFonts w:ascii="Arial" w:hAnsi="Arial" w:cs="Arial"/>
        </w:rPr>
      </w:pPr>
      <w:r w:rsidRPr="00746F54">
        <w:rPr>
          <w:rFonts w:ascii="Arial" w:hAnsi="Arial" w:cs="Arial"/>
        </w:rPr>
        <w:t>No later than three years after the original effective date of Section 33.26, the CAISO will publish on its website a performance report on the EDAM access charge. The performance report will include without limitation: an explanation of the impacts of the EDAM access charge on EDAM transmission service providers’ revenue recovery and rates; the performance of the EDAM access charge in managing cost shifts among customers; and analysis by the CAISO of any other impacts or externalities.</w:t>
      </w:r>
    </w:p>
    <w:p w14:paraId="23A893BD" w14:textId="77777777" w:rsidR="00903C3A" w:rsidRPr="00746F54" w:rsidRDefault="00903C3A" w:rsidP="00903C3A">
      <w:pPr>
        <w:pStyle w:val="Heading2"/>
        <w:rPr>
          <w:rFonts w:ascii="Arial" w:hAnsi="Arial" w:cs="Arial"/>
        </w:rPr>
      </w:pPr>
      <w:bookmarkStart w:id="168" w:name="_Toc211337920"/>
      <w:bookmarkStart w:id="169" w:name="_Toc212733070"/>
      <w:r w:rsidRPr="00746F54">
        <w:rPr>
          <w:rFonts w:ascii="Arial" w:hAnsi="Arial" w:cs="Arial"/>
        </w:rPr>
        <w:t>EDAM Access Charge Calculation Examples</w:t>
      </w:r>
      <w:bookmarkEnd w:id="168"/>
      <w:bookmarkEnd w:id="169"/>
    </w:p>
    <w:p w14:paraId="199235FC" w14:textId="58D07A2F" w:rsidR="00903C3A" w:rsidRPr="00746F54" w:rsidRDefault="00903C3A" w:rsidP="00903C3A">
      <w:pPr>
        <w:rPr>
          <w:rFonts w:ascii="Arial" w:eastAsia="Calibri" w:hAnsi="Arial" w:cs="Arial"/>
          <w:bCs/>
        </w:rPr>
      </w:pPr>
      <w:r w:rsidRPr="00746F54">
        <w:rPr>
          <w:rFonts w:ascii="Arial" w:eastAsia="Calibri" w:hAnsi="Arial" w:cs="Arial"/>
          <w:bCs/>
        </w:rPr>
        <w:t>The following example illustrates each mechanism of the EDAM access charge, including an example of a new transmission service provider joining EDAM.  The example is intended only to illustrate how the EDAM access charge would work year to year.  It is not intended to estimate projected values for actual EDAM entities.  The CAISO used illustrative arbitrary values for each figure.</w:t>
      </w:r>
    </w:p>
    <w:p w14:paraId="192DC669" w14:textId="77777777" w:rsidR="00903C3A" w:rsidRPr="00746F54" w:rsidRDefault="00903C3A" w:rsidP="00903C3A">
      <w:pPr>
        <w:rPr>
          <w:rFonts w:ascii="Arial" w:eastAsia="Calibri" w:hAnsi="Arial" w:cs="Arial"/>
          <w:bCs/>
        </w:rPr>
      </w:pPr>
      <w:r w:rsidRPr="00746F54">
        <w:rPr>
          <w:rFonts w:ascii="Arial" w:eastAsia="Calibri" w:hAnsi="Arial" w:cs="Arial"/>
          <w:bCs/>
        </w:rPr>
        <w:t xml:space="preserve">The EDAM access charge is comprised of three components: (1) certain historical transmission revenues, (2) new network upgrade costs that increase EDAM transfer capability, and (3) </w:t>
      </w:r>
      <w:r w:rsidRPr="00746F54">
        <w:rPr>
          <w:rFonts w:ascii="Arial" w:eastAsia="Calibri" w:hAnsi="Arial" w:cs="Arial"/>
          <w:bCs/>
        </w:rPr>
        <w:lastRenderedPageBreak/>
        <w:t xml:space="preserve">revenues from wheeling-through transfers exceeding the transmission service provider’s imports and exports. </w:t>
      </w:r>
    </w:p>
    <w:p w14:paraId="0C217706" w14:textId="50EC48BF" w:rsidR="00903C3A" w:rsidRPr="00746F54" w:rsidRDefault="00903C3A" w:rsidP="00903C3A">
      <w:pPr>
        <w:rPr>
          <w:rFonts w:ascii="Arial" w:eastAsia="Calibri" w:hAnsi="Arial" w:cs="Arial"/>
          <w:bCs/>
        </w:rPr>
      </w:pPr>
      <w:r w:rsidRPr="00746F54">
        <w:rPr>
          <w:rFonts w:ascii="Arial" w:eastAsia="Calibri" w:hAnsi="Arial" w:cs="Arial"/>
          <w:bCs/>
        </w:rPr>
        <w:t xml:space="preserve">The example begins with four different EDAM balancing authority areas (BAA). The example assumes each EDAM entity begins participation at the outset of the EDAM in 2026.  Table 1 illustrates their historical 3-year average of EDAM recoverable revenue. </w:t>
      </w:r>
    </w:p>
    <w:p w14:paraId="7ADFE297" w14:textId="77777777" w:rsidR="00903C3A" w:rsidRPr="00746F54" w:rsidRDefault="00903C3A" w:rsidP="00903C3A">
      <w:pPr>
        <w:jc w:val="center"/>
        <w:rPr>
          <w:rFonts w:ascii="Arial" w:eastAsia="Calibri" w:hAnsi="Arial" w:cs="Arial"/>
          <w:b/>
          <w:bCs/>
        </w:rPr>
      </w:pPr>
      <w:r w:rsidRPr="00746F54">
        <w:rPr>
          <w:rFonts w:ascii="Arial" w:eastAsia="Calibri" w:hAnsi="Arial" w:cs="Arial"/>
          <w:b/>
          <w:bCs/>
        </w:rPr>
        <w:t xml:space="preserve">Table 1: Historical 3-year Average of EDAM Recoverable Revenue </w:t>
      </w:r>
    </w:p>
    <w:tbl>
      <w:tblPr>
        <w:tblStyle w:val="TableGrid1"/>
        <w:tblW w:w="0" w:type="auto"/>
        <w:tblLook w:val="04A0" w:firstRow="1" w:lastRow="0" w:firstColumn="1" w:lastColumn="0" w:noHBand="0" w:noVBand="1"/>
      </w:tblPr>
      <w:tblGrid>
        <w:gridCol w:w="2515"/>
        <w:gridCol w:w="4860"/>
      </w:tblGrid>
      <w:tr w:rsidR="00903C3A" w:rsidRPr="00746F54" w14:paraId="2699E8AC" w14:textId="77777777" w:rsidTr="00D62922">
        <w:tc>
          <w:tcPr>
            <w:tcW w:w="2515" w:type="dxa"/>
          </w:tcPr>
          <w:p w14:paraId="7A04AAA5" w14:textId="77777777" w:rsidR="00903C3A" w:rsidRPr="00746F54" w:rsidRDefault="00903C3A" w:rsidP="00D62922">
            <w:pPr>
              <w:rPr>
                <w:rFonts w:ascii="Arial" w:eastAsia="Calibri" w:hAnsi="Arial" w:cs="Arial"/>
              </w:rPr>
            </w:pPr>
            <w:r w:rsidRPr="00746F54">
              <w:rPr>
                <w:rFonts w:ascii="Arial" w:eastAsia="Calibri" w:hAnsi="Arial" w:cs="Arial"/>
              </w:rPr>
              <w:t>EDAM Entity transmission provider</w:t>
            </w:r>
          </w:p>
        </w:tc>
        <w:tc>
          <w:tcPr>
            <w:tcW w:w="4860" w:type="dxa"/>
          </w:tcPr>
          <w:p w14:paraId="20137C72" w14:textId="77777777" w:rsidR="00903C3A" w:rsidRPr="00746F54" w:rsidRDefault="00903C3A" w:rsidP="00D62922">
            <w:pPr>
              <w:rPr>
                <w:rFonts w:ascii="Arial" w:eastAsia="Calibri" w:hAnsi="Arial" w:cs="Arial"/>
              </w:rPr>
            </w:pPr>
            <w:r w:rsidRPr="00746F54">
              <w:rPr>
                <w:rFonts w:ascii="Arial" w:eastAsia="Calibri" w:hAnsi="Arial" w:cs="Arial"/>
              </w:rPr>
              <w:t>Historical 3-year average of short-term transmission sales (for 2026)</w:t>
            </w:r>
            <w:r w:rsidRPr="00746F54">
              <w:rPr>
                <w:rFonts w:ascii="Arial" w:eastAsia="Calibri" w:hAnsi="Arial" w:cs="Arial"/>
                <w:vertAlign w:val="superscript"/>
              </w:rPr>
              <w:footnoteReference w:id="2"/>
            </w:r>
            <w:r w:rsidRPr="00746F54">
              <w:rPr>
                <w:rFonts w:ascii="Arial" w:eastAsia="Calibri" w:hAnsi="Arial" w:cs="Arial"/>
              </w:rPr>
              <w:t xml:space="preserve"> </w:t>
            </w:r>
          </w:p>
        </w:tc>
      </w:tr>
      <w:tr w:rsidR="00903C3A" w:rsidRPr="00746F54" w14:paraId="541F39A8" w14:textId="77777777" w:rsidTr="00D62922">
        <w:tc>
          <w:tcPr>
            <w:tcW w:w="2515" w:type="dxa"/>
          </w:tcPr>
          <w:p w14:paraId="797FDE5B" w14:textId="77777777" w:rsidR="00903C3A" w:rsidRPr="00746F54" w:rsidRDefault="00903C3A" w:rsidP="00D62922">
            <w:pPr>
              <w:rPr>
                <w:rFonts w:ascii="Arial" w:eastAsia="Calibri" w:hAnsi="Arial" w:cs="Arial"/>
              </w:rPr>
            </w:pPr>
            <w:r w:rsidRPr="00746F54">
              <w:rPr>
                <w:rFonts w:ascii="Arial" w:eastAsia="Calibri" w:hAnsi="Arial" w:cs="Arial"/>
              </w:rPr>
              <w:t>BAA 1</w:t>
            </w:r>
          </w:p>
        </w:tc>
        <w:tc>
          <w:tcPr>
            <w:tcW w:w="4860" w:type="dxa"/>
          </w:tcPr>
          <w:p w14:paraId="39823B06" w14:textId="77777777" w:rsidR="00903C3A" w:rsidRPr="00746F54" w:rsidRDefault="00903C3A" w:rsidP="00D62922">
            <w:pPr>
              <w:rPr>
                <w:rFonts w:ascii="Arial" w:eastAsia="Calibri" w:hAnsi="Arial" w:cs="Arial"/>
              </w:rPr>
            </w:pPr>
            <w:r w:rsidRPr="00746F54">
              <w:rPr>
                <w:rFonts w:ascii="Arial" w:eastAsia="Calibri" w:hAnsi="Arial" w:cs="Arial"/>
              </w:rPr>
              <w:t>$14,242,500</w:t>
            </w:r>
          </w:p>
        </w:tc>
      </w:tr>
      <w:tr w:rsidR="00903C3A" w:rsidRPr="00746F54" w14:paraId="28F88B7E" w14:textId="77777777" w:rsidTr="00D62922">
        <w:tc>
          <w:tcPr>
            <w:tcW w:w="2515" w:type="dxa"/>
          </w:tcPr>
          <w:p w14:paraId="4CF3D220" w14:textId="77777777" w:rsidR="00903C3A" w:rsidRPr="00746F54" w:rsidRDefault="00903C3A" w:rsidP="00D62922">
            <w:pPr>
              <w:rPr>
                <w:rFonts w:ascii="Arial" w:eastAsia="Calibri" w:hAnsi="Arial" w:cs="Arial"/>
              </w:rPr>
            </w:pPr>
            <w:r w:rsidRPr="00746F54">
              <w:rPr>
                <w:rFonts w:ascii="Arial" w:eastAsia="Calibri" w:hAnsi="Arial" w:cs="Arial"/>
              </w:rPr>
              <w:t>BAA 2</w:t>
            </w:r>
          </w:p>
        </w:tc>
        <w:tc>
          <w:tcPr>
            <w:tcW w:w="4860" w:type="dxa"/>
          </w:tcPr>
          <w:p w14:paraId="40D0E546" w14:textId="77777777" w:rsidR="00903C3A" w:rsidRPr="00746F54" w:rsidRDefault="00903C3A" w:rsidP="00D62922">
            <w:pPr>
              <w:rPr>
                <w:rFonts w:ascii="Arial" w:eastAsia="Calibri" w:hAnsi="Arial" w:cs="Arial"/>
              </w:rPr>
            </w:pPr>
            <w:r w:rsidRPr="00746F54">
              <w:rPr>
                <w:rFonts w:ascii="Arial" w:eastAsia="Calibri" w:hAnsi="Arial" w:cs="Arial"/>
              </w:rPr>
              <w:t>$3,600,000</w:t>
            </w:r>
          </w:p>
        </w:tc>
      </w:tr>
      <w:tr w:rsidR="00903C3A" w:rsidRPr="00746F54" w14:paraId="682E45AA" w14:textId="77777777" w:rsidTr="00D62922">
        <w:tc>
          <w:tcPr>
            <w:tcW w:w="2515" w:type="dxa"/>
          </w:tcPr>
          <w:p w14:paraId="620C2B2D" w14:textId="77777777" w:rsidR="00903C3A" w:rsidRPr="00746F54" w:rsidRDefault="00903C3A" w:rsidP="00D62922">
            <w:pPr>
              <w:rPr>
                <w:rFonts w:ascii="Arial" w:eastAsia="Calibri" w:hAnsi="Arial" w:cs="Arial"/>
              </w:rPr>
            </w:pPr>
            <w:r w:rsidRPr="00746F54">
              <w:rPr>
                <w:rFonts w:ascii="Arial" w:eastAsia="Calibri" w:hAnsi="Arial" w:cs="Arial"/>
              </w:rPr>
              <w:t>BAA 3</w:t>
            </w:r>
          </w:p>
        </w:tc>
        <w:tc>
          <w:tcPr>
            <w:tcW w:w="4860" w:type="dxa"/>
          </w:tcPr>
          <w:p w14:paraId="07E1455A" w14:textId="77777777" w:rsidR="00903C3A" w:rsidRPr="00746F54" w:rsidRDefault="00903C3A" w:rsidP="00D62922">
            <w:pPr>
              <w:rPr>
                <w:rFonts w:ascii="Arial" w:eastAsia="Calibri" w:hAnsi="Arial" w:cs="Arial"/>
              </w:rPr>
            </w:pPr>
            <w:r w:rsidRPr="00746F54">
              <w:rPr>
                <w:rFonts w:ascii="Arial" w:eastAsia="Calibri" w:hAnsi="Arial" w:cs="Arial"/>
              </w:rPr>
              <w:t>$4,750,000</w:t>
            </w:r>
          </w:p>
        </w:tc>
      </w:tr>
      <w:tr w:rsidR="00903C3A" w:rsidRPr="00746F54" w14:paraId="0F25ADA1" w14:textId="77777777" w:rsidTr="00D62922">
        <w:tc>
          <w:tcPr>
            <w:tcW w:w="2515" w:type="dxa"/>
          </w:tcPr>
          <w:p w14:paraId="52337EE5" w14:textId="77777777" w:rsidR="00903C3A" w:rsidRPr="00746F54" w:rsidRDefault="00903C3A" w:rsidP="00D62922">
            <w:pPr>
              <w:rPr>
                <w:rFonts w:ascii="Arial" w:eastAsia="Calibri" w:hAnsi="Arial" w:cs="Arial"/>
              </w:rPr>
            </w:pPr>
            <w:r w:rsidRPr="00746F54">
              <w:rPr>
                <w:rFonts w:ascii="Arial" w:eastAsia="Calibri" w:hAnsi="Arial" w:cs="Arial"/>
              </w:rPr>
              <w:t>BAA 4</w:t>
            </w:r>
          </w:p>
        </w:tc>
        <w:tc>
          <w:tcPr>
            <w:tcW w:w="4860" w:type="dxa"/>
          </w:tcPr>
          <w:p w14:paraId="1C9805DD" w14:textId="77777777" w:rsidR="00903C3A" w:rsidRPr="00746F54" w:rsidRDefault="00903C3A" w:rsidP="00D62922">
            <w:pPr>
              <w:rPr>
                <w:rFonts w:ascii="Arial" w:eastAsia="Calibri" w:hAnsi="Arial" w:cs="Arial"/>
              </w:rPr>
            </w:pPr>
            <w:r w:rsidRPr="00746F54">
              <w:rPr>
                <w:rFonts w:ascii="Arial" w:eastAsia="Calibri" w:hAnsi="Arial" w:cs="Arial"/>
              </w:rPr>
              <w:t>$30,700,000</w:t>
            </w:r>
          </w:p>
        </w:tc>
      </w:tr>
    </w:tbl>
    <w:p w14:paraId="3382B1C3" w14:textId="77777777" w:rsidR="00903C3A" w:rsidRPr="00746F54" w:rsidRDefault="00903C3A" w:rsidP="00903C3A">
      <w:pPr>
        <w:spacing w:after="0"/>
        <w:rPr>
          <w:rFonts w:ascii="Arial" w:eastAsia="Calibri" w:hAnsi="Arial" w:cs="Arial"/>
        </w:rPr>
      </w:pPr>
    </w:p>
    <w:p w14:paraId="37EA4920" w14:textId="380D9CDA" w:rsidR="00903C3A" w:rsidRPr="00746F54" w:rsidRDefault="00903C3A" w:rsidP="00903C3A">
      <w:pPr>
        <w:spacing w:after="0"/>
        <w:rPr>
          <w:rFonts w:ascii="Arial" w:eastAsia="Calibri" w:hAnsi="Arial" w:cs="Arial"/>
        </w:rPr>
      </w:pPr>
      <w:r w:rsidRPr="00746F54">
        <w:rPr>
          <w:rFonts w:ascii="Arial" w:eastAsia="Calibri" w:hAnsi="Arial" w:cs="Arial"/>
        </w:rPr>
        <w:t>In EDAM, transmission providers will continue operating their Open Access Transmission Tariffs (OATT) and selling short-term transmission products.</w:t>
      </w:r>
      <w:r w:rsidRPr="00746F54">
        <w:rPr>
          <w:rFonts w:ascii="Arial" w:eastAsia="Calibri" w:hAnsi="Arial" w:cs="Arial"/>
          <w:vertAlign w:val="superscript"/>
        </w:rPr>
        <w:footnoteReference w:id="3"/>
      </w:r>
      <w:r w:rsidRPr="00746F54">
        <w:rPr>
          <w:rFonts w:ascii="Arial" w:eastAsia="Calibri" w:hAnsi="Arial" w:cs="Arial"/>
        </w:rPr>
        <w:t xml:space="preserve">  Thus, a portion of the historical 3-year average of short-term transmission sales under Table 1 is revenue at risk. Each entity will forecast the amount of expected revenue for the particular year, as illustrated in Table 2.</w:t>
      </w:r>
    </w:p>
    <w:p w14:paraId="32042ED0" w14:textId="77777777" w:rsidR="00903C3A" w:rsidRPr="00746F54" w:rsidRDefault="00903C3A" w:rsidP="00903C3A">
      <w:pPr>
        <w:spacing w:after="0"/>
        <w:rPr>
          <w:rFonts w:ascii="Arial" w:eastAsia="Calibri" w:hAnsi="Arial" w:cs="Arial"/>
        </w:rPr>
      </w:pPr>
    </w:p>
    <w:p w14:paraId="6584A166" w14:textId="77777777" w:rsidR="00903C3A" w:rsidRPr="00746F54" w:rsidRDefault="00903C3A" w:rsidP="00903C3A">
      <w:pPr>
        <w:spacing w:after="0"/>
        <w:jc w:val="center"/>
        <w:rPr>
          <w:rFonts w:ascii="Arial" w:eastAsia="Calibri" w:hAnsi="Arial" w:cs="Arial"/>
          <w:b/>
        </w:rPr>
      </w:pPr>
      <w:r w:rsidRPr="00746F54">
        <w:rPr>
          <w:rFonts w:ascii="Arial" w:eastAsia="Calibri" w:hAnsi="Arial" w:cs="Arial"/>
          <w:b/>
        </w:rPr>
        <w:t>Table 2: Projected Eligible Recoverable Revenue for Component 1 for 2026</w:t>
      </w:r>
    </w:p>
    <w:p w14:paraId="2C30BCF8" w14:textId="77777777" w:rsidR="00903C3A" w:rsidRPr="00746F54" w:rsidRDefault="00903C3A" w:rsidP="00903C3A">
      <w:pPr>
        <w:spacing w:after="0"/>
        <w:rPr>
          <w:rFonts w:ascii="Arial" w:eastAsia="Calibri" w:hAnsi="Arial" w:cs="Arial"/>
        </w:rPr>
      </w:pPr>
    </w:p>
    <w:tbl>
      <w:tblPr>
        <w:tblStyle w:val="TableGrid1"/>
        <w:tblW w:w="0" w:type="auto"/>
        <w:tblLook w:val="04A0" w:firstRow="1" w:lastRow="0" w:firstColumn="1" w:lastColumn="0" w:noHBand="0" w:noVBand="1"/>
      </w:tblPr>
      <w:tblGrid>
        <w:gridCol w:w="2329"/>
        <w:gridCol w:w="3604"/>
        <w:gridCol w:w="3417"/>
      </w:tblGrid>
      <w:tr w:rsidR="00903C3A" w:rsidRPr="00746F54" w14:paraId="374266D3" w14:textId="77777777" w:rsidTr="00D62922">
        <w:tc>
          <w:tcPr>
            <w:tcW w:w="2329" w:type="dxa"/>
          </w:tcPr>
          <w:p w14:paraId="64CE33AF" w14:textId="77777777" w:rsidR="00903C3A" w:rsidRPr="00746F54" w:rsidRDefault="00903C3A" w:rsidP="00D62922">
            <w:pPr>
              <w:rPr>
                <w:rFonts w:ascii="Arial" w:eastAsia="Calibri" w:hAnsi="Arial" w:cs="Arial"/>
              </w:rPr>
            </w:pPr>
            <w:r w:rsidRPr="00746F54">
              <w:rPr>
                <w:rFonts w:ascii="Arial" w:eastAsia="Calibri" w:hAnsi="Arial" w:cs="Arial"/>
              </w:rPr>
              <w:t>EDAM Entity transmission provider</w:t>
            </w:r>
          </w:p>
        </w:tc>
        <w:tc>
          <w:tcPr>
            <w:tcW w:w="3604" w:type="dxa"/>
          </w:tcPr>
          <w:p w14:paraId="55A1A640" w14:textId="77777777" w:rsidR="00903C3A" w:rsidRPr="00746F54" w:rsidRDefault="00903C3A" w:rsidP="00D62922">
            <w:pPr>
              <w:rPr>
                <w:rFonts w:ascii="Arial" w:eastAsia="Calibri" w:hAnsi="Arial" w:cs="Arial"/>
              </w:rPr>
            </w:pPr>
            <w:r w:rsidRPr="00746F54">
              <w:rPr>
                <w:rFonts w:ascii="Arial" w:eastAsia="Calibri" w:hAnsi="Arial" w:cs="Arial"/>
              </w:rPr>
              <w:t xml:space="preserve">Historical 3-year average of short term transmission sales </w:t>
            </w:r>
          </w:p>
        </w:tc>
        <w:tc>
          <w:tcPr>
            <w:tcW w:w="3417" w:type="dxa"/>
          </w:tcPr>
          <w:p w14:paraId="3573D1BF" w14:textId="77777777" w:rsidR="00903C3A" w:rsidRPr="00746F54" w:rsidRDefault="00903C3A" w:rsidP="00D62922">
            <w:pPr>
              <w:rPr>
                <w:rFonts w:ascii="Arial" w:eastAsia="Calibri" w:hAnsi="Arial" w:cs="Arial"/>
              </w:rPr>
            </w:pPr>
            <w:r w:rsidRPr="00746F54">
              <w:rPr>
                <w:rFonts w:ascii="Arial" w:eastAsia="Calibri" w:hAnsi="Arial" w:cs="Arial"/>
              </w:rPr>
              <w:t xml:space="preserve">Component 1: Projected EDAM recoverable revenue </w:t>
            </w:r>
          </w:p>
        </w:tc>
      </w:tr>
      <w:tr w:rsidR="00903C3A" w:rsidRPr="00746F54" w14:paraId="7DF1D4FF" w14:textId="77777777" w:rsidTr="00D62922">
        <w:tc>
          <w:tcPr>
            <w:tcW w:w="2329" w:type="dxa"/>
          </w:tcPr>
          <w:p w14:paraId="096F8FB6" w14:textId="77777777" w:rsidR="00903C3A" w:rsidRPr="00746F54" w:rsidRDefault="00903C3A" w:rsidP="00D62922">
            <w:pPr>
              <w:rPr>
                <w:rFonts w:ascii="Arial" w:eastAsia="Calibri" w:hAnsi="Arial" w:cs="Arial"/>
              </w:rPr>
            </w:pPr>
            <w:r w:rsidRPr="00746F54">
              <w:rPr>
                <w:rFonts w:ascii="Arial" w:eastAsia="Calibri" w:hAnsi="Arial" w:cs="Arial"/>
              </w:rPr>
              <w:t>BAA 1</w:t>
            </w:r>
          </w:p>
        </w:tc>
        <w:tc>
          <w:tcPr>
            <w:tcW w:w="3604" w:type="dxa"/>
          </w:tcPr>
          <w:p w14:paraId="17E8F18A" w14:textId="77777777" w:rsidR="00903C3A" w:rsidRPr="00746F54" w:rsidRDefault="00903C3A" w:rsidP="00D62922">
            <w:pPr>
              <w:rPr>
                <w:rFonts w:ascii="Arial" w:eastAsia="Calibri" w:hAnsi="Arial" w:cs="Arial"/>
              </w:rPr>
            </w:pPr>
            <w:r w:rsidRPr="00746F54">
              <w:rPr>
                <w:rFonts w:ascii="Arial" w:eastAsia="Calibri" w:hAnsi="Arial" w:cs="Arial"/>
              </w:rPr>
              <w:t>$14,242,500</w:t>
            </w:r>
          </w:p>
        </w:tc>
        <w:tc>
          <w:tcPr>
            <w:tcW w:w="3417" w:type="dxa"/>
          </w:tcPr>
          <w:p w14:paraId="5E870C5B" w14:textId="77777777" w:rsidR="00903C3A" w:rsidRPr="00746F54" w:rsidRDefault="00903C3A" w:rsidP="00D62922">
            <w:pPr>
              <w:rPr>
                <w:rFonts w:ascii="Arial" w:eastAsia="Calibri" w:hAnsi="Arial" w:cs="Arial"/>
              </w:rPr>
            </w:pPr>
            <w:r w:rsidRPr="00746F54">
              <w:rPr>
                <w:rFonts w:ascii="Arial" w:eastAsia="Calibri" w:hAnsi="Arial" w:cs="Arial"/>
              </w:rPr>
              <w:t>$7,121,250</w:t>
            </w:r>
          </w:p>
        </w:tc>
      </w:tr>
      <w:tr w:rsidR="00903C3A" w:rsidRPr="00746F54" w14:paraId="64AC0110" w14:textId="77777777" w:rsidTr="00D62922">
        <w:tc>
          <w:tcPr>
            <w:tcW w:w="2329" w:type="dxa"/>
          </w:tcPr>
          <w:p w14:paraId="418547F4" w14:textId="77777777" w:rsidR="00903C3A" w:rsidRPr="00746F54" w:rsidRDefault="00903C3A" w:rsidP="00D62922">
            <w:pPr>
              <w:rPr>
                <w:rFonts w:ascii="Arial" w:eastAsia="Calibri" w:hAnsi="Arial" w:cs="Arial"/>
              </w:rPr>
            </w:pPr>
            <w:r w:rsidRPr="00746F54">
              <w:rPr>
                <w:rFonts w:ascii="Arial" w:eastAsia="Calibri" w:hAnsi="Arial" w:cs="Arial"/>
              </w:rPr>
              <w:t>BAA 2</w:t>
            </w:r>
          </w:p>
        </w:tc>
        <w:tc>
          <w:tcPr>
            <w:tcW w:w="3604" w:type="dxa"/>
          </w:tcPr>
          <w:p w14:paraId="3126254C" w14:textId="77777777" w:rsidR="00903C3A" w:rsidRPr="00746F54" w:rsidRDefault="00903C3A" w:rsidP="00D62922">
            <w:pPr>
              <w:rPr>
                <w:rFonts w:ascii="Arial" w:eastAsia="Calibri" w:hAnsi="Arial" w:cs="Arial"/>
              </w:rPr>
            </w:pPr>
            <w:r w:rsidRPr="00746F54">
              <w:rPr>
                <w:rFonts w:ascii="Arial" w:eastAsia="Calibri" w:hAnsi="Arial" w:cs="Arial"/>
              </w:rPr>
              <w:t>$3,600,00</w:t>
            </w:r>
          </w:p>
        </w:tc>
        <w:tc>
          <w:tcPr>
            <w:tcW w:w="3417" w:type="dxa"/>
          </w:tcPr>
          <w:p w14:paraId="1F719D4B" w14:textId="77777777" w:rsidR="00903C3A" w:rsidRPr="00746F54" w:rsidRDefault="00903C3A" w:rsidP="00D62922">
            <w:pPr>
              <w:rPr>
                <w:rFonts w:ascii="Arial" w:eastAsia="Calibri" w:hAnsi="Arial" w:cs="Arial"/>
              </w:rPr>
            </w:pPr>
            <w:r w:rsidRPr="00746F54">
              <w:rPr>
                <w:rFonts w:ascii="Arial" w:eastAsia="Calibri" w:hAnsi="Arial" w:cs="Arial"/>
              </w:rPr>
              <w:t>$1,116,000</w:t>
            </w:r>
          </w:p>
        </w:tc>
      </w:tr>
      <w:tr w:rsidR="00903C3A" w:rsidRPr="00746F54" w14:paraId="7767100B" w14:textId="77777777" w:rsidTr="00D62922">
        <w:tc>
          <w:tcPr>
            <w:tcW w:w="2329" w:type="dxa"/>
          </w:tcPr>
          <w:p w14:paraId="35B1B335" w14:textId="77777777" w:rsidR="00903C3A" w:rsidRPr="00746F54" w:rsidRDefault="00903C3A" w:rsidP="00D62922">
            <w:pPr>
              <w:rPr>
                <w:rFonts w:ascii="Arial" w:eastAsia="Calibri" w:hAnsi="Arial" w:cs="Arial"/>
              </w:rPr>
            </w:pPr>
            <w:r w:rsidRPr="00746F54">
              <w:rPr>
                <w:rFonts w:ascii="Arial" w:eastAsia="Calibri" w:hAnsi="Arial" w:cs="Arial"/>
              </w:rPr>
              <w:t>BAA 3</w:t>
            </w:r>
          </w:p>
        </w:tc>
        <w:tc>
          <w:tcPr>
            <w:tcW w:w="3604" w:type="dxa"/>
          </w:tcPr>
          <w:p w14:paraId="7D34BD69" w14:textId="77777777" w:rsidR="00903C3A" w:rsidRPr="00746F54" w:rsidRDefault="00903C3A" w:rsidP="00D62922">
            <w:pPr>
              <w:rPr>
                <w:rFonts w:ascii="Arial" w:eastAsia="Calibri" w:hAnsi="Arial" w:cs="Arial"/>
              </w:rPr>
            </w:pPr>
            <w:r w:rsidRPr="00746F54">
              <w:rPr>
                <w:rFonts w:ascii="Arial" w:eastAsia="Calibri" w:hAnsi="Arial" w:cs="Arial"/>
              </w:rPr>
              <w:t>$4,750,000</w:t>
            </w:r>
          </w:p>
        </w:tc>
        <w:tc>
          <w:tcPr>
            <w:tcW w:w="3417" w:type="dxa"/>
          </w:tcPr>
          <w:p w14:paraId="6B535815" w14:textId="77777777" w:rsidR="00903C3A" w:rsidRPr="00746F54" w:rsidRDefault="00903C3A" w:rsidP="00D62922">
            <w:pPr>
              <w:rPr>
                <w:rFonts w:ascii="Arial" w:eastAsia="Calibri" w:hAnsi="Arial" w:cs="Arial"/>
              </w:rPr>
            </w:pPr>
            <w:r w:rsidRPr="00746F54">
              <w:rPr>
                <w:rFonts w:ascii="Arial" w:eastAsia="Calibri" w:hAnsi="Arial" w:cs="Arial"/>
              </w:rPr>
              <w:t>$1,187,500</w:t>
            </w:r>
          </w:p>
        </w:tc>
      </w:tr>
      <w:tr w:rsidR="00903C3A" w:rsidRPr="00746F54" w14:paraId="639C4ACA" w14:textId="77777777" w:rsidTr="00D62922">
        <w:tc>
          <w:tcPr>
            <w:tcW w:w="2329" w:type="dxa"/>
          </w:tcPr>
          <w:p w14:paraId="47DF5DEC" w14:textId="77777777" w:rsidR="00903C3A" w:rsidRPr="00746F54" w:rsidRDefault="00903C3A" w:rsidP="00D62922">
            <w:pPr>
              <w:rPr>
                <w:rFonts w:ascii="Arial" w:eastAsia="Calibri" w:hAnsi="Arial" w:cs="Arial"/>
              </w:rPr>
            </w:pPr>
            <w:r w:rsidRPr="00746F54">
              <w:rPr>
                <w:rFonts w:ascii="Arial" w:eastAsia="Calibri" w:hAnsi="Arial" w:cs="Arial"/>
              </w:rPr>
              <w:t>BAA 4</w:t>
            </w:r>
          </w:p>
        </w:tc>
        <w:tc>
          <w:tcPr>
            <w:tcW w:w="3604" w:type="dxa"/>
          </w:tcPr>
          <w:p w14:paraId="5F22FE2D" w14:textId="77777777" w:rsidR="00903C3A" w:rsidRPr="00746F54" w:rsidRDefault="00903C3A" w:rsidP="00D62922">
            <w:pPr>
              <w:rPr>
                <w:rFonts w:ascii="Arial" w:eastAsia="Calibri" w:hAnsi="Arial" w:cs="Arial"/>
              </w:rPr>
            </w:pPr>
            <w:r w:rsidRPr="00746F54">
              <w:rPr>
                <w:rFonts w:ascii="Arial" w:eastAsia="Calibri" w:hAnsi="Arial" w:cs="Arial"/>
              </w:rPr>
              <w:t>$30,700,000</w:t>
            </w:r>
          </w:p>
        </w:tc>
        <w:tc>
          <w:tcPr>
            <w:tcW w:w="3417" w:type="dxa"/>
          </w:tcPr>
          <w:p w14:paraId="5C7DDD36" w14:textId="77777777" w:rsidR="00903C3A" w:rsidRPr="00746F54" w:rsidRDefault="00903C3A" w:rsidP="00D62922">
            <w:pPr>
              <w:rPr>
                <w:rFonts w:ascii="Arial" w:eastAsia="Calibri" w:hAnsi="Arial" w:cs="Arial"/>
              </w:rPr>
            </w:pPr>
            <w:r w:rsidRPr="00746F54">
              <w:rPr>
                <w:rFonts w:ascii="Arial" w:eastAsia="Calibri" w:hAnsi="Arial" w:cs="Arial"/>
              </w:rPr>
              <w:t>$1,615,000</w:t>
            </w:r>
          </w:p>
        </w:tc>
      </w:tr>
    </w:tbl>
    <w:p w14:paraId="7DEE0FFB" w14:textId="77777777" w:rsidR="00903C3A" w:rsidRPr="00746F54" w:rsidRDefault="00903C3A" w:rsidP="00903C3A">
      <w:pPr>
        <w:spacing w:after="0"/>
        <w:rPr>
          <w:rFonts w:ascii="Arial" w:eastAsia="Calibri" w:hAnsi="Arial" w:cs="Arial"/>
        </w:rPr>
      </w:pPr>
    </w:p>
    <w:p w14:paraId="30E7FFE7" w14:textId="77777777" w:rsidR="00903C3A" w:rsidRPr="00746F54" w:rsidRDefault="00903C3A" w:rsidP="00903C3A">
      <w:pPr>
        <w:rPr>
          <w:rFonts w:ascii="Arial" w:eastAsia="Calibri" w:hAnsi="Arial" w:cs="Arial"/>
          <w:b/>
          <w:bCs/>
        </w:rPr>
      </w:pPr>
      <w:r w:rsidRPr="00746F54">
        <w:rPr>
          <w:rFonts w:ascii="Arial" w:eastAsia="Calibri" w:hAnsi="Arial" w:cs="Arial"/>
        </w:rPr>
        <w:t>The CAISO’s example assumes some EDAM entities may build new network upgrades increasing EDAM transfer capacity.  Some of these costs would be eligible for recovery in component 2.  To determine eligible costs for component 2, each EDAM entity would compute its ratio of (a) the non-firm and short-term firm point-to-point historical EDAM recoverable transmission revenues to (b) the EDAM transmission owner’s total revenue requirement.  The ratio serves as a proxy for determining the extent to which any new network upgrades benefit the larger EDAM footprint.  Thus, the EDAM entity only recovers new network upgrade costs up to a percentage based on the ratio.</w:t>
      </w:r>
    </w:p>
    <w:p w14:paraId="4F51142A" w14:textId="77777777" w:rsidR="00903C3A" w:rsidRPr="00746F54" w:rsidRDefault="00903C3A" w:rsidP="00903C3A">
      <w:pPr>
        <w:jc w:val="center"/>
        <w:rPr>
          <w:rFonts w:ascii="Arial" w:eastAsia="Calibri" w:hAnsi="Arial" w:cs="Arial"/>
          <w:b/>
          <w:bCs/>
        </w:rPr>
      </w:pPr>
      <w:r w:rsidRPr="00746F54">
        <w:rPr>
          <w:rFonts w:ascii="Arial" w:eastAsia="Calibri" w:hAnsi="Arial" w:cs="Arial"/>
          <w:b/>
          <w:bCs/>
        </w:rPr>
        <w:t xml:space="preserve">Table 3: Ratio of Short-term Sales to Total Transmission Revenue Requirement  </w:t>
      </w:r>
    </w:p>
    <w:tbl>
      <w:tblPr>
        <w:tblStyle w:val="TableGrid1"/>
        <w:tblW w:w="0" w:type="auto"/>
        <w:tblLook w:val="04A0" w:firstRow="1" w:lastRow="0" w:firstColumn="1" w:lastColumn="0" w:noHBand="0" w:noVBand="1"/>
      </w:tblPr>
      <w:tblGrid>
        <w:gridCol w:w="2087"/>
        <w:gridCol w:w="2425"/>
        <w:gridCol w:w="2413"/>
        <w:gridCol w:w="2425"/>
      </w:tblGrid>
      <w:tr w:rsidR="00903C3A" w:rsidRPr="00746F54" w14:paraId="58139CBB" w14:textId="77777777" w:rsidTr="00D62922">
        <w:tc>
          <w:tcPr>
            <w:tcW w:w="2087" w:type="dxa"/>
          </w:tcPr>
          <w:p w14:paraId="747F6187" w14:textId="77777777" w:rsidR="00903C3A" w:rsidRPr="00746F54" w:rsidRDefault="00903C3A" w:rsidP="00D62922">
            <w:pPr>
              <w:rPr>
                <w:rFonts w:ascii="Arial" w:eastAsia="Calibri" w:hAnsi="Arial" w:cs="Arial"/>
              </w:rPr>
            </w:pPr>
            <w:r w:rsidRPr="00746F54">
              <w:rPr>
                <w:rFonts w:ascii="Arial" w:eastAsia="Calibri" w:hAnsi="Arial" w:cs="Arial"/>
              </w:rPr>
              <w:lastRenderedPageBreak/>
              <w:t>EDAM Entity Transmission Provider</w:t>
            </w:r>
          </w:p>
        </w:tc>
        <w:tc>
          <w:tcPr>
            <w:tcW w:w="2425" w:type="dxa"/>
          </w:tcPr>
          <w:p w14:paraId="55CD62D1" w14:textId="77777777" w:rsidR="00903C3A" w:rsidRPr="00746F54" w:rsidRDefault="00903C3A" w:rsidP="00D62922">
            <w:pPr>
              <w:rPr>
                <w:rFonts w:ascii="Arial" w:eastAsia="Calibri" w:hAnsi="Arial" w:cs="Arial"/>
              </w:rPr>
            </w:pPr>
            <w:r w:rsidRPr="00746F54">
              <w:rPr>
                <w:rFonts w:ascii="Arial" w:eastAsia="Calibri" w:hAnsi="Arial" w:cs="Arial"/>
              </w:rPr>
              <w:t>Historical 3-year average of short term transmission sales</w:t>
            </w:r>
          </w:p>
        </w:tc>
        <w:tc>
          <w:tcPr>
            <w:tcW w:w="2413" w:type="dxa"/>
          </w:tcPr>
          <w:p w14:paraId="4354BF9F" w14:textId="77777777" w:rsidR="00903C3A" w:rsidRPr="00746F54" w:rsidRDefault="00903C3A" w:rsidP="00D62922">
            <w:pPr>
              <w:rPr>
                <w:rFonts w:ascii="Arial" w:eastAsia="Calibri" w:hAnsi="Arial" w:cs="Arial"/>
              </w:rPr>
            </w:pPr>
            <w:r w:rsidRPr="00746F54">
              <w:rPr>
                <w:rFonts w:ascii="Arial" w:eastAsia="Calibri" w:hAnsi="Arial" w:cs="Arial"/>
              </w:rPr>
              <w:t>Historical 3-year average of annual transmission revenue requirement</w:t>
            </w:r>
          </w:p>
        </w:tc>
        <w:tc>
          <w:tcPr>
            <w:tcW w:w="2425" w:type="dxa"/>
          </w:tcPr>
          <w:p w14:paraId="25480C7B" w14:textId="77777777" w:rsidR="00903C3A" w:rsidRPr="00746F54" w:rsidRDefault="00903C3A" w:rsidP="00D62922">
            <w:pPr>
              <w:rPr>
                <w:rFonts w:ascii="Arial" w:eastAsia="Calibri" w:hAnsi="Arial" w:cs="Arial"/>
              </w:rPr>
            </w:pPr>
            <w:r w:rsidRPr="00746F54">
              <w:rPr>
                <w:rFonts w:ascii="Arial" w:eastAsia="Calibri" w:hAnsi="Arial" w:cs="Arial"/>
              </w:rPr>
              <w:t>Component 2 ratio</w:t>
            </w:r>
          </w:p>
        </w:tc>
      </w:tr>
      <w:tr w:rsidR="00903C3A" w:rsidRPr="00746F54" w14:paraId="43E67EDD" w14:textId="77777777" w:rsidTr="00D62922">
        <w:tc>
          <w:tcPr>
            <w:tcW w:w="2087" w:type="dxa"/>
          </w:tcPr>
          <w:p w14:paraId="037087CE" w14:textId="77777777" w:rsidR="00903C3A" w:rsidRPr="00746F54" w:rsidRDefault="00903C3A" w:rsidP="00D62922">
            <w:pPr>
              <w:rPr>
                <w:rFonts w:ascii="Arial" w:eastAsia="Calibri" w:hAnsi="Arial" w:cs="Arial"/>
              </w:rPr>
            </w:pPr>
            <w:r w:rsidRPr="00746F54">
              <w:rPr>
                <w:rFonts w:ascii="Arial" w:eastAsia="Calibri" w:hAnsi="Arial" w:cs="Arial"/>
              </w:rPr>
              <w:t>BAA 1</w:t>
            </w:r>
          </w:p>
        </w:tc>
        <w:tc>
          <w:tcPr>
            <w:tcW w:w="2425" w:type="dxa"/>
          </w:tcPr>
          <w:p w14:paraId="0F16A376" w14:textId="77777777" w:rsidR="00903C3A" w:rsidRPr="00746F54" w:rsidRDefault="00903C3A" w:rsidP="00D62922">
            <w:pPr>
              <w:rPr>
                <w:rFonts w:ascii="Arial" w:eastAsia="Calibri" w:hAnsi="Arial" w:cs="Arial"/>
              </w:rPr>
            </w:pPr>
            <w:r w:rsidRPr="00746F54">
              <w:rPr>
                <w:rFonts w:ascii="Arial" w:eastAsia="Calibri" w:hAnsi="Arial" w:cs="Arial"/>
              </w:rPr>
              <w:t>$14,242,500</w:t>
            </w:r>
          </w:p>
        </w:tc>
        <w:tc>
          <w:tcPr>
            <w:tcW w:w="2413" w:type="dxa"/>
          </w:tcPr>
          <w:p w14:paraId="72898D20" w14:textId="77777777" w:rsidR="00903C3A" w:rsidRPr="00746F54" w:rsidRDefault="00903C3A" w:rsidP="00D62922">
            <w:pPr>
              <w:rPr>
                <w:rFonts w:ascii="Arial" w:eastAsia="Calibri" w:hAnsi="Arial" w:cs="Arial"/>
              </w:rPr>
            </w:pPr>
            <w:r w:rsidRPr="00746F54">
              <w:rPr>
                <w:rFonts w:ascii="Arial" w:eastAsia="Calibri" w:hAnsi="Arial" w:cs="Arial"/>
              </w:rPr>
              <w:t>$158,250,000</w:t>
            </w:r>
          </w:p>
        </w:tc>
        <w:tc>
          <w:tcPr>
            <w:tcW w:w="2425" w:type="dxa"/>
          </w:tcPr>
          <w:p w14:paraId="21F80BB9" w14:textId="77777777" w:rsidR="00903C3A" w:rsidRPr="00746F54" w:rsidRDefault="00903C3A" w:rsidP="00D62922">
            <w:pPr>
              <w:rPr>
                <w:rFonts w:ascii="Arial" w:eastAsia="Calibri" w:hAnsi="Arial" w:cs="Arial"/>
              </w:rPr>
            </w:pPr>
            <w:r w:rsidRPr="00746F54">
              <w:rPr>
                <w:rFonts w:ascii="Arial" w:eastAsia="Calibri" w:hAnsi="Arial" w:cs="Arial"/>
              </w:rPr>
              <w:t>9.0%</w:t>
            </w:r>
          </w:p>
        </w:tc>
      </w:tr>
      <w:tr w:rsidR="00903C3A" w:rsidRPr="00746F54" w14:paraId="653D7BF4" w14:textId="77777777" w:rsidTr="00D62922">
        <w:tc>
          <w:tcPr>
            <w:tcW w:w="2087" w:type="dxa"/>
          </w:tcPr>
          <w:p w14:paraId="7C9DC923" w14:textId="77777777" w:rsidR="00903C3A" w:rsidRPr="00746F54" w:rsidRDefault="00903C3A" w:rsidP="00D62922">
            <w:pPr>
              <w:rPr>
                <w:rFonts w:ascii="Arial" w:eastAsia="Calibri" w:hAnsi="Arial" w:cs="Arial"/>
              </w:rPr>
            </w:pPr>
            <w:r w:rsidRPr="00746F54">
              <w:rPr>
                <w:rFonts w:ascii="Arial" w:eastAsia="Calibri" w:hAnsi="Arial" w:cs="Arial"/>
              </w:rPr>
              <w:t>BAA 2</w:t>
            </w:r>
          </w:p>
        </w:tc>
        <w:tc>
          <w:tcPr>
            <w:tcW w:w="2425" w:type="dxa"/>
          </w:tcPr>
          <w:p w14:paraId="4C3A3049" w14:textId="77777777" w:rsidR="00903C3A" w:rsidRPr="00746F54" w:rsidRDefault="00903C3A" w:rsidP="00D62922">
            <w:pPr>
              <w:rPr>
                <w:rFonts w:ascii="Arial" w:eastAsia="Calibri" w:hAnsi="Arial" w:cs="Arial"/>
              </w:rPr>
            </w:pPr>
            <w:r w:rsidRPr="00746F54">
              <w:rPr>
                <w:rFonts w:ascii="Arial" w:eastAsia="Calibri" w:hAnsi="Arial" w:cs="Arial"/>
              </w:rPr>
              <w:t>$3,600,000</w:t>
            </w:r>
          </w:p>
        </w:tc>
        <w:tc>
          <w:tcPr>
            <w:tcW w:w="2413" w:type="dxa"/>
          </w:tcPr>
          <w:p w14:paraId="6F5B4200" w14:textId="77777777" w:rsidR="00903C3A" w:rsidRPr="00746F54" w:rsidRDefault="00903C3A" w:rsidP="00D62922">
            <w:pPr>
              <w:rPr>
                <w:rFonts w:ascii="Arial" w:eastAsia="Calibri" w:hAnsi="Arial" w:cs="Arial"/>
              </w:rPr>
            </w:pPr>
            <w:r w:rsidRPr="00746F54">
              <w:rPr>
                <w:rFonts w:ascii="Arial" w:eastAsia="Calibri" w:hAnsi="Arial" w:cs="Arial"/>
              </w:rPr>
              <w:t>$125,000,000</w:t>
            </w:r>
          </w:p>
        </w:tc>
        <w:tc>
          <w:tcPr>
            <w:tcW w:w="2425" w:type="dxa"/>
          </w:tcPr>
          <w:p w14:paraId="1AFFDFE8" w14:textId="77777777" w:rsidR="00903C3A" w:rsidRPr="00746F54" w:rsidRDefault="00903C3A" w:rsidP="00D62922">
            <w:pPr>
              <w:rPr>
                <w:rFonts w:ascii="Arial" w:eastAsia="Calibri" w:hAnsi="Arial" w:cs="Arial"/>
              </w:rPr>
            </w:pPr>
            <w:r w:rsidRPr="00746F54">
              <w:rPr>
                <w:rFonts w:ascii="Arial" w:eastAsia="Calibri" w:hAnsi="Arial" w:cs="Arial"/>
              </w:rPr>
              <w:t>2.88%</w:t>
            </w:r>
          </w:p>
        </w:tc>
      </w:tr>
      <w:tr w:rsidR="00903C3A" w:rsidRPr="00746F54" w14:paraId="79229946" w14:textId="77777777" w:rsidTr="00D62922">
        <w:tc>
          <w:tcPr>
            <w:tcW w:w="2087" w:type="dxa"/>
          </w:tcPr>
          <w:p w14:paraId="02C93415" w14:textId="77777777" w:rsidR="00903C3A" w:rsidRPr="00746F54" w:rsidRDefault="00903C3A" w:rsidP="00D62922">
            <w:pPr>
              <w:rPr>
                <w:rFonts w:ascii="Arial" w:eastAsia="Calibri" w:hAnsi="Arial" w:cs="Arial"/>
              </w:rPr>
            </w:pPr>
            <w:r w:rsidRPr="00746F54">
              <w:rPr>
                <w:rFonts w:ascii="Arial" w:eastAsia="Calibri" w:hAnsi="Arial" w:cs="Arial"/>
              </w:rPr>
              <w:t>BAA 3</w:t>
            </w:r>
          </w:p>
        </w:tc>
        <w:tc>
          <w:tcPr>
            <w:tcW w:w="2425" w:type="dxa"/>
          </w:tcPr>
          <w:p w14:paraId="7BDFC771" w14:textId="77777777" w:rsidR="00903C3A" w:rsidRPr="00746F54" w:rsidRDefault="00903C3A" w:rsidP="00D62922">
            <w:pPr>
              <w:rPr>
                <w:rFonts w:ascii="Arial" w:eastAsia="Calibri" w:hAnsi="Arial" w:cs="Arial"/>
              </w:rPr>
            </w:pPr>
            <w:r w:rsidRPr="00746F54">
              <w:rPr>
                <w:rFonts w:ascii="Arial" w:eastAsia="Calibri" w:hAnsi="Arial" w:cs="Arial"/>
              </w:rPr>
              <w:t>$4,750,000</w:t>
            </w:r>
          </w:p>
        </w:tc>
        <w:tc>
          <w:tcPr>
            <w:tcW w:w="2413" w:type="dxa"/>
          </w:tcPr>
          <w:p w14:paraId="52F334A3" w14:textId="77777777" w:rsidR="00903C3A" w:rsidRPr="00746F54" w:rsidRDefault="00903C3A" w:rsidP="00D62922">
            <w:pPr>
              <w:rPr>
                <w:rFonts w:ascii="Arial" w:eastAsia="Calibri" w:hAnsi="Arial" w:cs="Arial"/>
              </w:rPr>
            </w:pPr>
            <w:r w:rsidRPr="00746F54">
              <w:rPr>
                <w:rFonts w:ascii="Arial" w:eastAsia="Calibri" w:hAnsi="Arial" w:cs="Arial"/>
              </w:rPr>
              <w:t>$218,500,000</w:t>
            </w:r>
          </w:p>
        </w:tc>
        <w:tc>
          <w:tcPr>
            <w:tcW w:w="2425" w:type="dxa"/>
          </w:tcPr>
          <w:p w14:paraId="57372210" w14:textId="77777777" w:rsidR="00903C3A" w:rsidRPr="00746F54" w:rsidRDefault="00903C3A" w:rsidP="00D62922">
            <w:pPr>
              <w:rPr>
                <w:rFonts w:ascii="Arial" w:eastAsia="Calibri" w:hAnsi="Arial" w:cs="Arial"/>
              </w:rPr>
            </w:pPr>
            <w:r w:rsidRPr="00746F54">
              <w:rPr>
                <w:rFonts w:ascii="Arial" w:eastAsia="Calibri" w:hAnsi="Arial" w:cs="Arial"/>
              </w:rPr>
              <w:t>2.17%</w:t>
            </w:r>
          </w:p>
        </w:tc>
      </w:tr>
      <w:tr w:rsidR="00903C3A" w:rsidRPr="00746F54" w14:paraId="5B09DA48" w14:textId="77777777" w:rsidTr="00D62922">
        <w:tc>
          <w:tcPr>
            <w:tcW w:w="2087" w:type="dxa"/>
          </w:tcPr>
          <w:p w14:paraId="3F5F0DFD" w14:textId="77777777" w:rsidR="00903C3A" w:rsidRPr="00746F54" w:rsidRDefault="00903C3A" w:rsidP="00D62922">
            <w:pPr>
              <w:rPr>
                <w:rFonts w:ascii="Arial" w:eastAsia="Calibri" w:hAnsi="Arial" w:cs="Arial"/>
              </w:rPr>
            </w:pPr>
            <w:r w:rsidRPr="00746F54">
              <w:rPr>
                <w:rFonts w:ascii="Arial" w:eastAsia="Calibri" w:hAnsi="Arial" w:cs="Arial"/>
              </w:rPr>
              <w:t>BAA 4</w:t>
            </w:r>
          </w:p>
        </w:tc>
        <w:tc>
          <w:tcPr>
            <w:tcW w:w="2425" w:type="dxa"/>
          </w:tcPr>
          <w:p w14:paraId="3CA86A9E" w14:textId="77777777" w:rsidR="00903C3A" w:rsidRPr="00746F54" w:rsidRDefault="00903C3A" w:rsidP="00D62922">
            <w:pPr>
              <w:rPr>
                <w:rFonts w:ascii="Arial" w:eastAsia="Calibri" w:hAnsi="Arial" w:cs="Arial"/>
              </w:rPr>
            </w:pPr>
            <w:r w:rsidRPr="00746F54">
              <w:rPr>
                <w:rFonts w:ascii="Arial" w:eastAsia="Calibri" w:hAnsi="Arial" w:cs="Arial"/>
              </w:rPr>
              <w:t>$30,700,000</w:t>
            </w:r>
          </w:p>
        </w:tc>
        <w:tc>
          <w:tcPr>
            <w:tcW w:w="2413" w:type="dxa"/>
          </w:tcPr>
          <w:p w14:paraId="240F02B9" w14:textId="77777777" w:rsidR="00903C3A" w:rsidRPr="00746F54" w:rsidRDefault="00903C3A" w:rsidP="00D62922">
            <w:pPr>
              <w:rPr>
                <w:rFonts w:ascii="Arial" w:eastAsia="Calibri" w:hAnsi="Arial" w:cs="Arial"/>
              </w:rPr>
            </w:pPr>
            <w:r w:rsidRPr="00746F54">
              <w:rPr>
                <w:rFonts w:ascii="Arial" w:eastAsia="Calibri" w:hAnsi="Arial" w:cs="Arial"/>
              </w:rPr>
              <w:t>$585,350,000</w:t>
            </w:r>
          </w:p>
        </w:tc>
        <w:tc>
          <w:tcPr>
            <w:tcW w:w="2425" w:type="dxa"/>
          </w:tcPr>
          <w:p w14:paraId="6EE82615" w14:textId="77777777" w:rsidR="00903C3A" w:rsidRPr="00746F54" w:rsidRDefault="00903C3A" w:rsidP="00D62922">
            <w:pPr>
              <w:rPr>
                <w:rFonts w:ascii="Arial" w:eastAsia="Calibri" w:hAnsi="Arial" w:cs="Arial"/>
              </w:rPr>
            </w:pPr>
            <w:r w:rsidRPr="00746F54">
              <w:rPr>
                <w:rFonts w:ascii="Arial" w:eastAsia="Calibri" w:hAnsi="Arial" w:cs="Arial"/>
              </w:rPr>
              <w:t>2.49%</w:t>
            </w:r>
          </w:p>
        </w:tc>
      </w:tr>
    </w:tbl>
    <w:p w14:paraId="2407D04E" w14:textId="77777777" w:rsidR="00903C3A" w:rsidRPr="00746F54" w:rsidRDefault="00903C3A" w:rsidP="00903C3A">
      <w:pPr>
        <w:rPr>
          <w:rFonts w:ascii="Arial" w:eastAsia="Calibri" w:hAnsi="Arial" w:cs="Arial"/>
        </w:rPr>
      </w:pPr>
    </w:p>
    <w:p w14:paraId="5ACEF323" w14:textId="77777777" w:rsidR="00903C3A" w:rsidRPr="00746F54" w:rsidRDefault="00903C3A" w:rsidP="00903C3A">
      <w:pPr>
        <w:spacing w:after="0"/>
        <w:rPr>
          <w:rFonts w:ascii="Arial" w:eastAsia="Calibri" w:hAnsi="Arial" w:cs="Arial"/>
        </w:rPr>
      </w:pPr>
      <w:r w:rsidRPr="00746F54">
        <w:rPr>
          <w:rFonts w:ascii="Arial" w:eastAsia="Calibri" w:hAnsi="Arial" w:cs="Arial"/>
        </w:rPr>
        <w:t xml:space="preserve">Assume that starting with year 2027, BAA 3 has a new network upgrade eligible for recovery through component 2 of the EDAM access charge.  Assume the total approved amount for recovery for the upgrade is $11,000,000.  BAA 3 would multiply this cost by its component 2 ratio to derive the upper limit of the new eligible network upgrades EDAM recoverable costs.  </w:t>
      </w:r>
    </w:p>
    <w:p w14:paraId="50526566" w14:textId="77777777" w:rsidR="00903C3A" w:rsidRPr="00746F54" w:rsidRDefault="00903C3A" w:rsidP="00903C3A">
      <w:pPr>
        <w:spacing w:after="0" w:line="240" w:lineRule="auto"/>
        <w:rPr>
          <w:rFonts w:ascii="Arial" w:eastAsia="Calibri" w:hAnsi="Arial" w:cs="Arial"/>
        </w:rPr>
      </w:pPr>
    </w:p>
    <w:p w14:paraId="0408D22D" w14:textId="77777777" w:rsidR="00903C3A" w:rsidRPr="00746F54" w:rsidRDefault="00903C3A" w:rsidP="00903C3A">
      <w:pPr>
        <w:keepNext/>
        <w:keepLines/>
        <w:spacing w:after="0" w:line="240" w:lineRule="auto"/>
        <w:jc w:val="center"/>
        <w:rPr>
          <w:rFonts w:ascii="Arial" w:eastAsia="Calibri" w:hAnsi="Arial" w:cs="Arial"/>
          <w:b/>
        </w:rPr>
      </w:pPr>
      <w:r w:rsidRPr="00746F54">
        <w:rPr>
          <w:rFonts w:ascii="Arial" w:eastAsia="Calibri" w:hAnsi="Arial" w:cs="Arial"/>
          <w:b/>
        </w:rPr>
        <w:t xml:space="preserve">Table 4: Computation of Component 2 for BAA 3  </w:t>
      </w:r>
    </w:p>
    <w:p w14:paraId="6173ACD6" w14:textId="77777777" w:rsidR="00903C3A" w:rsidRPr="00746F54" w:rsidRDefault="00903C3A" w:rsidP="00903C3A">
      <w:pPr>
        <w:keepNext/>
        <w:keepLines/>
        <w:spacing w:after="0" w:line="240" w:lineRule="auto"/>
        <w:jc w:val="center"/>
        <w:rPr>
          <w:rFonts w:ascii="Arial" w:eastAsia="Calibri" w:hAnsi="Arial" w:cs="Arial"/>
          <w:b/>
        </w:rPr>
      </w:pPr>
    </w:p>
    <w:tbl>
      <w:tblPr>
        <w:tblStyle w:val="TableGrid1"/>
        <w:tblW w:w="0" w:type="auto"/>
        <w:tblLook w:val="04A0" w:firstRow="1" w:lastRow="0" w:firstColumn="1" w:lastColumn="0" w:noHBand="0" w:noVBand="1"/>
      </w:tblPr>
      <w:tblGrid>
        <w:gridCol w:w="1451"/>
        <w:gridCol w:w="1856"/>
        <w:gridCol w:w="1914"/>
        <w:gridCol w:w="2098"/>
        <w:gridCol w:w="2031"/>
      </w:tblGrid>
      <w:tr w:rsidR="00903C3A" w:rsidRPr="00746F54" w14:paraId="6DA0F071" w14:textId="77777777" w:rsidTr="00D62922">
        <w:tc>
          <w:tcPr>
            <w:tcW w:w="1432" w:type="dxa"/>
          </w:tcPr>
          <w:p w14:paraId="2DBA7931" w14:textId="77777777" w:rsidR="00903C3A" w:rsidRPr="00746F54" w:rsidRDefault="00903C3A" w:rsidP="00D62922">
            <w:pPr>
              <w:keepNext/>
              <w:keepLines/>
              <w:jc w:val="center"/>
              <w:rPr>
                <w:rFonts w:ascii="Arial" w:eastAsia="Calibri" w:hAnsi="Arial" w:cs="Arial"/>
              </w:rPr>
            </w:pPr>
            <w:r w:rsidRPr="00746F54">
              <w:rPr>
                <w:rFonts w:ascii="Arial" w:eastAsia="Calibri" w:hAnsi="Arial" w:cs="Arial"/>
              </w:rPr>
              <w:t>EDAM Entity transmission provider</w:t>
            </w:r>
          </w:p>
        </w:tc>
        <w:tc>
          <w:tcPr>
            <w:tcW w:w="1859" w:type="dxa"/>
          </w:tcPr>
          <w:p w14:paraId="65C81268" w14:textId="77777777" w:rsidR="00903C3A" w:rsidRPr="00746F54" w:rsidRDefault="00903C3A" w:rsidP="00D62922">
            <w:pPr>
              <w:keepNext/>
              <w:keepLines/>
              <w:jc w:val="center"/>
              <w:rPr>
                <w:rFonts w:ascii="Arial" w:eastAsia="Calibri" w:hAnsi="Arial" w:cs="Arial"/>
              </w:rPr>
            </w:pPr>
            <w:r w:rsidRPr="00746F54">
              <w:rPr>
                <w:rFonts w:ascii="Arial" w:eastAsia="Calibri" w:hAnsi="Arial" w:cs="Arial"/>
              </w:rPr>
              <w:t>New eligible network upgrade cost (part of annual revenue requirement)</w:t>
            </w:r>
          </w:p>
          <w:p w14:paraId="4777162B" w14:textId="77777777" w:rsidR="00903C3A" w:rsidRPr="00746F54" w:rsidRDefault="00903C3A" w:rsidP="00D62922">
            <w:pPr>
              <w:keepNext/>
              <w:keepLines/>
              <w:jc w:val="center"/>
              <w:rPr>
                <w:rFonts w:ascii="Arial" w:eastAsia="Calibri" w:hAnsi="Arial" w:cs="Arial"/>
              </w:rPr>
            </w:pPr>
            <w:r w:rsidRPr="00746F54">
              <w:rPr>
                <w:rFonts w:ascii="Arial" w:eastAsia="Calibri" w:hAnsi="Arial" w:cs="Arial"/>
              </w:rPr>
              <w:t>(a)</w:t>
            </w:r>
          </w:p>
        </w:tc>
        <w:tc>
          <w:tcPr>
            <w:tcW w:w="1920" w:type="dxa"/>
          </w:tcPr>
          <w:p w14:paraId="3E9A4929" w14:textId="77777777" w:rsidR="00903C3A" w:rsidRPr="00746F54" w:rsidRDefault="00903C3A" w:rsidP="00D62922">
            <w:pPr>
              <w:keepNext/>
              <w:keepLines/>
              <w:jc w:val="center"/>
              <w:rPr>
                <w:rFonts w:ascii="Arial" w:eastAsia="Calibri" w:hAnsi="Arial" w:cs="Arial"/>
              </w:rPr>
            </w:pPr>
            <w:r w:rsidRPr="00746F54">
              <w:rPr>
                <w:rFonts w:ascii="Arial" w:eastAsia="Calibri" w:hAnsi="Arial" w:cs="Arial"/>
              </w:rPr>
              <w:t>Ratio (%) of short-term revenues for new network upgrades</w:t>
            </w:r>
          </w:p>
          <w:p w14:paraId="3FF5860F" w14:textId="77777777" w:rsidR="00903C3A" w:rsidRPr="00746F54" w:rsidRDefault="00903C3A" w:rsidP="00D62922">
            <w:pPr>
              <w:keepNext/>
              <w:keepLines/>
              <w:jc w:val="center"/>
              <w:rPr>
                <w:rFonts w:ascii="Arial" w:eastAsia="Calibri" w:hAnsi="Arial" w:cs="Arial"/>
              </w:rPr>
            </w:pPr>
            <w:r w:rsidRPr="00746F54">
              <w:rPr>
                <w:rFonts w:ascii="Arial" w:eastAsia="Calibri" w:hAnsi="Arial" w:cs="Arial"/>
              </w:rPr>
              <w:t>(b)</w:t>
            </w:r>
          </w:p>
        </w:tc>
        <w:tc>
          <w:tcPr>
            <w:tcW w:w="2103" w:type="dxa"/>
          </w:tcPr>
          <w:p w14:paraId="4924B0F6" w14:textId="77777777" w:rsidR="00903C3A" w:rsidRPr="00746F54" w:rsidRDefault="00903C3A" w:rsidP="00D62922">
            <w:pPr>
              <w:keepNext/>
              <w:keepLines/>
              <w:jc w:val="center"/>
              <w:rPr>
                <w:rFonts w:ascii="Arial" w:eastAsia="Calibri" w:hAnsi="Arial" w:cs="Arial"/>
              </w:rPr>
            </w:pPr>
            <w:r w:rsidRPr="00746F54">
              <w:rPr>
                <w:rFonts w:ascii="Arial" w:eastAsia="Calibri" w:hAnsi="Arial" w:cs="Arial"/>
              </w:rPr>
              <w:t>Component 2:  New eligible  network upgrades EDAM recoverable costs limit</w:t>
            </w:r>
          </w:p>
          <w:p w14:paraId="1FA59A19" w14:textId="77777777" w:rsidR="00903C3A" w:rsidRPr="00746F54" w:rsidRDefault="00903C3A" w:rsidP="00D62922">
            <w:pPr>
              <w:keepNext/>
              <w:keepLines/>
              <w:jc w:val="center"/>
              <w:rPr>
                <w:rFonts w:ascii="Arial" w:eastAsia="Calibri" w:hAnsi="Arial" w:cs="Arial"/>
              </w:rPr>
            </w:pPr>
            <w:r w:rsidRPr="00746F54">
              <w:rPr>
                <w:rFonts w:ascii="Arial" w:eastAsia="Calibri" w:hAnsi="Arial" w:cs="Arial"/>
              </w:rPr>
              <w:t xml:space="preserve">(c) = (a) * (b)  </w:t>
            </w:r>
          </w:p>
          <w:p w14:paraId="2F15648F" w14:textId="77777777" w:rsidR="00903C3A" w:rsidRPr="00746F54" w:rsidRDefault="00903C3A" w:rsidP="00D62922">
            <w:pPr>
              <w:keepNext/>
              <w:keepLines/>
              <w:jc w:val="center"/>
              <w:rPr>
                <w:rFonts w:ascii="Arial" w:eastAsia="Calibri" w:hAnsi="Arial" w:cs="Arial"/>
              </w:rPr>
            </w:pPr>
          </w:p>
        </w:tc>
        <w:tc>
          <w:tcPr>
            <w:tcW w:w="2036" w:type="dxa"/>
          </w:tcPr>
          <w:p w14:paraId="62BF939F" w14:textId="77777777" w:rsidR="00903C3A" w:rsidRPr="00746F54" w:rsidRDefault="00903C3A" w:rsidP="00D62922">
            <w:pPr>
              <w:keepNext/>
              <w:keepLines/>
              <w:jc w:val="center"/>
              <w:rPr>
                <w:rFonts w:ascii="Arial" w:eastAsia="Calibri" w:hAnsi="Arial" w:cs="Arial"/>
              </w:rPr>
            </w:pPr>
            <w:r w:rsidRPr="00746F54">
              <w:rPr>
                <w:rFonts w:ascii="Arial" w:eastAsia="Calibri" w:hAnsi="Arial" w:cs="Arial"/>
              </w:rPr>
              <w:t>Component 2:  Estimate of EDAM recoverable amount for new eligible  network upgrades for 2027</w:t>
            </w:r>
          </w:p>
          <w:p w14:paraId="6A8F1426" w14:textId="77777777" w:rsidR="00903C3A" w:rsidRPr="00746F54" w:rsidRDefault="00903C3A" w:rsidP="00D62922">
            <w:pPr>
              <w:keepNext/>
              <w:keepLines/>
              <w:jc w:val="center"/>
              <w:rPr>
                <w:rFonts w:ascii="Arial" w:eastAsia="Calibri" w:hAnsi="Arial" w:cs="Arial"/>
              </w:rPr>
            </w:pPr>
            <w:r w:rsidRPr="00746F54">
              <w:rPr>
                <w:rFonts w:ascii="Arial" w:eastAsia="Calibri" w:hAnsi="Arial" w:cs="Arial"/>
              </w:rPr>
              <w:t xml:space="preserve">(d) </w:t>
            </w:r>
          </w:p>
          <w:p w14:paraId="0E04EA65" w14:textId="77777777" w:rsidR="00903C3A" w:rsidRPr="00746F54" w:rsidRDefault="00903C3A" w:rsidP="00D62922">
            <w:pPr>
              <w:keepNext/>
              <w:keepLines/>
              <w:jc w:val="center"/>
              <w:rPr>
                <w:rFonts w:ascii="Arial" w:eastAsia="Calibri" w:hAnsi="Arial" w:cs="Arial"/>
              </w:rPr>
            </w:pPr>
          </w:p>
        </w:tc>
      </w:tr>
      <w:tr w:rsidR="00903C3A" w:rsidRPr="00746F54" w14:paraId="7609D518" w14:textId="77777777" w:rsidTr="00D62922">
        <w:tc>
          <w:tcPr>
            <w:tcW w:w="1432" w:type="dxa"/>
          </w:tcPr>
          <w:p w14:paraId="52351164" w14:textId="77777777" w:rsidR="00903C3A" w:rsidRPr="00746F54" w:rsidRDefault="00903C3A" w:rsidP="00D62922">
            <w:pPr>
              <w:keepNext/>
              <w:keepLines/>
              <w:rPr>
                <w:rFonts w:ascii="Arial" w:eastAsia="Calibri" w:hAnsi="Arial" w:cs="Arial"/>
              </w:rPr>
            </w:pPr>
            <w:r w:rsidRPr="00746F54">
              <w:rPr>
                <w:rFonts w:ascii="Arial" w:eastAsia="Calibri" w:hAnsi="Arial" w:cs="Arial"/>
              </w:rPr>
              <w:t>BAA 3</w:t>
            </w:r>
          </w:p>
        </w:tc>
        <w:tc>
          <w:tcPr>
            <w:tcW w:w="1859" w:type="dxa"/>
          </w:tcPr>
          <w:p w14:paraId="58E90A5C" w14:textId="77777777" w:rsidR="00903C3A" w:rsidRPr="00746F54" w:rsidRDefault="00903C3A" w:rsidP="00D62922">
            <w:pPr>
              <w:keepNext/>
              <w:keepLines/>
              <w:rPr>
                <w:rFonts w:ascii="Arial" w:eastAsia="Calibri" w:hAnsi="Arial" w:cs="Arial"/>
              </w:rPr>
            </w:pPr>
            <w:r w:rsidRPr="00746F54">
              <w:rPr>
                <w:rFonts w:ascii="Arial" w:eastAsia="Calibri" w:hAnsi="Arial" w:cs="Arial"/>
              </w:rPr>
              <w:t>$11,000,000</w:t>
            </w:r>
          </w:p>
        </w:tc>
        <w:tc>
          <w:tcPr>
            <w:tcW w:w="1920" w:type="dxa"/>
          </w:tcPr>
          <w:p w14:paraId="7F3F4DE0" w14:textId="77777777" w:rsidR="00903C3A" w:rsidRPr="00746F54" w:rsidRDefault="00903C3A" w:rsidP="00D62922">
            <w:pPr>
              <w:keepNext/>
              <w:keepLines/>
              <w:rPr>
                <w:rFonts w:ascii="Arial" w:eastAsia="Calibri" w:hAnsi="Arial" w:cs="Arial"/>
              </w:rPr>
            </w:pPr>
            <w:r w:rsidRPr="00746F54">
              <w:rPr>
                <w:rFonts w:ascii="Arial" w:eastAsia="Calibri" w:hAnsi="Arial" w:cs="Arial"/>
              </w:rPr>
              <w:t>2.17%</w:t>
            </w:r>
          </w:p>
        </w:tc>
        <w:tc>
          <w:tcPr>
            <w:tcW w:w="2103" w:type="dxa"/>
          </w:tcPr>
          <w:p w14:paraId="3A9B7E24" w14:textId="77777777" w:rsidR="00903C3A" w:rsidRPr="00746F54" w:rsidRDefault="00903C3A" w:rsidP="00D62922">
            <w:pPr>
              <w:keepNext/>
              <w:keepLines/>
              <w:rPr>
                <w:rFonts w:ascii="Arial" w:eastAsia="Calibri" w:hAnsi="Arial" w:cs="Arial"/>
              </w:rPr>
            </w:pPr>
            <w:r w:rsidRPr="00746F54">
              <w:rPr>
                <w:rFonts w:ascii="Arial" w:eastAsia="Calibri" w:hAnsi="Arial" w:cs="Arial"/>
              </w:rPr>
              <w:t>$238,700</w:t>
            </w:r>
          </w:p>
        </w:tc>
        <w:tc>
          <w:tcPr>
            <w:tcW w:w="2036" w:type="dxa"/>
          </w:tcPr>
          <w:p w14:paraId="7A42F6FA" w14:textId="77777777" w:rsidR="00903C3A" w:rsidRPr="00746F54" w:rsidRDefault="00903C3A" w:rsidP="00D62922">
            <w:pPr>
              <w:keepNext/>
              <w:keepLines/>
              <w:jc w:val="center"/>
              <w:rPr>
                <w:rFonts w:ascii="Arial" w:eastAsia="Calibri" w:hAnsi="Arial" w:cs="Arial"/>
              </w:rPr>
            </w:pPr>
            <w:r w:rsidRPr="00746F54">
              <w:rPr>
                <w:rFonts w:ascii="Arial" w:eastAsia="Calibri" w:hAnsi="Arial" w:cs="Arial"/>
              </w:rPr>
              <w:t>$59,000</w:t>
            </w:r>
          </w:p>
        </w:tc>
      </w:tr>
    </w:tbl>
    <w:p w14:paraId="7240F8B8" w14:textId="77777777" w:rsidR="00903C3A" w:rsidRPr="00746F54" w:rsidRDefault="00903C3A" w:rsidP="00903C3A">
      <w:pPr>
        <w:spacing w:after="0" w:line="240" w:lineRule="auto"/>
        <w:rPr>
          <w:rFonts w:ascii="Arial" w:eastAsia="Calibri" w:hAnsi="Arial" w:cs="Arial"/>
        </w:rPr>
      </w:pPr>
    </w:p>
    <w:p w14:paraId="4192A68D" w14:textId="77777777" w:rsidR="00903C3A" w:rsidRPr="00746F54" w:rsidRDefault="00903C3A" w:rsidP="00903C3A">
      <w:pPr>
        <w:rPr>
          <w:rFonts w:ascii="Arial" w:eastAsia="Calibri" w:hAnsi="Arial" w:cs="Arial"/>
        </w:rPr>
      </w:pPr>
      <w:r w:rsidRPr="00746F54">
        <w:rPr>
          <w:rFonts w:ascii="Arial" w:eastAsia="Calibri" w:hAnsi="Arial" w:cs="Arial"/>
        </w:rPr>
        <w:t xml:space="preserve">Component 3 of the EDAM access charge accounts for benefits to EDAM from transmission used for wheeling-throughs </w:t>
      </w:r>
      <w:r w:rsidRPr="00746F54">
        <w:rPr>
          <w:rFonts w:ascii="Arial" w:eastAsia="Calibri" w:hAnsi="Arial" w:cs="Arial"/>
          <w:bCs/>
        </w:rPr>
        <w:t>in an EDAM BAA greater than its imports and exports.  In this example, the excess wheeling-through transfer is calculated for the relevant trade year (2026) and added as a recoverable cost for the following trade year (2027) for the BAA with the transmission facilitating the wheeling-throughs.  As illustrated in Table 5, assume BAA 1 has 10,000 MWh in wheeling-through transfers above its total import and export transfers, and a non-firm hourly point-to-point transmission rate of $5/MWh</w:t>
      </w:r>
      <w:r w:rsidRPr="00746F54">
        <w:rPr>
          <w:rFonts w:ascii="Arial" w:eastAsia="Calibri" w:hAnsi="Arial" w:cs="Arial"/>
        </w:rPr>
        <w:t>.</w:t>
      </w:r>
    </w:p>
    <w:p w14:paraId="320C44DE" w14:textId="77777777" w:rsidR="00903C3A" w:rsidRPr="00746F54" w:rsidRDefault="00903C3A" w:rsidP="00903C3A">
      <w:pPr>
        <w:keepNext/>
        <w:keepLines/>
        <w:jc w:val="center"/>
        <w:rPr>
          <w:rFonts w:ascii="Arial" w:eastAsia="Calibri" w:hAnsi="Arial" w:cs="Arial"/>
        </w:rPr>
      </w:pPr>
      <w:r w:rsidRPr="00746F54">
        <w:rPr>
          <w:rFonts w:ascii="Arial" w:eastAsia="Calibri" w:hAnsi="Arial" w:cs="Arial"/>
          <w:b/>
        </w:rPr>
        <w:lastRenderedPageBreak/>
        <w:t>Table 5: Computation of Component 3</w:t>
      </w:r>
    </w:p>
    <w:tbl>
      <w:tblPr>
        <w:tblStyle w:val="TableGrid1"/>
        <w:tblW w:w="0" w:type="auto"/>
        <w:tblLook w:val="04A0" w:firstRow="1" w:lastRow="0" w:firstColumn="1" w:lastColumn="0" w:noHBand="0" w:noVBand="1"/>
      </w:tblPr>
      <w:tblGrid>
        <w:gridCol w:w="1901"/>
        <w:gridCol w:w="2551"/>
        <w:gridCol w:w="1962"/>
        <w:gridCol w:w="2936"/>
      </w:tblGrid>
      <w:tr w:rsidR="00903C3A" w:rsidRPr="00746F54" w14:paraId="1AE4B60F" w14:textId="77777777" w:rsidTr="00D62922">
        <w:tc>
          <w:tcPr>
            <w:tcW w:w="1901" w:type="dxa"/>
          </w:tcPr>
          <w:p w14:paraId="1BBAC3BB" w14:textId="77777777" w:rsidR="00903C3A" w:rsidRPr="00746F54" w:rsidRDefault="00903C3A" w:rsidP="00D62922">
            <w:pPr>
              <w:keepNext/>
              <w:keepLines/>
              <w:rPr>
                <w:rFonts w:ascii="Arial" w:eastAsia="Calibri" w:hAnsi="Arial" w:cs="Arial"/>
              </w:rPr>
            </w:pPr>
            <w:r w:rsidRPr="00746F54">
              <w:rPr>
                <w:rFonts w:ascii="Arial" w:eastAsia="Calibri" w:hAnsi="Arial" w:cs="Arial"/>
              </w:rPr>
              <w:t>EDAM Entity transmission provider</w:t>
            </w:r>
          </w:p>
        </w:tc>
        <w:tc>
          <w:tcPr>
            <w:tcW w:w="2551" w:type="dxa"/>
          </w:tcPr>
          <w:p w14:paraId="66F3908F" w14:textId="77777777" w:rsidR="00903C3A" w:rsidRPr="00746F54" w:rsidRDefault="00903C3A" w:rsidP="00D62922">
            <w:pPr>
              <w:keepNext/>
              <w:keepLines/>
              <w:rPr>
                <w:rFonts w:ascii="Arial" w:eastAsia="Calibri" w:hAnsi="Arial" w:cs="Arial"/>
              </w:rPr>
            </w:pPr>
            <w:r w:rsidRPr="00746F54">
              <w:rPr>
                <w:rFonts w:ascii="Arial" w:eastAsia="Calibri" w:hAnsi="Arial" w:cs="Arial"/>
              </w:rPr>
              <w:t xml:space="preserve">Net incremental wheeling- through transfer volumes (2026) </w:t>
            </w:r>
          </w:p>
        </w:tc>
        <w:tc>
          <w:tcPr>
            <w:tcW w:w="1962" w:type="dxa"/>
          </w:tcPr>
          <w:p w14:paraId="28FD9D8F" w14:textId="77777777" w:rsidR="00903C3A" w:rsidRPr="00746F54" w:rsidRDefault="00903C3A" w:rsidP="00D62922">
            <w:pPr>
              <w:keepNext/>
              <w:keepLines/>
              <w:rPr>
                <w:rFonts w:ascii="Arial" w:eastAsia="Calibri" w:hAnsi="Arial" w:cs="Arial"/>
              </w:rPr>
            </w:pPr>
            <w:r w:rsidRPr="00746F54">
              <w:rPr>
                <w:rFonts w:ascii="Arial" w:eastAsia="Calibri" w:hAnsi="Arial" w:cs="Arial"/>
              </w:rPr>
              <w:t>Non-firm hourly point-to-point rate</w:t>
            </w:r>
          </w:p>
        </w:tc>
        <w:tc>
          <w:tcPr>
            <w:tcW w:w="2936" w:type="dxa"/>
          </w:tcPr>
          <w:p w14:paraId="24924819" w14:textId="77777777" w:rsidR="00903C3A" w:rsidRPr="00746F54" w:rsidRDefault="00903C3A" w:rsidP="00D62922">
            <w:pPr>
              <w:keepNext/>
              <w:keepLines/>
              <w:rPr>
                <w:rFonts w:ascii="Arial" w:eastAsia="Calibri" w:hAnsi="Arial" w:cs="Arial"/>
              </w:rPr>
            </w:pPr>
            <w:r w:rsidRPr="00746F54">
              <w:rPr>
                <w:rFonts w:ascii="Arial" w:eastAsia="Calibri" w:hAnsi="Arial" w:cs="Arial"/>
              </w:rPr>
              <w:t>Compensation at the hourly non-firm OATT rate</w:t>
            </w:r>
            <w:r w:rsidRPr="00746F54">
              <w:rPr>
                <w:rFonts w:ascii="Arial" w:eastAsia="Calibri" w:hAnsi="Arial" w:cs="Arial"/>
                <w:vertAlign w:val="superscript"/>
              </w:rPr>
              <w:footnoteReference w:id="4"/>
            </w:r>
            <w:r w:rsidRPr="00746F54">
              <w:rPr>
                <w:rFonts w:ascii="Arial" w:eastAsia="Calibri" w:hAnsi="Arial" w:cs="Arial"/>
              </w:rPr>
              <w:t xml:space="preserve"> (recovered in 2027)</w:t>
            </w:r>
          </w:p>
        </w:tc>
      </w:tr>
      <w:tr w:rsidR="00903C3A" w:rsidRPr="00746F54" w14:paraId="4B4ED9ED" w14:textId="77777777" w:rsidTr="00D62922">
        <w:tc>
          <w:tcPr>
            <w:tcW w:w="1901" w:type="dxa"/>
          </w:tcPr>
          <w:p w14:paraId="53292228" w14:textId="77777777" w:rsidR="00903C3A" w:rsidRPr="00746F54" w:rsidRDefault="00903C3A" w:rsidP="00D62922">
            <w:pPr>
              <w:keepNext/>
              <w:keepLines/>
              <w:rPr>
                <w:rFonts w:ascii="Arial" w:eastAsia="Calibri" w:hAnsi="Arial" w:cs="Arial"/>
              </w:rPr>
            </w:pPr>
            <w:r w:rsidRPr="00746F54">
              <w:rPr>
                <w:rFonts w:ascii="Arial" w:eastAsia="Calibri" w:hAnsi="Arial" w:cs="Arial"/>
              </w:rPr>
              <w:t>BAA 1</w:t>
            </w:r>
          </w:p>
        </w:tc>
        <w:tc>
          <w:tcPr>
            <w:tcW w:w="2551" w:type="dxa"/>
          </w:tcPr>
          <w:p w14:paraId="6C104806" w14:textId="77777777" w:rsidR="00903C3A" w:rsidRPr="00746F54" w:rsidRDefault="00903C3A" w:rsidP="00D62922">
            <w:pPr>
              <w:keepNext/>
              <w:keepLines/>
              <w:rPr>
                <w:rFonts w:ascii="Arial" w:eastAsia="Calibri" w:hAnsi="Arial" w:cs="Arial"/>
              </w:rPr>
            </w:pPr>
            <w:r w:rsidRPr="00746F54">
              <w:rPr>
                <w:rFonts w:ascii="Arial" w:eastAsia="Calibri" w:hAnsi="Arial" w:cs="Arial"/>
              </w:rPr>
              <w:t>10,000 MWh</w:t>
            </w:r>
          </w:p>
        </w:tc>
        <w:tc>
          <w:tcPr>
            <w:tcW w:w="1962" w:type="dxa"/>
          </w:tcPr>
          <w:p w14:paraId="47A7F2CF" w14:textId="77777777" w:rsidR="00903C3A" w:rsidRPr="00746F54" w:rsidRDefault="00903C3A" w:rsidP="00D62922">
            <w:pPr>
              <w:keepNext/>
              <w:keepLines/>
              <w:rPr>
                <w:rFonts w:ascii="Arial" w:eastAsia="Calibri" w:hAnsi="Arial" w:cs="Arial"/>
              </w:rPr>
            </w:pPr>
            <w:r w:rsidRPr="00746F54">
              <w:rPr>
                <w:rFonts w:ascii="Arial" w:eastAsia="Calibri" w:hAnsi="Arial" w:cs="Arial"/>
              </w:rPr>
              <w:t>$5/MWh</w:t>
            </w:r>
          </w:p>
        </w:tc>
        <w:tc>
          <w:tcPr>
            <w:tcW w:w="2936" w:type="dxa"/>
          </w:tcPr>
          <w:p w14:paraId="111AC6F2" w14:textId="77777777" w:rsidR="00903C3A" w:rsidRPr="00746F54" w:rsidRDefault="00903C3A" w:rsidP="00D62922">
            <w:pPr>
              <w:keepNext/>
              <w:keepLines/>
              <w:rPr>
                <w:rFonts w:ascii="Arial" w:eastAsia="Calibri" w:hAnsi="Arial" w:cs="Arial"/>
              </w:rPr>
            </w:pPr>
            <w:r w:rsidRPr="00746F54">
              <w:rPr>
                <w:rFonts w:ascii="Arial" w:eastAsia="Calibri" w:hAnsi="Arial" w:cs="Arial"/>
              </w:rPr>
              <w:t>$50,000</w:t>
            </w:r>
          </w:p>
        </w:tc>
      </w:tr>
      <w:tr w:rsidR="00903C3A" w:rsidRPr="00746F54" w14:paraId="0EB5C5E7" w14:textId="77777777" w:rsidTr="00D62922">
        <w:tc>
          <w:tcPr>
            <w:tcW w:w="1901" w:type="dxa"/>
          </w:tcPr>
          <w:p w14:paraId="2B0B32CA" w14:textId="77777777" w:rsidR="00903C3A" w:rsidRPr="00746F54" w:rsidRDefault="00903C3A" w:rsidP="00D62922">
            <w:pPr>
              <w:keepNext/>
              <w:keepLines/>
              <w:rPr>
                <w:rFonts w:ascii="Arial" w:eastAsia="Calibri" w:hAnsi="Arial" w:cs="Arial"/>
              </w:rPr>
            </w:pPr>
            <w:r w:rsidRPr="00746F54">
              <w:rPr>
                <w:rFonts w:ascii="Arial" w:eastAsia="Calibri" w:hAnsi="Arial" w:cs="Arial"/>
              </w:rPr>
              <w:t>BAA 2</w:t>
            </w:r>
          </w:p>
        </w:tc>
        <w:tc>
          <w:tcPr>
            <w:tcW w:w="2551" w:type="dxa"/>
          </w:tcPr>
          <w:p w14:paraId="67A8331E" w14:textId="77777777" w:rsidR="00903C3A" w:rsidRPr="00746F54" w:rsidRDefault="00903C3A" w:rsidP="00D62922">
            <w:pPr>
              <w:keepNext/>
              <w:keepLines/>
              <w:rPr>
                <w:rFonts w:ascii="Arial" w:eastAsia="Calibri" w:hAnsi="Arial" w:cs="Arial"/>
              </w:rPr>
            </w:pPr>
            <w:r w:rsidRPr="00746F54">
              <w:rPr>
                <w:rFonts w:ascii="Arial" w:eastAsia="Calibri" w:hAnsi="Arial" w:cs="Arial"/>
              </w:rPr>
              <w:t>0</w:t>
            </w:r>
          </w:p>
        </w:tc>
        <w:tc>
          <w:tcPr>
            <w:tcW w:w="1962" w:type="dxa"/>
          </w:tcPr>
          <w:p w14:paraId="3ABDE788" w14:textId="77777777" w:rsidR="00903C3A" w:rsidRPr="00746F54" w:rsidDel="00867F22" w:rsidRDefault="00903C3A" w:rsidP="00D62922">
            <w:pPr>
              <w:keepNext/>
              <w:keepLines/>
              <w:rPr>
                <w:rFonts w:ascii="Arial" w:eastAsia="Calibri" w:hAnsi="Arial" w:cs="Arial"/>
              </w:rPr>
            </w:pPr>
          </w:p>
        </w:tc>
        <w:tc>
          <w:tcPr>
            <w:tcW w:w="2936" w:type="dxa"/>
          </w:tcPr>
          <w:p w14:paraId="226819E2" w14:textId="77777777" w:rsidR="00903C3A" w:rsidRPr="00746F54" w:rsidRDefault="00903C3A" w:rsidP="00D62922">
            <w:pPr>
              <w:keepNext/>
              <w:keepLines/>
              <w:rPr>
                <w:rFonts w:ascii="Arial" w:eastAsia="Calibri" w:hAnsi="Arial" w:cs="Arial"/>
              </w:rPr>
            </w:pPr>
            <w:r w:rsidRPr="00746F54">
              <w:rPr>
                <w:rFonts w:ascii="Arial" w:eastAsia="Calibri" w:hAnsi="Arial" w:cs="Arial"/>
              </w:rPr>
              <w:t>0</w:t>
            </w:r>
          </w:p>
        </w:tc>
      </w:tr>
      <w:tr w:rsidR="00903C3A" w:rsidRPr="00746F54" w14:paraId="53B384CD" w14:textId="77777777" w:rsidTr="00D62922">
        <w:tc>
          <w:tcPr>
            <w:tcW w:w="1901" w:type="dxa"/>
          </w:tcPr>
          <w:p w14:paraId="6E75D760" w14:textId="77777777" w:rsidR="00903C3A" w:rsidRPr="00746F54" w:rsidRDefault="00903C3A" w:rsidP="00D62922">
            <w:pPr>
              <w:keepNext/>
              <w:keepLines/>
              <w:rPr>
                <w:rFonts w:ascii="Arial" w:eastAsia="Calibri" w:hAnsi="Arial" w:cs="Arial"/>
              </w:rPr>
            </w:pPr>
            <w:r w:rsidRPr="00746F54">
              <w:rPr>
                <w:rFonts w:ascii="Arial" w:eastAsia="Calibri" w:hAnsi="Arial" w:cs="Arial"/>
              </w:rPr>
              <w:t>BAA 3</w:t>
            </w:r>
          </w:p>
        </w:tc>
        <w:tc>
          <w:tcPr>
            <w:tcW w:w="2551" w:type="dxa"/>
          </w:tcPr>
          <w:p w14:paraId="39D48160" w14:textId="77777777" w:rsidR="00903C3A" w:rsidRPr="00746F54" w:rsidRDefault="00903C3A" w:rsidP="00D62922">
            <w:pPr>
              <w:keepNext/>
              <w:keepLines/>
              <w:rPr>
                <w:rFonts w:ascii="Arial" w:eastAsia="Calibri" w:hAnsi="Arial" w:cs="Arial"/>
              </w:rPr>
            </w:pPr>
            <w:r w:rsidRPr="00746F54">
              <w:rPr>
                <w:rFonts w:ascii="Arial" w:eastAsia="Calibri" w:hAnsi="Arial" w:cs="Arial"/>
              </w:rPr>
              <w:t>0</w:t>
            </w:r>
          </w:p>
        </w:tc>
        <w:tc>
          <w:tcPr>
            <w:tcW w:w="1962" w:type="dxa"/>
          </w:tcPr>
          <w:p w14:paraId="28741153" w14:textId="77777777" w:rsidR="00903C3A" w:rsidRPr="00746F54" w:rsidDel="00867F22" w:rsidRDefault="00903C3A" w:rsidP="00D62922">
            <w:pPr>
              <w:keepNext/>
              <w:keepLines/>
              <w:rPr>
                <w:rFonts w:ascii="Arial" w:eastAsia="Calibri" w:hAnsi="Arial" w:cs="Arial"/>
              </w:rPr>
            </w:pPr>
          </w:p>
        </w:tc>
        <w:tc>
          <w:tcPr>
            <w:tcW w:w="2936" w:type="dxa"/>
          </w:tcPr>
          <w:p w14:paraId="07C961A4" w14:textId="77777777" w:rsidR="00903C3A" w:rsidRPr="00746F54" w:rsidRDefault="00903C3A" w:rsidP="00D62922">
            <w:pPr>
              <w:keepNext/>
              <w:keepLines/>
              <w:rPr>
                <w:rFonts w:ascii="Arial" w:eastAsia="Calibri" w:hAnsi="Arial" w:cs="Arial"/>
              </w:rPr>
            </w:pPr>
            <w:r w:rsidRPr="00746F54">
              <w:rPr>
                <w:rFonts w:ascii="Arial" w:eastAsia="Calibri" w:hAnsi="Arial" w:cs="Arial"/>
              </w:rPr>
              <w:t>0</w:t>
            </w:r>
          </w:p>
        </w:tc>
      </w:tr>
      <w:tr w:rsidR="00903C3A" w:rsidRPr="00746F54" w14:paraId="530A1B07" w14:textId="77777777" w:rsidTr="00D62922">
        <w:tc>
          <w:tcPr>
            <w:tcW w:w="1901" w:type="dxa"/>
          </w:tcPr>
          <w:p w14:paraId="28FA9D77" w14:textId="77777777" w:rsidR="00903C3A" w:rsidRPr="00746F54" w:rsidRDefault="00903C3A" w:rsidP="00D62922">
            <w:pPr>
              <w:keepNext/>
              <w:keepLines/>
              <w:rPr>
                <w:rFonts w:ascii="Arial" w:eastAsia="Calibri" w:hAnsi="Arial" w:cs="Arial"/>
              </w:rPr>
            </w:pPr>
            <w:r w:rsidRPr="00746F54">
              <w:rPr>
                <w:rFonts w:ascii="Arial" w:eastAsia="Calibri" w:hAnsi="Arial" w:cs="Arial"/>
              </w:rPr>
              <w:t>BAA 4</w:t>
            </w:r>
          </w:p>
        </w:tc>
        <w:tc>
          <w:tcPr>
            <w:tcW w:w="2551" w:type="dxa"/>
          </w:tcPr>
          <w:p w14:paraId="3177B4C6" w14:textId="77777777" w:rsidR="00903C3A" w:rsidRPr="00746F54" w:rsidRDefault="00903C3A" w:rsidP="00D62922">
            <w:pPr>
              <w:keepNext/>
              <w:keepLines/>
              <w:rPr>
                <w:rFonts w:ascii="Arial" w:eastAsia="Calibri" w:hAnsi="Arial" w:cs="Arial"/>
              </w:rPr>
            </w:pPr>
            <w:r w:rsidRPr="00746F54">
              <w:rPr>
                <w:rFonts w:ascii="Arial" w:eastAsia="Calibri" w:hAnsi="Arial" w:cs="Arial"/>
              </w:rPr>
              <w:t>0</w:t>
            </w:r>
          </w:p>
        </w:tc>
        <w:tc>
          <w:tcPr>
            <w:tcW w:w="1962" w:type="dxa"/>
          </w:tcPr>
          <w:p w14:paraId="585EE1E6" w14:textId="77777777" w:rsidR="00903C3A" w:rsidRPr="00746F54" w:rsidDel="00867F22" w:rsidRDefault="00903C3A" w:rsidP="00D62922">
            <w:pPr>
              <w:keepNext/>
              <w:keepLines/>
              <w:rPr>
                <w:rFonts w:ascii="Arial" w:eastAsia="Calibri" w:hAnsi="Arial" w:cs="Arial"/>
              </w:rPr>
            </w:pPr>
          </w:p>
        </w:tc>
        <w:tc>
          <w:tcPr>
            <w:tcW w:w="2936" w:type="dxa"/>
          </w:tcPr>
          <w:p w14:paraId="4B0D29D1" w14:textId="77777777" w:rsidR="00903C3A" w:rsidRPr="00746F54" w:rsidRDefault="00903C3A" w:rsidP="00D62922">
            <w:pPr>
              <w:keepNext/>
              <w:keepLines/>
              <w:rPr>
                <w:rFonts w:ascii="Arial" w:eastAsia="Calibri" w:hAnsi="Arial" w:cs="Arial"/>
              </w:rPr>
            </w:pPr>
            <w:r w:rsidRPr="00746F54">
              <w:rPr>
                <w:rFonts w:ascii="Arial" w:eastAsia="Calibri" w:hAnsi="Arial" w:cs="Arial"/>
              </w:rPr>
              <w:t>0</w:t>
            </w:r>
          </w:p>
        </w:tc>
      </w:tr>
    </w:tbl>
    <w:p w14:paraId="45BBCF28" w14:textId="77777777" w:rsidR="00903C3A" w:rsidRPr="00746F54" w:rsidRDefault="00903C3A" w:rsidP="00903C3A">
      <w:pPr>
        <w:rPr>
          <w:rFonts w:ascii="Arial" w:eastAsia="Calibri" w:hAnsi="Arial" w:cs="Arial"/>
          <w:b/>
          <w:bCs/>
          <w:i/>
          <w:u w:val="single"/>
        </w:rPr>
      </w:pPr>
    </w:p>
    <w:p w14:paraId="510715C9" w14:textId="77777777" w:rsidR="00903C3A" w:rsidRPr="00746F54" w:rsidRDefault="00903C3A" w:rsidP="00903C3A">
      <w:pPr>
        <w:rPr>
          <w:rFonts w:ascii="Arial" w:eastAsia="Calibri" w:hAnsi="Arial" w:cs="Arial"/>
          <w:b/>
          <w:bCs/>
          <w:i/>
          <w:u w:val="single"/>
        </w:rPr>
      </w:pPr>
      <w:r w:rsidRPr="00746F54">
        <w:rPr>
          <w:rFonts w:ascii="Arial" w:eastAsia="Calibri" w:hAnsi="Arial" w:cs="Arial"/>
          <w:b/>
          <w:bCs/>
          <w:i/>
          <w:u w:val="single"/>
        </w:rPr>
        <w:t>EDAM Access Charge Assessment and Distribution</w:t>
      </w:r>
    </w:p>
    <w:p w14:paraId="17DB9B36" w14:textId="77777777" w:rsidR="00903C3A" w:rsidRPr="00746F54" w:rsidRDefault="00903C3A" w:rsidP="00903C3A">
      <w:pPr>
        <w:rPr>
          <w:rFonts w:ascii="Arial" w:eastAsia="Calibri" w:hAnsi="Arial" w:cs="Arial"/>
          <w:bCs/>
        </w:rPr>
      </w:pPr>
      <w:r w:rsidRPr="00746F54">
        <w:rPr>
          <w:rFonts w:ascii="Arial" w:eastAsia="Calibri" w:hAnsi="Arial" w:cs="Arial"/>
          <w:bCs/>
        </w:rPr>
        <w:t xml:space="preserve">Using the sum of the components for each EDAM entity, the CAISO will compute a $/MWh rate specific to each EDAM BAA.  To form the numerator of the rate, the CAISO will divide each EDAM entity’s aggregate revenue to the EDAM BAAs associated with the other EDAM transmission entities by (a) the EDAM entity’s gross load divided by (b) the total EDAM area gross load minus the </w:t>
      </w:r>
      <w:commentRangeStart w:id="170"/>
      <w:r w:rsidRPr="00746F54">
        <w:rPr>
          <w:rFonts w:ascii="Arial" w:eastAsia="Calibri" w:hAnsi="Arial" w:cs="Arial"/>
          <w:bCs/>
        </w:rPr>
        <w:t>gross</w:t>
      </w:r>
      <w:commentRangeEnd w:id="170"/>
      <w:r w:rsidRPr="00746F54">
        <w:rPr>
          <w:rStyle w:val="CommentReference"/>
          <w:rFonts w:ascii="Arial" w:hAnsi="Arial" w:cs="Arial"/>
        </w:rPr>
        <w:commentReference w:id="170"/>
      </w:r>
      <w:r w:rsidRPr="00746F54">
        <w:rPr>
          <w:rFonts w:ascii="Arial" w:eastAsia="Calibri" w:hAnsi="Arial" w:cs="Arial"/>
          <w:bCs/>
        </w:rPr>
        <w:t xml:space="preserve"> load of the EDAM entity. The BAA-specific EDAM access charge rate is then applied to the current year actual gross load. </w:t>
      </w:r>
    </w:p>
    <w:p w14:paraId="5EDE1C44" w14:textId="77777777" w:rsidR="00903C3A" w:rsidRPr="00746F54" w:rsidRDefault="00903C3A" w:rsidP="00903C3A">
      <w:pPr>
        <w:rPr>
          <w:rFonts w:ascii="Arial" w:eastAsia="Calibri" w:hAnsi="Arial" w:cs="Arial"/>
          <w:bCs/>
        </w:rPr>
      </w:pPr>
      <w:r w:rsidRPr="00746F54">
        <w:rPr>
          <w:rFonts w:ascii="Arial" w:eastAsia="Calibri" w:hAnsi="Arial" w:cs="Arial"/>
          <w:bCs/>
        </w:rPr>
        <w:t>As a starting point, Table 6 illustrates the EDAM recoverable revenue that is recoverable through EDAM for 2026 where the only recoverable revenues were associated with component 1 (and reflected in Table 2).  Table 6 also identifies each BAA’s annual gross load.</w:t>
      </w:r>
    </w:p>
    <w:p w14:paraId="09EF38A5" w14:textId="77777777" w:rsidR="00903C3A" w:rsidRPr="00746F54" w:rsidRDefault="00903C3A" w:rsidP="00903C3A">
      <w:pPr>
        <w:jc w:val="center"/>
        <w:rPr>
          <w:rFonts w:ascii="Arial" w:eastAsia="Calibri" w:hAnsi="Arial" w:cs="Arial"/>
          <w:b/>
          <w:bCs/>
        </w:rPr>
      </w:pPr>
      <w:r w:rsidRPr="00746F54">
        <w:rPr>
          <w:rFonts w:ascii="Arial" w:eastAsia="Calibri" w:hAnsi="Arial" w:cs="Arial"/>
          <w:b/>
          <w:bCs/>
        </w:rPr>
        <w:t xml:space="preserve">Table 6: 2026 EDAM Recoverable Revenue and Gross Load </w:t>
      </w:r>
    </w:p>
    <w:tbl>
      <w:tblPr>
        <w:tblStyle w:val="TableGrid1"/>
        <w:tblW w:w="0" w:type="auto"/>
        <w:tblLook w:val="04A0" w:firstRow="1" w:lastRow="0" w:firstColumn="1" w:lastColumn="0" w:noHBand="0" w:noVBand="1"/>
      </w:tblPr>
      <w:tblGrid>
        <w:gridCol w:w="2713"/>
        <w:gridCol w:w="3152"/>
        <w:gridCol w:w="3348"/>
      </w:tblGrid>
      <w:tr w:rsidR="00903C3A" w:rsidRPr="00746F54" w14:paraId="54095182" w14:textId="77777777" w:rsidTr="00D62922">
        <w:trPr>
          <w:trHeight w:val="578"/>
        </w:trPr>
        <w:tc>
          <w:tcPr>
            <w:tcW w:w="2713" w:type="dxa"/>
          </w:tcPr>
          <w:p w14:paraId="395CC08C" w14:textId="77777777" w:rsidR="00903C3A" w:rsidRPr="00746F54" w:rsidRDefault="00903C3A" w:rsidP="00D62922">
            <w:pPr>
              <w:rPr>
                <w:rFonts w:ascii="Arial" w:eastAsia="Calibri" w:hAnsi="Arial" w:cs="Arial"/>
              </w:rPr>
            </w:pPr>
            <w:r w:rsidRPr="00746F54">
              <w:rPr>
                <w:rFonts w:ascii="Arial" w:eastAsia="Calibri" w:hAnsi="Arial" w:cs="Arial"/>
              </w:rPr>
              <w:t>EDAM Entity transmission provider</w:t>
            </w:r>
          </w:p>
        </w:tc>
        <w:tc>
          <w:tcPr>
            <w:tcW w:w="3152" w:type="dxa"/>
          </w:tcPr>
          <w:p w14:paraId="365393F3" w14:textId="77777777" w:rsidR="00903C3A" w:rsidRPr="00746F54" w:rsidRDefault="00903C3A" w:rsidP="00D62922">
            <w:pPr>
              <w:rPr>
                <w:rFonts w:ascii="Arial" w:eastAsia="Calibri" w:hAnsi="Arial" w:cs="Arial"/>
              </w:rPr>
            </w:pPr>
            <w:r w:rsidRPr="00746F54">
              <w:rPr>
                <w:rFonts w:ascii="Arial" w:eastAsia="Calibri" w:hAnsi="Arial" w:cs="Arial"/>
              </w:rPr>
              <w:t xml:space="preserve">EDAM recoverable revenue </w:t>
            </w:r>
          </w:p>
        </w:tc>
        <w:tc>
          <w:tcPr>
            <w:tcW w:w="3348" w:type="dxa"/>
          </w:tcPr>
          <w:p w14:paraId="3F5FA9FE" w14:textId="77777777" w:rsidR="00903C3A" w:rsidRPr="00746F54" w:rsidRDefault="00903C3A" w:rsidP="00D62922">
            <w:pPr>
              <w:rPr>
                <w:rFonts w:ascii="Arial" w:eastAsia="Calibri" w:hAnsi="Arial" w:cs="Arial"/>
              </w:rPr>
            </w:pPr>
            <w:r w:rsidRPr="00746F54">
              <w:rPr>
                <w:rFonts w:ascii="Arial" w:eastAsia="Calibri" w:hAnsi="Arial" w:cs="Arial"/>
              </w:rPr>
              <w:t>Gross load (MWh)</w:t>
            </w:r>
            <w:r w:rsidRPr="00746F54" w:rsidDel="00671F5C">
              <w:rPr>
                <w:rFonts w:ascii="Arial" w:eastAsia="Calibri" w:hAnsi="Arial" w:cs="Arial"/>
                <w:vertAlign w:val="superscript"/>
              </w:rPr>
              <w:t xml:space="preserve"> </w:t>
            </w:r>
          </w:p>
        </w:tc>
      </w:tr>
      <w:tr w:rsidR="00903C3A" w:rsidRPr="00746F54" w14:paraId="78FD7C2E" w14:textId="77777777" w:rsidTr="00D62922">
        <w:trPr>
          <w:trHeight w:val="190"/>
        </w:trPr>
        <w:tc>
          <w:tcPr>
            <w:tcW w:w="2713" w:type="dxa"/>
          </w:tcPr>
          <w:p w14:paraId="0488D913" w14:textId="77777777" w:rsidR="00903C3A" w:rsidRPr="00746F54" w:rsidRDefault="00903C3A" w:rsidP="00D62922">
            <w:pPr>
              <w:rPr>
                <w:rFonts w:ascii="Arial" w:eastAsia="Calibri" w:hAnsi="Arial" w:cs="Arial"/>
              </w:rPr>
            </w:pPr>
            <w:r w:rsidRPr="00746F54">
              <w:rPr>
                <w:rFonts w:ascii="Arial" w:eastAsia="Calibri" w:hAnsi="Arial" w:cs="Arial"/>
              </w:rPr>
              <w:t>BAA 1</w:t>
            </w:r>
          </w:p>
        </w:tc>
        <w:tc>
          <w:tcPr>
            <w:tcW w:w="3152" w:type="dxa"/>
          </w:tcPr>
          <w:p w14:paraId="10FC5026" w14:textId="77777777" w:rsidR="00903C3A" w:rsidRPr="00746F54" w:rsidRDefault="00903C3A" w:rsidP="00D62922">
            <w:pPr>
              <w:rPr>
                <w:rFonts w:ascii="Arial" w:eastAsia="Calibri" w:hAnsi="Arial" w:cs="Arial"/>
              </w:rPr>
            </w:pPr>
            <w:r w:rsidRPr="00746F54">
              <w:rPr>
                <w:rFonts w:ascii="Arial" w:eastAsia="Calibri" w:hAnsi="Arial" w:cs="Arial"/>
              </w:rPr>
              <w:t>$7,121,250</w:t>
            </w:r>
          </w:p>
        </w:tc>
        <w:tc>
          <w:tcPr>
            <w:tcW w:w="3348" w:type="dxa"/>
          </w:tcPr>
          <w:p w14:paraId="3A9B75A8" w14:textId="77777777" w:rsidR="00903C3A" w:rsidRPr="00746F54" w:rsidRDefault="00903C3A" w:rsidP="00D62922">
            <w:pPr>
              <w:rPr>
                <w:rFonts w:ascii="Arial" w:eastAsia="Calibri" w:hAnsi="Arial" w:cs="Arial"/>
              </w:rPr>
            </w:pPr>
            <w:r w:rsidRPr="00746F54">
              <w:rPr>
                <w:rFonts w:ascii="Arial" w:eastAsia="Calibri" w:hAnsi="Arial" w:cs="Arial"/>
              </w:rPr>
              <w:t>35,800,000</w:t>
            </w:r>
          </w:p>
        </w:tc>
      </w:tr>
      <w:tr w:rsidR="00903C3A" w:rsidRPr="00746F54" w14:paraId="0EE48AFA" w14:textId="77777777" w:rsidTr="00D62922">
        <w:trPr>
          <w:trHeight w:val="190"/>
        </w:trPr>
        <w:tc>
          <w:tcPr>
            <w:tcW w:w="2713" w:type="dxa"/>
          </w:tcPr>
          <w:p w14:paraId="2F91DBDC" w14:textId="77777777" w:rsidR="00903C3A" w:rsidRPr="00746F54" w:rsidRDefault="00903C3A" w:rsidP="00D62922">
            <w:pPr>
              <w:rPr>
                <w:rFonts w:ascii="Arial" w:eastAsia="Calibri" w:hAnsi="Arial" w:cs="Arial"/>
              </w:rPr>
            </w:pPr>
            <w:r w:rsidRPr="00746F54">
              <w:rPr>
                <w:rFonts w:ascii="Arial" w:eastAsia="Calibri" w:hAnsi="Arial" w:cs="Arial"/>
              </w:rPr>
              <w:t>BAA 2</w:t>
            </w:r>
          </w:p>
        </w:tc>
        <w:tc>
          <w:tcPr>
            <w:tcW w:w="3152" w:type="dxa"/>
          </w:tcPr>
          <w:p w14:paraId="09AC572C" w14:textId="77777777" w:rsidR="00903C3A" w:rsidRPr="00746F54" w:rsidRDefault="00903C3A" w:rsidP="00D62922">
            <w:pPr>
              <w:rPr>
                <w:rFonts w:ascii="Arial" w:eastAsia="Calibri" w:hAnsi="Arial" w:cs="Arial"/>
              </w:rPr>
            </w:pPr>
            <w:r w:rsidRPr="00746F54">
              <w:rPr>
                <w:rFonts w:ascii="Arial" w:eastAsia="Calibri" w:hAnsi="Arial" w:cs="Arial"/>
              </w:rPr>
              <w:t>$1,116,000</w:t>
            </w:r>
          </w:p>
        </w:tc>
        <w:tc>
          <w:tcPr>
            <w:tcW w:w="3348" w:type="dxa"/>
          </w:tcPr>
          <w:p w14:paraId="3398FB11" w14:textId="77777777" w:rsidR="00903C3A" w:rsidRPr="00746F54" w:rsidRDefault="00903C3A" w:rsidP="00D62922">
            <w:pPr>
              <w:rPr>
                <w:rFonts w:ascii="Arial" w:eastAsia="Calibri" w:hAnsi="Arial" w:cs="Arial"/>
              </w:rPr>
            </w:pPr>
            <w:r w:rsidRPr="00746F54">
              <w:rPr>
                <w:rFonts w:ascii="Arial" w:eastAsia="Calibri" w:hAnsi="Arial" w:cs="Arial"/>
              </w:rPr>
              <w:t>15,850,000</w:t>
            </w:r>
          </w:p>
        </w:tc>
      </w:tr>
      <w:tr w:rsidR="00903C3A" w:rsidRPr="00746F54" w14:paraId="4B38B763" w14:textId="77777777" w:rsidTr="00D62922">
        <w:trPr>
          <w:trHeight w:val="190"/>
        </w:trPr>
        <w:tc>
          <w:tcPr>
            <w:tcW w:w="2713" w:type="dxa"/>
          </w:tcPr>
          <w:p w14:paraId="70B45D74" w14:textId="77777777" w:rsidR="00903C3A" w:rsidRPr="00746F54" w:rsidRDefault="00903C3A" w:rsidP="00D62922">
            <w:pPr>
              <w:rPr>
                <w:rFonts w:ascii="Arial" w:eastAsia="Calibri" w:hAnsi="Arial" w:cs="Arial"/>
              </w:rPr>
            </w:pPr>
            <w:r w:rsidRPr="00746F54">
              <w:rPr>
                <w:rFonts w:ascii="Arial" w:eastAsia="Calibri" w:hAnsi="Arial" w:cs="Arial"/>
              </w:rPr>
              <w:t>BAA 3</w:t>
            </w:r>
          </w:p>
        </w:tc>
        <w:tc>
          <w:tcPr>
            <w:tcW w:w="3152" w:type="dxa"/>
          </w:tcPr>
          <w:p w14:paraId="527213AA" w14:textId="77777777" w:rsidR="00903C3A" w:rsidRPr="00746F54" w:rsidRDefault="00903C3A" w:rsidP="00D62922">
            <w:pPr>
              <w:rPr>
                <w:rFonts w:ascii="Arial" w:eastAsia="Calibri" w:hAnsi="Arial" w:cs="Arial"/>
              </w:rPr>
            </w:pPr>
            <w:r w:rsidRPr="00746F54">
              <w:rPr>
                <w:rFonts w:ascii="Arial" w:eastAsia="Calibri" w:hAnsi="Arial" w:cs="Arial"/>
              </w:rPr>
              <w:t>$1,187,500</w:t>
            </w:r>
          </w:p>
        </w:tc>
        <w:tc>
          <w:tcPr>
            <w:tcW w:w="3348" w:type="dxa"/>
          </w:tcPr>
          <w:p w14:paraId="7D694994" w14:textId="77777777" w:rsidR="00903C3A" w:rsidRPr="00746F54" w:rsidRDefault="00903C3A" w:rsidP="00D62922">
            <w:pPr>
              <w:rPr>
                <w:rFonts w:ascii="Arial" w:eastAsia="Calibri" w:hAnsi="Arial" w:cs="Arial"/>
              </w:rPr>
            </w:pPr>
            <w:r w:rsidRPr="00746F54">
              <w:rPr>
                <w:rFonts w:ascii="Arial" w:eastAsia="Calibri" w:hAnsi="Arial" w:cs="Arial"/>
              </w:rPr>
              <w:t>70,750,000</w:t>
            </w:r>
          </w:p>
        </w:tc>
      </w:tr>
      <w:tr w:rsidR="00903C3A" w:rsidRPr="00746F54" w14:paraId="024A7659" w14:textId="77777777" w:rsidTr="00D62922">
        <w:trPr>
          <w:trHeight w:val="190"/>
        </w:trPr>
        <w:tc>
          <w:tcPr>
            <w:tcW w:w="2713" w:type="dxa"/>
          </w:tcPr>
          <w:p w14:paraId="59E03E49" w14:textId="77777777" w:rsidR="00903C3A" w:rsidRPr="00746F54" w:rsidRDefault="00903C3A" w:rsidP="00D62922">
            <w:pPr>
              <w:rPr>
                <w:rFonts w:ascii="Arial" w:eastAsia="Calibri" w:hAnsi="Arial" w:cs="Arial"/>
              </w:rPr>
            </w:pPr>
            <w:r w:rsidRPr="00746F54">
              <w:rPr>
                <w:rFonts w:ascii="Arial" w:eastAsia="Calibri" w:hAnsi="Arial" w:cs="Arial"/>
              </w:rPr>
              <w:t>BAA 4</w:t>
            </w:r>
          </w:p>
        </w:tc>
        <w:tc>
          <w:tcPr>
            <w:tcW w:w="3152" w:type="dxa"/>
          </w:tcPr>
          <w:p w14:paraId="0AC250E3" w14:textId="77777777" w:rsidR="00903C3A" w:rsidRPr="00746F54" w:rsidRDefault="00903C3A" w:rsidP="00D62922">
            <w:pPr>
              <w:rPr>
                <w:rFonts w:ascii="Arial" w:eastAsia="Calibri" w:hAnsi="Arial" w:cs="Arial"/>
              </w:rPr>
            </w:pPr>
            <w:r w:rsidRPr="00746F54">
              <w:rPr>
                <w:rFonts w:ascii="Arial" w:eastAsia="Calibri" w:hAnsi="Arial" w:cs="Arial"/>
              </w:rPr>
              <w:t>$1,615,000</w:t>
            </w:r>
          </w:p>
        </w:tc>
        <w:tc>
          <w:tcPr>
            <w:tcW w:w="3348" w:type="dxa"/>
          </w:tcPr>
          <w:p w14:paraId="5BA5CA30" w14:textId="77777777" w:rsidR="00903C3A" w:rsidRPr="00746F54" w:rsidRDefault="00903C3A" w:rsidP="00D62922">
            <w:pPr>
              <w:rPr>
                <w:rFonts w:ascii="Arial" w:eastAsia="Calibri" w:hAnsi="Arial" w:cs="Arial"/>
              </w:rPr>
            </w:pPr>
            <w:r w:rsidRPr="00746F54">
              <w:rPr>
                <w:rFonts w:ascii="Arial" w:eastAsia="Calibri" w:hAnsi="Arial" w:cs="Arial"/>
              </w:rPr>
              <w:t>109,000,000</w:t>
            </w:r>
          </w:p>
        </w:tc>
      </w:tr>
    </w:tbl>
    <w:p w14:paraId="7DAADED0" w14:textId="77777777" w:rsidR="00903C3A" w:rsidRPr="00746F54" w:rsidRDefault="00903C3A" w:rsidP="00903C3A">
      <w:pPr>
        <w:rPr>
          <w:rFonts w:ascii="Arial" w:eastAsia="Calibri" w:hAnsi="Arial" w:cs="Arial"/>
          <w:sz w:val="18"/>
          <w:szCs w:val="18"/>
        </w:rPr>
      </w:pPr>
    </w:p>
    <w:p w14:paraId="1F32D165" w14:textId="77777777" w:rsidR="00903C3A" w:rsidRPr="00746F54" w:rsidRDefault="00903C3A" w:rsidP="00903C3A">
      <w:pPr>
        <w:spacing w:after="0"/>
        <w:rPr>
          <w:rFonts w:ascii="Arial" w:eastAsia="Calibri" w:hAnsi="Arial" w:cs="Arial"/>
        </w:rPr>
      </w:pPr>
      <w:r w:rsidRPr="00746F54">
        <w:rPr>
          <w:rFonts w:ascii="Arial" w:eastAsia="Calibri" w:hAnsi="Arial" w:cs="Arial"/>
        </w:rPr>
        <w:t>The EDAM recoverable revenue is distributed across the BAAs on a load ratio share basis as shown in Table 7 to derive a BAA-specific EDAM access charge rate.</w:t>
      </w:r>
      <w:r w:rsidRPr="00746F54">
        <w:rPr>
          <w:rFonts w:ascii="Arial" w:eastAsia="Calibri" w:hAnsi="Arial" w:cs="Arial"/>
          <w:vertAlign w:val="superscript"/>
        </w:rPr>
        <w:footnoteReference w:id="5"/>
      </w:r>
      <w:r w:rsidRPr="00746F54">
        <w:rPr>
          <w:rFonts w:ascii="Arial" w:eastAsia="Calibri" w:hAnsi="Arial" w:cs="Arial"/>
        </w:rPr>
        <w:t xml:space="preserve">  A BAA is not allocated its own revenue through the EDAM access charge.</w:t>
      </w:r>
    </w:p>
    <w:p w14:paraId="7B97D599" w14:textId="77777777" w:rsidR="00903C3A" w:rsidRPr="00746F54" w:rsidRDefault="00903C3A" w:rsidP="00903C3A">
      <w:pPr>
        <w:spacing w:after="0"/>
        <w:rPr>
          <w:rFonts w:ascii="Arial" w:eastAsia="Calibri" w:hAnsi="Arial" w:cs="Arial"/>
        </w:rPr>
      </w:pPr>
    </w:p>
    <w:p w14:paraId="0AEA3A7B" w14:textId="77777777" w:rsidR="00903C3A" w:rsidRPr="00746F54" w:rsidRDefault="00903C3A" w:rsidP="00903C3A">
      <w:pPr>
        <w:keepNext/>
        <w:keepLines/>
        <w:spacing w:after="0"/>
        <w:jc w:val="center"/>
        <w:rPr>
          <w:rFonts w:ascii="Arial" w:eastAsia="Calibri" w:hAnsi="Arial" w:cs="Arial"/>
          <w:b/>
        </w:rPr>
      </w:pPr>
      <w:r w:rsidRPr="00746F54">
        <w:rPr>
          <w:rFonts w:ascii="Arial" w:eastAsia="Calibri" w:hAnsi="Arial" w:cs="Arial"/>
          <w:b/>
        </w:rPr>
        <w:lastRenderedPageBreak/>
        <w:t>Table 7: BAA-specific Allocation of EDAM Access Charge</w:t>
      </w:r>
    </w:p>
    <w:p w14:paraId="56D249BD" w14:textId="77777777" w:rsidR="00903C3A" w:rsidRPr="00746F54" w:rsidRDefault="00903C3A" w:rsidP="00903C3A">
      <w:pPr>
        <w:keepNext/>
        <w:keepLines/>
        <w:spacing w:after="0"/>
        <w:rPr>
          <w:rFonts w:ascii="Arial" w:eastAsia="Calibri" w:hAnsi="Arial" w:cs="Arial"/>
        </w:rPr>
      </w:pPr>
    </w:p>
    <w:tbl>
      <w:tblPr>
        <w:tblStyle w:val="TableGrid1"/>
        <w:tblW w:w="0" w:type="auto"/>
        <w:tblLayout w:type="fixed"/>
        <w:tblLook w:val="04A0" w:firstRow="1" w:lastRow="0" w:firstColumn="1" w:lastColumn="0" w:noHBand="0" w:noVBand="1"/>
      </w:tblPr>
      <w:tblGrid>
        <w:gridCol w:w="1615"/>
        <w:gridCol w:w="1440"/>
        <w:gridCol w:w="1676"/>
        <w:gridCol w:w="1654"/>
        <w:gridCol w:w="1620"/>
        <w:gridCol w:w="1345"/>
      </w:tblGrid>
      <w:tr w:rsidR="00903C3A" w:rsidRPr="00746F54" w14:paraId="6E6F6570" w14:textId="77777777" w:rsidTr="00D62922">
        <w:tc>
          <w:tcPr>
            <w:tcW w:w="1615" w:type="dxa"/>
          </w:tcPr>
          <w:p w14:paraId="5C63B552" w14:textId="77777777" w:rsidR="00903C3A" w:rsidRPr="00746F54" w:rsidRDefault="00903C3A" w:rsidP="00D62922">
            <w:pPr>
              <w:keepNext/>
              <w:keepLines/>
              <w:rPr>
                <w:rFonts w:ascii="Arial" w:eastAsia="Calibri" w:hAnsi="Arial" w:cs="Arial"/>
              </w:rPr>
            </w:pPr>
            <w:r w:rsidRPr="00746F54">
              <w:rPr>
                <w:rFonts w:ascii="Arial" w:eastAsia="Calibri" w:hAnsi="Arial" w:cs="Arial"/>
              </w:rPr>
              <w:t>EDAM Entity transmission provider</w:t>
            </w:r>
          </w:p>
        </w:tc>
        <w:tc>
          <w:tcPr>
            <w:tcW w:w="1440" w:type="dxa"/>
          </w:tcPr>
          <w:p w14:paraId="782FE693" w14:textId="77777777" w:rsidR="00903C3A" w:rsidRPr="00746F54" w:rsidRDefault="00903C3A" w:rsidP="00D62922">
            <w:pPr>
              <w:keepNext/>
              <w:keepLines/>
              <w:rPr>
                <w:rFonts w:ascii="Arial" w:eastAsia="Calibri" w:hAnsi="Arial" w:cs="Arial"/>
              </w:rPr>
            </w:pPr>
            <w:r w:rsidRPr="00746F54">
              <w:rPr>
                <w:rFonts w:ascii="Arial" w:eastAsia="Calibri" w:hAnsi="Arial" w:cs="Arial"/>
              </w:rPr>
              <w:t>BAA 1 – gross load</w:t>
            </w:r>
          </w:p>
        </w:tc>
        <w:tc>
          <w:tcPr>
            <w:tcW w:w="1676" w:type="dxa"/>
          </w:tcPr>
          <w:p w14:paraId="60AD82CC" w14:textId="77777777" w:rsidR="00903C3A" w:rsidRPr="00746F54" w:rsidRDefault="00903C3A" w:rsidP="00D62922">
            <w:pPr>
              <w:keepNext/>
              <w:keepLines/>
              <w:rPr>
                <w:rFonts w:ascii="Arial" w:eastAsia="Calibri" w:hAnsi="Arial" w:cs="Arial"/>
              </w:rPr>
            </w:pPr>
            <w:r w:rsidRPr="00746F54">
              <w:rPr>
                <w:rFonts w:ascii="Arial" w:eastAsia="Calibri" w:hAnsi="Arial" w:cs="Arial"/>
              </w:rPr>
              <w:t>BAA 2 – gross load</w:t>
            </w:r>
          </w:p>
        </w:tc>
        <w:tc>
          <w:tcPr>
            <w:tcW w:w="1654" w:type="dxa"/>
          </w:tcPr>
          <w:p w14:paraId="7B7FAD70" w14:textId="77777777" w:rsidR="00903C3A" w:rsidRPr="00746F54" w:rsidRDefault="00903C3A" w:rsidP="00D62922">
            <w:pPr>
              <w:keepNext/>
              <w:keepLines/>
              <w:rPr>
                <w:rFonts w:ascii="Arial" w:eastAsia="Calibri" w:hAnsi="Arial" w:cs="Arial"/>
              </w:rPr>
            </w:pPr>
            <w:r w:rsidRPr="00746F54">
              <w:rPr>
                <w:rFonts w:ascii="Arial" w:eastAsia="Calibri" w:hAnsi="Arial" w:cs="Arial"/>
              </w:rPr>
              <w:t>BAA 3 – gross load</w:t>
            </w:r>
          </w:p>
        </w:tc>
        <w:tc>
          <w:tcPr>
            <w:tcW w:w="1620" w:type="dxa"/>
          </w:tcPr>
          <w:p w14:paraId="6C2DA004" w14:textId="77777777" w:rsidR="00903C3A" w:rsidRPr="00746F54" w:rsidRDefault="00903C3A" w:rsidP="00D62922">
            <w:pPr>
              <w:keepNext/>
              <w:keepLines/>
              <w:rPr>
                <w:rFonts w:ascii="Arial" w:eastAsia="Calibri" w:hAnsi="Arial" w:cs="Arial"/>
              </w:rPr>
            </w:pPr>
            <w:r w:rsidRPr="00746F54">
              <w:rPr>
                <w:rFonts w:ascii="Arial" w:eastAsia="Calibri" w:hAnsi="Arial" w:cs="Arial"/>
              </w:rPr>
              <w:t>BAA 4 – gross load</w:t>
            </w:r>
          </w:p>
        </w:tc>
        <w:tc>
          <w:tcPr>
            <w:tcW w:w="1345" w:type="dxa"/>
          </w:tcPr>
          <w:p w14:paraId="2D609CE2" w14:textId="77777777" w:rsidR="00903C3A" w:rsidRPr="00746F54" w:rsidRDefault="00903C3A" w:rsidP="00D62922">
            <w:pPr>
              <w:keepNext/>
              <w:keepLines/>
              <w:rPr>
                <w:rFonts w:ascii="Arial" w:eastAsia="Calibri" w:hAnsi="Arial" w:cs="Arial"/>
              </w:rPr>
            </w:pPr>
            <w:r w:rsidRPr="00746F54">
              <w:rPr>
                <w:rFonts w:ascii="Arial" w:eastAsia="Calibri" w:hAnsi="Arial" w:cs="Arial"/>
              </w:rPr>
              <w:t>EDAM access rate total gross load</w:t>
            </w:r>
          </w:p>
        </w:tc>
      </w:tr>
      <w:tr w:rsidR="00903C3A" w:rsidRPr="00746F54" w14:paraId="36B73158" w14:textId="77777777" w:rsidTr="00D62922">
        <w:tc>
          <w:tcPr>
            <w:tcW w:w="1615" w:type="dxa"/>
          </w:tcPr>
          <w:p w14:paraId="429363A3" w14:textId="77777777" w:rsidR="00903C3A" w:rsidRPr="00746F54" w:rsidRDefault="00903C3A" w:rsidP="00D62922">
            <w:pPr>
              <w:keepNext/>
              <w:keepLines/>
              <w:rPr>
                <w:rFonts w:ascii="Arial" w:eastAsia="Calibri" w:hAnsi="Arial" w:cs="Arial"/>
              </w:rPr>
            </w:pPr>
            <w:r w:rsidRPr="00746F54">
              <w:rPr>
                <w:rFonts w:ascii="Arial" w:eastAsia="Calibri" w:hAnsi="Arial" w:cs="Arial"/>
              </w:rPr>
              <w:t>BAA 1</w:t>
            </w:r>
          </w:p>
        </w:tc>
        <w:tc>
          <w:tcPr>
            <w:tcW w:w="1440" w:type="dxa"/>
          </w:tcPr>
          <w:p w14:paraId="2B623810" w14:textId="77777777" w:rsidR="00903C3A" w:rsidRPr="00746F54" w:rsidRDefault="00903C3A" w:rsidP="00D62922">
            <w:pPr>
              <w:keepNext/>
              <w:keepLines/>
              <w:jc w:val="center"/>
              <w:rPr>
                <w:rFonts w:ascii="Arial" w:eastAsia="Calibri" w:hAnsi="Arial" w:cs="Arial"/>
              </w:rPr>
            </w:pPr>
            <w:r w:rsidRPr="00746F54">
              <w:rPr>
                <w:rFonts w:ascii="Arial" w:eastAsia="Calibri" w:hAnsi="Arial" w:cs="Arial"/>
              </w:rPr>
              <w:t>-</w:t>
            </w:r>
          </w:p>
        </w:tc>
        <w:tc>
          <w:tcPr>
            <w:tcW w:w="1676" w:type="dxa"/>
          </w:tcPr>
          <w:p w14:paraId="720D7B1A" w14:textId="77777777" w:rsidR="00903C3A" w:rsidRPr="00746F54" w:rsidRDefault="00903C3A" w:rsidP="00D62922">
            <w:pPr>
              <w:keepNext/>
              <w:keepLines/>
              <w:rPr>
                <w:rFonts w:ascii="Arial" w:eastAsia="Calibri" w:hAnsi="Arial" w:cs="Arial"/>
              </w:rPr>
            </w:pPr>
            <w:r w:rsidRPr="00746F54">
              <w:rPr>
                <w:rFonts w:ascii="Arial" w:eastAsia="Calibri" w:hAnsi="Arial" w:cs="Arial"/>
              </w:rPr>
              <w:t>15,850,000</w:t>
            </w:r>
          </w:p>
        </w:tc>
        <w:tc>
          <w:tcPr>
            <w:tcW w:w="1654" w:type="dxa"/>
          </w:tcPr>
          <w:p w14:paraId="0A38849E" w14:textId="77777777" w:rsidR="00903C3A" w:rsidRPr="00746F54" w:rsidRDefault="00903C3A" w:rsidP="00D62922">
            <w:pPr>
              <w:keepNext/>
              <w:keepLines/>
              <w:rPr>
                <w:rFonts w:ascii="Arial" w:eastAsia="Calibri" w:hAnsi="Arial" w:cs="Arial"/>
              </w:rPr>
            </w:pPr>
            <w:r w:rsidRPr="00746F54">
              <w:rPr>
                <w:rFonts w:ascii="Arial" w:eastAsia="Calibri" w:hAnsi="Arial" w:cs="Arial"/>
              </w:rPr>
              <w:t>70,750,000</w:t>
            </w:r>
          </w:p>
        </w:tc>
        <w:tc>
          <w:tcPr>
            <w:tcW w:w="1620" w:type="dxa"/>
          </w:tcPr>
          <w:p w14:paraId="354451BA" w14:textId="77777777" w:rsidR="00903C3A" w:rsidRPr="00746F54" w:rsidRDefault="00903C3A" w:rsidP="00D62922">
            <w:pPr>
              <w:keepNext/>
              <w:keepLines/>
              <w:rPr>
                <w:rFonts w:ascii="Arial" w:eastAsia="Calibri" w:hAnsi="Arial" w:cs="Arial"/>
              </w:rPr>
            </w:pPr>
            <w:r w:rsidRPr="00746F54">
              <w:rPr>
                <w:rFonts w:ascii="Arial" w:eastAsia="Calibri" w:hAnsi="Arial" w:cs="Arial"/>
              </w:rPr>
              <w:t>109,000,000</w:t>
            </w:r>
          </w:p>
        </w:tc>
        <w:tc>
          <w:tcPr>
            <w:tcW w:w="1345" w:type="dxa"/>
          </w:tcPr>
          <w:p w14:paraId="19002C7B" w14:textId="77777777" w:rsidR="00903C3A" w:rsidRPr="00746F54" w:rsidRDefault="00903C3A" w:rsidP="00D62922">
            <w:pPr>
              <w:keepNext/>
              <w:keepLines/>
              <w:rPr>
                <w:rFonts w:ascii="Arial" w:eastAsia="Calibri" w:hAnsi="Arial" w:cs="Arial"/>
              </w:rPr>
            </w:pPr>
            <w:r w:rsidRPr="00746F54">
              <w:rPr>
                <w:rFonts w:ascii="Arial" w:eastAsia="Calibri" w:hAnsi="Arial" w:cs="Arial"/>
              </w:rPr>
              <w:t>195,600,000</w:t>
            </w:r>
          </w:p>
        </w:tc>
      </w:tr>
      <w:tr w:rsidR="00903C3A" w:rsidRPr="00746F54" w14:paraId="0E713A16" w14:textId="77777777" w:rsidTr="00D62922">
        <w:tc>
          <w:tcPr>
            <w:tcW w:w="1615" w:type="dxa"/>
          </w:tcPr>
          <w:p w14:paraId="2CECBB76" w14:textId="77777777" w:rsidR="00903C3A" w:rsidRPr="00746F54" w:rsidRDefault="00903C3A" w:rsidP="00D62922">
            <w:pPr>
              <w:keepNext/>
              <w:keepLines/>
              <w:rPr>
                <w:rFonts w:ascii="Arial" w:eastAsia="Calibri" w:hAnsi="Arial" w:cs="Arial"/>
              </w:rPr>
            </w:pPr>
            <w:r w:rsidRPr="00746F54">
              <w:rPr>
                <w:rFonts w:ascii="Arial" w:eastAsia="Calibri" w:hAnsi="Arial" w:cs="Arial"/>
              </w:rPr>
              <w:t>BAA 2</w:t>
            </w:r>
          </w:p>
        </w:tc>
        <w:tc>
          <w:tcPr>
            <w:tcW w:w="1440" w:type="dxa"/>
          </w:tcPr>
          <w:p w14:paraId="10E06414" w14:textId="77777777" w:rsidR="00903C3A" w:rsidRPr="00746F54" w:rsidRDefault="00903C3A" w:rsidP="00D62922">
            <w:pPr>
              <w:keepNext/>
              <w:keepLines/>
              <w:rPr>
                <w:rFonts w:ascii="Arial" w:eastAsia="Calibri" w:hAnsi="Arial" w:cs="Arial"/>
              </w:rPr>
            </w:pPr>
            <w:r w:rsidRPr="00746F54">
              <w:rPr>
                <w:rFonts w:ascii="Arial" w:eastAsia="Calibri" w:hAnsi="Arial" w:cs="Arial"/>
              </w:rPr>
              <w:t>35,800,000</w:t>
            </w:r>
          </w:p>
        </w:tc>
        <w:tc>
          <w:tcPr>
            <w:tcW w:w="1676" w:type="dxa"/>
          </w:tcPr>
          <w:p w14:paraId="0B6C0E50" w14:textId="77777777" w:rsidR="00903C3A" w:rsidRPr="00746F54" w:rsidRDefault="00903C3A" w:rsidP="00D62922">
            <w:pPr>
              <w:keepNext/>
              <w:keepLines/>
              <w:jc w:val="center"/>
              <w:rPr>
                <w:rFonts w:ascii="Arial" w:eastAsia="Calibri" w:hAnsi="Arial" w:cs="Arial"/>
              </w:rPr>
            </w:pPr>
            <w:r w:rsidRPr="00746F54">
              <w:rPr>
                <w:rFonts w:ascii="Arial" w:eastAsia="Calibri" w:hAnsi="Arial" w:cs="Arial"/>
              </w:rPr>
              <w:t>-</w:t>
            </w:r>
          </w:p>
        </w:tc>
        <w:tc>
          <w:tcPr>
            <w:tcW w:w="1654" w:type="dxa"/>
          </w:tcPr>
          <w:p w14:paraId="4B6DCBA2" w14:textId="77777777" w:rsidR="00903C3A" w:rsidRPr="00746F54" w:rsidRDefault="00903C3A" w:rsidP="00D62922">
            <w:pPr>
              <w:keepNext/>
              <w:keepLines/>
              <w:rPr>
                <w:rFonts w:ascii="Arial" w:eastAsia="Calibri" w:hAnsi="Arial" w:cs="Arial"/>
              </w:rPr>
            </w:pPr>
            <w:r w:rsidRPr="00746F54">
              <w:rPr>
                <w:rFonts w:ascii="Arial" w:eastAsia="Calibri" w:hAnsi="Arial" w:cs="Arial"/>
              </w:rPr>
              <w:t>70,750,000</w:t>
            </w:r>
          </w:p>
        </w:tc>
        <w:tc>
          <w:tcPr>
            <w:tcW w:w="1620" w:type="dxa"/>
          </w:tcPr>
          <w:p w14:paraId="4E29E503" w14:textId="77777777" w:rsidR="00903C3A" w:rsidRPr="00746F54" w:rsidRDefault="00903C3A" w:rsidP="00D62922">
            <w:pPr>
              <w:keepNext/>
              <w:keepLines/>
              <w:rPr>
                <w:rFonts w:ascii="Arial" w:eastAsia="Calibri" w:hAnsi="Arial" w:cs="Arial"/>
              </w:rPr>
            </w:pPr>
            <w:r w:rsidRPr="00746F54">
              <w:rPr>
                <w:rFonts w:ascii="Arial" w:eastAsia="Calibri" w:hAnsi="Arial" w:cs="Arial"/>
              </w:rPr>
              <w:t>109,000,000</w:t>
            </w:r>
          </w:p>
        </w:tc>
        <w:tc>
          <w:tcPr>
            <w:tcW w:w="1345" w:type="dxa"/>
          </w:tcPr>
          <w:p w14:paraId="384371CB" w14:textId="77777777" w:rsidR="00903C3A" w:rsidRPr="00746F54" w:rsidRDefault="00903C3A" w:rsidP="00D62922">
            <w:pPr>
              <w:keepNext/>
              <w:keepLines/>
              <w:rPr>
                <w:rFonts w:ascii="Arial" w:eastAsia="Calibri" w:hAnsi="Arial" w:cs="Arial"/>
              </w:rPr>
            </w:pPr>
            <w:r w:rsidRPr="00746F54">
              <w:rPr>
                <w:rFonts w:ascii="Arial" w:eastAsia="Calibri" w:hAnsi="Arial" w:cs="Arial"/>
              </w:rPr>
              <w:t>215,550,000</w:t>
            </w:r>
          </w:p>
        </w:tc>
      </w:tr>
      <w:tr w:rsidR="00903C3A" w:rsidRPr="00746F54" w14:paraId="71B25BDA" w14:textId="77777777" w:rsidTr="00D62922">
        <w:tc>
          <w:tcPr>
            <w:tcW w:w="1615" w:type="dxa"/>
          </w:tcPr>
          <w:p w14:paraId="28CE2075" w14:textId="77777777" w:rsidR="00903C3A" w:rsidRPr="00746F54" w:rsidRDefault="00903C3A" w:rsidP="00D62922">
            <w:pPr>
              <w:keepNext/>
              <w:keepLines/>
              <w:rPr>
                <w:rFonts w:ascii="Arial" w:eastAsia="Calibri" w:hAnsi="Arial" w:cs="Arial"/>
              </w:rPr>
            </w:pPr>
            <w:r w:rsidRPr="00746F54">
              <w:rPr>
                <w:rFonts w:ascii="Arial" w:eastAsia="Calibri" w:hAnsi="Arial" w:cs="Arial"/>
              </w:rPr>
              <w:t>BAA 3</w:t>
            </w:r>
          </w:p>
        </w:tc>
        <w:tc>
          <w:tcPr>
            <w:tcW w:w="1440" w:type="dxa"/>
          </w:tcPr>
          <w:p w14:paraId="06BFE067" w14:textId="77777777" w:rsidR="00903C3A" w:rsidRPr="00746F54" w:rsidRDefault="00903C3A" w:rsidP="00D62922">
            <w:pPr>
              <w:keepNext/>
              <w:keepLines/>
              <w:rPr>
                <w:rFonts w:ascii="Arial" w:eastAsia="Calibri" w:hAnsi="Arial" w:cs="Arial"/>
              </w:rPr>
            </w:pPr>
            <w:r w:rsidRPr="00746F54">
              <w:rPr>
                <w:rFonts w:ascii="Arial" w:eastAsia="Calibri" w:hAnsi="Arial" w:cs="Arial"/>
              </w:rPr>
              <w:t>35,800,000</w:t>
            </w:r>
          </w:p>
        </w:tc>
        <w:tc>
          <w:tcPr>
            <w:tcW w:w="1676" w:type="dxa"/>
          </w:tcPr>
          <w:p w14:paraId="0A10963B" w14:textId="77777777" w:rsidR="00903C3A" w:rsidRPr="00746F54" w:rsidRDefault="00903C3A" w:rsidP="00D62922">
            <w:pPr>
              <w:keepNext/>
              <w:keepLines/>
              <w:rPr>
                <w:rFonts w:ascii="Arial" w:eastAsia="Calibri" w:hAnsi="Arial" w:cs="Arial"/>
              </w:rPr>
            </w:pPr>
            <w:r w:rsidRPr="00746F54">
              <w:rPr>
                <w:rFonts w:ascii="Arial" w:eastAsia="Calibri" w:hAnsi="Arial" w:cs="Arial"/>
              </w:rPr>
              <w:t>15,850,000</w:t>
            </w:r>
          </w:p>
        </w:tc>
        <w:tc>
          <w:tcPr>
            <w:tcW w:w="1654" w:type="dxa"/>
          </w:tcPr>
          <w:p w14:paraId="395FFB7F" w14:textId="77777777" w:rsidR="00903C3A" w:rsidRPr="00746F54" w:rsidRDefault="00903C3A" w:rsidP="00D62922">
            <w:pPr>
              <w:keepNext/>
              <w:keepLines/>
              <w:jc w:val="center"/>
              <w:rPr>
                <w:rFonts w:ascii="Arial" w:eastAsia="Calibri" w:hAnsi="Arial" w:cs="Arial"/>
              </w:rPr>
            </w:pPr>
            <w:r w:rsidRPr="00746F54">
              <w:rPr>
                <w:rFonts w:ascii="Arial" w:eastAsia="Calibri" w:hAnsi="Arial" w:cs="Arial"/>
              </w:rPr>
              <w:t>-</w:t>
            </w:r>
          </w:p>
        </w:tc>
        <w:tc>
          <w:tcPr>
            <w:tcW w:w="1620" w:type="dxa"/>
          </w:tcPr>
          <w:p w14:paraId="32401B78" w14:textId="77777777" w:rsidR="00903C3A" w:rsidRPr="00746F54" w:rsidRDefault="00903C3A" w:rsidP="00D62922">
            <w:pPr>
              <w:keepNext/>
              <w:keepLines/>
              <w:rPr>
                <w:rFonts w:ascii="Arial" w:eastAsia="Calibri" w:hAnsi="Arial" w:cs="Arial"/>
              </w:rPr>
            </w:pPr>
            <w:r w:rsidRPr="00746F54">
              <w:rPr>
                <w:rFonts w:ascii="Arial" w:eastAsia="Calibri" w:hAnsi="Arial" w:cs="Arial"/>
              </w:rPr>
              <w:t>109,000,000</w:t>
            </w:r>
          </w:p>
        </w:tc>
        <w:tc>
          <w:tcPr>
            <w:tcW w:w="1345" w:type="dxa"/>
          </w:tcPr>
          <w:p w14:paraId="606A8663" w14:textId="77777777" w:rsidR="00903C3A" w:rsidRPr="00746F54" w:rsidRDefault="00903C3A" w:rsidP="00D62922">
            <w:pPr>
              <w:keepNext/>
              <w:keepLines/>
              <w:rPr>
                <w:rFonts w:ascii="Arial" w:eastAsia="Calibri" w:hAnsi="Arial" w:cs="Arial"/>
              </w:rPr>
            </w:pPr>
            <w:r w:rsidRPr="00746F54">
              <w:rPr>
                <w:rFonts w:ascii="Arial" w:eastAsia="Calibri" w:hAnsi="Arial" w:cs="Arial"/>
              </w:rPr>
              <w:t>160,650,000</w:t>
            </w:r>
          </w:p>
        </w:tc>
      </w:tr>
      <w:tr w:rsidR="00903C3A" w:rsidRPr="00746F54" w14:paraId="7DECE14D" w14:textId="77777777" w:rsidTr="00D62922">
        <w:tc>
          <w:tcPr>
            <w:tcW w:w="1615" w:type="dxa"/>
          </w:tcPr>
          <w:p w14:paraId="627ABCDE" w14:textId="77777777" w:rsidR="00903C3A" w:rsidRPr="00746F54" w:rsidRDefault="00903C3A" w:rsidP="00D62922">
            <w:pPr>
              <w:keepNext/>
              <w:keepLines/>
              <w:rPr>
                <w:rFonts w:ascii="Arial" w:eastAsia="Calibri" w:hAnsi="Arial" w:cs="Arial"/>
              </w:rPr>
            </w:pPr>
            <w:r w:rsidRPr="00746F54">
              <w:rPr>
                <w:rFonts w:ascii="Arial" w:eastAsia="Calibri" w:hAnsi="Arial" w:cs="Arial"/>
              </w:rPr>
              <w:t>BAA 4</w:t>
            </w:r>
          </w:p>
        </w:tc>
        <w:tc>
          <w:tcPr>
            <w:tcW w:w="1440" w:type="dxa"/>
          </w:tcPr>
          <w:p w14:paraId="19AC8876" w14:textId="77777777" w:rsidR="00903C3A" w:rsidRPr="00746F54" w:rsidRDefault="00903C3A" w:rsidP="00D62922">
            <w:pPr>
              <w:keepNext/>
              <w:keepLines/>
              <w:rPr>
                <w:rFonts w:ascii="Arial" w:eastAsia="Calibri" w:hAnsi="Arial" w:cs="Arial"/>
              </w:rPr>
            </w:pPr>
            <w:r w:rsidRPr="00746F54">
              <w:rPr>
                <w:rFonts w:ascii="Arial" w:eastAsia="Calibri" w:hAnsi="Arial" w:cs="Arial"/>
              </w:rPr>
              <w:t>35,800,000</w:t>
            </w:r>
          </w:p>
        </w:tc>
        <w:tc>
          <w:tcPr>
            <w:tcW w:w="1676" w:type="dxa"/>
          </w:tcPr>
          <w:p w14:paraId="0AFBDB5B" w14:textId="77777777" w:rsidR="00903C3A" w:rsidRPr="00746F54" w:rsidRDefault="00903C3A" w:rsidP="00D62922">
            <w:pPr>
              <w:keepNext/>
              <w:keepLines/>
              <w:rPr>
                <w:rFonts w:ascii="Arial" w:eastAsia="Calibri" w:hAnsi="Arial" w:cs="Arial"/>
              </w:rPr>
            </w:pPr>
            <w:r w:rsidRPr="00746F54">
              <w:rPr>
                <w:rFonts w:ascii="Arial" w:eastAsia="Calibri" w:hAnsi="Arial" w:cs="Arial"/>
              </w:rPr>
              <w:t>15,850,000</w:t>
            </w:r>
          </w:p>
        </w:tc>
        <w:tc>
          <w:tcPr>
            <w:tcW w:w="1654" w:type="dxa"/>
          </w:tcPr>
          <w:p w14:paraId="7B1AE648" w14:textId="77777777" w:rsidR="00903C3A" w:rsidRPr="00746F54" w:rsidRDefault="00903C3A" w:rsidP="00D62922">
            <w:pPr>
              <w:keepNext/>
              <w:keepLines/>
              <w:rPr>
                <w:rFonts w:ascii="Arial" w:eastAsia="Calibri" w:hAnsi="Arial" w:cs="Arial"/>
              </w:rPr>
            </w:pPr>
            <w:r w:rsidRPr="00746F54">
              <w:rPr>
                <w:rFonts w:ascii="Arial" w:eastAsia="Calibri" w:hAnsi="Arial" w:cs="Arial"/>
              </w:rPr>
              <w:t>70,750,000</w:t>
            </w:r>
          </w:p>
        </w:tc>
        <w:tc>
          <w:tcPr>
            <w:tcW w:w="1620" w:type="dxa"/>
          </w:tcPr>
          <w:p w14:paraId="52014926" w14:textId="77777777" w:rsidR="00903C3A" w:rsidRPr="00746F54" w:rsidRDefault="00903C3A" w:rsidP="00D62922">
            <w:pPr>
              <w:keepNext/>
              <w:keepLines/>
              <w:jc w:val="center"/>
              <w:rPr>
                <w:rFonts w:ascii="Arial" w:eastAsia="Calibri" w:hAnsi="Arial" w:cs="Arial"/>
              </w:rPr>
            </w:pPr>
            <w:r w:rsidRPr="00746F54">
              <w:rPr>
                <w:rFonts w:ascii="Arial" w:eastAsia="Calibri" w:hAnsi="Arial" w:cs="Arial"/>
              </w:rPr>
              <w:t>-</w:t>
            </w:r>
          </w:p>
        </w:tc>
        <w:tc>
          <w:tcPr>
            <w:tcW w:w="1345" w:type="dxa"/>
          </w:tcPr>
          <w:p w14:paraId="16600D5A" w14:textId="77777777" w:rsidR="00903C3A" w:rsidRPr="00746F54" w:rsidRDefault="00903C3A" w:rsidP="00D62922">
            <w:pPr>
              <w:keepNext/>
              <w:keepLines/>
              <w:jc w:val="center"/>
              <w:rPr>
                <w:rFonts w:ascii="Arial" w:eastAsia="Calibri" w:hAnsi="Arial" w:cs="Arial"/>
              </w:rPr>
            </w:pPr>
            <w:r w:rsidRPr="00746F54">
              <w:rPr>
                <w:rFonts w:ascii="Arial" w:eastAsia="Calibri" w:hAnsi="Arial" w:cs="Arial"/>
              </w:rPr>
              <w:t>122,400,000</w:t>
            </w:r>
          </w:p>
        </w:tc>
      </w:tr>
    </w:tbl>
    <w:p w14:paraId="038C3C3D" w14:textId="77777777" w:rsidR="00903C3A" w:rsidRPr="00746F54" w:rsidRDefault="00903C3A" w:rsidP="00903C3A">
      <w:pPr>
        <w:rPr>
          <w:rFonts w:ascii="Arial" w:eastAsia="Calibri" w:hAnsi="Arial" w:cs="Arial"/>
          <w:sz w:val="18"/>
          <w:szCs w:val="18"/>
        </w:rPr>
      </w:pPr>
    </w:p>
    <w:tbl>
      <w:tblPr>
        <w:tblStyle w:val="TableGrid1"/>
        <w:tblW w:w="0" w:type="auto"/>
        <w:tblLook w:val="04A0" w:firstRow="1" w:lastRow="0" w:firstColumn="1" w:lastColumn="0" w:noHBand="0" w:noVBand="1"/>
      </w:tblPr>
      <w:tblGrid>
        <w:gridCol w:w="1536"/>
        <w:gridCol w:w="1495"/>
        <w:gridCol w:w="1691"/>
        <w:gridCol w:w="1594"/>
        <w:gridCol w:w="1594"/>
        <w:gridCol w:w="1440"/>
      </w:tblGrid>
      <w:tr w:rsidR="00903C3A" w:rsidRPr="00746F54" w14:paraId="660D087A" w14:textId="77777777" w:rsidTr="00D62922">
        <w:tc>
          <w:tcPr>
            <w:tcW w:w="1546" w:type="dxa"/>
          </w:tcPr>
          <w:p w14:paraId="35EFADFA" w14:textId="77777777" w:rsidR="00903C3A" w:rsidRPr="00746F54" w:rsidRDefault="00903C3A" w:rsidP="00D62922">
            <w:pPr>
              <w:keepNext/>
              <w:keepLines/>
              <w:jc w:val="center"/>
              <w:rPr>
                <w:rFonts w:ascii="Arial" w:eastAsia="Calibri" w:hAnsi="Arial" w:cs="Arial"/>
              </w:rPr>
            </w:pPr>
            <w:r w:rsidRPr="00746F54">
              <w:rPr>
                <w:rFonts w:ascii="Arial" w:eastAsia="Calibri" w:hAnsi="Arial" w:cs="Arial"/>
              </w:rPr>
              <w:t>EDAM Entity transmission provider</w:t>
            </w:r>
          </w:p>
        </w:tc>
        <w:tc>
          <w:tcPr>
            <w:tcW w:w="1509" w:type="dxa"/>
          </w:tcPr>
          <w:p w14:paraId="46F2240A" w14:textId="77777777" w:rsidR="00903C3A" w:rsidRPr="00746F54" w:rsidRDefault="00903C3A" w:rsidP="00D62922">
            <w:pPr>
              <w:keepNext/>
              <w:keepLines/>
              <w:jc w:val="center"/>
              <w:rPr>
                <w:rFonts w:ascii="Arial" w:eastAsia="Calibri" w:hAnsi="Arial" w:cs="Arial"/>
              </w:rPr>
            </w:pPr>
            <w:r w:rsidRPr="00746F54">
              <w:rPr>
                <w:rFonts w:ascii="Arial" w:eastAsia="Calibri" w:hAnsi="Arial" w:cs="Arial"/>
              </w:rPr>
              <w:t>BAA 1 – EDAM recoverable revenue  allocation</w:t>
            </w:r>
          </w:p>
        </w:tc>
        <w:tc>
          <w:tcPr>
            <w:tcW w:w="1727" w:type="dxa"/>
          </w:tcPr>
          <w:p w14:paraId="525D73C4" w14:textId="77777777" w:rsidR="00903C3A" w:rsidRPr="00746F54" w:rsidRDefault="00903C3A" w:rsidP="00D62922">
            <w:pPr>
              <w:keepNext/>
              <w:keepLines/>
              <w:jc w:val="center"/>
              <w:rPr>
                <w:rFonts w:ascii="Arial" w:eastAsia="Calibri" w:hAnsi="Arial" w:cs="Arial"/>
              </w:rPr>
            </w:pPr>
            <w:r w:rsidRPr="00746F54">
              <w:rPr>
                <w:rFonts w:ascii="Arial" w:eastAsia="Calibri" w:hAnsi="Arial" w:cs="Arial"/>
              </w:rPr>
              <w:t>BAA 2 – EDAM recoverable revenue  allocation</w:t>
            </w:r>
          </w:p>
        </w:tc>
        <w:tc>
          <w:tcPr>
            <w:tcW w:w="1619" w:type="dxa"/>
          </w:tcPr>
          <w:p w14:paraId="662F01C3" w14:textId="77777777" w:rsidR="00903C3A" w:rsidRPr="00746F54" w:rsidRDefault="00903C3A" w:rsidP="00D62922">
            <w:pPr>
              <w:keepNext/>
              <w:keepLines/>
              <w:jc w:val="center"/>
              <w:rPr>
                <w:rFonts w:ascii="Arial" w:eastAsia="Calibri" w:hAnsi="Arial" w:cs="Arial"/>
              </w:rPr>
            </w:pPr>
            <w:r w:rsidRPr="00746F54">
              <w:rPr>
                <w:rFonts w:ascii="Arial" w:eastAsia="Calibri" w:hAnsi="Arial" w:cs="Arial"/>
              </w:rPr>
              <w:t>BAA 3 – EDAM recoverable revenue  allocation</w:t>
            </w:r>
          </w:p>
        </w:tc>
        <w:tc>
          <w:tcPr>
            <w:tcW w:w="1619" w:type="dxa"/>
          </w:tcPr>
          <w:p w14:paraId="346394B2" w14:textId="77777777" w:rsidR="00903C3A" w:rsidRPr="00746F54" w:rsidRDefault="00903C3A" w:rsidP="00D62922">
            <w:pPr>
              <w:keepNext/>
              <w:keepLines/>
              <w:jc w:val="center"/>
              <w:rPr>
                <w:rFonts w:ascii="Arial" w:eastAsia="Calibri" w:hAnsi="Arial" w:cs="Arial"/>
              </w:rPr>
            </w:pPr>
            <w:r w:rsidRPr="00746F54">
              <w:rPr>
                <w:rFonts w:ascii="Arial" w:eastAsia="Calibri" w:hAnsi="Arial" w:cs="Arial"/>
              </w:rPr>
              <w:t>BAA 4 EDAM recoverable revenue  allocation</w:t>
            </w:r>
          </w:p>
        </w:tc>
        <w:tc>
          <w:tcPr>
            <w:tcW w:w="1330" w:type="dxa"/>
          </w:tcPr>
          <w:p w14:paraId="6B4C37FE" w14:textId="77777777" w:rsidR="00903C3A" w:rsidRPr="00746F54" w:rsidRDefault="00903C3A" w:rsidP="00D62922">
            <w:pPr>
              <w:keepNext/>
              <w:keepLines/>
              <w:jc w:val="center"/>
              <w:rPr>
                <w:rFonts w:ascii="Arial" w:eastAsia="Calibri" w:hAnsi="Arial" w:cs="Arial"/>
              </w:rPr>
            </w:pPr>
            <w:r w:rsidRPr="00746F54">
              <w:rPr>
                <w:rFonts w:ascii="Arial" w:eastAsia="Calibri" w:hAnsi="Arial" w:cs="Arial"/>
              </w:rPr>
              <w:t xml:space="preserve">EDAM recoverable revenue </w:t>
            </w:r>
          </w:p>
        </w:tc>
      </w:tr>
      <w:tr w:rsidR="00903C3A" w:rsidRPr="00746F54" w14:paraId="472E7FA5" w14:textId="77777777" w:rsidTr="00D62922">
        <w:tc>
          <w:tcPr>
            <w:tcW w:w="1546" w:type="dxa"/>
          </w:tcPr>
          <w:p w14:paraId="1D0B1E3E" w14:textId="77777777" w:rsidR="00903C3A" w:rsidRPr="00746F54" w:rsidRDefault="00903C3A" w:rsidP="00D62922">
            <w:pPr>
              <w:keepNext/>
              <w:keepLines/>
              <w:jc w:val="center"/>
              <w:rPr>
                <w:rFonts w:ascii="Arial" w:eastAsia="Calibri" w:hAnsi="Arial" w:cs="Arial"/>
              </w:rPr>
            </w:pPr>
            <w:r w:rsidRPr="00746F54">
              <w:rPr>
                <w:rFonts w:ascii="Arial" w:eastAsia="Calibri" w:hAnsi="Arial" w:cs="Arial"/>
              </w:rPr>
              <w:t>BAA 1</w:t>
            </w:r>
          </w:p>
        </w:tc>
        <w:tc>
          <w:tcPr>
            <w:tcW w:w="1509" w:type="dxa"/>
          </w:tcPr>
          <w:p w14:paraId="4E93F5E8" w14:textId="77777777" w:rsidR="00903C3A" w:rsidRPr="00746F54" w:rsidRDefault="00903C3A" w:rsidP="00D62922">
            <w:pPr>
              <w:keepNext/>
              <w:keepLines/>
              <w:jc w:val="center"/>
              <w:rPr>
                <w:rFonts w:ascii="Arial" w:eastAsia="Calibri" w:hAnsi="Arial" w:cs="Arial"/>
              </w:rPr>
            </w:pPr>
            <w:r w:rsidRPr="00746F54">
              <w:rPr>
                <w:rFonts w:ascii="Arial" w:eastAsia="Calibri" w:hAnsi="Arial" w:cs="Arial"/>
              </w:rPr>
              <w:t>-</w:t>
            </w:r>
          </w:p>
        </w:tc>
        <w:tc>
          <w:tcPr>
            <w:tcW w:w="1727" w:type="dxa"/>
          </w:tcPr>
          <w:p w14:paraId="1D4DA6C4" w14:textId="77777777" w:rsidR="00903C3A" w:rsidRPr="00746F54" w:rsidRDefault="00903C3A" w:rsidP="00D62922">
            <w:pPr>
              <w:keepNext/>
              <w:keepLines/>
              <w:jc w:val="center"/>
              <w:rPr>
                <w:rFonts w:ascii="Arial" w:eastAsia="Calibri" w:hAnsi="Arial" w:cs="Arial"/>
              </w:rPr>
            </w:pPr>
            <w:r w:rsidRPr="00746F54">
              <w:rPr>
                <w:rFonts w:ascii="Arial" w:eastAsia="Calibri" w:hAnsi="Arial" w:cs="Arial"/>
              </w:rPr>
              <w:t>$577,054</w:t>
            </w:r>
          </w:p>
        </w:tc>
        <w:tc>
          <w:tcPr>
            <w:tcW w:w="1619" w:type="dxa"/>
          </w:tcPr>
          <w:p w14:paraId="47036CBE" w14:textId="77777777" w:rsidR="00903C3A" w:rsidRPr="00746F54" w:rsidRDefault="00903C3A" w:rsidP="00D62922">
            <w:pPr>
              <w:keepNext/>
              <w:keepLines/>
              <w:jc w:val="center"/>
              <w:rPr>
                <w:rFonts w:ascii="Arial" w:eastAsia="Calibri" w:hAnsi="Arial" w:cs="Arial"/>
              </w:rPr>
            </w:pPr>
            <w:r w:rsidRPr="00746F54">
              <w:rPr>
                <w:rFonts w:ascii="Arial" w:eastAsia="Calibri" w:hAnsi="Arial" w:cs="Arial"/>
              </w:rPr>
              <w:t>$2,575,810</w:t>
            </w:r>
          </w:p>
        </w:tc>
        <w:tc>
          <w:tcPr>
            <w:tcW w:w="1619" w:type="dxa"/>
          </w:tcPr>
          <w:p w14:paraId="696F900F" w14:textId="77777777" w:rsidR="00903C3A" w:rsidRPr="00746F54" w:rsidRDefault="00903C3A" w:rsidP="00D62922">
            <w:pPr>
              <w:keepNext/>
              <w:keepLines/>
              <w:jc w:val="center"/>
              <w:rPr>
                <w:rFonts w:ascii="Arial" w:eastAsia="Calibri" w:hAnsi="Arial" w:cs="Arial"/>
              </w:rPr>
            </w:pPr>
            <w:r w:rsidRPr="00746F54">
              <w:rPr>
                <w:rFonts w:ascii="Arial" w:eastAsia="Calibri" w:hAnsi="Arial" w:cs="Arial"/>
              </w:rPr>
              <w:t>$3,968,386</w:t>
            </w:r>
          </w:p>
        </w:tc>
        <w:tc>
          <w:tcPr>
            <w:tcW w:w="1330" w:type="dxa"/>
          </w:tcPr>
          <w:p w14:paraId="77F683E2" w14:textId="77777777" w:rsidR="00903C3A" w:rsidRPr="00746F54" w:rsidRDefault="00903C3A" w:rsidP="00D62922">
            <w:pPr>
              <w:keepNext/>
              <w:keepLines/>
              <w:jc w:val="center"/>
              <w:rPr>
                <w:rFonts w:ascii="Arial" w:eastAsia="Calibri" w:hAnsi="Arial" w:cs="Arial"/>
              </w:rPr>
            </w:pPr>
            <w:r w:rsidRPr="00746F54">
              <w:rPr>
                <w:rFonts w:ascii="Arial" w:eastAsia="Calibri" w:hAnsi="Arial" w:cs="Arial"/>
              </w:rPr>
              <w:t>$7,121,250</w:t>
            </w:r>
          </w:p>
        </w:tc>
      </w:tr>
      <w:tr w:rsidR="00903C3A" w:rsidRPr="00746F54" w14:paraId="5BEBD2DB" w14:textId="77777777" w:rsidTr="00D62922">
        <w:tc>
          <w:tcPr>
            <w:tcW w:w="1546" w:type="dxa"/>
          </w:tcPr>
          <w:p w14:paraId="5DE3B13C" w14:textId="77777777" w:rsidR="00903C3A" w:rsidRPr="00746F54" w:rsidRDefault="00903C3A" w:rsidP="00D62922">
            <w:pPr>
              <w:keepNext/>
              <w:keepLines/>
              <w:jc w:val="center"/>
              <w:rPr>
                <w:rFonts w:ascii="Arial" w:eastAsia="Calibri" w:hAnsi="Arial" w:cs="Arial"/>
              </w:rPr>
            </w:pPr>
            <w:r w:rsidRPr="00746F54">
              <w:rPr>
                <w:rFonts w:ascii="Arial" w:eastAsia="Calibri" w:hAnsi="Arial" w:cs="Arial"/>
              </w:rPr>
              <w:t>BAA 2</w:t>
            </w:r>
          </w:p>
        </w:tc>
        <w:tc>
          <w:tcPr>
            <w:tcW w:w="1509" w:type="dxa"/>
          </w:tcPr>
          <w:p w14:paraId="031331E7" w14:textId="77777777" w:rsidR="00903C3A" w:rsidRPr="00746F54" w:rsidRDefault="00903C3A" w:rsidP="00D62922">
            <w:pPr>
              <w:keepNext/>
              <w:keepLines/>
              <w:jc w:val="center"/>
              <w:rPr>
                <w:rFonts w:ascii="Arial" w:eastAsia="Calibri" w:hAnsi="Arial" w:cs="Arial"/>
              </w:rPr>
            </w:pPr>
            <w:r w:rsidRPr="00746F54">
              <w:rPr>
                <w:rFonts w:ascii="Arial" w:eastAsia="Calibri" w:hAnsi="Arial" w:cs="Arial"/>
              </w:rPr>
              <w:t>$185,353</w:t>
            </w:r>
          </w:p>
        </w:tc>
        <w:tc>
          <w:tcPr>
            <w:tcW w:w="1727" w:type="dxa"/>
          </w:tcPr>
          <w:p w14:paraId="126E1C00" w14:textId="77777777" w:rsidR="00903C3A" w:rsidRPr="00746F54" w:rsidRDefault="00903C3A" w:rsidP="00D62922">
            <w:pPr>
              <w:keepNext/>
              <w:keepLines/>
              <w:jc w:val="center"/>
              <w:rPr>
                <w:rFonts w:ascii="Arial" w:eastAsia="Calibri" w:hAnsi="Arial" w:cs="Arial"/>
              </w:rPr>
            </w:pPr>
            <w:r w:rsidRPr="00746F54">
              <w:rPr>
                <w:rFonts w:ascii="Arial" w:eastAsia="Calibri" w:hAnsi="Arial" w:cs="Arial"/>
              </w:rPr>
              <w:t>-</w:t>
            </w:r>
          </w:p>
        </w:tc>
        <w:tc>
          <w:tcPr>
            <w:tcW w:w="1619" w:type="dxa"/>
          </w:tcPr>
          <w:p w14:paraId="2534DE82" w14:textId="77777777" w:rsidR="00903C3A" w:rsidRPr="00746F54" w:rsidRDefault="00903C3A" w:rsidP="00D62922">
            <w:pPr>
              <w:keepNext/>
              <w:keepLines/>
              <w:jc w:val="center"/>
              <w:rPr>
                <w:rFonts w:ascii="Arial" w:eastAsia="Calibri" w:hAnsi="Arial" w:cs="Arial"/>
              </w:rPr>
            </w:pPr>
            <w:r w:rsidRPr="00746F54">
              <w:rPr>
                <w:rFonts w:ascii="Arial" w:eastAsia="Calibri" w:hAnsi="Arial" w:cs="Arial"/>
              </w:rPr>
              <w:t>$366,305</w:t>
            </w:r>
          </w:p>
        </w:tc>
        <w:tc>
          <w:tcPr>
            <w:tcW w:w="1619" w:type="dxa"/>
          </w:tcPr>
          <w:p w14:paraId="7848D5AC" w14:textId="77777777" w:rsidR="00903C3A" w:rsidRPr="00746F54" w:rsidRDefault="00903C3A" w:rsidP="00D62922">
            <w:pPr>
              <w:keepNext/>
              <w:keepLines/>
              <w:jc w:val="center"/>
              <w:rPr>
                <w:rFonts w:ascii="Arial" w:eastAsia="Calibri" w:hAnsi="Arial" w:cs="Arial"/>
              </w:rPr>
            </w:pPr>
            <w:r w:rsidRPr="00746F54">
              <w:rPr>
                <w:rFonts w:ascii="Arial" w:eastAsia="Calibri" w:hAnsi="Arial" w:cs="Arial"/>
              </w:rPr>
              <w:t>$564,342</w:t>
            </w:r>
          </w:p>
        </w:tc>
        <w:tc>
          <w:tcPr>
            <w:tcW w:w="1330" w:type="dxa"/>
          </w:tcPr>
          <w:p w14:paraId="1D3A2D62" w14:textId="77777777" w:rsidR="00903C3A" w:rsidRPr="00746F54" w:rsidRDefault="00903C3A" w:rsidP="00D62922">
            <w:pPr>
              <w:keepNext/>
              <w:keepLines/>
              <w:jc w:val="center"/>
              <w:rPr>
                <w:rFonts w:ascii="Arial" w:eastAsia="Calibri" w:hAnsi="Arial" w:cs="Arial"/>
              </w:rPr>
            </w:pPr>
            <w:r w:rsidRPr="00746F54">
              <w:rPr>
                <w:rFonts w:ascii="Arial" w:eastAsia="Calibri" w:hAnsi="Arial" w:cs="Arial"/>
              </w:rPr>
              <w:t>$1,116,000</w:t>
            </w:r>
          </w:p>
        </w:tc>
      </w:tr>
      <w:tr w:rsidR="00903C3A" w:rsidRPr="00746F54" w14:paraId="7C8A0ED7" w14:textId="77777777" w:rsidTr="00D62922">
        <w:tc>
          <w:tcPr>
            <w:tcW w:w="1546" w:type="dxa"/>
          </w:tcPr>
          <w:p w14:paraId="0104F5A0" w14:textId="77777777" w:rsidR="00903C3A" w:rsidRPr="00746F54" w:rsidRDefault="00903C3A" w:rsidP="00D62922">
            <w:pPr>
              <w:keepNext/>
              <w:keepLines/>
              <w:jc w:val="center"/>
              <w:rPr>
                <w:rFonts w:ascii="Arial" w:eastAsia="Calibri" w:hAnsi="Arial" w:cs="Arial"/>
              </w:rPr>
            </w:pPr>
            <w:r w:rsidRPr="00746F54">
              <w:rPr>
                <w:rFonts w:ascii="Arial" w:eastAsia="Calibri" w:hAnsi="Arial" w:cs="Arial"/>
              </w:rPr>
              <w:t>BAA 3</w:t>
            </w:r>
          </w:p>
        </w:tc>
        <w:tc>
          <w:tcPr>
            <w:tcW w:w="1509" w:type="dxa"/>
          </w:tcPr>
          <w:p w14:paraId="364FBB57" w14:textId="77777777" w:rsidR="00903C3A" w:rsidRPr="00746F54" w:rsidRDefault="00903C3A" w:rsidP="00D62922">
            <w:pPr>
              <w:keepNext/>
              <w:keepLines/>
              <w:jc w:val="center"/>
              <w:rPr>
                <w:rFonts w:ascii="Arial" w:eastAsia="Calibri" w:hAnsi="Arial" w:cs="Arial"/>
              </w:rPr>
            </w:pPr>
            <w:r w:rsidRPr="00746F54">
              <w:rPr>
                <w:rFonts w:ascii="Arial" w:eastAsia="Calibri" w:hAnsi="Arial" w:cs="Arial"/>
              </w:rPr>
              <w:t>$264,628</w:t>
            </w:r>
          </w:p>
        </w:tc>
        <w:tc>
          <w:tcPr>
            <w:tcW w:w="1727" w:type="dxa"/>
          </w:tcPr>
          <w:p w14:paraId="2BD2C5A2" w14:textId="77777777" w:rsidR="00903C3A" w:rsidRPr="00746F54" w:rsidRDefault="00903C3A" w:rsidP="00D62922">
            <w:pPr>
              <w:keepNext/>
              <w:keepLines/>
              <w:jc w:val="center"/>
              <w:rPr>
                <w:rFonts w:ascii="Arial" w:eastAsia="Calibri" w:hAnsi="Arial" w:cs="Arial"/>
              </w:rPr>
            </w:pPr>
            <w:r w:rsidRPr="00746F54">
              <w:rPr>
                <w:rFonts w:ascii="Arial" w:eastAsia="Calibri" w:hAnsi="Arial" w:cs="Arial"/>
              </w:rPr>
              <w:t>$117,161</w:t>
            </w:r>
          </w:p>
        </w:tc>
        <w:tc>
          <w:tcPr>
            <w:tcW w:w="1619" w:type="dxa"/>
          </w:tcPr>
          <w:p w14:paraId="4FF4B2AA" w14:textId="77777777" w:rsidR="00903C3A" w:rsidRPr="00746F54" w:rsidRDefault="00903C3A" w:rsidP="00D62922">
            <w:pPr>
              <w:keepNext/>
              <w:keepLines/>
              <w:jc w:val="center"/>
              <w:rPr>
                <w:rFonts w:ascii="Arial" w:eastAsia="Calibri" w:hAnsi="Arial" w:cs="Arial"/>
              </w:rPr>
            </w:pPr>
            <w:r w:rsidRPr="00746F54">
              <w:rPr>
                <w:rFonts w:ascii="Arial" w:eastAsia="Calibri" w:hAnsi="Arial" w:cs="Arial"/>
              </w:rPr>
              <w:t>-</w:t>
            </w:r>
          </w:p>
        </w:tc>
        <w:tc>
          <w:tcPr>
            <w:tcW w:w="1619" w:type="dxa"/>
          </w:tcPr>
          <w:p w14:paraId="7977034A" w14:textId="77777777" w:rsidR="00903C3A" w:rsidRPr="00746F54" w:rsidRDefault="00903C3A" w:rsidP="00D62922">
            <w:pPr>
              <w:keepNext/>
              <w:keepLines/>
              <w:jc w:val="center"/>
              <w:rPr>
                <w:rFonts w:ascii="Arial" w:eastAsia="Calibri" w:hAnsi="Arial" w:cs="Arial"/>
              </w:rPr>
            </w:pPr>
            <w:r w:rsidRPr="00746F54">
              <w:rPr>
                <w:rFonts w:ascii="Arial" w:eastAsia="Calibri" w:hAnsi="Arial" w:cs="Arial"/>
              </w:rPr>
              <w:t>$805,711</w:t>
            </w:r>
          </w:p>
        </w:tc>
        <w:tc>
          <w:tcPr>
            <w:tcW w:w="1330" w:type="dxa"/>
          </w:tcPr>
          <w:p w14:paraId="65C61E6C" w14:textId="77777777" w:rsidR="00903C3A" w:rsidRPr="00746F54" w:rsidRDefault="00903C3A" w:rsidP="00D62922">
            <w:pPr>
              <w:keepNext/>
              <w:keepLines/>
              <w:jc w:val="center"/>
              <w:rPr>
                <w:rFonts w:ascii="Arial" w:eastAsia="Calibri" w:hAnsi="Arial" w:cs="Arial"/>
              </w:rPr>
            </w:pPr>
            <w:r w:rsidRPr="00746F54">
              <w:rPr>
                <w:rFonts w:ascii="Arial" w:eastAsia="Calibri" w:hAnsi="Arial" w:cs="Arial"/>
              </w:rPr>
              <w:t>$1,187,500</w:t>
            </w:r>
          </w:p>
        </w:tc>
      </w:tr>
      <w:tr w:rsidR="00903C3A" w:rsidRPr="00746F54" w14:paraId="0790FE11" w14:textId="77777777" w:rsidTr="00D62922">
        <w:tc>
          <w:tcPr>
            <w:tcW w:w="1546" w:type="dxa"/>
          </w:tcPr>
          <w:p w14:paraId="576846BD" w14:textId="77777777" w:rsidR="00903C3A" w:rsidRPr="00746F54" w:rsidRDefault="00903C3A" w:rsidP="00D62922">
            <w:pPr>
              <w:keepNext/>
              <w:keepLines/>
              <w:jc w:val="center"/>
              <w:rPr>
                <w:rFonts w:ascii="Arial" w:eastAsia="Calibri" w:hAnsi="Arial" w:cs="Arial"/>
              </w:rPr>
            </w:pPr>
            <w:r w:rsidRPr="00746F54">
              <w:rPr>
                <w:rFonts w:ascii="Arial" w:eastAsia="Calibri" w:hAnsi="Arial" w:cs="Arial"/>
              </w:rPr>
              <w:t>BAA 4</w:t>
            </w:r>
          </w:p>
        </w:tc>
        <w:tc>
          <w:tcPr>
            <w:tcW w:w="1509" w:type="dxa"/>
          </w:tcPr>
          <w:p w14:paraId="566EAB95" w14:textId="77777777" w:rsidR="00903C3A" w:rsidRPr="00746F54" w:rsidRDefault="00903C3A" w:rsidP="00D62922">
            <w:pPr>
              <w:keepNext/>
              <w:keepLines/>
              <w:jc w:val="center"/>
              <w:rPr>
                <w:rFonts w:ascii="Arial" w:eastAsia="Calibri" w:hAnsi="Arial" w:cs="Arial"/>
              </w:rPr>
            </w:pPr>
            <w:r w:rsidRPr="00746F54">
              <w:rPr>
                <w:rFonts w:ascii="Arial" w:eastAsia="Calibri" w:hAnsi="Arial" w:cs="Arial"/>
              </w:rPr>
              <w:t>$472,361</w:t>
            </w:r>
          </w:p>
        </w:tc>
        <w:tc>
          <w:tcPr>
            <w:tcW w:w="1727" w:type="dxa"/>
          </w:tcPr>
          <w:p w14:paraId="6EB954AF" w14:textId="77777777" w:rsidR="00903C3A" w:rsidRPr="00746F54" w:rsidRDefault="00903C3A" w:rsidP="00D62922">
            <w:pPr>
              <w:keepNext/>
              <w:keepLines/>
              <w:jc w:val="center"/>
              <w:rPr>
                <w:rFonts w:ascii="Arial" w:eastAsia="Calibri" w:hAnsi="Arial" w:cs="Arial"/>
              </w:rPr>
            </w:pPr>
            <w:r w:rsidRPr="00746F54">
              <w:rPr>
                <w:rFonts w:ascii="Arial" w:eastAsia="Calibri" w:hAnsi="Arial" w:cs="Arial"/>
              </w:rPr>
              <w:t>$209,132</w:t>
            </w:r>
          </w:p>
        </w:tc>
        <w:tc>
          <w:tcPr>
            <w:tcW w:w="1619" w:type="dxa"/>
          </w:tcPr>
          <w:p w14:paraId="56F2AA72" w14:textId="77777777" w:rsidR="00903C3A" w:rsidRPr="00746F54" w:rsidRDefault="00903C3A" w:rsidP="00D62922">
            <w:pPr>
              <w:keepNext/>
              <w:keepLines/>
              <w:jc w:val="center"/>
              <w:rPr>
                <w:rFonts w:ascii="Arial" w:eastAsia="Calibri" w:hAnsi="Arial" w:cs="Arial"/>
              </w:rPr>
            </w:pPr>
            <w:r w:rsidRPr="00746F54">
              <w:rPr>
                <w:rFonts w:ascii="Arial" w:eastAsia="Calibri" w:hAnsi="Arial" w:cs="Arial"/>
              </w:rPr>
              <w:t>$933,507</w:t>
            </w:r>
          </w:p>
        </w:tc>
        <w:tc>
          <w:tcPr>
            <w:tcW w:w="1619" w:type="dxa"/>
          </w:tcPr>
          <w:p w14:paraId="3681AE68" w14:textId="77777777" w:rsidR="00903C3A" w:rsidRPr="00746F54" w:rsidRDefault="00903C3A" w:rsidP="00D62922">
            <w:pPr>
              <w:keepNext/>
              <w:keepLines/>
              <w:jc w:val="center"/>
              <w:rPr>
                <w:rFonts w:ascii="Arial" w:eastAsia="Calibri" w:hAnsi="Arial" w:cs="Arial"/>
              </w:rPr>
            </w:pPr>
            <w:r w:rsidRPr="00746F54">
              <w:rPr>
                <w:rFonts w:ascii="Arial" w:eastAsia="Calibri" w:hAnsi="Arial" w:cs="Arial"/>
              </w:rPr>
              <w:t>-</w:t>
            </w:r>
          </w:p>
        </w:tc>
        <w:tc>
          <w:tcPr>
            <w:tcW w:w="1330" w:type="dxa"/>
          </w:tcPr>
          <w:p w14:paraId="280CA134" w14:textId="77777777" w:rsidR="00903C3A" w:rsidRPr="00746F54" w:rsidRDefault="00903C3A" w:rsidP="00D62922">
            <w:pPr>
              <w:keepNext/>
              <w:keepLines/>
              <w:jc w:val="center"/>
              <w:rPr>
                <w:rFonts w:ascii="Arial" w:eastAsia="Calibri" w:hAnsi="Arial" w:cs="Arial"/>
              </w:rPr>
            </w:pPr>
            <w:r w:rsidRPr="00746F54">
              <w:rPr>
                <w:rFonts w:ascii="Arial" w:eastAsia="Calibri" w:hAnsi="Arial" w:cs="Arial"/>
              </w:rPr>
              <w:t>$1,615,000</w:t>
            </w:r>
          </w:p>
        </w:tc>
      </w:tr>
      <w:tr w:rsidR="00903C3A" w:rsidRPr="00746F54" w14:paraId="01A0DF18" w14:textId="77777777" w:rsidTr="00D62922">
        <w:tc>
          <w:tcPr>
            <w:tcW w:w="1546" w:type="dxa"/>
          </w:tcPr>
          <w:p w14:paraId="606F922A" w14:textId="77777777" w:rsidR="00903C3A" w:rsidRPr="00746F54" w:rsidRDefault="00903C3A" w:rsidP="00D62922">
            <w:pPr>
              <w:keepNext/>
              <w:keepLines/>
              <w:jc w:val="center"/>
              <w:rPr>
                <w:rFonts w:ascii="Arial" w:eastAsia="Calibri" w:hAnsi="Arial" w:cs="Arial"/>
              </w:rPr>
            </w:pPr>
            <w:r w:rsidRPr="00746F54">
              <w:rPr>
                <w:rFonts w:ascii="Arial" w:eastAsia="Calibri" w:hAnsi="Arial" w:cs="Arial"/>
              </w:rPr>
              <w:t>BAA total allocation</w:t>
            </w:r>
          </w:p>
        </w:tc>
        <w:tc>
          <w:tcPr>
            <w:tcW w:w="1509" w:type="dxa"/>
          </w:tcPr>
          <w:p w14:paraId="334733BE" w14:textId="77777777" w:rsidR="00903C3A" w:rsidRPr="00746F54" w:rsidRDefault="00903C3A" w:rsidP="00D62922">
            <w:pPr>
              <w:keepNext/>
              <w:keepLines/>
              <w:jc w:val="center"/>
              <w:rPr>
                <w:rFonts w:ascii="Arial" w:eastAsia="Calibri" w:hAnsi="Arial" w:cs="Arial"/>
              </w:rPr>
            </w:pPr>
            <w:r w:rsidRPr="00746F54">
              <w:rPr>
                <w:rFonts w:ascii="Arial" w:eastAsia="Calibri" w:hAnsi="Arial" w:cs="Arial"/>
              </w:rPr>
              <w:t>$922,342</w:t>
            </w:r>
          </w:p>
        </w:tc>
        <w:tc>
          <w:tcPr>
            <w:tcW w:w="1727" w:type="dxa"/>
          </w:tcPr>
          <w:p w14:paraId="4D98DBBC" w14:textId="77777777" w:rsidR="00903C3A" w:rsidRPr="00746F54" w:rsidRDefault="00903C3A" w:rsidP="00D62922">
            <w:pPr>
              <w:keepNext/>
              <w:keepLines/>
              <w:jc w:val="center"/>
              <w:rPr>
                <w:rFonts w:ascii="Arial" w:eastAsia="Calibri" w:hAnsi="Arial" w:cs="Arial"/>
              </w:rPr>
            </w:pPr>
            <w:r w:rsidRPr="00746F54">
              <w:rPr>
                <w:rFonts w:ascii="Arial" w:eastAsia="Calibri" w:hAnsi="Arial" w:cs="Arial"/>
              </w:rPr>
              <w:t>$903,347</w:t>
            </w:r>
          </w:p>
        </w:tc>
        <w:tc>
          <w:tcPr>
            <w:tcW w:w="1619" w:type="dxa"/>
          </w:tcPr>
          <w:p w14:paraId="7C32A1B8" w14:textId="77777777" w:rsidR="00903C3A" w:rsidRPr="00746F54" w:rsidRDefault="00903C3A" w:rsidP="00D62922">
            <w:pPr>
              <w:keepNext/>
              <w:keepLines/>
              <w:jc w:val="center"/>
              <w:rPr>
                <w:rFonts w:ascii="Arial" w:eastAsia="Calibri" w:hAnsi="Arial" w:cs="Arial"/>
              </w:rPr>
            </w:pPr>
            <w:r w:rsidRPr="00746F54">
              <w:rPr>
                <w:rFonts w:ascii="Arial" w:eastAsia="Calibri" w:hAnsi="Arial" w:cs="Arial"/>
              </w:rPr>
              <w:t>$3,875,622</w:t>
            </w:r>
          </w:p>
        </w:tc>
        <w:tc>
          <w:tcPr>
            <w:tcW w:w="1619" w:type="dxa"/>
          </w:tcPr>
          <w:p w14:paraId="3D731BA9" w14:textId="77777777" w:rsidR="00903C3A" w:rsidRPr="00746F54" w:rsidRDefault="00903C3A" w:rsidP="00D62922">
            <w:pPr>
              <w:keepNext/>
              <w:keepLines/>
              <w:jc w:val="center"/>
              <w:rPr>
                <w:rFonts w:ascii="Arial" w:eastAsia="Calibri" w:hAnsi="Arial" w:cs="Arial"/>
              </w:rPr>
            </w:pPr>
            <w:r w:rsidRPr="00746F54">
              <w:rPr>
                <w:rFonts w:ascii="Arial" w:eastAsia="Calibri" w:hAnsi="Arial" w:cs="Arial"/>
              </w:rPr>
              <w:t>$5,338,439</w:t>
            </w:r>
          </w:p>
        </w:tc>
        <w:tc>
          <w:tcPr>
            <w:tcW w:w="1330" w:type="dxa"/>
          </w:tcPr>
          <w:p w14:paraId="03F8FA24" w14:textId="77777777" w:rsidR="00903C3A" w:rsidRPr="00746F54" w:rsidRDefault="00903C3A" w:rsidP="00D62922">
            <w:pPr>
              <w:keepNext/>
              <w:keepLines/>
              <w:jc w:val="center"/>
              <w:rPr>
                <w:rFonts w:ascii="Arial" w:eastAsia="Calibri" w:hAnsi="Arial" w:cs="Arial"/>
              </w:rPr>
            </w:pPr>
            <w:r w:rsidRPr="00746F54">
              <w:rPr>
                <w:rFonts w:ascii="Arial" w:eastAsia="Calibri" w:hAnsi="Arial" w:cs="Arial"/>
              </w:rPr>
              <w:t>$11,039,750</w:t>
            </w:r>
          </w:p>
        </w:tc>
      </w:tr>
    </w:tbl>
    <w:p w14:paraId="139B4F0C" w14:textId="77777777" w:rsidR="00903C3A" w:rsidRPr="00746F54" w:rsidRDefault="00903C3A" w:rsidP="00903C3A">
      <w:pPr>
        <w:rPr>
          <w:rFonts w:ascii="Arial" w:eastAsia="Calibri" w:hAnsi="Arial" w:cs="Arial"/>
        </w:rPr>
      </w:pPr>
    </w:p>
    <w:p w14:paraId="48344318" w14:textId="77777777" w:rsidR="00903C3A" w:rsidRPr="00746F54" w:rsidRDefault="00903C3A" w:rsidP="00903C3A">
      <w:pPr>
        <w:rPr>
          <w:rFonts w:ascii="Arial" w:eastAsia="Calibri" w:hAnsi="Arial" w:cs="Arial"/>
        </w:rPr>
      </w:pPr>
      <w:r w:rsidRPr="00746F54">
        <w:rPr>
          <w:rFonts w:ascii="Arial" w:eastAsia="Calibri" w:hAnsi="Arial" w:cs="Arial"/>
        </w:rPr>
        <w:t xml:space="preserve">These allocations are then further converted to an EDAM access charge rate for each BAA as shown in Table 8.  The CAISO divides the total cost allocation for the BAA by its annual gross load.   </w:t>
      </w:r>
    </w:p>
    <w:p w14:paraId="17FEDCDB" w14:textId="77777777" w:rsidR="00903C3A" w:rsidRPr="00746F54" w:rsidRDefault="00903C3A" w:rsidP="00903C3A">
      <w:pPr>
        <w:keepNext/>
        <w:keepLines/>
        <w:jc w:val="center"/>
        <w:rPr>
          <w:rFonts w:ascii="Arial" w:eastAsia="Calibri" w:hAnsi="Arial" w:cs="Arial"/>
          <w:b/>
        </w:rPr>
      </w:pPr>
      <w:r w:rsidRPr="00746F54">
        <w:rPr>
          <w:rFonts w:ascii="Arial" w:eastAsia="Calibri" w:hAnsi="Arial" w:cs="Arial"/>
          <w:b/>
        </w:rPr>
        <w:t>Table 8: Derivation of EDAM Access Charge Rate</w:t>
      </w:r>
    </w:p>
    <w:tbl>
      <w:tblPr>
        <w:tblStyle w:val="TableGrid1"/>
        <w:tblW w:w="9350" w:type="dxa"/>
        <w:tblLook w:val="04A0" w:firstRow="1" w:lastRow="0" w:firstColumn="1" w:lastColumn="0" w:noHBand="0" w:noVBand="1"/>
      </w:tblPr>
      <w:tblGrid>
        <w:gridCol w:w="2051"/>
        <w:gridCol w:w="2362"/>
        <w:gridCol w:w="2453"/>
        <w:gridCol w:w="2484"/>
      </w:tblGrid>
      <w:tr w:rsidR="00903C3A" w:rsidRPr="00746F54" w14:paraId="54A04A8F" w14:textId="77777777" w:rsidTr="00D62922">
        <w:tc>
          <w:tcPr>
            <w:tcW w:w="2051" w:type="dxa"/>
          </w:tcPr>
          <w:p w14:paraId="276B735C" w14:textId="77777777" w:rsidR="00903C3A" w:rsidRPr="00746F54" w:rsidRDefault="00903C3A" w:rsidP="00D62922">
            <w:pPr>
              <w:keepNext/>
              <w:keepLines/>
              <w:rPr>
                <w:rFonts w:ascii="Arial" w:eastAsia="Calibri" w:hAnsi="Arial" w:cs="Arial"/>
              </w:rPr>
            </w:pPr>
            <w:r w:rsidRPr="00746F54">
              <w:rPr>
                <w:rFonts w:ascii="Arial" w:eastAsia="Calibri" w:hAnsi="Arial" w:cs="Arial"/>
              </w:rPr>
              <w:t>EDAM Entity transmission provider</w:t>
            </w:r>
          </w:p>
        </w:tc>
        <w:tc>
          <w:tcPr>
            <w:tcW w:w="2362" w:type="dxa"/>
          </w:tcPr>
          <w:p w14:paraId="603553EE" w14:textId="77777777" w:rsidR="00903C3A" w:rsidRPr="00746F54" w:rsidRDefault="00903C3A" w:rsidP="00D62922">
            <w:pPr>
              <w:keepNext/>
              <w:keepLines/>
              <w:rPr>
                <w:rFonts w:ascii="Arial" w:eastAsia="Calibri" w:hAnsi="Arial" w:cs="Arial"/>
              </w:rPr>
            </w:pPr>
            <w:r w:rsidRPr="00746F54">
              <w:rPr>
                <w:rFonts w:ascii="Arial" w:eastAsia="Calibri" w:hAnsi="Arial" w:cs="Arial"/>
              </w:rPr>
              <w:t xml:space="preserve">Total cost allocation to the BAA </w:t>
            </w:r>
          </w:p>
        </w:tc>
        <w:tc>
          <w:tcPr>
            <w:tcW w:w="2453" w:type="dxa"/>
          </w:tcPr>
          <w:p w14:paraId="78E1C48C" w14:textId="77777777" w:rsidR="00903C3A" w:rsidRPr="00746F54" w:rsidRDefault="00903C3A" w:rsidP="00D62922">
            <w:pPr>
              <w:keepNext/>
              <w:keepLines/>
              <w:rPr>
                <w:rFonts w:ascii="Arial" w:eastAsia="Calibri" w:hAnsi="Arial" w:cs="Arial"/>
              </w:rPr>
            </w:pPr>
            <w:r w:rsidRPr="00746F54">
              <w:rPr>
                <w:rFonts w:ascii="Arial" w:eastAsia="Calibri" w:hAnsi="Arial" w:cs="Arial"/>
              </w:rPr>
              <w:t>Annual gross load (MWh)</w:t>
            </w:r>
          </w:p>
        </w:tc>
        <w:tc>
          <w:tcPr>
            <w:tcW w:w="2484" w:type="dxa"/>
          </w:tcPr>
          <w:p w14:paraId="083E2F11" w14:textId="77777777" w:rsidR="00903C3A" w:rsidRPr="00746F54" w:rsidRDefault="00903C3A" w:rsidP="00D62922">
            <w:pPr>
              <w:keepNext/>
              <w:keepLines/>
              <w:rPr>
                <w:rFonts w:ascii="Arial" w:eastAsia="Calibri" w:hAnsi="Arial" w:cs="Arial"/>
              </w:rPr>
            </w:pPr>
            <w:r w:rsidRPr="00746F54">
              <w:rPr>
                <w:rFonts w:ascii="Arial" w:eastAsia="Calibri" w:hAnsi="Arial" w:cs="Arial"/>
              </w:rPr>
              <w:t xml:space="preserve">EDAM access charge rate assessed to the BAA </w:t>
            </w:r>
          </w:p>
        </w:tc>
      </w:tr>
      <w:tr w:rsidR="00903C3A" w:rsidRPr="00746F54" w14:paraId="7BD8E3B6" w14:textId="77777777" w:rsidTr="00D62922">
        <w:tc>
          <w:tcPr>
            <w:tcW w:w="2051" w:type="dxa"/>
          </w:tcPr>
          <w:p w14:paraId="2459304F" w14:textId="77777777" w:rsidR="00903C3A" w:rsidRPr="00746F54" w:rsidRDefault="00903C3A" w:rsidP="00D62922">
            <w:pPr>
              <w:keepNext/>
              <w:keepLines/>
              <w:rPr>
                <w:rFonts w:ascii="Arial" w:eastAsia="Calibri" w:hAnsi="Arial" w:cs="Arial"/>
              </w:rPr>
            </w:pPr>
            <w:r w:rsidRPr="00746F54">
              <w:rPr>
                <w:rFonts w:ascii="Arial" w:eastAsia="Calibri" w:hAnsi="Arial" w:cs="Arial"/>
              </w:rPr>
              <w:t>BAA 1</w:t>
            </w:r>
          </w:p>
        </w:tc>
        <w:tc>
          <w:tcPr>
            <w:tcW w:w="2362" w:type="dxa"/>
          </w:tcPr>
          <w:p w14:paraId="0C9F10CF" w14:textId="77777777" w:rsidR="00903C3A" w:rsidRPr="00746F54" w:rsidRDefault="00903C3A" w:rsidP="00D62922">
            <w:pPr>
              <w:keepNext/>
              <w:keepLines/>
              <w:rPr>
                <w:rFonts w:ascii="Arial" w:eastAsia="Calibri" w:hAnsi="Arial" w:cs="Arial"/>
              </w:rPr>
            </w:pPr>
            <w:r w:rsidRPr="00746F54">
              <w:rPr>
                <w:rFonts w:ascii="Arial" w:eastAsia="Calibri" w:hAnsi="Arial" w:cs="Arial"/>
              </w:rPr>
              <w:t>$922,342</w:t>
            </w:r>
          </w:p>
        </w:tc>
        <w:tc>
          <w:tcPr>
            <w:tcW w:w="2453" w:type="dxa"/>
          </w:tcPr>
          <w:p w14:paraId="4D547AF6" w14:textId="77777777" w:rsidR="00903C3A" w:rsidRPr="00746F54" w:rsidRDefault="00903C3A" w:rsidP="00D62922">
            <w:pPr>
              <w:keepNext/>
              <w:keepLines/>
              <w:rPr>
                <w:rFonts w:ascii="Arial" w:eastAsia="Calibri" w:hAnsi="Arial" w:cs="Arial"/>
              </w:rPr>
            </w:pPr>
            <w:r w:rsidRPr="00746F54">
              <w:rPr>
                <w:rFonts w:ascii="Arial" w:eastAsia="Calibri" w:hAnsi="Arial" w:cs="Arial"/>
              </w:rPr>
              <w:t>35,800,000</w:t>
            </w:r>
          </w:p>
        </w:tc>
        <w:tc>
          <w:tcPr>
            <w:tcW w:w="2484" w:type="dxa"/>
          </w:tcPr>
          <w:p w14:paraId="3CFE1E30" w14:textId="77777777" w:rsidR="00903C3A" w:rsidRPr="00746F54" w:rsidRDefault="00903C3A" w:rsidP="00D62922">
            <w:pPr>
              <w:keepNext/>
              <w:keepLines/>
              <w:rPr>
                <w:rFonts w:ascii="Arial" w:eastAsia="Calibri" w:hAnsi="Arial" w:cs="Arial"/>
              </w:rPr>
            </w:pPr>
            <w:r w:rsidRPr="00746F54">
              <w:rPr>
                <w:rFonts w:ascii="Arial" w:eastAsia="Calibri" w:hAnsi="Arial" w:cs="Arial"/>
              </w:rPr>
              <w:t>$0.026 per MWh</w:t>
            </w:r>
          </w:p>
        </w:tc>
      </w:tr>
      <w:tr w:rsidR="00903C3A" w:rsidRPr="00746F54" w14:paraId="2EA479E0" w14:textId="77777777" w:rsidTr="00D62922">
        <w:tc>
          <w:tcPr>
            <w:tcW w:w="2051" w:type="dxa"/>
          </w:tcPr>
          <w:p w14:paraId="4AA4B9DF" w14:textId="77777777" w:rsidR="00903C3A" w:rsidRPr="00746F54" w:rsidRDefault="00903C3A" w:rsidP="00D62922">
            <w:pPr>
              <w:keepNext/>
              <w:keepLines/>
              <w:rPr>
                <w:rFonts w:ascii="Arial" w:eastAsia="Calibri" w:hAnsi="Arial" w:cs="Arial"/>
              </w:rPr>
            </w:pPr>
            <w:r w:rsidRPr="00746F54">
              <w:rPr>
                <w:rFonts w:ascii="Arial" w:eastAsia="Calibri" w:hAnsi="Arial" w:cs="Arial"/>
              </w:rPr>
              <w:t>BAA 2</w:t>
            </w:r>
          </w:p>
        </w:tc>
        <w:tc>
          <w:tcPr>
            <w:tcW w:w="2362" w:type="dxa"/>
          </w:tcPr>
          <w:p w14:paraId="2C7B8A7D" w14:textId="77777777" w:rsidR="00903C3A" w:rsidRPr="00746F54" w:rsidRDefault="00903C3A" w:rsidP="00D62922">
            <w:pPr>
              <w:keepNext/>
              <w:keepLines/>
              <w:rPr>
                <w:rFonts w:ascii="Arial" w:eastAsia="Calibri" w:hAnsi="Arial" w:cs="Arial"/>
              </w:rPr>
            </w:pPr>
            <w:r w:rsidRPr="00746F54">
              <w:rPr>
                <w:rFonts w:ascii="Arial" w:eastAsia="Calibri" w:hAnsi="Arial" w:cs="Arial"/>
              </w:rPr>
              <w:t>$903,347</w:t>
            </w:r>
          </w:p>
        </w:tc>
        <w:tc>
          <w:tcPr>
            <w:tcW w:w="2453" w:type="dxa"/>
          </w:tcPr>
          <w:p w14:paraId="1A7C9529" w14:textId="77777777" w:rsidR="00903C3A" w:rsidRPr="00746F54" w:rsidRDefault="00903C3A" w:rsidP="00D62922">
            <w:pPr>
              <w:keepNext/>
              <w:keepLines/>
              <w:rPr>
                <w:rFonts w:ascii="Arial" w:eastAsia="Calibri" w:hAnsi="Arial" w:cs="Arial"/>
              </w:rPr>
            </w:pPr>
            <w:r w:rsidRPr="00746F54">
              <w:rPr>
                <w:rFonts w:ascii="Arial" w:eastAsia="Calibri" w:hAnsi="Arial" w:cs="Arial"/>
              </w:rPr>
              <w:t>15,850,000</w:t>
            </w:r>
          </w:p>
        </w:tc>
        <w:tc>
          <w:tcPr>
            <w:tcW w:w="2484" w:type="dxa"/>
          </w:tcPr>
          <w:p w14:paraId="3872FEC4" w14:textId="77777777" w:rsidR="00903C3A" w:rsidRPr="00746F54" w:rsidRDefault="00903C3A" w:rsidP="00D62922">
            <w:pPr>
              <w:keepNext/>
              <w:keepLines/>
              <w:rPr>
                <w:rFonts w:ascii="Arial" w:eastAsia="Calibri" w:hAnsi="Arial" w:cs="Arial"/>
              </w:rPr>
            </w:pPr>
            <w:r w:rsidRPr="00746F54">
              <w:rPr>
                <w:rFonts w:ascii="Arial" w:eastAsia="Calibri" w:hAnsi="Arial" w:cs="Arial"/>
              </w:rPr>
              <w:t>$0.057 per MWh</w:t>
            </w:r>
          </w:p>
        </w:tc>
      </w:tr>
      <w:tr w:rsidR="00903C3A" w:rsidRPr="00746F54" w14:paraId="79DB9DA4" w14:textId="77777777" w:rsidTr="00D62922">
        <w:tc>
          <w:tcPr>
            <w:tcW w:w="2051" w:type="dxa"/>
          </w:tcPr>
          <w:p w14:paraId="76E44397" w14:textId="77777777" w:rsidR="00903C3A" w:rsidRPr="00746F54" w:rsidRDefault="00903C3A" w:rsidP="00D62922">
            <w:pPr>
              <w:keepNext/>
              <w:keepLines/>
              <w:rPr>
                <w:rFonts w:ascii="Arial" w:eastAsia="Calibri" w:hAnsi="Arial" w:cs="Arial"/>
              </w:rPr>
            </w:pPr>
            <w:r w:rsidRPr="00746F54">
              <w:rPr>
                <w:rFonts w:ascii="Arial" w:eastAsia="Calibri" w:hAnsi="Arial" w:cs="Arial"/>
              </w:rPr>
              <w:t>BAA 3</w:t>
            </w:r>
          </w:p>
        </w:tc>
        <w:tc>
          <w:tcPr>
            <w:tcW w:w="2362" w:type="dxa"/>
          </w:tcPr>
          <w:p w14:paraId="2E01E10E" w14:textId="77777777" w:rsidR="00903C3A" w:rsidRPr="00746F54" w:rsidRDefault="00903C3A" w:rsidP="00D62922">
            <w:pPr>
              <w:keepNext/>
              <w:keepLines/>
              <w:rPr>
                <w:rFonts w:ascii="Arial" w:eastAsia="Calibri" w:hAnsi="Arial" w:cs="Arial"/>
              </w:rPr>
            </w:pPr>
            <w:r w:rsidRPr="00746F54">
              <w:rPr>
                <w:rFonts w:ascii="Arial" w:eastAsia="Calibri" w:hAnsi="Arial" w:cs="Arial"/>
              </w:rPr>
              <w:t>$3,875,622</w:t>
            </w:r>
          </w:p>
        </w:tc>
        <w:tc>
          <w:tcPr>
            <w:tcW w:w="2453" w:type="dxa"/>
          </w:tcPr>
          <w:p w14:paraId="1923B0D4" w14:textId="77777777" w:rsidR="00903C3A" w:rsidRPr="00746F54" w:rsidRDefault="00903C3A" w:rsidP="00D62922">
            <w:pPr>
              <w:keepNext/>
              <w:keepLines/>
              <w:rPr>
                <w:rFonts w:ascii="Arial" w:eastAsia="Calibri" w:hAnsi="Arial" w:cs="Arial"/>
              </w:rPr>
            </w:pPr>
            <w:r w:rsidRPr="00746F54">
              <w:rPr>
                <w:rFonts w:ascii="Arial" w:eastAsia="Calibri" w:hAnsi="Arial" w:cs="Arial"/>
              </w:rPr>
              <w:t>70,750,000</w:t>
            </w:r>
          </w:p>
        </w:tc>
        <w:tc>
          <w:tcPr>
            <w:tcW w:w="2484" w:type="dxa"/>
          </w:tcPr>
          <w:p w14:paraId="09436739" w14:textId="77777777" w:rsidR="00903C3A" w:rsidRPr="00746F54" w:rsidRDefault="00903C3A" w:rsidP="00D62922">
            <w:pPr>
              <w:keepNext/>
              <w:keepLines/>
              <w:rPr>
                <w:rFonts w:ascii="Arial" w:eastAsia="Calibri" w:hAnsi="Arial" w:cs="Arial"/>
              </w:rPr>
            </w:pPr>
            <w:r w:rsidRPr="00746F54">
              <w:rPr>
                <w:rFonts w:ascii="Arial" w:eastAsia="Calibri" w:hAnsi="Arial" w:cs="Arial"/>
              </w:rPr>
              <w:t>$0.055 per MWh</w:t>
            </w:r>
          </w:p>
        </w:tc>
      </w:tr>
      <w:tr w:rsidR="00903C3A" w:rsidRPr="00746F54" w14:paraId="4BAD23C3" w14:textId="77777777" w:rsidTr="00D62922">
        <w:tc>
          <w:tcPr>
            <w:tcW w:w="2051" w:type="dxa"/>
          </w:tcPr>
          <w:p w14:paraId="793B95A9" w14:textId="77777777" w:rsidR="00903C3A" w:rsidRPr="00746F54" w:rsidRDefault="00903C3A" w:rsidP="00D62922">
            <w:pPr>
              <w:keepNext/>
              <w:keepLines/>
              <w:rPr>
                <w:rFonts w:ascii="Arial" w:eastAsia="Calibri" w:hAnsi="Arial" w:cs="Arial"/>
              </w:rPr>
            </w:pPr>
            <w:r w:rsidRPr="00746F54">
              <w:rPr>
                <w:rFonts w:ascii="Arial" w:eastAsia="Calibri" w:hAnsi="Arial" w:cs="Arial"/>
              </w:rPr>
              <w:t>BAA 4</w:t>
            </w:r>
          </w:p>
        </w:tc>
        <w:tc>
          <w:tcPr>
            <w:tcW w:w="2362" w:type="dxa"/>
          </w:tcPr>
          <w:p w14:paraId="7DE9629C" w14:textId="77777777" w:rsidR="00903C3A" w:rsidRPr="00746F54" w:rsidRDefault="00903C3A" w:rsidP="00D62922">
            <w:pPr>
              <w:keepNext/>
              <w:keepLines/>
              <w:rPr>
                <w:rFonts w:ascii="Arial" w:eastAsia="Calibri" w:hAnsi="Arial" w:cs="Arial"/>
              </w:rPr>
            </w:pPr>
            <w:r w:rsidRPr="00746F54">
              <w:rPr>
                <w:rFonts w:ascii="Arial" w:eastAsia="Calibri" w:hAnsi="Arial" w:cs="Arial"/>
              </w:rPr>
              <w:t>$5,338,439</w:t>
            </w:r>
          </w:p>
        </w:tc>
        <w:tc>
          <w:tcPr>
            <w:tcW w:w="2453" w:type="dxa"/>
          </w:tcPr>
          <w:p w14:paraId="7D79025D" w14:textId="77777777" w:rsidR="00903C3A" w:rsidRPr="00746F54" w:rsidRDefault="00903C3A" w:rsidP="00D62922">
            <w:pPr>
              <w:keepNext/>
              <w:keepLines/>
              <w:rPr>
                <w:rFonts w:ascii="Arial" w:eastAsia="Calibri" w:hAnsi="Arial" w:cs="Arial"/>
              </w:rPr>
            </w:pPr>
            <w:r w:rsidRPr="00746F54">
              <w:rPr>
                <w:rFonts w:ascii="Arial" w:eastAsia="Calibri" w:hAnsi="Arial" w:cs="Arial"/>
              </w:rPr>
              <w:t>109,000,000</w:t>
            </w:r>
          </w:p>
        </w:tc>
        <w:tc>
          <w:tcPr>
            <w:tcW w:w="2484" w:type="dxa"/>
          </w:tcPr>
          <w:p w14:paraId="265CA831" w14:textId="77777777" w:rsidR="00903C3A" w:rsidRPr="00746F54" w:rsidRDefault="00903C3A" w:rsidP="00D62922">
            <w:pPr>
              <w:keepNext/>
              <w:keepLines/>
              <w:rPr>
                <w:rFonts w:ascii="Arial" w:eastAsia="Calibri" w:hAnsi="Arial" w:cs="Arial"/>
              </w:rPr>
            </w:pPr>
            <w:r w:rsidRPr="00746F54">
              <w:rPr>
                <w:rFonts w:ascii="Arial" w:eastAsia="Calibri" w:hAnsi="Arial" w:cs="Arial"/>
              </w:rPr>
              <w:t>$0.049 per MWh</w:t>
            </w:r>
          </w:p>
        </w:tc>
      </w:tr>
    </w:tbl>
    <w:p w14:paraId="4C41C003" w14:textId="77777777" w:rsidR="00903C3A" w:rsidRPr="00746F54" w:rsidRDefault="00903C3A" w:rsidP="00903C3A">
      <w:pPr>
        <w:rPr>
          <w:rFonts w:ascii="Arial" w:eastAsia="Calibri" w:hAnsi="Arial" w:cs="Arial"/>
          <w:sz w:val="18"/>
          <w:szCs w:val="18"/>
        </w:rPr>
      </w:pPr>
    </w:p>
    <w:p w14:paraId="11701A92" w14:textId="77777777" w:rsidR="00903C3A" w:rsidRPr="00746F54" w:rsidRDefault="00903C3A" w:rsidP="00903C3A">
      <w:pPr>
        <w:rPr>
          <w:rFonts w:ascii="Arial" w:eastAsia="Calibri" w:hAnsi="Arial" w:cs="Arial"/>
        </w:rPr>
      </w:pPr>
      <w:r w:rsidRPr="00746F54">
        <w:rPr>
          <w:rFonts w:ascii="Arial" w:eastAsia="Calibri" w:hAnsi="Arial" w:cs="Arial"/>
        </w:rPr>
        <w:t>The BAA-specific EDAM access charge rate is then applied to each BAA’s actual gross load and settled on a monthly basis.  Table 9 illustrates the assessment of the EDAM access charge by BAA for 2026.</w:t>
      </w:r>
    </w:p>
    <w:p w14:paraId="14B80099" w14:textId="77777777" w:rsidR="00903C3A" w:rsidRPr="00746F54" w:rsidRDefault="00903C3A" w:rsidP="00903C3A">
      <w:pPr>
        <w:keepNext/>
        <w:keepLines/>
        <w:jc w:val="center"/>
        <w:rPr>
          <w:rFonts w:ascii="Arial" w:eastAsia="Calibri" w:hAnsi="Arial" w:cs="Arial"/>
          <w:b/>
        </w:rPr>
      </w:pPr>
      <w:r w:rsidRPr="00746F54">
        <w:rPr>
          <w:rFonts w:ascii="Arial" w:eastAsia="Calibri" w:hAnsi="Arial" w:cs="Arial"/>
          <w:b/>
        </w:rPr>
        <w:lastRenderedPageBreak/>
        <w:t>Table 9: Collection of EDAM Access Charge through 2026</w:t>
      </w:r>
    </w:p>
    <w:tbl>
      <w:tblPr>
        <w:tblStyle w:val="TableGrid1"/>
        <w:tblW w:w="9350" w:type="dxa"/>
        <w:tblLook w:val="04A0" w:firstRow="1" w:lastRow="0" w:firstColumn="1" w:lastColumn="0" w:noHBand="0" w:noVBand="1"/>
      </w:tblPr>
      <w:tblGrid>
        <w:gridCol w:w="2051"/>
        <w:gridCol w:w="2362"/>
        <w:gridCol w:w="2453"/>
        <w:gridCol w:w="2484"/>
      </w:tblGrid>
      <w:tr w:rsidR="00903C3A" w:rsidRPr="00746F54" w14:paraId="27391B62" w14:textId="77777777" w:rsidTr="00D62922">
        <w:tc>
          <w:tcPr>
            <w:tcW w:w="2051" w:type="dxa"/>
          </w:tcPr>
          <w:p w14:paraId="71FBB1D7" w14:textId="77777777" w:rsidR="00903C3A" w:rsidRPr="00746F54" w:rsidRDefault="00903C3A" w:rsidP="00D62922">
            <w:pPr>
              <w:keepNext/>
              <w:keepLines/>
              <w:rPr>
                <w:rFonts w:ascii="Arial" w:eastAsia="Calibri" w:hAnsi="Arial" w:cs="Arial"/>
              </w:rPr>
            </w:pPr>
            <w:r w:rsidRPr="00746F54">
              <w:rPr>
                <w:rFonts w:ascii="Arial" w:eastAsia="Calibri" w:hAnsi="Arial" w:cs="Arial"/>
              </w:rPr>
              <w:t>EDAM Entity transmission provider</w:t>
            </w:r>
          </w:p>
        </w:tc>
        <w:tc>
          <w:tcPr>
            <w:tcW w:w="2362" w:type="dxa"/>
          </w:tcPr>
          <w:p w14:paraId="5FE27127" w14:textId="77777777" w:rsidR="00903C3A" w:rsidRPr="00746F54" w:rsidRDefault="00903C3A" w:rsidP="00D62922">
            <w:pPr>
              <w:keepNext/>
              <w:keepLines/>
              <w:rPr>
                <w:rFonts w:ascii="Arial" w:eastAsia="Calibri" w:hAnsi="Arial" w:cs="Arial"/>
              </w:rPr>
            </w:pPr>
            <w:r w:rsidRPr="00746F54">
              <w:rPr>
                <w:rFonts w:ascii="Arial" w:eastAsia="Calibri" w:hAnsi="Arial" w:cs="Arial"/>
              </w:rPr>
              <w:t xml:space="preserve">Actual annual gross load (MWh) </w:t>
            </w:r>
          </w:p>
        </w:tc>
        <w:tc>
          <w:tcPr>
            <w:tcW w:w="2453" w:type="dxa"/>
          </w:tcPr>
          <w:p w14:paraId="0D1BBC50" w14:textId="77777777" w:rsidR="00903C3A" w:rsidRPr="00746F54" w:rsidRDefault="00903C3A" w:rsidP="00D62922">
            <w:pPr>
              <w:keepNext/>
              <w:keepLines/>
              <w:rPr>
                <w:rFonts w:ascii="Arial" w:eastAsia="Calibri" w:hAnsi="Arial" w:cs="Arial"/>
              </w:rPr>
            </w:pPr>
            <w:r w:rsidRPr="00746F54">
              <w:rPr>
                <w:rFonts w:ascii="Arial" w:eastAsia="Calibri" w:hAnsi="Arial" w:cs="Arial"/>
              </w:rPr>
              <w:t>EDAM access charge rate</w:t>
            </w:r>
            <w:r w:rsidRPr="00746F54">
              <w:rPr>
                <w:rFonts w:ascii="Arial" w:eastAsia="Calibri" w:hAnsi="Arial" w:cs="Arial"/>
                <w:vertAlign w:val="superscript"/>
              </w:rPr>
              <w:footnoteReference w:id="6"/>
            </w:r>
            <w:r w:rsidRPr="00746F54" w:rsidDel="000D24D5">
              <w:rPr>
                <w:rFonts w:ascii="Arial" w:eastAsia="Calibri" w:hAnsi="Arial" w:cs="Arial"/>
              </w:rPr>
              <w:t xml:space="preserve"> </w:t>
            </w:r>
          </w:p>
        </w:tc>
        <w:tc>
          <w:tcPr>
            <w:tcW w:w="2484" w:type="dxa"/>
          </w:tcPr>
          <w:p w14:paraId="7C14060D" w14:textId="77777777" w:rsidR="00903C3A" w:rsidRPr="00746F54" w:rsidRDefault="00903C3A" w:rsidP="00D62922">
            <w:pPr>
              <w:keepNext/>
              <w:keepLines/>
              <w:rPr>
                <w:rFonts w:ascii="Arial" w:eastAsia="Calibri" w:hAnsi="Arial" w:cs="Arial"/>
              </w:rPr>
            </w:pPr>
            <w:r w:rsidRPr="00746F54">
              <w:rPr>
                <w:rFonts w:ascii="Arial" w:eastAsia="Calibri" w:hAnsi="Arial" w:cs="Arial"/>
              </w:rPr>
              <w:t xml:space="preserve">EDAM access charge assessed </w:t>
            </w:r>
          </w:p>
        </w:tc>
      </w:tr>
      <w:tr w:rsidR="00903C3A" w:rsidRPr="00746F54" w14:paraId="4894FCDB" w14:textId="77777777" w:rsidTr="00D62922">
        <w:tc>
          <w:tcPr>
            <w:tcW w:w="2051" w:type="dxa"/>
          </w:tcPr>
          <w:p w14:paraId="54DC3F6A" w14:textId="77777777" w:rsidR="00903C3A" w:rsidRPr="00746F54" w:rsidRDefault="00903C3A" w:rsidP="00D62922">
            <w:pPr>
              <w:keepNext/>
              <w:keepLines/>
              <w:rPr>
                <w:rFonts w:ascii="Arial" w:eastAsia="Calibri" w:hAnsi="Arial" w:cs="Arial"/>
              </w:rPr>
            </w:pPr>
            <w:r w:rsidRPr="00746F54">
              <w:rPr>
                <w:rFonts w:ascii="Arial" w:eastAsia="Calibri" w:hAnsi="Arial" w:cs="Arial"/>
              </w:rPr>
              <w:t>BAA 1</w:t>
            </w:r>
          </w:p>
        </w:tc>
        <w:tc>
          <w:tcPr>
            <w:tcW w:w="2362" w:type="dxa"/>
          </w:tcPr>
          <w:p w14:paraId="2079A3EB" w14:textId="77777777" w:rsidR="00903C3A" w:rsidRPr="00746F54" w:rsidRDefault="00903C3A" w:rsidP="00D62922">
            <w:pPr>
              <w:keepNext/>
              <w:keepLines/>
              <w:rPr>
                <w:rFonts w:ascii="Arial" w:eastAsia="Calibri" w:hAnsi="Arial" w:cs="Arial"/>
              </w:rPr>
            </w:pPr>
            <w:r w:rsidRPr="00746F54">
              <w:rPr>
                <w:rFonts w:ascii="Arial" w:eastAsia="Calibri" w:hAnsi="Arial" w:cs="Arial"/>
              </w:rPr>
              <w:t>36,740,463</w:t>
            </w:r>
          </w:p>
        </w:tc>
        <w:tc>
          <w:tcPr>
            <w:tcW w:w="2453" w:type="dxa"/>
          </w:tcPr>
          <w:p w14:paraId="7592431D" w14:textId="77777777" w:rsidR="00903C3A" w:rsidRPr="00746F54" w:rsidRDefault="00903C3A" w:rsidP="00D62922">
            <w:pPr>
              <w:keepNext/>
              <w:keepLines/>
              <w:rPr>
                <w:rFonts w:ascii="Arial" w:eastAsia="Calibri" w:hAnsi="Arial" w:cs="Arial"/>
              </w:rPr>
            </w:pPr>
            <w:r w:rsidRPr="00746F54">
              <w:rPr>
                <w:rFonts w:ascii="Arial" w:eastAsia="Calibri" w:hAnsi="Arial" w:cs="Arial"/>
              </w:rPr>
              <w:t>$0.026 per MWh</w:t>
            </w:r>
          </w:p>
        </w:tc>
        <w:tc>
          <w:tcPr>
            <w:tcW w:w="2484" w:type="dxa"/>
          </w:tcPr>
          <w:p w14:paraId="07259A16" w14:textId="77777777" w:rsidR="00903C3A" w:rsidRPr="00746F54" w:rsidRDefault="00903C3A" w:rsidP="00D62922">
            <w:pPr>
              <w:keepNext/>
              <w:keepLines/>
              <w:rPr>
                <w:rFonts w:ascii="Arial" w:eastAsia="Calibri" w:hAnsi="Arial" w:cs="Arial"/>
              </w:rPr>
            </w:pPr>
            <w:r w:rsidRPr="00746F54">
              <w:rPr>
                <w:rFonts w:ascii="Arial" w:eastAsia="Calibri" w:hAnsi="Arial" w:cs="Arial"/>
              </w:rPr>
              <w:t>$950,000</w:t>
            </w:r>
          </w:p>
        </w:tc>
      </w:tr>
      <w:tr w:rsidR="00903C3A" w:rsidRPr="00746F54" w14:paraId="04DB5AE2" w14:textId="77777777" w:rsidTr="00D62922">
        <w:tc>
          <w:tcPr>
            <w:tcW w:w="2051" w:type="dxa"/>
          </w:tcPr>
          <w:p w14:paraId="16B5469C" w14:textId="77777777" w:rsidR="00903C3A" w:rsidRPr="00746F54" w:rsidRDefault="00903C3A" w:rsidP="00D62922">
            <w:pPr>
              <w:keepNext/>
              <w:keepLines/>
              <w:rPr>
                <w:rFonts w:ascii="Arial" w:eastAsia="Calibri" w:hAnsi="Arial" w:cs="Arial"/>
              </w:rPr>
            </w:pPr>
            <w:r w:rsidRPr="00746F54">
              <w:rPr>
                <w:rFonts w:ascii="Arial" w:eastAsia="Calibri" w:hAnsi="Arial" w:cs="Arial"/>
              </w:rPr>
              <w:t>BAA 2</w:t>
            </w:r>
          </w:p>
        </w:tc>
        <w:tc>
          <w:tcPr>
            <w:tcW w:w="2362" w:type="dxa"/>
          </w:tcPr>
          <w:p w14:paraId="43629B79" w14:textId="77777777" w:rsidR="00903C3A" w:rsidRPr="00746F54" w:rsidRDefault="00903C3A" w:rsidP="00D62922">
            <w:pPr>
              <w:keepNext/>
              <w:keepLines/>
              <w:rPr>
                <w:rFonts w:ascii="Arial" w:eastAsia="Calibri" w:hAnsi="Arial" w:cs="Arial"/>
              </w:rPr>
            </w:pPr>
            <w:r w:rsidRPr="00746F54">
              <w:rPr>
                <w:rFonts w:ascii="Arial" w:eastAsia="Calibri" w:hAnsi="Arial" w:cs="Arial"/>
              </w:rPr>
              <w:t>15,489,158</w:t>
            </w:r>
          </w:p>
        </w:tc>
        <w:tc>
          <w:tcPr>
            <w:tcW w:w="2453" w:type="dxa"/>
          </w:tcPr>
          <w:p w14:paraId="38F351C4" w14:textId="77777777" w:rsidR="00903C3A" w:rsidRPr="00746F54" w:rsidRDefault="00903C3A" w:rsidP="00D62922">
            <w:pPr>
              <w:keepNext/>
              <w:keepLines/>
              <w:rPr>
                <w:rFonts w:ascii="Arial" w:eastAsia="Calibri" w:hAnsi="Arial" w:cs="Arial"/>
              </w:rPr>
            </w:pPr>
            <w:r w:rsidRPr="00746F54">
              <w:rPr>
                <w:rFonts w:ascii="Arial" w:eastAsia="Calibri" w:hAnsi="Arial" w:cs="Arial"/>
              </w:rPr>
              <w:t>$0.057 per MWh</w:t>
            </w:r>
          </w:p>
        </w:tc>
        <w:tc>
          <w:tcPr>
            <w:tcW w:w="2484" w:type="dxa"/>
          </w:tcPr>
          <w:p w14:paraId="699499C0" w14:textId="77777777" w:rsidR="00903C3A" w:rsidRPr="00746F54" w:rsidRDefault="00903C3A" w:rsidP="00D62922">
            <w:pPr>
              <w:keepNext/>
              <w:keepLines/>
              <w:rPr>
                <w:rFonts w:ascii="Arial" w:eastAsia="Calibri" w:hAnsi="Arial" w:cs="Arial"/>
              </w:rPr>
            </w:pPr>
            <w:r w:rsidRPr="00746F54">
              <w:rPr>
                <w:rFonts w:ascii="Arial" w:eastAsia="Calibri" w:hAnsi="Arial" w:cs="Arial"/>
              </w:rPr>
              <w:t>$886,000</w:t>
            </w:r>
          </w:p>
        </w:tc>
      </w:tr>
      <w:tr w:rsidR="00903C3A" w:rsidRPr="00746F54" w14:paraId="70AC15FC" w14:textId="77777777" w:rsidTr="00D62922">
        <w:tc>
          <w:tcPr>
            <w:tcW w:w="2051" w:type="dxa"/>
          </w:tcPr>
          <w:p w14:paraId="6E3A3470" w14:textId="77777777" w:rsidR="00903C3A" w:rsidRPr="00746F54" w:rsidRDefault="00903C3A" w:rsidP="00D62922">
            <w:pPr>
              <w:keepNext/>
              <w:keepLines/>
              <w:rPr>
                <w:rFonts w:ascii="Arial" w:eastAsia="Calibri" w:hAnsi="Arial" w:cs="Arial"/>
              </w:rPr>
            </w:pPr>
            <w:r w:rsidRPr="00746F54">
              <w:rPr>
                <w:rFonts w:ascii="Arial" w:eastAsia="Calibri" w:hAnsi="Arial" w:cs="Arial"/>
              </w:rPr>
              <w:t>BAA 3</w:t>
            </w:r>
          </w:p>
        </w:tc>
        <w:tc>
          <w:tcPr>
            <w:tcW w:w="2362" w:type="dxa"/>
          </w:tcPr>
          <w:p w14:paraId="49FAB090" w14:textId="77777777" w:rsidR="00903C3A" w:rsidRPr="00746F54" w:rsidRDefault="00903C3A" w:rsidP="00D62922">
            <w:pPr>
              <w:keepNext/>
              <w:keepLines/>
              <w:rPr>
                <w:rFonts w:ascii="Arial" w:eastAsia="Calibri" w:hAnsi="Arial" w:cs="Arial"/>
              </w:rPr>
            </w:pPr>
            <w:r w:rsidRPr="00746F54">
              <w:rPr>
                <w:rFonts w:ascii="Arial" w:eastAsia="Calibri" w:hAnsi="Arial" w:cs="Arial"/>
              </w:rPr>
              <w:t>71,997,353</w:t>
            </w:r>
          </w:p>
        </w:tc>
        <w:tc>
          <w:tcPr>
            <w:tcW w:w="2453" w:type="dxa"/>
          </w:tcPr>
          <w:p w14:paraId="3154522A" w14:textId="77777777" w:rsidR="00903C3A" w:rsidRPr="00746F54" w:rsidRDefault="00903C3A" w:rsidP="00D62922">
            <w:pPr>
              <w:keepNext/>
              <w:keepLines/>
              <w:rPr>
                <w:rFonts w:ascii="Arial" w:eastAsia="Calibri" w:hAnsi="Arial" w:cs="Arial"/>
              </w:rPr>
            </w:pPr>
            <w:r w:rsidRPr="00746F54">
              <w:rPr>
                <w:rFonts w:ascii="Arial" w:eastAsia="Calibri" w:hAnsi="Arial" w:cs="Arial"/>
              </w:rPr>
              <w:t>$0.055 per MWh</w:t>
            </w:r>
          </w:p>
        </w:tc>
        <w:tc>
          <w:tcPr>
            <w:tcW w:w="2484" w:type="dxa"/>
          </w:tcPr>
          <w:p w14:paraId="0AE0E489" w14:textId="77777777" w:rsidR="00903C3A" w:rsidRPr="00746F54" w:rsidRDefault="00903C3A" w:rsidP="00D62922">
            <w:pPr>
              <w:keepNext/>
              <w:keepLines/>
              <w:rPr>
                <w:rFonts w:ascii="Arial" w:eastAsia="Calibri" w:hAnsi="Arial" w:cs="Arial"/>
              </w:rPr>
            </w:pPr>
            <w:r w:rsidRPr="00746F54">
              <w:rPr>
                <w:rFonts w:ascii="Arial" w:eastAsia="Calibri" w:hAnsi="Arial" w:cs="Arial"/>
              </w:rPr>
              <w:t>$3,960,000</w:t>
            </w:r>
          </w:p>
        </w:tc>
      </w:tr>
      <w:tr w:rsidR="00903C3A" w:rsidRPr="00746F54" w14:paraId="579DDBE8" w14:textId="77777777" w:rsidTr="00D62922">
        <w:tc>
          <w:tcPr>
            <w:tcW w:w="2051" w:type="dxa"/>
          </w:tcPr>
          <w:p w14:paraId="14D469EC" w14:textId="77777777" w:rsidR="00903C3A" w:rsidRPr="00746F54" w:rsidRDefault="00903C3A" w:rsidP="00D62922">
            <w:pPr>
              <w:keepNext/>
              <w:keepLines/>
              <w:rPr>
                <w:rFonts w:ascii="Arial" w:eastAsia="Calibri" w:hAnsi="Arial" w:cs="Arial"/>
              </w:rPr>
            </w:pPr>
            <w:r w:rsidRPr="00746F54">
              <w:rPr>
                <w:rFonts w:ascii="Arial" w:eastAsia="Calibri" w:hAnsi="Arial" w:cs="Arial"/>
              </w:rPr>
              <w:t>BAA 4</w:t>
            </w:r>
          </w:p>
        </w:tc>
        <w:tc>
          <w:tcPr>
            <w:tcW w:w="2362" w:type="dxa"/>
          </w:tcPr>
          <w:p w14:paraId="33F04280" w14:textId="77777777" w:rsidR="00903C3A" w:rsidRPr="00746F54" w:rsidRDefault="00903C3A" w:rsidP="00D62922">
            <w:pPr>
              <w:keepNext/>
              <w:keepLines/>
              <w:rPr>
                <w:rFonts w:ascii="Arial" w:eastAsia="Calibri" w:hAnsi="Arial" w:cs="Arial"/>
              </w:rPr>
            </w:pPr>
            <w:r w:rsidRPr="00746F54">
              <w:rPr>
                <w:rFonts w:ascii="Arial" w:eastAsia="Calibri" w:hAnsi="Arial" w:cs="Arial"/>
              </w:rPr>
              <w:t>106,056,667</w:t>
            </w:r>
          </w:p>
        </w:tc>
        <w:tc>
          <w:tcPr>
            <w:tcW w:w="2453" w:type="dxa"/>
          </w:tcPr>
          <w:p w14:paraId="2333F215" w14:textId="77777777" w:rsidR="00903C3A" w:rsidRPr="00746F54" w:rsidRDefault="00903C3A" w:rsidP="00D62922">
            <w:pPr>
              <w:keepNext/>
              <w:keepLines/>
              <w:rPr>
                <w:rFonts w:ascii="Arial" w:eastAsia="Calibri" w:hAnsi="Arial" w:cs="Arial"/>
              </w:rPr>
            </w:pPr>
            <w:r w:rsidRPr="00746F54">
              <w:rPr>
                <w:rFonts w:ascii="Arial" w:eastAsia="Calibri" w:hAnsi="Arial" w:cs="Arial"/>
              </w:rPr>
              <w:t>$0.049 per MWh</w:t>
            </w:r>
          </w:p>
        </w:tc>
        <w:tc>
          <w:tcPr>
            <w:tcW w:w="2484" w:type="dxa"/>
          </w:tcPr>
          <w:p w14:paraId="1ADAD158" w14:textId="77777777" w:rsidR="00903C3A" w:rsidRPr="00746F54" w:rsidRDefault="00903C3A" w:rsidP="00D62922">
            <w:pPr>
              <w:keepNext/>
              <w:keepLines/>
              <w:rPr>
                <w:rFonts w:ascii="Arial" w:eastAsia="Calibri" w:hAnsi="Arial" w:cs="Arial"/>
              </w:rPr>
            </w:pPr>
            <w:r w:rsidRPr="00746F54">
              <w:rPr>
                <w:rFonts w:ascii="Arial" w:eastAsia="Calibri" w:hAnsi="Arial" w:cs="Arial"/>
              </w:rPr>
              <w:t>$5,210,000</w:t>
            </w:r>
          </w:p>
        </w:tc>
      </w:tr>
    </w:tbl>
    <w:p w14:paraId="5E0A434C" w14:textId="77777777" w:rsidR="00903C3A" w:rsidRPr="00746F54" w:rsidRDefault="00903C3A" w:rsidP="00903C3A">
      <w:pPr>
        <w:spacing w:after="0" w:line="240" w:lineRule="auto"/>
        <w:rPr>
          <w:rFonts w:ascii="Arial" w:eastAsia="Calibri" w:hAnsi="Arial" w:cs="Arial"/>
          <w:sz w:val="18"/>
          <w:szCs w:val="18"/>
        </w:rPr>
      </w:pPr>
    </w:p>
    <w:p w14:paraId="4AC4A9A7" w14:textId="77777777" w:rsidR="00903C3A" w:rsidRPr="00746F54" w:rsidRDefault="00903C3A" w:rsidP="00903C3A">
      <w:pPr>
        <w:rPr>
          <w:rFonts w:ascii="Arial" w:eastAsia="Calibri" w:hAnsi="Arial" w:cs="Arial"/>
        </w:rPr>
      </w:pPr>
      <w:r w:rsidRPr="00746F54">
        <w:rPr>
          <w:rFonts w:ascii="Arial" w:eastAsia="Calibri" w:hAnsi="Arial" w:cs="Arial"/>
        </w:rPr>
        <w:t xml:space="preserve">Table 10 illustrates the distribution of BAA-specific EDAM access charge revenue in pro-ration of the BAA total allocation of EDAM recoverable revenue to the  BAA-specific allocation of EDAM recoverable revenue as derived in Table 7.   </w:t>
      </w:r>
    </w:p>
    <w:p w14:paraId="75AD4CD9" w14:textId="77777777" w:rsidR="00903C3A" w:rsidRPr="00746F54" w:rsidRDefault="00903C3A" w:rsidP="00903C3A">
      <w:pPr>
        <w:jc w:val="center"/>
        <w:rPr>
          <w:rFonts w:ascii="Arial" w:eastAsia="Calibri" w:hAnsi="Arial" w:cs="Arial"/>
        </w:rPr>
      </w:pPr>
      <w:r w:rsidRPr="00746F54">
        <w:rPr>
          <w:rFonts w:ascii="Arial" w:eastAsia="Calibri" w:hAnsi="Arial" w:cs="Arial"/>
          <w:b/>
        </w:rPr>
        <w:t>Table 10: Distribution of EDAM Access Charge Collected Revenues (2026)</w:t>
      </w:r>
    </w:p>
    <w:tbl>
      <w:tblPr>
        <w:tblStyle w:val="TableGrid1"/>
        <w:tblW w:w="0" w:type="auto"/>
        <w:tblLook w:val="04A0" w:firstRow="1" w:lastRow="0" w:firstColumn="1" w:lastColumn="0" w:noHBand="0" w:noVBand="1"/>
      </w:tblPr>
      <w:tblGrid>
        <w:gridCol w:w="1714"/>
        <w:gridCol w:w="1596"/>
        <w:gridCol w:w="1555"/>
        <w:gridCol w:w="1650"/>
        <w:gridCol w:w="1517"/>
        <w:gridCol w:w="1318"/>
      </w:tblGrid>
      <w:tr w:rsidR="00903C3A" w:rsidRPr="00746F54" w14:paraId="489A3189" w14:textId="77777777" w:rsidTr="00D62922">
        <w:tc>
          <w:tcPr>
            <w:tcW w:w="1720" w:type="dxa"/>
          </w:tcPr>
          <w:p w14:paraId="146A113A" w14:textId="77777777" w:rsidR="00903C3A" w:rsidRPr="00746F54" w:rsidRDefault="00903C3A" w:rsidP="00D62922">
            <w:pPr>
              <w:rPr>
                <w:rFonts w:ascii="Arial" w:eastAsia="Calibri" w:hAnsi="Arial" w:cs="Arial"/>
              </w:rPr>
            </w:pPr>
            <w:r w:rsidRPr="00746F54">
              <w:rPr>
                <w:rFonts w:ascii="Arial" w:eastAsia="Calibri" w:hAnsi="Arial" w:cs="Arial"/>
              </w:rPr>
              <w:t>EDAM Entity transmission provider</w:t>
            </w:r>
          </w:p>
        </w:tc>
        <w:tc>
          <w:tcPr>
            <w:tcW w:w="1607" w:type="dxa"/>
          </w:tcPr>
          <w:p w14:paraId="4423A33B" w14:textId="77777777" w:rsidR="00903C3A" w:rsidRPr="00746F54" w:rsidRDefault="00903C3A" w:rsidP="00D62922">
            <w:pPr>
              <w:rPr>
                <w:rFonts w:ascii="Arial" w:eastAsia="Calibri" w:hAnsi="Arial" w:cs="Arial"/>
              </w:rPr>
            </w:pPr>
            <w:r w:rsidRPr="00746F54">
              <w:rPr>
                <w:rFonts w:ascii="Arial" w:eastAsia="Calibri" w:hAnsi="Arial" w:cs="Arial"/>
              </w:rPr>
              <w:t>BAA 1 – specific allocation</w:t>
            </w:r>
          </w:p>
        </w:tc>
        <w:tc>
          <w:tcPr>
            <w:tcW w:w="1565" w:type="dxa"/>
          </w:tcPr>
          <w:p w14:paraId="2639DB03" w14:textId="77777777" w:rsidR="00903C3A" w:rsidRPr="00746F54" w:rsidRDefault="00903C3A" w:rsidP="00D62922">
            <w:pPr>
              <w:rPr>
                <w:rFonts w:ascii="Arial" w:eastAsia="Calibri" w:hAnsi="Arial" w:cs="Arial"/>
              </w:rPr>
            </w:pPr>
            <w:r w:rsidRPr="00746F54">
              <w:rPr>
                <w:rFonts w:ascii="Arial" w:eastAsia="Calibri" w:hAnsi="Arial" w:cs="Arial"/>
              </w:rPr>
              <w:t xml:space="preserve">BAA 2 – specific allocation </w:t>
            </w:r>
          </w:p>
        </w:tc>
        <w:tc>
          <w:tcPr>
            <w:tcW w:w="1658" w:type="dxa"/>
          </w:tcPr>
          <w:p w14:paraId="1493CDFF" w14:textId="77777777" w:rsidR="00903C3A" w:rsidRPr="00746F54" w:rsidRDefault="00903C3A" w:rsidP="00D62922">
            <w:pPr>
              <w:rPr>
                <w:rFonts w:ascii="Arial" w:eastAsia="Calibri" w:hAnsi="Arial" w:cs="Arial"/>
              </w:rPr>
            </w:pPr>
            <w:r w:rsidRPr="00746F54">
              <w:rPr>
                <w:rFonts w:ascii="Arial" w:eastAsia="Calibri" w:hAnsi="Arial" w:cs="Arial"/>
              </w:rPr>
              <w:t xml:space="preserve">BAA 3 – specific allocation </w:t>
            </w:r>
          </w:p>
        </w:tc>
        <w:tc>
          <w:tcPr>
            <w:tcW w:w="1522" w:type="dxa"/>
          </w:tcPr>
          <w:p w14:paraId="05526331" w14:textId="77777777" w:rsidR="00903C3A" w:rsidRPr="00746F54" w:rsidRDefault="00903C3A" w:rsidP="00D62922">
            <w:pPr>
              <w:rPr>
                <w:rFonts w:ascii="Arial" w:eastAsia="Calibri" w:hAnsi="Arial" w:cs="Arial"/>
              </w:rPr>
            </w:pPr>
            <w:r w:rsidRPr="00746F54">
              <w:rPr>
                <w:rFonts w:ascii="Arial" w:eastAsia="Calibri" w:hAnsi="Arial" w:cs="Arial"/>
              </w:rPr>
              <w:t xml:space="preserve">BAA 4 – specific allocation </w:t>
            </w:r>
          </w:p>
        </w:tc>
        <w:tc>
          <w:tcPr>
            <w:tcW w:w="1278" w:type="dxa"/>
          </w:tcPr>
          <w:p w14:paraId="44B40114" w14:textId="77777777" w:rsidR="00903C3A" w:rsidRPr="00746F54" w:rsidRDefault="00903C3A" w:rsidP="00D62922">
            <w:pPr>
              <w:rPr>
                <w:rFonts w:ascii="Arial" w:eastAsia="Calibri" w:hAnsi="Arial" w:cs="Arial"/>
              </w:rPr>
            </w:pPr>
            <w:r w:rsidRPr="00746F54">
              <w:rPr>
                <w:rFonts w:ascii="Arial" w:eastAsia="Calibri" w:hAnsi="Arial" w:cs="Arial"/>
              </w:rPr>
              <w:t xml:space="preserve">BAA EDAM access charge revenue </w:t>
            </w:r>
          </w:p>
        </w:tc>
      </w:tr>
      <w:tr w:rsidR="00903C3A" w:rsidRPr="00746F54" w14:paraId="630CBE4F" w14:textId="77777777" w:rsidTr="00D62922">
        <w:tc>
          <w:tcPr>
            <w:tcW w:w="1720" w:type="dxa"/>
          </w:tcPr>
          <w:p w14:paraId="5E6B235E" w14:textId="77777777" w:rsidR="00903C3A" w:rsidRPr="00746F54" w:rsidRDefault="00903C3A" w:rsidP="00D62922">
            <w:pPr>
              <w:rPr>
                <w:rFonts w:ascii="Arial" w:eastAsia="Calibri" w:hAnsi="Arial" w:cs="Arial"/>
              </w:rPr>
            </w:pPr>
            <w:r w:rsidRPr="00746F54">
              <w:rPr>
                <w:rFonts w:ascii="Arial" w:eastAsia="Calibri" w:hAnsi="Arial" w:cs="Arial"/>
              </w:rPr>
              <w:t>BAA 1</w:t>
            </w:r>
          </w:p>
        </w:tc>
        <w:tc>
          <w:tcPr>
            <w:tcW w:w="1607" w:type="dxa"/>
          </w:tcPr>
          <w:p w14:paraId="4F38BBBE" w14:textId="77777777" w:rsidR="00903C3A" w:rsidRPr="00746F54" w:rsidRDefault="00903C3A" w:rsidP="00D62922">
            <w:pPr>
              <w:jc w:val="center"/>
              <w:rPr>
                <w:rFonts w:ascii="Arial" w:eastAsia="Calibri" w:hAnsi="Arial" w:cs="Arial"/>
              </w:rPr>
            </w:pPr>
            <w:r w:rsidRPr="00746F54">
              <w:rPr>
                <w:rFonts w:ascii="Arial" w:eastAsia="Calibri" w:hAnsi="Arial" w:cs="Arial"/>
              </w:rPr>
              <w:t>-</w:t>
            </w:r>
          </w:p>
        </w:tc>
        <w:tc>
          <w:tcPr>
            <w:tcW w:w="1565" w:type="dxa"/>
          </w:tcPr>
          <w:p w14:paraId="4E8745C2" w14:textId="77777777" w:rsidR="00903C3A" w:rsidRPr="00746F54" w:rsidRDefault="00903C3A" w:rsidP="00D62922">
            <w:pPr>
              <w:rPr>
                <w:rFonts w:ascii="Arial" w:eastAsia="Calibri" w:hAnsi="Arial" w:cs="Arial"/>
              </w:rPr>
            </w:pPr>
            <w:r w:rsidRPr="00746F54">
              <w:rPr>
                <w:rFonts w:ascii="Arial" w:eastAsia="Calibri" w:hAnsi="Arial" w:cs="Arial"/>
              </w:rPr>
              <w:t>$565,942</w:t>
            </w:r>
          </w:p>
        </w:tc>
        <w:tc>
          <w:tcPr>
            <w:tcW w:w="1658" w:type="dxa"/>
          </w:tcPr>
          <w:p w14:paraId="368C063C" w14:textId="77777777" w:rsidR="00903C3A" w:rsidRPr="00746F54" w:rsidRDefault="00903C3A" w:rsidP="00D62922">
            <w:pPr>
              <w:rPr>
                <w:rFonts w:ascii="Arial" w:eastAsia="Calibri" w:hAnsi="Arial" w:cs="Arial"/>
              </w:rPr>
            </w:pPr>
            <w:r w:rsidRPr="00746F54">
              <w:rPr>
                <w:rFonts w:ascii="Arial" w:eastAsia="Calibri" w:hAnsi="Arial" w:cs="Arial"/>
              </w:rPr>
              <w:t>$2,630,637</w:t>
            </w:r>
          </w:p>
        </w:tc>
        <w:tc>
          <w:tcPr>
            <w:tcW w:w="1522" w:type="dxa"/>
          </w:tcPr>
          <w:p w14:paraId="34D7EEB5" w14:textId="77777777" w:rsidR="00903C3A" w:rsidRPr="00746F54" w:rsidRDefault="00903C3A" w:rsidP="00D62922">
            <w:pPr>
              <w:rPr>
                <w:rFonts w:ascii="Arial" w:eastAsia="Calibri" w:hAnsi="Arial" w:cs="Arial"/>
              </w:rPr>
            </w:pPr>
            <w:r w:rsidRPr="00746F54">
              <w:rPr>
                <w:rFonts w:ascii="Arial" w:eastAsia="Calibri" w:hAnsi="Arial" w:cs="Arial"/>
              </w:rPr>
              <w:t>$3,875,095</w:t>
            </w:r>
          </w:p>
        </w:tc>
        <w:tc>
          <w:tcPr>
            <w:tcW w:w="1278" w:type="dxa"/>
          </w:tcPr>
          <w:p w14:paraId="5AED7776" w14:textId="77777777" w:rsidR="00903C3A" w:rsidRPr="00746F54" w:rsidRDefault="00903C3A" w:rsidP="00D62922">
            <w:pPr>
              <w:rPr>
                <w:rFonts w:ascii="Arial" w:eastAsia="Calibri" w:hAnsi="Arial" w:cs="Arial"/>
              </w:rPr>
            </w:pPr>
            <w:r w:rsidRPr="00746F54">
              <w:rPr>
                <w:rFonts w:ascii="Arial" w:eastAsia="Calibri" w:hAnsi="Arial" w:cs="Arial"/>
              </w:rPr>
              <w:t>$7,071,674</w:t>
            </w:r>
          </w:p>
        </w:tc>
      </w:tr>
      <w:tr w:rsidR="00903C3A" w:rsidRPr="00746F54" w14:paraId="2C194B4F" w14:textId="77777777" w:rsidTr="00D62922">
        <w:tc>
          <w:tcPr>
            <w:tcW w:w="1720" w:type="dxa"/>
          </w:tcPr>
          <w:p w14:paraId="7AEDD1BC" w14:textId="77777777" w:rsidR="00903C3A" w:rsidRPr="00746F54" w:rsidRDefault="00903C3A" w:rsidP="00D62922">
            <w:pPr>
              <w:rPr>
                <w:rFonts w:ascii="Arial" w:eastAsia="Calibri" w:hAnsi="Arial" w:cs="Arial"/>
              </w:rPr>
            </w:pPr>
            <w:r w:rsidRPr="00746F54">
              <w:rPr>
                <w:rFonts w:ascii="Arial" w:eastAsia="Calibri" w:hAnsi="Arial" w:cs="Arial"/>
              </w:rPr>
              <w:t>BAA 2</w:t>
            </w:r>
          </w:p>
        </w:tc>
        <w:tc>
          <w:tcPr>
            <w:tcW w:w="1607" w:type="dxa"/>
          </w:tcPr>
          <w:p w14:paraId="10940EDD" w14:textId="77777777" w:rsidR="00903C3A" w:rsidRPr="00746F54" w:rsidRDefault="00903C3A" w:rsidP="00D62922">
            <w:pPr>
              <w:rPr>
                <w:rFonts w:ascii="Arial" w:eastAsia="Calibri" w:hAnsi="Arial" w:cs="Arial"/>
              </w:rPr>
            </w:pPr>
            <w:r w:rsidRPr="00746F54">
              <w:rPr>
                <w:rFonts w:ascii="Arial" w:eastAsia="Calibri" w:hAnsi="Arial" w:cs="Arial"/>
              </w:rPr>
              <w:t>$190,820</w:t>
            </w:r>
          </w:p>
        </w:tc>
        <w:tc>
          <w:tcPr>
            <w:tcW w:w="1565" w:type="dxa"/>
          </w:tcPr>
          <w:p w14:paraId="1B0AE79D" w14:textId="77777777" w:rsidR="00903C3A" w:rsidRPr="00746F54" w:rsidRDefault="00903C3A" w:rsidP="00D62922">
            <w:pPr>
              <w:jc w:val="center"/>
              <w:rPr>
                <w:rFonts w:ascii="Arial" w:eastAsia="Calibri" w:hAnsi="Arial" w:cs="Arial"/>
              </w:rPr>
            </w:pPr>
            <w:r w:rsidRPr="00746F54">
              <w:rPr>
                <w:rFonts w:ascii="Arial" w:eastAsia="Calibri" w:hAnsi="Arial" w:cs="Arial"/>
              </w:rPr>
              <w:t>-</w:t>
            </w:r>
          </w:p>
        </w:tc>
        <w:tc>
          <w:tcPr>
            <w:tcW w:w="1658" w:type="dxa"/>
          </w:tcPr>
          <w:p w14:paraId="0C6435C6" w14:textId="77777777" w:rsidR="00903C3A" w:rsidRPr="00746F54" w:rsidRDefault="00903C3A" w:rsidP="00D62922">
            <w:pPr>
              <w:rPr>
                <w:rFonts w:ascii="Arial" w:eastAsia="Calibri" w:hAnsi="Arial" w:cs="Arial"/>
              </w:rPr>
            </w:pPr>
            <w:r w:rsidRPr="00746F54">
              <w:rPr>
                <w:rFonts w:ascii="Arial" w:eastAsia="Calibri" w:hAnsi="Arial" w:cs="Arial"/>
              </w:rPr>
              <w:t>$373,934</w:t>
            </w:r>
          </w:p>
        </w:tc>
        <w:tc>
          <w:tcPr>
            <w:tcW w:w="1522" w:type="dxa"/>
          </w:tcPr>
          <w:p w14:paraId="7B6FA832" w14:textId="77777777" w:rsidR="00903C3A" w:rsidRPr="00746F54" w:rsidRDefault="00903C3A" w:rsidP="00D62922">
            <w:pPr>
              <w:rPr>
                <w:rFonts w:ascii="Arial" w:eastAsia="Calibri" w:hAnsi="Arial" w:cs="Arial"/>
              </w:rPr>
            </w:pPr>
            <w:r w:rsidRPr="00746F54">
              <w:rPr>
                <w:rFonts w:ascii="Arial" w:eastAsia="Calibri" w:hAnsi="Arial" w:cs="Arial"/>
              </w:rPr>
              <w:t>$550,828</w:t>
            </w:r>
          </w:p>
        </w:tc>
        <w:tc>
          <w:tcPr>
            <w:tcW w:w="1278" w:type="dxa"/>
          </w:tcPr>
          <w:p w14:paraId="05947A02" w14:textId="77777777" w:rsidR="00903C3A" w:rsidRPr="00746F54" w:rsidRDefault="00903C3A" w:rsidP="00D62922">
            <w:pPr>
              <w:rPr>
                <w:rFonts w:ascii="Arial" w:eastAsia="Calibri" w:hAnsi="Arial" w:cs="Arial"/>
              </w:rPr>
            </w:pPr>
            <w:r w:rsidRPr="00746F54">
              <w:rPr>
                <w:rFonts w:ascii="Arial" w:eastAsia="Calibri" w:hAnsi="Arial" w:cs="Arial"/>
              </w:rPr>
              <w:t>$1,115,582</w:t>
            </w:r>
          </w:p>
        </w:tc>
      </w:tr>
      <w:tr w:rsidR="00903C3A" w:rsidRPr="00746F54" w14:paraId="2B063CA3" w14:textId="77777777" w:rsidTr="00D62922">
        <w:tc>
          <w:tcPr>
            <w:tcW w:w="1720" w:type="dxa"/>
          </w:tcPr>
          <w:p w14:paraId="616AF275" w14:textId="77777777" w:rsidR="00903C3A" w:rsidRPr="00746F54" w:rsidRDefault="00903C3A" w:rsidP="00D62922">
            <w:pPr>
              <w:rPr>
                <w:rFonts w:ascii="Arial" w:eastAsia="Calibri" w:hAnsi="Arial" w:cs="Arial"/>
              </w:rPr>
            </w:pPr>
            <w:r w:rsidRPr="00746F54">
              <w:rPr>
                <w:rFonts w:ascii="Arial" w:eastAsia="Calibri" w:hAnsi="Arial" w:cs="Arial"/>
              </w:rPr>
              <w:t>BAA 3</w:t>
            </w:r>
          </w:p>
        </w:tc>
        <w:tc>
          <w:tcPr>
            <w:tcW w:w="1607" w:type="dxa"/>
          </w:tcPr>
          <w:p w14:paraId="5EE46DC2" w14:textId="77777777" w:rsidR="00903C3A" w:rsidRPr="00746F54" w:rsidRDefault="00903C3A" w:rsidP="00D62922">
            <w:pPr>
              <w:rPr>
                <w:rFonts w:ascii="Arial" w:eastAsia="Calibri" w:hAnsi="Arial" w:cs="Arial"/>
              </w:rPr>
            </w:pPr>
            <w:r w:rsidRPr="00746F54">
              <w:rPr>
                <w:rFonts w:ascii="Arial" w:eastAsia="Calibri" w:hAnsi="Arial" w:cs="Arial"/>
              </w:rPr>
              <w:t>$271,622</w:t>
            </w:r>
          </w:p>
        </w:tc>
        <w:tc>
          <w:tcPr>
            <w:tcW w:w="1565" w:type="dxa"/>
          </w:tcPr>
          <w:p w14:paraId="7C53A3F5" w14:textId="77777777" w:rsidR="00903C3A" w:rsidRPr="00746F54" w:rsidRDefault="00903C3A" w:rsidP="00D62922">
            <w:pPr>
              <w:rPr>
                <w:rFonts w:ascii="Arial" w:eastAsia="Calibri" w:hAnsi="Arial" w:cs="Arial"/>
              </w:rPr>
            </w:pPr>
            <w:r w:rsidRPr="00746F54">
              <w:rPr>
                <w:rFonts w:ascii="Arial" w:eastAsia="Calibri" w:hAnsi="Arial" w:cs="Arial"/>
              </w:rPr>
              <w:t>$114,511</w:t>
            </w:r>
          </w:p>
        </w:tc>
        <w:tc>
          <w:tcPr>
            <w:tcW w:w="1658" w:type="dxa"/>
          </w:tcPr>
          <w:p w14:paraId="2FC5F134" w14:textId="77777777" w:rsidR="00903C3A" w:rsidRPr="00746F54" w:rsidRDefault="00903C3A" w:rsidP="00D62922">
            <w:pPr>
              <w:jc w:val="center"/>
              <w:rPr>
                <w:rFonts w:ascii="Arial" w:eastAsia="Calibri" w:hAnsi="Arial" w:cs="Arial"/>
              </w:rPr>
            </w:pPr>
            <w:r w:rsidRPr="00746F54">
              <w:rPr>
                <w:rFonts w:ascii="Arial" w:eastAsia="Calibri" w:hAnsi="Arial" w:cs="Arial"/>
              </w:rPr>
              <w:t>-</w:t>
            </w:r>
          </w:p>
        </w:tc>
        <w:tc>
          <w:tcPr>
            <w:tcW w:w="1522" w:type="dxa"/>
          </w:tcPr>
          <w:p w14:paraId="57C333D4" w14:textId="77777777" w:rsidR="00903C3A" w:rsidRPr="00746F54" w:rsidRDefault="00903C3A" w:rsidP="00D62922">
            <w:pPr>
              <w:rPr>
                <w:rFonts w:ascii="Arial" w:eastAsia="Calibri" w:hAnsi="Arial" w:cs="Arial"/>
              </w:rPr>
            </w:pPr>
            <w:r w:rsidRPr="00746F54">
              <w:rPr>
                <w:rFonts w:ascii="Arial" w:eastAsia="Calibri" w:hAnsi="Arial" w:cs="Arial"/>
              </w:rPr>
              <w:t>$784,077</w:t>
            </w:r>
          </w:p>
        </w:tc>
        <w:tc>
          <w:tcPr>
            <w:tcW w:w="1278" w:type="dxa"/>
          </w:tcPr>
          <w:p w14:paraId="76A820FB" w14:textId="77777777" w:rsidR="00903C3A" w:rsidRPr="00746F54" w:rsidRDefault="00903C3A" w:rsidP="00D62922">
            <w:pPr>
              <w:rPr>
                <w:rFonts w:ascii="Arial" w:eastAsia="Calibri" w:hAnsi="Arial" w:cs="Arial"/>
              </w:rPr>
            </w:pPr>
            <w:r w:rsidRPr="00746F54">
              <w:rPr>
                <w:rFonts w:ascii="Arial" w:eastAsia="Calibri" w:hAnsi="Arial" w:cs="Arial"/>
              </w:rPr>
              <w:t>$1,170,210</w:t>
            </w:r>
          </w:p>
        </w:tc>
      </w:tr>
      <w:tr w:rsidR="00903C3A" w:rsidRPr="00746F54" w14:paraId="675CC273" w14:textId="77777777" w:rsidTr="00D62922">
        <w:tc>
          <w:tcPr>
            <w:tcW w:w="1720" w:type="dxa"/>
          </w:tcPr>
          <w:p w14:paraId="29511202" w14:textId="77777777" w:rsidR="00903C3A" w:rsidRPr="00746F54" w:rsidRDefault="00903C3A" w:rsidP="00D62922">
            <w:pPr>
              <w:rPr>
                <w:rFonts w:ascii="Arial" w:eastAsia="Calibri" w:hAnsi="Arial" w:cs="Arial"/>
              </w:rPr>
            </w:pPr>
            <w:r w:rsidRPr="00746F54">
              <w:rPr>
                <w:rFonts w:ascii="Arial" w:eastAsia="Calibri" w:hAnsi="Arial" w:cs="Arial"/>
              </w:rPr>
              <w:t>BAA 4</w:t>
            </w:r>
          </w:p>
        </w:tc>
        <w:tc>
          <w:tcPr>
            <w:tcW w:w="1607" w:type="dxa"/>
          </w:tcPr>
          <w:p w14:paraId="262C9392" w14:textId="77777777" w:rsidR="00903C3A" w:rsidRPr="00746F54" w:rsidRDefault="00903C3A" w:rsidP="00D62922">
            <w:pPr>
              <w:rPr>
                <w:rFonts w:ascii="Arial" w:eastAsia="Calibri" w:hAnsi="Arial" w:cs="Arial"/>
              </w:rPr>
            </w:pPr>
            <w:r w:rsidRPr="00746F54">
              <w:rPr>
                <w:rFonts w:ascii="Arial" w:eastAsia="Calibri" w:hAnsi="Arial" w:cs="Arial"/>
              </w:rPr>
              <w:t>$487,558</w:t>
            </w:r>
          </w:p>
        </w:tc>
        <w:tc>
          <w:tcPr>
            <w:tcW w:w="1565" w:type="dxa"/>
          </w:tcPr>
          <w:p w14:paraId="17260E66" w14:textId="77777777" w:rsidR="00903C3A" w:rsidRPr="00746F54" w:rsidRDefault="00903C3A" w:rsidP="00D62922">
            <w:pPr>
              <w:rPr>
                <w:rFonts w:ascii="Arial" w:eastAsia="Calibri" w:hAnsi="Arial" w:cs="Arial"/>
              </w:rPr>
            </w:pPr>
            <w:r w:rsidRPr="00746F54">
              <w:rPr>
                <w:rFonts w:ascii="Arial" w:eastAsia="Calibri" w:hAnsi="Arial" w:cs="Arial"/>
              </w:rPr>
              <w:t>$205,546</w:t>
            </w:r>
          </w:p>
        </w:tc>
        <w:tc>
          <w:tcPr>
            <w:tcW w:w="1658" w:type="dxa"/>
          </w:tcPr>
          <w:p w14:paraId="2A032809" w14:textId="77777777" w:rsidR="00903C3A" w:rsidRPr="00746F54" w:rsidRDefault="00903C3A" w:rsidP="00D62922">
            <w:pPr>
              <w:rPr>
                <w:rFonts w:ascii="Arial" w:eastAsia="Calibri" w:hAnsi="Arial" w:cs="Arial"/>
              </w:rPr>
            </w:pPr>
            <w:r w:rsidRPr="00746F54">
              <w:rPr>
                <w:rFonts w:ascii="Arial" w:eastAsia="Calibri" w:hAnsi="Arial" w:cs="Arial"/>
              </w:rPr>
              <w:t>$955,430</w:t>
            </w:r>
          </w:p>
        </w:tc>
        <w:tc>
          <w:tcPr>
            <w:tcW w:w="1522" w:type="dxa"/>
          </w:tcPr>
          <w:p w14:paraId="5623B7F6" w14:textId="77777777" w:rsidR="00903C3A" w:rsidRPr="00746F54" w:rsidRDefault="00903C3A" w:rsidP="00D62922">
            <w:pPr>
              <w:jc w:val="center"/>
              <w:rPr>
                <w:rFonts w:ascii="Arial" w:eastAsia="Calibri" w:hAnsi="Arial" w:cs="Arial"/>
              </w:rPr>
            </w:pPr>
            <w:r w:rsidRPr="00746F54">
              <w:rPr>
                <w:rFonts w:ascii="Arial" w:eastAsia="Calibri" w:hAnsi="Arial" w:cs="Arial"/>
              </w:rPr>
              <w:t>-</w:t>
            </w:r>
          </w:p>
        </w:tc>
        <w:tc>
          <w:tcPr>
            <w:tcW w:w="1278" w:type="dxa"/>
          </w:tcPr>
          <w:p w14:paraId="33553847" w14:textId="77777777" w:rsidR="00903C3A" w:rsidRPr="00746F54" w:rsidRDefault="00903C3A" w:rsidP="00D62922">
            <w:pPr>
              <w:jc w:val="center"/>
              <w:rPr>
                <w:rFonts w:ascii="Arial" w:eastAsia="Calibri" w:hAnsi="Arial" w:cs="Arial"/>
              </w:rPr>
            </w:pPr>
            <w:r w:rsidRPr="00746F54">
              <w:rPr>
                <w:rFonts w:ascii="Arial" w:eastAsia="Calibri" w:hAnsi="Arial" w:cs="Arial"/>
              </w:rPr>
              <w:t>$1,648,534</w:t>
            </w:r>
          </w:p>
        </w:tc>
      </w:tr>
    </w:tbl>
    <w:p w14:paraId="6C9C9AA1" w14:textId="77777777" w:rsidR="00903C3A" w:rsidRPr="00746F54" w:rsidRDefault="00903C3A" w:rsidP="00903C3A">
      <w:pPr>
        <w:spacing w:after="0"/>
        <w:rPr>
          <w:rFonts w:ascii="Arial" w:eastAsia="Calibri" w:hAnsi="Arial" w:cs="Arial"/>
          <w:sz w:val="18"/>
          <w:szCs w:val="18"/>
        </w:rPr>
      </w:pPr>
    </w:p>
    <w:p w14:paraId="4EE4FF0F" w14:textId="77777777" w:rsidR="00903C3A" w:rsidRPr="00746F54" w:rsidRDefault="00903C3A" w:rsidP="00903C3A">
      <w:pPr>
        <w:spacing w:after="0"/>
        <w:rPr>
          <w:rFonts w:ascii="Arial" w:eastAsia="Calibri" w:hAnsi="Arial" w:cs="Arial"/>
          <w:b/>
          <w:bCs/>
          <w:i/>
          <w:u w:val="single"/>
        </w:rPr>
      </w:pPr>
      <w:r w:rsidRPr="00746F54">
        <w:rPr>
          <w:rFonts w:ascii="Arial" w:eastAsia="Calibri" w:hAnsi="Arial" w:cs="Arial"/>
          <w:b/>
          <w:bCs/>
          <w:i/>
          <w:u w:val="single"/>
        </w:rPr>
        <w:t>Annual True-Up of EDAM Recoverable Revenue</w:t>
      </w:r>
    </w:p>
    <w:p w14:paraId="4219C3EE" w14:textId="4A1E0BEF" w:rsidR="00903C3A" w:rsidRPr="00746F54" w:rsidRDefault="00903C3A" w:rsidP="00903C3A">
      <w:pPr>
        <w:spacing w:after="0"/>
        <w:rPr>
          <w:rFonts w:ascii="Arial" w:eastAsia="Calibri" w:hAnsi="Arial" w:cs="Arial"/>
        </w:rPr>
      </w:pPr>
      <w:r w:rsidRPr="00746F54">
        <w:rPr>
          <w:rFonts w:ascii="Arial" w:eastAsia="Calibri" w:hAnsi="Arial" w:cs="Arial"/>
        </w:rPr>
        <w:t xml:space="preserve">The EDAM access charge includes an annual true-up to help right-size the EDAM access charge year-to-year based on expected collections and actual collections.  Critically, the annual true-up also corrects any inaccurate projections based on actual collections each year.  </w:t>
      </w:r>
    </w:p>
    <w:p w14:paraId="717E675C" w14:textId="77777777" w:rsidR="00903C3A" w:rsidRPr="00746F54" w:rsidRDefault="00903C3A" w:rsidP="00903C3A">
      <w:pPr>
        <w:spacing w:after="0"/>
        <w:rPr>
          <w:rFonts w:ascii="Arial" w:eastAsia="Calibri" w:hAnsi="Arial" w:cs="Arial"/>
          <w:bCs/>
        </w:rPr>
      </w:pPr>
    </w:p>
    <w:p w14:paraId="195035D3" w14:textId="73AC81CF" w:rsidR="00903C3A" w:rsidRPr="00746F54" w:rsidRDefault="00903C3A" w:rsidP="00903C3A">
      <w:pPr>
        <w:spacing w:after="0"/>
        <w:rPr>
          <w:rFonts w:ascii="Arial" w:eastAsia="Calibri" w:hAnsi="Arial" w:cs="Arial"/>
        </w:rPr>
      </w:pPr>
      <w:r w:rsidRPr="00746F54">
        <w:rPr>
          <w:rFonts w:ascii="Arial" w:eastAsia="Calibri" w:hAnsi="Arial" w:cs="Arial"/>
        </w:rPr>
        <w:t>Table 11 identifies the different sources of short-term revenues for 2026.  For purposes of the example, assume the EDAM recoverable revenue estimated by the BAAs in Table 2 consists of the actual EDAM access charge amounts recovered by the CAISO and distributed to the BAA in 2026.  Because there were no component 2 and 3 revenues considered for the year 2026, the true-up example in Table 9 reflects true-up only to component 1.</w:t>
      </w:r>
    </w:p>
    <w:p w14:paraId="352DADCE" w14:textId="77777777" w:rsidR="00903C3A" w:rsidRPr="00746F54" w:rsidRDefault="00903C3A" w:rsidP="00903C3A">
      <w:pPr>
        <w:spacing w:after="0"/>
        <w:rPr>
          <w:rFonts w:ascii="Arial" w:eastAsia="Calibri" w:hAnsi="Arial" w:cs="Arial"/>
        </w:rPr>
      </w:pPr>
    </w:p>
    <w:p w14:paraId="34717C9F" w14:textId="77777777" w:rsidR="00903C3A" w:rsidRPr="00746F54" w:rsidRDefault="00903C3A" w:rsidP="00903C3A">
      <w:pPr>
        <w:keepNext/>
        <w:keepLines/>
        <w:jc w:val="center"/>
        <w:rPr>
          <w:rFonts w:ascii="Arial" w:eastAsia="Calibri" w:hAnsi="Arial" w:cs="Arial"/>
        </w:rPr>
      </w:pPr>
      <w:r w:rsidRPr="00746F54">
        <w:rPr>
          <w:rFonts w:ascii="Arial" w:eastAsia="Calibri" w:hAnsi="Arial" w:cs="Arial"/>
          <w:b/>
        </w:rPr>
        <w:lastRenderedPageBreak/>
        <w:t>Table 11: True-up of Component 1 Based on 2026 Actuals</w:t>
      </w:r>
    </w:p>
    <w:tbl>
      <w:tblPr>
        <w:tblStyle w:val="TableGrid1"/>
        <w:tblW w:w="9375" w:type="dxa"/>
        <w:tblLook w:val="04A0" w:firstRow="1" w:lastRow="0" w:firstColumn="1" w:lastColumn="0" w:noHBand="0" w:noVBand="1"/>
      </w:tblPr>
      <w:tblGrid>
        <w:gridCol w:w="1451"/>
        <w:gridCol w:w="1440"/>
        <w:gridCol w:w="1318"/>
        <w:gridCol w:w="1354"/>
        <w:gridCol w:w="1318"/>
        <w:gridCol w:w="1440"/>
        <w:gridCol w:w="1464"/>
      </w:tblGrid>
      <w:tr w:rsidR="00903C3A" w:rsidRPr="00746F54" w14:paraId="0C986E4F" w14:textId="77777777" w:rsidTr="00D62922">
        <w:trPr>
          <w:trHeight w:val="860"/>
        </w:trPr>
        <w:tc>
          <w:tcPr>
            <w:tcW w:w="1389" w:type="dxa"/>
          </w:tcPr>
          <w:p w14:paraId="00C6AFDD" w14:textId="77777777" w:rsidR="00903C3A" w:rsidRPr="00746F54" w:rsidRDefault="00903C3A" w:rsidP="00D62922">
            <w:pPr>
              <w:keepNext/>
              <w:keepLines/>
              <w:rPr>
                <w:rFonts w:ascii="Arial" w:eastAsia="Calibri" w:hAnsi="Arial" w:cs="Arial"/>
              </w:rPr>
            </w:pPr>
            <w:r w:rsidRPr="00746F54">
              <w:rPr>
                <w:rFonts w:ascii="Arial" w:eastAsia="Calibri" w:hAnsi="Arial" w:cs="Arial"/>
              </w:rPr>
              <w:t>EDAM Entity transmission provider</w:t>
            </w:r>
          </w:p>
        </w:tc>
        <w:tc>
          <w:tcPr>
            <w:tcW w:w="1394" w:type="dxa"/>
          </w:tcPr>
          <w:p w14:paraId="61556B6E" w14:textId="77777777" w:rsidR="00903C3A" w:rsidRPr="00746F54" w:rsidRDefault="00903C3A" w:rsidP="00D62922">
            <w:pPr>
              <w:keepNext/>
              <w:keepLines/>
              <w:jc w:val="center"/>
              <w:rPr>
                <w:rFonts w:ascii="Arial" w:eastAsia="Calibri" w:hAnsi="Arial" w:cs="Arial"/>
              </w:rPr>
            </w:pPr>
            <w:r w:rsidRPr="00746F54">
              <w:rPr>
                <w:rFonts w:ascii="Arial" w:eastAsia="Calibri" w:hAnsi="Arial" w:cs="Arial"/>
              </w:rPr>
              <w:t xml:space="preserve">Historical 3-year average of short term sales </w:t>
            </w:r>
          </w:p>
          <w:p w14:paraId="25073301" w14:textId="77777777" w:rsidR="00903C3A" w:rsidRPr="00746F54" w:rsidRDefault="00903C3A" w:rsidP="00D62922">
            <w:pPr>
              <w:keepNext/>
              <w:keepLines/>
              <w:jc w:val="center"/>
              <w:rPr>
                <w:rFonts w:ascii="Arial" w:eastAsia="Calibri" w:hAnsi="Arial" w:cs="Arial"/>
              </w:rPr>
            </w:pPr>
            <w:r w:rsidRPr="00746F54">
              <w:rPr>
                <w:rFonts w:ascii="Arial" w:eastAsia="Calibri" w:hAnsi="Arial" w:cs="Arial"/>
              </w:rPr>
              <w:t>(e)</w:t>
            </w:r>
          </w:p>
        </w:tc>
        <w:tc>
          <w:tcPr>
            <w:tcW w:w="1367" w:type="dxa"/>
          </w:tcPr>
          <w:p w14:paraId="203C7CB7" w14:textId="77777777" w:rsidR="00903C3A" w:rsidRPr="00746F54" w:rsidRDefault="00903C3A" w:rsidP="00D62922">
            <w:pPr>
              <w:keepNext/>
              <w:keepLines/>
              <w:jc w:val="center"/>
              <w:rPr>
                <w:rFonts w:ascii="Arial" w:eastAsia="Calibri" w:hAnsi="Arial" w:cs="Arial"/>
              </w:rPr>
            </w:pPr>
            <w:r w:rsidRPr="00746F54">
              <w:rPr>
                <w:rFonts w:ascii="Arial" w:eastAsia="Calibri" w:hAnsi="Arial" w:cs="Arial"/>
              </w:rPr>
              <w:t xml:space="preserve">Revenues recovered through EDAM access charge </w:t>
            </w:r>
          </w:p>
          <w:p w14:paraId="4B8939AB" w14:textId="77777777" w:rsidR="00903C3A" w:rsidRPr="00746F54" w:rsidRDefault="00903C3A" w:rsidP="00D62922">
            <w:pPr>
              <w:keepNext/>
              <w:keepLines/>
              <w:jc w:val="center"/>
              <w:rPr>
                <w:rFonts w:ascii="Arial" w:eastAsia="Calibri" w:hAnsi="Arial" w:cs="Arial"/>
              </w:rPr>
            </w:pPr>
            <w:r w:rsidRPr="00746F54">
              <w:rPr>
                <w:rFonts w:ascii="Arial" w:eastAsia="Calibri" w:hAnsi="Arial" w:cs="Arial"/>
              </w:rPr>
              <w:t>(f)</w:t>
            </w:r>
          </w:p>
        </w:tc>
        <w:tc>
          <w:tcPr>
            <w:tcW w:w="1292" w:type="dxa"/>
          </w:tcPr>
          <w:p w14:paraId="6A763002" w14:textId="77777777" w:rsidR="00903C3A" w:rsidRPr="00746F54" w:rsidRDefault="00903C3A" w:rsidP="00D62922">
            <w:pPr>
              <w:keepNext/>
              <w:keepLines/>
              <w:jc w:val="center"/>
              <w:rPr>
                <w:rFonts w:ascii="Arial" w:eastAsia="Calibri" w:hAnsi="Arial" w:cs="Arial"/>
              </w:rPr>
            </w:pPr>
            <w:r w:rsidRPr="00746F54">
              <w:rPr>
                <w:rFonts w:ascii="Arial" w:eastAsia="Calibri" w:hAnsi="Arial" w:cs="Arial"/>
              </w:rPr>
              <w:t>Net incremental wheel through transfers</w:t>
            </w:r>
          </w:p>
          <w:p w14:paraId="531CA33A" w14:textId="77777777" w:rsidR="00903C3A" w:rsidRPr="00746F54" w:rsidRDefault="00903C3A" w:rsidP="00D62922">
            <w:pPr>
              <w:keepNext/>
              <w:keepLines/>
              <w:jc w:val="center"/>
              <w:rPr>
                <w:rFonts w:ascii="Arial" w:eastAsia="Calibri" w:hAnsi="Arial" w:cs="Arial"/>
              </w:rPr>
            </w:pPr>
            <w:r w:rsidRPr="00746F54">
              <w:rPr>
                <w:rFonts w:ascii="Arial" w:eastAsia="Calibri" w:hAnsi="Arial" w:cs="Arial"/>
              </w:rPr>
              <w:t>(g)</w:t>
            </w:r>
          </w:p>
        </w:tc>
        <w:tc>
          <w:tcPr>
            <w:tcW w:w="1251" w:type="dxa"/>
          </w:tcPr>
          <w:p w14:paraId="0CAED47F" w14:textId="77777777" w:rsidR="00903C3A" w:rsidRPr="00746F54" w:rsidRDefault="00903C3A" w:rsidP="00D62922">
            <w:pPr>
              <w:keepNext/>
              <w:keepLines/>
              <w:jc w:val="center"/>
              <w:rPr>
                <w:rFonts w:ascii="Arial" w:eastAsia="Calibri" w:hAnsi="Arial" w:cs="Arial"/>
              </w:rPr>
            </w:pPr>
            <w:r w:rsidRPr="00746F54">
              <w:rPr>
                <w:rFonts w:ascii="Arial" w:eastAsia="Calibri" w:hAnsi="Arial" w:cs="Arial"/>
              </w:rPr>
              <w:t>Adjusted EDAM access charge revenue</w:t>
            </w:r>
          </w:p>
          <w:p w14:paraId="2A1AB93F" w14:textId="77777777" w:rsidR="00903C3A" w:rsidRPr="00746F54" w:rsidRDefault="00903C3A" w:rsidP="00D62922">
            <w:pPr>
              <w:keepNext/>
              <w:keepLines/>
              <w:jc w:val="center"/>
              <w:rPr>
                <w:rFonts w:ascii="Arial" w:eastAsia="Calibri" w:hAnsi="Arial" w:cs="Arial"/>
              </w:rPr>
            </w:pPr>
            <w:r w:rsidRPr="00746F54">
              <w:rPr>
                <w:rFonts w:ascii="Arial" w:eastAsia="Calibri" w:hAnsi="Arial" w:cs="Arial"/>
              </w:rPr>
              <w:t>(h) = (f – g)</w:t>
            </w:r>
          </w:p>
        </w:tc>
        <w:tc>
          <w:tcPr>
            <w:tcW w:w="1330" w:type="dxa"/>
          </w:tcPr>
          <w:p w14:paraId="5E4166B3" w14:textId="77777777" w:rsidR="00903C3A" w:rsidRPr="00746F54" w:rsidRDefault="00903C3A" w:rsidP="00D62922">
            <w:pPr>
              <w:keepNext/>
              <w:keepLines/>
              <w:jc w:val="center"/>
              <w:rPr>
                <w:rFonts w:ascii="Arial" w:eastAsia="Calibri" w:hAnsi="Arial" w:cs="Arial"/>
              </w:rPr>
            </w:pPr>
            <w:r w:rsidRPr="00746F54">
              <w:rPr>
                <w:rFonts w:ascii="Arial" w:eastAsia="Calibri" w:hAnsi="Arial" w:cs="Arial"/>
              </w:rPr>
              <w:t>EDAM Entity’s actual OATT sales of short-term products</w:t>
            </w:r>
          </w:p>
          <w:p w14:paraId="0E0DBF71" w14:textId="77777777" w:rsidR="00903C3A" w:rsidRPr="00746F54" w:rsidRDefault="00903C3A" w:rsidP="00D62922">
            <w:pPr>
              <w:keepNext/>
              <w:keepLines/>
              <w:jc w:val="center"/>
              <w:rPr>
                <w:rFonts w:ascii="Arial" w:eastAsia="Calibri" w:hAnsi="Arial" w:cs="Arial"/>
              </w:rPr>
            </w:pPr>
            <w:r w:rsidRPr="00746F54">
              <w:rPr>
                <w:rFonts w:ascii="Arial" w:eastAsia="Calibri" w:hAnsi="Arial" w:cs="Arial"/>
              </w:rPr>
              <w:t>(i)</w:t>
            </w:r>
          </w:p>
        </w:tc>
        <w:tc>
          <w:tcPr>
            <w:tcW w:w="1352" w:type="dxa"/>
          </w:tcPr>
          <w:p w14:paraId="4076006F" w14:textId="77777777" w:rsidR="00903C3A" w:rsidRPr="00746F54" w:rsidRDefault="00903C3A" w:rsidP="00D62922">
            <w:pPr>
              <w:keepNext/>
              <w:keepLines/>
              <w:jc w:val="center"/>
              <w:rPr>
                <w:rFonts w:ascii="Arial" w:eastAsia="Calibri" w:hAnsi="Arial" w:cs="Arial"/>
              </w:rPr>
            </w:pPr>
            <w:r w:rsidRPr="00746F54">
              <w:rPr>
                <w:rFonts w:ascii="Arial" w:eastAsia="Calibri" w:hAnsi="Arial" w:cs="Arial"/>
              </w:rPr>
              <w:t>True-up amount for 2027 EDAM access charge</w:t>
            </w:r>
          </w:p>
          <w:p w14:paraId="09FB6683" w14:textId="77777777" w:rsidR="00903C3A" w:rsidRPr="00746F54" w:rsidRDefault="00903C3A" w:rsidP="00D62922">
            <w:pPr>
              <w:keepNext/>
              <w:keepLines/>
              <w:jc w:val="center"/>
              <w:rPr>
                <w:rFonts w:ascii="Arial" w:eastAsia="Calibri" w:hAnsi="Arial" w:cs="Arial"/>
              </w:rPr>
            </w:pPr>
            <w:r w:rsidRPr="00746F54">
              <w:rPr>
                <w:rFonts w:ascii="Arial" w:eastAsia="Calibri" w:hAnsi="Arial" w:cs="Arial"/>
              </w:rPr>
              <w:t>(j) = (f +i) – (e)</w:t>
            </w:r>
          </w:p>
        </w:tc>
      </w:tr>
      <w:tr w:rsidR="00903C3A" w:rsidRPr="00746F54" w14:paraId="33CF1B41" w14:textId="77777777" w:rsidTr="00D62922">
        <w:trPr>
          <w:trHeight w:val="210"/>
        </w:trPr>
        <w:tc>
          <w:tcPr>
            <w:tcW w:w="1389" w:type="dxa"/>
          </w:tcPr>
          <w:p w14:paraId="4ECC8173" w14:textId="77777777" w:rsidR="00903C3A" w:rsidRPr="00746F54" w:rsidRDefault="00903C3A" w:rsidP="00D62922">
            <w:pPr>
              <w:keepNext/>
              <w:keepLines/>
              <w:jc w:val="center"/>
              <w:rPr>
                <w:rFonts w:ascii="Arial" w:eastAsia="Calibri" w:hAnsi="Arial" w:cs="Arial"/>
              </w:rPr>
            </w:pPr>
            <w:r w:rsidRPr="00746F54">
              <w:rPr>
                <w:rFonts w:ascii="Arial" w:eastAsia="Calibri" w:hAnsi="Arial" w:cs="Arial"/>
              </w:rPr>
              <w:t>BAA 1</w:t>
            </w:r>
          </w:p>
        </w:tc>
        <w:tc>
          <w:tcPr>
            <w:tcW w:w="1394" w:type="dxa"/>
          </w:tcPr>
          <w:p w14:paraId="168EEDD3" w14:textId="77777777" w:rsidR="00903C3A" w:rsidRPr="00746F54" w:rsidRDefault="00903C3A" w:rsidP="00D62922">
            <w:pPr>
              <w:keepNext/>
              <w:keepLines/>
              <w:jc w:val="center"/>
              <w:rPr>
                <w:rFonts w:ascii="Arial" w:eastAsia="Calibri" w:hAnsi="Arial" w:cs="Arial"/>
              </w:rPr>
            </w:pPr>
            <w:r w:rsidRPr="00746F54">
              <w:rPr>
                <w:rFonts w:ascii="Arial" w:eastAsia="Calibri" w:hAnsi="Arial" w:cs="Arial"/>
              </w:rPr>
              <w:t>$14,242,500</w:t>
            </w:r>
          </w:p>
        </w:tc>
        <w:tc>
          <w:tcPr>
            <w:tcW w:w="1367" w:type="dxa"/>
          </w:tcPr>
          <w:p w14:paraId="0446715A" w14:textId="77777777" w:rsidR="00903C3A" w:rsidRPr="00746F54" w:rsidRDefault="00903C3A" w:rsidP="00D62922">
            <w:pPr>
              <w:keepNext/>
              <w:keepLines/>
              <w:jc w:val="center"/>
              <w:rPr>
                <w:rFonts w:ascii="Arial" w:eastAsia="Calibri" w:hAnsi="Arial" w:cs="Arial"/>
              </w:rPr>
            </w:pPr>
            <w:r w:rsidRPr="00746F54">
              <w:rPr>
                <w:rFonts w:ascii="Arial" w:eastAsia="Calibri" w:hAnsi="Arial" w:cs="Arial"/>
              </w:rPr>
              <w:t>$7,071,674</w:t>
            </w:r>
          </w:p>
        </w:tc>
        <w:tc>
          <w:tcPr>
            <w:tcW w:w="1292" w:type="dxa"/>
          </w:tcPr>
          <w:p w14:paraId="1D7737EE" w14:textId="77777777" w:rsidR="00903C3A" w:rsidRPr="00746F54" w:rsidRDefault="00903C3A" w:rsidP="00D62922">
            <w:pPr>
              <w:keepNext/>
              <w:keepLines/>
              <w:jc w:val="center"/>
              <w:rPr>
                <w:rFonts w:ascii="Arial" w:eastAsia="Calibri" w:hAnsi="Arial" w:cs="Arial"/>
              </w:rPr>
            </w:pPr>
            <w:r w:rsidRPr="00746F54">
              <w:rPr>
                <w:rFonts w:ascii="Arial" w:eastAsia="Calibri" w:hAnsi="Arial" w:cs="Arial"/>
              </w:rPr>
              <w:t>-</w:t>
            </w:r>
          </w:p>
        </w:tc>
        <w:tc>
          <w:tcPr>
            <w:tcW w:w="1251" w:type="dxa"/>
          </w:tcPr>
          <w:p w14:paraId="01A95BB7" w14:textId="77777777" w:rsidR="00903C3A" w:rsidRPr="00746F54" w:rsidRDefault="00903C3A" w:rsidP="00D62922">
            <w:pPr>
              <w:keepNext/>
              <w:keepLines/>
              <w:jc w:val="center"/>
              <w:rPr>
                <w:rFonts w:ascii="Arial" w:eastAsia="Calibri" w:hAnsi="Arial" w:cs="Arial"/>
              </w:rPr>
            </w:pPr>
            <w:r w:rsidRPr="00746F54">
              <w:rPr>
                <w:rFonts w:ascii="Arial" w:eastAsia="Calibri" w:hAnsi="Arial" w:cs="Arial"/>
              </w:rPr>
              <w:t>$7,071,674</w:t>
            </w:r>
          </w:p>
        </w:tc>
        <w:tc>
          <w:tcPr>
            <w:tcW w:w="1330" w:type="dxa"/>
          </w:tcPr>
          <w:p w14:paraId="59301C13" w14:textId="77777777" w:rsidR="00903C3A" w:rsidRPr="00746F54" w:rsidRDefault="00903C3A" w:rsidP="00D62922">
            <w:pPr>
              <w:keepNext/>
              <w:keepLines/>
              <w:jc w:val="center"/>
              <w:rPr>
                <w:rFonts w:ascii="Arial" w:eastAsia="Calibri" w:hAnsi="Arial" w:cs="Arial"/>
              </w:rPr>
            </w:pPr>
            <w:r w:rsidRPr="00746F54">
              <w:rPr>
                <w:rFonts w:ascii="Arial" w:eastAsia="Calibri" w:hAnsi="Arial" w:cs="Arial"/>
              </w:rPr>
              <w:t>$7,170,826</w:t>
            </w:r>
          </w:p>
        </w:tc>
        <w:tc>
          <w:tcPr>
            <w:tcW w:w="1352" w:type="dxa"/>
          </w:tcPr>
          <w:p w14:paraId="25B1DF45" w14:textId="77777777" w:rsidR="00903C3A" w:rsidRPr="00746F54" w:rsidRDefault="00903C3A" w:rsidP="00D62922">
            <w:pPr>
              <w:keepNext/>
              <w:keepLines/>
              <w:jc w:val="center"/>
              <w:rPr>
                <w:rFonts w:ascii="Arial" w:eastAsia="Calibri" w:hAnsi="Arial" w:cs="Arial"/>
              </w:rPr>
            </w:pPr>
            <w:r w:rsidRPr="00746F54">
              <w:rPr>
                <w:rFonts w:ascii="Arial" w:eastAsia="Calibri" w:hAnsi="Arial" w:cs="Arial"/>
              </w:rPr>
              <w:t>$0</w:t>
            </w:r>
          </w:p>
        </w:tc>
      </w:tr>
      <w:tr w:rsidR="00903C3A" w:rsidRPr="00746F54" w14:paraId="19B13FBD" w14:textId="77777777" w:rsidTr="00D62922">
        <w:trPr>
          <w:trHeight w:val="210"/>
        </w:trPr>
        <w:tc>
          <w:tcPr>
            <w:tcW w:w="1389" w:type="dxa"/>
          </w:tcPr>
          <w:p w14:paraId="2B556781" w14:textId="77777777" w:rsidR="00903C3A" w:rsidRPr="00746F54" w:rsidRDefault="00903C3A" w:rsidP="00D62922">
            <w:pPr>
              <w:keepNext/>
              <w:keepLines/>
              <w:jc w:val="center"/>
              <w:rPr>
                <w:rFonts w:ascii="Arial" w:eastAsia="Calibri" w:hAnsi="Arial" w:cs="Arial"/>
              </w:rPr>
            </w:pPr>
            <w:r w:rsidRPr="00746F54">
              <w:rPr>
                <w:rFonts w:ascii="Arial" w:eastAsia="Calibri" w:hAnsi="Arial" w:cs="Arial"/>
              </w:rPr>
              <w:t>BAA 2</w:t>
            </w:r>
          </w:p>
        </w:tc>
        <w:tc>
          <w:tcPr>
            <w:tcW w:w="1394" w:type="dxa"/>
          </w:tcPr>
          <w:p w14:paraId="06708001" w14:textId="77777777" w:rsidR="00903C3A" w:rsidRPr="00746F54" w:rsidRDefault="00903C3A" w:rsidP="00D62922">
            <w:pPr>
              <w:keepNext/>
              <w:keepLines/>
              <w:jc w:val="center"/>
              <w:rPr>
                <w:rFonts w:ascii="Arial" w:eastAsia="Calibri" w:hAnsi="Arial" w:cs="Arial"/>
              </w:rPr>
            </w:pPr>
            <w:r w:rsidRPr="00746F54">
              <w:rPr>
                <w:rFonts w:ascii="Arial" w:eastAsia="Calibri" w:hAnsi="Arial" w:cs="Arial"/>
              </w:rPr>
              <w:t>$3,600,000</w:t>
            </w:r>
          </w:p>
        </w:tc>
        <w:tc>
          <w:tcPr>
            <w:tcW w:w="1367" w:type="dxa"/>
          </w:tcPr>
          <w:p w14:paraId="24EB6C6C" w14:textId="77777777" w:rsidR="00903C3A" w:rsidRPr="00746F54" w:rsidRDefault="00903C3A" w:rsidP="00D62922">
            <w:pPr>
              <w:keepNext/>
              <w:keepLines/>
              <w:jc w:val="center"/>
              <w:rPr>
                <w:rFonts w:ascii="Arial" w:eastAsia="Calibri" w:hAnsi="Arial" w:cs="Arial"/>
              </w:rPr>
            </w:pPr>
            <w:r w:rsidRPr="00746F54">
              <w:rPr>
                <w:rFonts w:ascii="Arial" w:eastAsia="Calibri" w:hAnsi="Arial" w:cs="Arial"/>
              </w:rPr>
              <w:t>$1,115,582</w:t>
            </w:r>
          </w:p>
        </w:tc>
        <w:tc>
          <w:tcPr>
            <w:tcW w:w="1292" w:type="dxa"/>
          </w:tcPr>
          <w:p w14:paraId="76AB3EB4" w14:textId="77777777" w:rsidR="00903C3A" w:rsidRPr="00746F54" w:rsidRDefault="00903C3A" w:rsidP="00D62922">
            <w:pPr>
              <w:keepNext/>
              <w:keepLines/>
              <w:jc w:val="center"/>
              <w:rPr>
                <w:rFonts w:ascii="Arial" w:eastAsia="Calibri" w:hAnsi="Arial" w:cs="Arial"/>
              </w:rPr>
            </w:pPr>
            <w:r w:rsidRPr="00746F54">
              <w:rPr>
                <w:rFonts w:ascii="Arial" w:eastAsia="Calibri" w:hAnsi="Arial" w:cs="Arial"/>
              </w:rPr>
              <w:t>-</w:t>
            </w:r>
          </w:p>
        </w:tc>
        <w:tc>
          <w:tcPr>
            <w:tcW w:w="1251" w:type="dxa"/>
          </w:tcPr>
          <w:p w14:paraId="22916692" w14:textId="77777777" w:rsidR="00903C3A" w:rsidRPr="00746F54" w:rsidRDefault="00903C3A" w:rsidP="00D62922">
            <w:pPr>
              <w:keepNext/>
              <w:keepLines/>
              <w:jc w:val="center"/>
              <w:rPr>
                <w:rFonts w:ascii="Arial" w:eastAsia="Calibri" w:hAnsi="Arial" w:cs="Arial"/>
              </w:rPr>
            </w:pPr>
            <w:r w:rsidRPr="00746F54">
              <w:rPr>
                <w:rFonts w:ascii="Arial" w:eastAsia="Calibri" w:hAnsi="Arial" w:cs="Arial"/>
              </w:rPr>
              <w:t>$1,115,582</w:t>
            </w:r>
          </w:p>
        </w:tc>
        <w:tc>
          <w:tcPr>
            <w:tcW w:w="1330" w:type="dxa"/>
          </w:tcPr>
          <w:p w14:paraId="3F18A729" w14:textId="77777777" w:rsidR="00903C3A" w:rsidRPr="00746F54" w:rsidRDefault="00903C3A" w:rsidP="00D62922">
            <w:pPr>
              <w:keepNext/>
              <w:keepLines/>
              <w:jc w:val="center"/>
              <w:rPr>
                <w:rFonts w:ascii="Arial" w:eastAsia="Calibri" w:hAnsi="Arial" w:cs="Arial"/>
              </w:rPr>
            </w:pPr>
            <w:r w:rsidRPr="00746F54">
              <w:rPr>
                <w:rFonts w:ascii="Arial" w:eastAsia="Calibri" w:hAnsi="Arial" w:cs="Arial"/>
              </w:rPr>
              <w:t>$1,484,418</w:t>
            </w:r>
          </w:p>
        </w:tc>
        <w:tc>
          <w:tcPr>
            <w:tcW w:w="1352" w:type="dxa"/>
          </w:tcPr>
          <w:p w14:paraId="2FD1AB9C" w14:textId="77777777" w:rsidR="00903C3A" w:rsidRPr="00746F54" w:rsidRDefault="00903C3A" w:rsidP="00D62922">
            <w:pPr>
              <w:keepNext/>
              <w:keepLines/>
              <w:jc w:val="center"/>
              <w:rPr>
                <w:rFonts w:ascii="Arial" w:eastAsia="Calibri" w:hAnsi="Arial" w:cs="Arial"/>
                <w:color w:val="FF0000"/>
              </w:rPr>
            </w:pPr>
            <w:r w:rsidRPr="00746F54">
              <w:rPr>
                <w:rFonts w:ascii="Arial" w:eastAsia="Calibri" w:hAnsi="Arial" w:cs="Arial"/>
                <w:color w:val="FF0000"/>
              </w:rPr>
              <w:t>($1,000,000)</w:t>
            </w:r>
          </w:p>
        </w:tc>
      </w:tr>
      <w:tr w:rsidR="00903C3A" w:rsidRPr="00746F54" w14:paraId="78D0CD5B" w14:textId="77777777" w:rsidTr="00D62922">
        <w:trPr>
          <w:trHeight w:val="210"/>
        </w:trPr>
        <w:tc>
          <w:tcPr>
            <w:tcW w:w="1389" w:type="dxa"/>
          </w:tcPr>
          <w:p w14:paraId="3FE6F4C0" w14:textId="77777777" w:rsidR="00903C3A" w:rsidRPr="00746F54" w:rsidRDefault="00903C3A" w:rsidP="00D62922">
            <w:pPr>
              <w:keepNext/>
              <w:keepLines/>
              <w:jc w:val="center"/>
              <w:rPr>
                <w:rFonts w:ascii="Arial" w:eastAsia="Calibri" w:hAnsi="Arial" w:cs="Arial"/>
              </w:rPr>
            </w:pPr>
            <w:r w:rsidRPr="00746F54">
              <w:rPr>
                <w:rFonts w:ascii="Arial" w:eastAsia="Calibri" w:hAnsi="Arial" w:cs="Arial"/>
              </w:rPr>
              <w:t>BAA 3</w:t>
            </w:r>
          </w:p>
        </w:tc>
        <w:tc>
          <w:tcPr>
            <w:tcW w:w="1394" w:type="dxa"/>
          </w:tcPr>
          <w:p w14:paraId="1A484158" w14:textId="77777777" w:rsidR="00903C3A" w:rsidRPr="00746F54" w:rsidRDefault="00903C3A" w:rsidP="00D62922">
            <w:pPr>
              <w:keepNext/>
              <w:keepLines/>
              <w:jc w:val="center"/>
              <w:rPr>
                <w:rFonts w:ascii="Arial" w:eastAsia="Calibri" w:hAnsi="Arial" w:cs="Arial"/>
              </w:rPr>
            </w:pPr>
            <w:r w:rsidRPr="00746F54">
              <w:rPr>
                <w:rFonts w:ascii="Arial" w:eastAsia="Calibri" w:hAnsi="Arial" w:cs="Arial"/>
              </w:rPr>
              <w:t>$4,750,000</w:t>
            </w:r>
          </w:p>
        </w:tc>
        <w:tc>
          <w:tcPr>
            <w:tcW w:w="1367" w:type="dxa"/>
          </w:tcPr>
          <w:p w14:paraId="60FF8D68" w14:textId="77777777" w:rsidR="00903C3A" w:rsidRPr="00746F54" w:rsidRDefault="00903C3A" w:rsidP="00D62922">
            <w:pPr>
              <w:keepNext/>
              <w:keepLines/>
              <w:jc w:val="center"/>
              <w:rPr>
                <w:rFonts w:ascii="Arial" w:eastAsia="Calibri" w:hAnsi="Arial" w:cs="Arial"/>
              </w:rPr>
            </w:pPr>
            <w:r w:rsidRPr="00746F54">
              <w:rPr>
                <w:rFonts w:ascii="Arial" w:eastAsia="Calibri" w:hAnsi="Arial" w:cs="Arial"/>
              </w:rPr>
              <w:t>$1,170,210</w:t>
            </w:r>
          </w:p>
        </w:tc>
        <w:tc>
          <w:tcPr>
            <w:tcW w:w="1292" w:type="dxa"/>
          </w:tcPr>
          <w:p w14:paraId="46E0B0B6" w14:textId="77777777" w:rsidR="00903C3A" w:rsidRPr="00746F54" w:rsidRDefault="00903C3A" w:rsidP="00D62922">
            <w:pPr>
              <w:keepNext/>
              <w:keepLines/>
              <w:jc w:val="center"/>
              <w:rPr>
                <w:rFonts w:ascii="Arial" w:eastAsia="Calibri" w:hAnsi="Arial" w:cs="Arial"/>
              </w:rPr>
            </w:pPr>
            <w:r w:rsidRPr="00746F54">
              <w:rPr>
                <w:rFonts w:ascii="Arial" w:eastAsia="Calibri" w:hAnsi="Arial" w:cs="Arial"/>
              </w:rPr>
              <w:t>-</w:t>
            </w:r>
          </w:p>
        </w:tc>
        <w:tc>
          <w:tcPr>
            <w:tcW w:w="1251" w:type="dxa"/>
          </w:tcPr>
          <w:p w14:paraId="34E81F78" w14:textId="77777777" w:rsidR="00903C3A" w:rsidRPr="00746F54" w:rsidRDefault="00903C3A" w:rsidP="00D62922">
            <w:pPr>
              <w:keepNext/>
              <w:keepLines/>
              <w:jc w:val="center"/>
              <w:rPr>
                <w:rFonts w:ascii="Arial" w:eastAsia="Calibri" w:hAnsi="Arial" w:cs="Arial"/>
              </w:rPr>
            </w:pPr>
            <w:r w:rsidRPr="00746F54">
              <w:rPr>
                <w:rFonts w:ascii="Arial" w:eastAsia="Calibri" w:hAnsi="Arial" w:cs="Arial"/>
              </w:rPr>
              <w:t>$1,170,210</w:t>
            </w:r>
          </w:p>
        </w:tc>
        <w:tc>
          <w:tcPr>
            <w:tcW w:w="1330" w:type="dxa"/>
          </w:tcPr>
          <w:p w14:paraId="480C00E8" w14:textId="77777777" w:rsidR="00903C3A" w:rsidRPr="00746F54" w:rsidRDefault="00903C3A" w:rsidP="00D62922">
            <w:pPr>
              <w:keepNext/>
              <w:keepLines/>
              <w:jc w:val="center"/>
              <w:rPr>
                <w:rFonts w:ascii="Arial" w:eastAsia="Calibri" w:hAnsi="Arial" w:cs="Arial"/>
              </w:rPr>
            </w:pPr>
            <w:r w:rsidRPr="00746F54">
              <w:rPr>
                <w:rFonts w:ascii="Arial" w:eastAsia="Calibri" w:hAnsi="Arial" w:cs="Arial"/>
              </w:rPr>
              <w:t>$4,079,790</w:t>
            </w:r>
          </w:p>
        </w:tc>
        <w:tc>
          <w:tcPr>
            <w:tcW w:w="1352" w:type="dxa"/>
          </w:tcPr>
          <w:p w14:paraId="0F8B949C" w14:textId="77777777" w:rsidR="00903C3A" w:rsidRPr="00746F54" w:rsidRDefault="00903C3A" w:rsidP="00D62922">
            <w:pPr>
              <w:keepNext/>
              <w:keepLines/>
              <w:jc w:val="center"/>
              <w:rPr>
                <w:rFonts w:ascii="Arial" w:eastAsia="Calibri" w:hAnsi="Arial" w:cs="Arial"/>
              </w:rPr>
            </w:pPr>
            <w:r w:rsidRPr="00746F54">
              <w:rPr>
                <w:rFonts w:ascii="Arial" w:eastAsia="Calibri" w:hAnsi="Arial" w:cs="Arial"/>
              </w:rPr>
              <w:t>$500,000</w:t>
            </w:r>
          </w:p>
        </w:tc>
      </w:tr>
      <w:tr w:rsidR="00903C3A" w:rsidRPr="00746F54" w14:paraId="6FDFE50E" w14:textId="77777777" w:rsidTr="00D62922">
        <w:trPr>
          <w:trHeight w:val="210"/>
        </w:trPr>
        <w:tc>
          <w:tcPr>
            <w:tcW w:w="1389" w:type="dxa"/>
          </w:tcPr>
          <w:p w14:paraId="7D630E19" w14:textId="77777777" w:rsidR="00903C3A" w:rsidRPr="00746F54" w:rsidRDefault="00903C3A" w:rsidP="00D62922">
            <w:pPr>
              <w:keepNext/>
              <w:keepLines/>
              <w:jc w:val="center"/>
              <w:rPr>
                <w:rFonts w:ascii="Arial" w:eastAsia="Calibri" w:hAnsi="Arial" w:cs="Arial"/>
              </w:rPr>
            </w:pPr>
            <w:r w:rsidRPr="00746F54">
              <w:rPr>
                <w:rFonts w:ascii="Arial" w:eastAsia="Calibri" w:hAnsi="Arial" w:cs="Arial"/>
              </w:rPr>
              <w:t>BAA 4</w:t>
            </w:r>
          </w:p>
        </w:tc>
        <w:tc>
          <w:tcPr>
            <w:tcW w:w="1394" w:type="dxa"/>
          </w:tcPr>
          <w:p w14:paraId="5C20C09A" w14:textId="77777777" w:rsidR="00903C3A" w:rsidRPr="00746F54" w:rsidRDefault="00903C3A" w:rsidP="00D62922">
            <w:pPr>
              <w:keepNext/>
              <w:keepLines/>
              <w:jc w:val="center"/>
              <w:rPr>
                <w:rFonts w:ascii="Arial" w:eastAsia="Calibri" w:hAnsi="Arial" w:cs="Arial"/>
              </w:rPr>
            </w:pPr>
            <w:r w:rsidRPr="00746F54">
              <w:rPr>
                <w:rFonts w:ascii="Arial" w:eastAsia="Calibri" w:hAnsi="Arial" w:cs="Arial"/>
              </w:rPr>
              <w:t>$30,700,000</w:t>
            </w:r>
          </w:p>
        </w:tc>
        <w:tc>
          <w:tcPr>
            <w:tcW w:w="1367" w:type="dxa"/>
          </w:tcPr>
          <w:p w14:paraId="6F89C6F5" w14:textId="77777777" w:rsidR="00903C3A" w:rsidRPr="00746F54" w:rsidRDefault="00903C3A" w:rsidP="00D62922">
            <w:pPr>
              <w:keepNext/>
              <w:keepLines/>
              <w:jc w:val="center"/>
              <w:rPr>
                <w:rFonts w:ascii="Arial" w:eastAsia="Calibri" w:hAnsi="Arial" w:cs="Arial"/>
              </w:rPr>
            </w:pPr>
            <w:r w:rsidRPr="00746F54">
              <w:rPr>
                <w:rFonts w:ascii="Arial" w:eastAsia="Calibri" w:hAnsi="Arial" w:cs="Arial"/>
              </w:rPr>
              <w:t>$1,648,534</w:t>
            </w:r>
          </w:p>
        </w:tc>
        <w:tc>
          <w:tcPr>
            <w:tcW w:w="1292" w:type="dxa"/>
          </w:tcPr>
          <w:p w14:paraId="13A29E3E" w14:textId="77777777" w:rsidR="00903C3A" w:rsidRPr="00746F54" w:rsidRDefault="00903C3A" w:rsidP="00D62922">
            <w:pPr>
              <w:keepNext/>
              <w:keepLines/>
              <w:jc w:val="center"/>
              <w:rPr>
                <w:rFonts w:ascii="Arial" w:eastAsia="Calibri" w:hAnsi="Arial" w:cs="Arial"/>
              </w:rPr>
            </w:pPr>
            <w:r w:rsidRPr="00746F54">
              <w:rPr>
                <w:rFonts w:ascii="Arial" w:eastAsia="Calibri" w:hAnsi="Arial" w:cs="Arial"/>
              </w:rPr>
              <w:t>-</w:t>
            </w:r>
          </w:p>
        </w:tc>
        <w:tc>
          <w:tcPr>
            <w:tcW w:w="1251" w:type="dxa"/>
          </w:tcPr>
          <w:p w14:paraId="609D601A" w14:textId="77777777" w:rsidR="00903C3A" w:rsidRPr="00746F54" w:rsidRDefault="00903C3A" w:rsidP="00D62922">
            <w:pPr>
              <w:keepNext/>
              <w:keepLines/>
              <w:jc w:val="center"/>
              <w:rPr>
                <w:rFonts w:ascii="Arial" w:eastAsia="Calibri" w:hAnsi="Arial" w:cs="Arial"/>
              </w:rPr>
            </w:pPr>
            <w:r w:rsidRPr="00746F54">
              <w:rPr>
                <w:rFonts w:ascii="Arial" w:eastAsia="Calibri" w:hAnsi="Arial" w:cs="Arial"/>
              </w:rPr>
              <w:t>$1,648,534</w:t>
            </w:r>
          </w:p>
        </w:tc>
        <w:tc>
          <w:tcPr>
            <w:tcW w:w="1330" w:type="dxa"/>
          </w:tcPr>
          <w:p w14:paraId="107CAC66" w14:textId="77777777" w:rsidR="00903C3A" w:rsidRPr="00746F54" w:rsidRDefault="00903C3A" w:rsidP="00D62922">
            <w:pPr>
              <w:keepNext/>
              <w:keepLines/>
              <w:jc w:val="center"/>
              <w:rPr>
                <w:rFonts w:ascii="Arial" w:eastAsia="Calibri" w:hAnsi="Arial" w:cs="Arial"/>
              </w:rPr>
            </w:pPr>
            <w:r w:rsidRPr="00746F54">
              <w:rPr>
                <w:rFonts w:ascii="Arial" w:eastAsia="Calibri" w:hAnsi="Arial" w:cs="Arial"/>
              </w:rPr>
              <w:t>$29,051,466</w:t>
            </w:r>
          </w:p>
        </w:tc>
        <w:tc>
          <w:tcPr>
            <w:tcW w:w="1352" w:type="dxa"/>
          </w:tcPr>
          <w:p w14:paraId="19EE8E90" w14:textId="77777777" w:rsidR="00903C3A" w:rsidRPr="00746F54" w:rsidRDefault="00903C3A" w:rsidP="00D62922">
            <w:pPr>
              <w:keepNext/>
              <w:keepLines/>
              <w:jc w:val="center"/>
              <w:rPr>
                <w:rFonts w:ascii="Arial" w:eastAsia="Calibri" w:hAnsi="Arial" w:cs="Arial"/>
              </w:rPr>
            </w:pPr>
            <w:r w:rsidRPr="00746F54">
              <w:rPr>
                <w:rFonts w:ascii="Arial" w:eastAsia="Calibri" w:hAnsi="Arial" w:cs="Arial"/>
              </w:rPr>
              <w:t>$0</w:t>
            </w:r>
          </w:p>
        </w:tc>
      </w:tr>
    </w:tbl>
    <w:p w14:paraId="7B633382" w14:textId="77777777" w:rsidR="00903C3A" w:rsidRPr="00746F54" w:rsidRDefault="00903C3A" w:rsidP="00903C3A">
      <w:pPr>
        <w:spacing w:after="0"/>
        <w:rPr>
          <w:rFonts w:ascii="Arial" w:eastAsia="Calibri" w:hAnsi="Arial" w:cs="Arial"/>
          <w:sz w:val="18"/>
          <w:szCs w:val="18"/>
        </w:rPr>
      </w:pPr>
    </w:p>
    <w:p w14:paraId="27BBF1F2" w14:textId="77777777" w:rsidR="00903C3A" w:rsidRPr="00746F54" w:rsidRDefault="00903C3A" w:rsidP="00903C3A">
      <w:pPr>
        <w:spacing w:after="0"/>
        <w:rPr>
          <w:rFonts w:ascii="Arial" w:eastAsia="Calibri" w:hAnsi="Arial" w:cs="Arial"/>
        </w:rPr>
      </w:pPr>
      <w:r w:rsidRPr="00746F54">
        <w:rPr>
          <w:rFonts w:ascii="Arial" w:eastAsia="Calibri" w:hAnsi="Arial" w:cs="Arial"/>
        </w:rPr>
        <w:t>In Table 11, BAA 1 and BAA 4 recovered between the EDAM access charge revenues and their actual OATT sales of short-term products the exact amounts to cover their historical 3-year averages of short-term sales.  As such, no true-up is necessary.  However, BAA 2 under-recovered $1,000,000, and BAA 3 over-recovered $500,000.  These amounts for BAA 2 and BAA 3 will be carried forward into the 2027 EDAM access charge.</w:t>
      </w:r>
    </w:p>
    <w:p w14:paraId="703DA428" w14:textId="77777777" w:rsidR="00903C3A" w:rsidRPr="00746F54" w:rsidRDefault="00903C3A" w:rsidP="00903C3A">
      <w:pPr>
        <w:spacing w:after="0"/>
        <w:rPr>
          <w:rFonts w:ascii="Arial" w:eastAsia="Calibri" w:hAnsi="Arial" w:cs="Arial"/>
        </w:rPr>
      </w:pPr>
    </w:p>
    <w:p w14:paraId="07CF8B2B" w14:textId="77777777" w:rsidR="00903C3A" w:rsidRPr="00746F54" w:rsidRDefault="00903C3A" w:rsidP="00903C3A">
      <w:pPr>
        <w:spacing w:after="0"/>
        <w:rPr>
          <w:rFonts w:ascii="Arial" w:eastAsia="Calibri" w:hAnsi="Arial" w:cs="Arial"/>
        </w:rPr>
      </w:pPr>
      <w:r w:rsidRPr="00746F54">
        <w:rPr>
          <w:rFonts w:ascii="Arial" w:eastAsia="Calibri" w:hAnsi="Arial" w:cs="Arial"/>
        </w:rPr>
        <w:t xml:space="preserve">Table 12 illustrates how the true-up and components 2 and 3 will comprise the EDAM access charge for 2027. </w:t>
      </w:r>
    </w:p>
    <w:p w14:paraId="401AB52E" w14:textId="77777777" w:rsidR="00903C3A" w:rsidRPr="00746F54" w:rsidRDefault="00903C3A" w:rsidP="00903C3A">
      <w:pPr>
        <w:spacing w:after="0" w:line="240" w:lineRule="auto"/>
        <w:rPr>
          <w:rFonts w:ascii="Arial" w:eastAsia="Calibri" w:hAnsi="Arial" w:cs="Arial"/>
        </w:rPr>
      </w:pPr>
    </w:p>
    <w:p w14:paraId="5BA58744" w14:textId="77777777" w:rsidR="00903C3A" w:rsidRPr="00746F54" w:rsidRDefault="00903C3A" w:rsidP="00903C3A">
      <w:pPr>
        <w:keepNext/>
        <w:keepLines/>
        <w:jc w:val="center"/>
        <w:rPr>
          <w:rFonts w:ascii="Arial" w:eastAsia="Calibri" w:hAnsi="Arial" w:cs="Arial"/>
        </w:rPr>
      </w:pPr>
      <w:r w:rsidRPr="00746F54">
        <w:rPr>
          <w:rFonts w:ascii="Arial" w:eastAsia="Calibri" w:hAnsi="Arial" w:cs="Arial"/>
          <w:b/>
        </w:rPr>
        <w:t>Table 12: 2027 EDAM Access Charge Inputs</w:t>
      </w:r>
      <w:r w:rsidRPr="00746F54">
        <w:rPr>
          <w:rFonts w:ascii="Arial" w:eastAsia="Calibri" w:hAnsi="Arial" w:cs="Arial"/>
        </w:rPr>
        <w:t>.</w:t>
      </w:r>
    </w:p>
    <w:tbl>
      <w:tblPr>
        <w:tblStyle w:val="TableGrid1"/>
        <w:tblW w:w="10345" w:type="dxa"/>
        <w:tblLayout w:type="fixed"/>
        <w:tblLook w:val="04A0" w:firstRow="1" w:lastRow="0" w:firstColumn="1" w:lastColumn="0" w:noHBand="0" w:noVBand="1"/>
      </w:tblPr>
      <w:tblGrid>
        <w:gridCol w:w="1850"/>
        <w:gridCol w:w="2001"/>
        <w:gridCol w:w="1926"/>
        <w:gridCol w:w="1680"/>
        <w:gridCol w:w="1268"/>
        <w:gridCol w:w="1620"/>
      </w:tblGrid>
      <w:tr w:rsidR="00903C3A" w:rsidRPr="00746F54" w14:paraId="5C3B8DD5" w14:textId="77777777" w:rsidTr="00D62922">
        <w:trPr>
          <w:trHeight w:val="1077"/>
        </w:trPr>
        <w:tc>
          <w:tcPr>
            <w:tcW w:w="1850" w:type="dxa"/>
          </w:tcPr>
          <w:p w14:paraId="78432892" w14:textId="77777777" w:rsidR="00903C3A" w:rsidRPr="00746F54" w:rsidRDefault="00903C3A" w:rsidP="00D62922">
            <w:pPr>
              <w:keepNext/>
              <w:keepLines/>
              <w:rPr>
                <w:rFonts w:ascii="Arial" w:eastAsia="Calibri" w:hAnsi="Arial" w:cs="Arial"/>
              </w:rPr>
            </w:pPr>
            <w:r w:rsidRPr="00746F54">
              <w:rPr>
                <w:rFonts w:ascii="Arial" w:eastAsia="Calibri" w:hAnsi="Arial" w:cs="Arial"/>
              </w:rPr>
              <w:t>EDAM Entity transmission provider</w:t>
            </w:r>
          </w:p>
        </w:tc>
        <w:tc>
          <w:tcPr>
            <w:tcW w:w="2001" w:type="dxa"/>
          </w:tcPr>
          <w:p w14:paraId="43786652" w14:textId="77777777" w:rsidR="00903C3A" w:rsidRPr="00746F54" w:rsidRDefault="00903C3A" w:rsidP="00D62922">
            <w:pPr>
              <w:keepNext/>
              <w:keepLines/>
              <w:rPr>
                <w:rFonts w:ascii="Arial" w:eastAsia="Calibri" w:hAnsi="Arial" w:cs="Arial"/>
              </w:rPr>
            </w:pPr>
            <w:r w:rsidRPr="00746F54">
              <w:rPr>
                <w:rFonts w:ascii="Arial" w:eastAsia="Calibri" w:hAnsi="Arial" w:cs="Arial"/>
              </w:rPr>
              <w:t>Historical 3-year average of short-term sales</w:t>
            </w:r>
          </w:p>
        </w:tc>
        <w:tc>
          <w:tcPr>
            <w:tcW w:w="1926" w:type="dxa"/>
          </w:tcPr>
          <w:p w14:paraId="7CFA263C" w14:textId="77777777" w:rsidR="00903C3A" w:rsidRPr="00746F54" w:rsidRDefault="00903C3A" w:rsidP="00D62922">
            <w:pPr>
              <w:keepNext/>
              <w:keepLines/>
              <w:rPr>
                <w:rFonts w:ascii="Arial" w:eastAsia="Calibri" w:hAnsi="Arial" w:cs="Arial"/>
              </w:rPr>
            </w:pPr>
            <w:r w:rsidRPr="00746F54">
              <w:rPr>
                <w:rFonts w:ascii="Arial" w:eastAsia="Calibri" w:hAnsi="Arial" w:cs="Arial"/>
              </w:rPr>
              <w:t>New network upgrades</w:t>
            </w:r>
          </w:p>
        </w:tc>
        <w:tc>
          <w:tcPr>
            <w:tcW w:w="1680" w:type="dxa"/>
          </w:tcPr>
          <w:p w14:paraId="2399D2D2" w14:textId="77777777" w:rsidR="00903C3A" w:rsidRPr="00746F54" w:rsidRDefault="00903C3A" w:rsidP="00D62922">
            <w:pPr>
              <w:keepNext/>
              <w:keepLines/>
              <w:rPr>
                <w:rFonts w:ascii="Arial" w:eastAsia="Calibri" w:hAnsi="Arial" w:cs="Arial"/>
              </w:rPr>
            </w:pPr>
            <w:r w:rsidRPr="00746F54">
              <w:rPr>
                <w:rFonts w:ascii="Arial" w:eastAsia="Calibri" w:hAnsi="Arial" w:cs="Arial"/>
              </w:rPr>
              <w:t>Net incremental wheeling-through transfers</w:t>
            </w:r>
          </w:p>
        </w:tc>
        <w:tc>
          <w:tcPr>
            <w:tcW w:w="1268" w:type="dxa"/>
          </w:tcPr>
          <w:p w14:paraId="5F39820D" w14:textId="77777777" w:rsidR="00903C3A" w:rsidRPr="00746F54" w:rsidRDefault="00903C3A" w:rsidP="00D62922">
            <w:pPr>
              <w:keepNext/>
              <w:keepLines/>
              <w:rPr>
                <w:rFonts w:ascii="Arial" w:eastAsia="Calibri" w:hAnsi="Arial" w:cs="Arial"/>
              </w:rPr>
            </w:pPr>
            <w:r w:rsidRPr="00746F54">
              <w:rPr>
                <w:rFonts w:ascii="Arial" w:eastAsia="Calibri" w:hAnsi="Arial" w:cs="Arial"/>
              </w:rPr>
              <w:t>True-up from 2026</w:t>
            </w:r>
          </w:p>
        </w:tc>
        <w:tc>
          <w:tcPr>
            <w:tcW w:w="1620" w:type="dxa"/>
          </w:tcPr>
          <w:p w14:paraId="3C3F1CAB" w14:textId="77777777" w:rsidR="00903C3A" w:rsidRPr="00746F54" w:rsidRDefault="00903C3A" w:rsidP="00D62922">
            <w:pPr>
              <w:keepNext/>
              <w:keepLines/>
              <w:rPr>
                <w:rFonts w:ascii="Arial" w:eastAsia="Calibri" w:hAnsi="Arial" w:cs="Arial"/>
              </w:rPr>
            </w:pPr>
            <w:r w:rsidRPr="00746F54">
              <w:rPr>
                <w:rFonts w:ascii="Arial" w:eastAsia="Calibri" w:hAnsi="Arial" w:cs="Arial"/>
              </w:rPr>
              <w:t>Costs to be Recovered through OATT and EDAM</w:t>
            </w:r>
          </w:p>
        </w:tc>
      </w:tr>
      <w:tr w:rsidR="00903C3A" w:rsidRPr="00746F54" w14:paraId="50F50AB7" w14:textId="77777777" w:rsidTr="00D62922">
        <w:trPr>
          <w:trHeight w:val="263"/>
        </w:trPr>
        <w:tc>
          <w:tcPr>
            <w:tcW w:w="1850" w:type="dxa"/>
          </w:tcPr>
          <w:p w14:paraId="73BD09AE" w14:textId="77777777" w:rsidR="00903C3A" w:rsidRPr="00746F54" w:rsidRDefault="00903C3A" w:rsidP="00D62922">
            <w:pPr>
              <w:keepNext/>
              <w:keepLines/>
              <w:rPr>
                <w:rFonts w:ascii="Arial" w:eastAsia="Calibri" w:hAnsi="Arial" w:cs="Arial"/>
              </w:rPr>
            </w:pPr>
            <w:r w:rsidRPr="00746F54">
              <w:rPr>
                <w:rFonts w:ascii="Arial" w:eastAsia="Calibri" w:hAnsi="Arial" w:cs="Arial"/>
              </w:rPr>
              <w:t>BAA 1</w:t>
            </w:r>
          </w:p>
        </w:tc>
        <w:tc>
          <w:tcPr>
            <w:tcW w:w="2001" w:type="dxa"/>
          </w:tcPr>
          <w:p w14:paraId="3629483B" w14:textId="77777777" w:rsidR="00903C3A" w:rsidRPr="00746F54" w:rsidRDefault="00903C3A" w:rsidP="00D62922">
            <w:pPr>
              <w:keepNext/>
              <w:keepLines/>
              <w:rPr>
                <w:rFonts w:ascii="Arial" w:eastAsia="Calibri" w:hAnsi="Arial" w:cs="Arial"/>
              </w:rPr>
            </w:pPr>
            <w:r w:rsidRPr="00746F54">
              <w:rPr>
                <w:rFonts w:ascii="Arial" w:eastAsia="Calibri" w:hAnsi="Arial" w:cs="Arial"/>
              </w:rPr>
              <w:t>$14,242,500</w:t>
            </w:r>
          </w:p>
        </w:tc>
        <w:tc>
          <w:tcPr>
            <w:tcW w:w="1926" w:type="dxa"/>
          </w:tcPr>
          <w:p w14:paraId="68C4C830" w14:textId="77777777" w:rsidR="00903C3A" w:rsidRPr="00746F54" w:rsidRDefault="00903C3A" w:rsidP="00D62922">
            <w:pPr>
              <w:keepNext/>
              <w:keepLines/>
              <w:rPr>
                <w:rFonts w:ascii="Arial" w:eastAsia="Calibri" w:hAnsi="Arial" w:cs="Arial"/>
              </w:rPr>
            </w:pPr>
            <w:r w:rsidRPr="00746F54">
              <w:rPr>
                <w:rFonts w:ascii="Arial" w:eastAsia="Calibri" w:hAnsi="Arial" w:cs="Arial"/>
              </w:rPr>
              <w:t>$0</w:t>
            </w:r>
          </w:p>
        </w:tc>
        <w:tc>
          <w:tcPr>
            <w:tcW w:w="1680" w:type="dxa"/>
          </w:tcPr>
          <w:p w14:paraId="6040C196" w14:textId="77777777" w:rsidR="00903C3A" w:rsidRPr="00746F54" w:rsidRDefault="00903C3A" w:rsidP="00D62922">
            <w:pPr>
              <w:keepNext/>
              <w:keepLines/>
              <w:rPr>
                <w:rFonts w:ascii="Arial" w:eastAsia="Calibri" w:hAnsi="Arial" w:cs="Arial"/>
              </w:rPr>
            </w:pPr>
            <w:r w:rsidRPr="00746F54">
              <w:rPr>
                <w:rFonts w:ascii="Arial" w:eastAsia="Calibri" w:hAnsi="Arial" w:cs="Arial"/>
              </w:rPr>
              <w:t>$50,000</w:t>
            </w:r>
          </w:p>
        </w:tc>
        <w:tc>
          <w:tcPr>
            <w:tcW w:w="1268" w:type="dxa"/>
          </w:tcPr>
          <w:p w14:paraId="2F4F83C4" w14:textId="77777777" w:rsidR="00903C3A" w:rsidRPr="00746F54" w:rsidRDefault="00903C3A" w:rsidP="00D62922">
            <w:pPr>
              <w:keepNext/>
              <w:keepLines/>
              <w:jc w:val="center"/>
              <w:rPr>
                <w:rFonts w:ascii="Arial" w:eastAsia="Calibri" w:hAnsi="Arial" w:cs="Arial"/>
              </w:rPr>
            </w:pPr>
            <w:r w:rsidRPr="00746F54">
              <w:rPr>
                <w:rFonts w:ascii="Arial" w:eastAsia="Calibri" w:hAnsi="Arial" w:cs="Arial"/>
              </w:rPr>
              <w:t>-</w:t>
            </w:r>
          </w:p>
        </w:tc>
        <w:tc>
          <w:tcPr>
            <w:tcW w:w="1620" w:type="dxa"/>
          </w:tcPr>
          <w:p w14:paraId="187EBBBD" w14:textId="77777777" w:rsidR="00903C3A" w:rsidRPr="00746F54" w:rsidRDefault="00903C3A" w:rsidP="00D62922">
            <w:pPr>
              <w:keepNext/>
              <w:keepLines/>
              <w:rPr>
                <w:rFonts w:ascii="Arial" w:eastAsia="Calibri" w:hAnsi="Arial" w:cs="Arial"/>
              </w:rPr>
            </w:pPr>
            <w:r w:rsidRPr="00746F54">
              <w:rPr>
                <w:rFonts w:ascii="Arial" w:eastAsia="Calibri" w:hAnsi="Arial" w:cs="Arial"/>
              </w:rPr>
              <w:t>$14,292,500</w:t>
            </w:r>
          </w:p>
        </w:tc>
      </w:tr>
      <w:tr w:rsidR="00903C3A" w:rsidRPr="00746F54" w14:paraId="33D0A022" w14:textId="77777777" w:rsidTr="00D62922">
        <w:trPr>
          <w:trHeight w:val="263"/>
        </w:trPr>
        <w:tc>
          <w:tcPr>
            <w:tcW w:w="1850" w:type="dxa"/>
          </w:tcPr>
          <w:p w14:paraId="63A8EC24" w14:textId="77777777" w:rsidR="00903C3A" w:rsidRPr="00746F54" w:rsidRDefault="00903C3A" w:rsidP="00D62922">
            <w:pPr>
              <w:keepNext/>
              <w:keepLines/>
              <w:rPr>
                <w:rFonts w:ascii="Arial" w:eastAsia="Calibri" w:hAnsi="Arial" w:cs="Arial"/>
              </w:rPr>
            </w:pPr>
            <w:r w:rsidRPr="00746F54">
              <w:rPr>
                <w:rFonts w:ascii="Arial" w:eastAsia="Calibri" w:hAnsi="Arial" w:cs="Arial"/>
              </w:rPr>
              <w:t>BAA 2</w:t>
            </w:r>
          </w:p>
        </w:tc>
        <w:tc>
          <w:tcPr>
            <w:tcW w:w="2001" w:type="dxa"/>
          </w:tcPr>
          <w:p w14:paraId="6277FCDD" w14:textId="77777777" w:rsidR="00903C3A" w:rsidRPr="00746F54" w:rsidRDefault="00903C3A" w:rsidP="00D62922">
            <w:pPr>
              <w:keepNext/>
              <w:keepLines/>
              <w:rPr>
                <w:rFonts w:ascii="Arial" w:eastAsia="Calibri" w:hAnsi="Arial" w:cs="Arial"/>
              </w:rPr>
            </w:pPr>
            <w:r w:rsidRPr="00746F54">
              <w:rPr>
                <w:rFonts w:ascii="Arial" w:eastAsia="Calibri" w:hAnsi="Arial" w:cs="Arial"/>
              </w:rPr>
              <w:t>$3,600,000</w:t>
            </w:r>
          </w:p>
        </w:tc>
        <w:tc>
          <w:tcPr>
            <w:tcW w:w="1926" w:type="dxa"/>
          </w:tcPr>
          <w:p w14:paraId="302C97AF" w14:textId="77777777" w:rsidR="00903C3A" w:rsidRPr="00746F54" w:rsidRDefault="00903C3A" w:rsidP="00D62922">
            <w:pPr>
              <w:keepNext/>
              <w:keepLines/>
              <w:rPr>
                <w:rFonts w:ascii="Arial" w:eastAsia="Calibri" w:hAnsi="Arial" w:cs="Arial"/>
              </w:rPr>
            </w:pPr>
            <w:r w:rsidRPr="00746F54">
              <w:rPr>
                <w:rFonts w:ascii="Arial" w:eastAsia="Calibri" w:hAnsi="Arial" w:cs="Arial"/>
              </w:rPr>
              <w:t>$0</w:t>
            </w:r>
          </w:p>
        </w:tc>
        <w:tc>
          <w:tcPr>
            <w:tcW w:w="1680" w:type="dxa"/>
          </w:tcPr>
          <w:p w14:paraId="39C3CF8B" w14:textId="77777777" w:rsidR="00903C3A" w:rsidRPr="00746F54" w:rsidRDefault="00903C3A" w:rsidP="00D62922">
            <w:pPr>
              <w:keepNext/>
              <w:keepLines/>
              <w:rPr>
                <w:rFonts w:ascii="Arial" w:eastAsia="Calibri" w:hAnsi="Arial" w:cs="Arial"/>
              </w:rPr>
            </w:pPr>
            <w:r w:rsidRPr="00746F54">
              <w:rPr>
                <w:rFonts w:ascii="Arial" w:eastAsia="Calibri" w:hAnsi="Arial" w:cs="Arial"/>
              </w:rPr>
              <w:t>$0</w:t>
            </w:r>
          </w:p>
        </w:tc>
        <w:tc>
          <w:tcPr>
            <w:tcW w:w="1268" w:type="dxa"/>
          </w:tcPr>
          <w:p w14:paraId="27FDDF77" w14:textId="77777777" w:rsidR="00903C3A" w:rsidRPr="00746F54" w:rsidRDefault="00903C3A" w:rsidP="00D62922">
            <w:pPr>
              <w:keepNext/>
              <w:keepLines/>
              <w:rPr>
                <w:rFonts w:ascii="Arial" w:eastAsia="Calibri" w:hAnsi="Arial" w:cs="Arial"/>
                <w:sz w:val="20"/>
                <w:szCs w:val="20"/>
              </w:rPr>
            </w:pPr>
            <w:r w:rsidRPr="00746F54">
              <w:rPr>
                <w:rFonts w:ascii="Arial" w:eastAsia="Calibri" w:hAnsi="Arial" w:cs="Arial"/>
                <w:sz w:val="20"/>
                <w:szCs w:val="20"/>
              </w:rPr>
              <w:t>$1,000,000</w:t>
            </w:r>
          </w:p>
        </w:tc>
        <w:tc>
          <w:tcPr>
            <w:tcW w:w="1620" w:type="dxa"/>
          </w:tcPr>
          <w:p w14:paraId="51729525" w14:textId="77777777" w:rsidR="00903C3A" w:rsidRPr="00746F54" w:rsidRDefault="00903C3A" w:rsidP="00D62922">
            <w:pPr>
              <w:keepNext/>
              <w:keepLines/>
              <w:rPr>
                <w:rFonts w:ascii="Arial" w:eastAsia="Calibri" w:hAnsi="Arial" w:cs="Arial"/>
              </w:rPr>
            </w:pPr>
            <w:r w:rsidRPr="00746F54">
              <w:rPr>
                <w:rFonts w:ascii="Arial" w:eastAsia="Calibri" w:hAnsi="Arial" w:cs="Arial"/>
              </w:rPr>
              <w:t>$4,600,000</w:t>
            </w:r>
          </w:p>
        </w:tc>
      </w:tr>
      <w:tr w:rsidR="00903C3A" w:rsidRPr="00746F54" w14:paraId="479E53A7" w14:textId="77777777" w:rsidTr="00D62922">
        <w:trPr>
          <w:trHeight w:val="263"/>
        </w:trPr>
        <w:tc>
          <w:tcPr>
            <w:tcW w:w="1850" w:type="dxa"/>
          </w:tcPr>
          <w:p w14:paraId="659BFD35" w14:textId="77777777" w:rsidR="00903C3A" w:rsidRPr="00746F54" w:rsidRDefault="00903C3A" w:rsidP="00D62922">
            <w:pPr>
              <w:keepNext/>
              <w:keepLines/>
              <w:rPr>
                <w:rFonts w:ascii="Arial" w:eastAsia="Calibri" w:hAnsi="Arial" w:cs="Arial"/>
              </w:rPr>
            </w:pPr>
            <w:r w:rsidRPr="00746F54">
              <w:rPr>
                <w:rFonts w:ascii="Arial" w:eastAsia="Calibri" w:hAnsi="Arial" w:cs="Arial"/>
              </w:rPr>
              <w:t>BAA 3</w:t>
            </w:r>
          </w:p>
        </w:tc>
        <w:tc>
          <w:tcPr>
            <w:tcW w:w="2001" w:type="dxa"/>
          </w:tcPr>
          <w:p w14:paraId="2C4DD7AF" w14:textId="77777777" w:rsidR="00903C3A" w:rsidRPr="00746F54" w:rsidRDefault="00903C3A" w:rsidP="00D62922">
            <w:pPr>
              <w:keepNext/>
              <w:keepLines/>
              <w:rPr>
                <w:rFonts w:ascii="Arial" w:eastAsia="Calibri" w:hAnsi="Arial" w:cs="Arial"/>
              </w:rPr>
            </w:pPr>
            <w:r w:rsidRPr="00746F54">
              <w:rPr>
                <w:rFonts w:ascii="Arial" w:eastAsia="Calibri" w:hAnsi="Arial" w:cs="Arial"/>
              </w:rPr>
              <w:t>$4,750,000</w:t>
            </w:r>
          </w:p>
        </w:tc>
        <w:tc>
          <w:tcPr>
            <w:tcW w:w="1926" w:type="dxa"/>
          </w:tcPr>
          <w:p w14:paraId="415830F6" w14:textId="77777777" w:rsidR="00903C3A" w:rsidRPr="00746F54" w:rsidRDefault="00903C3A" w:rsidP="00D62922">
            <w:pPr>
              <w:keepNext/>
              <w:keepLines/>
              <w:rPr>
                <w:rFonts w:ascii="Arial" w:eastAsia="Calibri" w:hAnsi="Arial" w:cs="Arial"/>
              </w:rPr>
            </w:pPr>
            <w:r w:rsidRPr="00746F54">
              <w:rPr>
                <w:rFonts w:ascii="Arial" w:eastAsia="Calibri" w:hAnsi="Arial" w:cs="Arial"/>
              </w:rPr>
              <w:t>$238,700</w:t>
            </w:r>
          </w:p>
        </w:tc>
        <w:tc>
          <w:tcPr>
            <w:tcW w:w="1680" w:type="dxa"/>
          </w:tcPr>
          <w:p w14:paraId="6F5B25C8" w14:textId="77777777" w:rsidR="00903C3A" w:rsidRPr="00746F54" w:rsidRDefault="00903C3A" w:rsidP="00D62922">
            <w:pPr>
              <w:keepNext/>
              <w:keepLines/>
              <w:rPr>
                <w:rFonts w:ascii="Arial" w:eastAsia="Calibri" w:hAnsi="Arial" w:cs="Arial"/>
              </w:rPr>
            </w:pPr>
            <w:r w:rsidRPr="00746F54">
              <w:rPr>
                <w:rFonts w:ascii="Arial" w:eastAsia="Calibri" w:hAnsi="Arial" w:cs="Arial"/>
              </w:rPr>
              <w:t>$0</w:t>
            </w:r>
          </w:p>
        </w:tc>
        <w:tc>
          <w:tcPr>
            <w:tcW w:w="1268" w:type="dxa"/>
          </w:tcPr>
          <w:p w14:paraId="16C55063" w14:textId="77777777" w:rsidR="00903C3A" w:rsidRPr="00746F54" w:rsidRDefault="00903C3A" w:rsidP="00D62922">
            <w:pPr>
              <w:keepNext/>
              <w:keepLines/>
              <w:rPr>
                <w:rFonts w:ascii="Arial" w:eastAsia="Calibri" w:hAnsi="Arial" w:cs="Arial"/>
                <w:sz w:val="20"/>
                <w:szCs w:val="20"/>
              </w:rPr>
            </w:pPr>
            <w:r w:rsidRPr="00746F54">
              <w:rPr>
                <w:rFonts w:ascii="Arial" w:eastAsia="Calibri" w:hAnsi="Arial" w:cs="Arial"/>
                <w:sz w:val="20"/>
                <w:szCs w:val="20"/>
              </w:rPr>
              <w:t>($500,000)</w:t>
            </w:r>
          </w:p>
        </w:tc>
        <w:tc>
          <w:tcPr>
            <w:tcW w:w="1620" w:type="dxa"/>
          </w:tcPr>
          <w:p w14:paraId="2AA99AA4" w14:textId="77777777" w:rsidR="00903C3A" w:rsidRPr="00746F54" w:rsidRDefault="00903C3A" w:rsidP="00D62922">
            <w:pPr>
              <w:keepNext/>
              <w:keepLines/>
              <w:rPr>
                <w:rFonts w:ascii="Arial" w:eastAsia="Calibri" w:hAnsi="Arial" w:cs="Arial"/>
              </w:rPr>
            </w:pPr>
            <w:r w:rsidRPr="00746F54">
              <w:rPr>
                <w:rFonts w:ascii="Arial" w:eastAsia="Calibri" w:hAnsi="Arial" w:cs="Arial"/>
              </w:rPr>
              <w:t>$4,488,700</w:t>
            </w:r>
          </w:p>
        </w:tc>
      </w:tr>
      <w:tr w:rsidR="00903C3A" w:rsidRPr="00746F54" w14:paraId="6945D920" w14:textId="77777777" w:rsidTr="00D62922">
        <w:trPr>
          <w:trHeight w:val="134"/>
        </w:trPr>
        <w:tc>
          <w:tcPr>
            <w:tcW w:w="1850" w:type="dxa"/>
          </w:tcPr>
          <w:p w14:paraId="1FFC11D9" w14:textId="77777777" w:rsidR="00903C3A" w:rsidRPr="00746F54" w:rsidRDefault="00903C3A" w:rsidP="00D62922">
            <w:pPr>
              <w:keepNext/>
              <w:keepLines/>
              <w:rPr>
                <w:rFonts w:ascii="Arial" w:eastAsia="Calibri" w:hAnsi="Arial" w:cs="Arial"/>
              </w:rPr>
            </w:pPr>
            <w:r w:rsidRPr="00746F54">
              <w:rPr>
                <w:rFonts w:ascii="Arial" w:eastAsia="Calibri" w:hAnsi="Arial" w:cs="Arial"/>
              </w:rPr>
              <w:t>BAA 4</w:t>
            </w:r>
          </w:p>
        </w:tc>
        <w:tc>
          <w:tcPr>
            <w:tcW w:w="2001" w:type="dxa"/>
          </w:tcPr>
          <w:p w14:paraId="2445860E" w14:textId="77777777" w:rsidR="00903C3A" w:rsidRPr="00746F54" w:rsidRDefault="00903C3A" w:rsidP="00D62922">
            <w:pPr>
              <w:keepNext/>
              <w:keepLines/>
              <w:rPr>
                <w:rFonts w:ascii="Arial" w:eastAsia="Calibri" w:hAnsi="Arial" w:cs="Arial"/>
              </w:rPr>
            </w:pPr>
            <w:r w:rsidRPr="00746F54">
              <w:rPr>
                <w:rFonts w:ascii="Arial" w:eastAsia="Calibri" w:hAnsi="Arial" w:cs="Arial"/>
              </w:rPr>
              <w:t>$30,700,000</w:t>
            </w:r>
          </w:p>
        </w:tc>
        <w:tc>
          <w:tcPr>
            <w:tcW w:w="1926" w:type="dxa"/>
          </w:tcPr>
          <w:p w14:paraId="1A3480DC" w14:textId="77777777" w:rsidR="00903C3A" w:rsidRPr="00746F54" w:rsidRDefault="00903C3A" w:rsidP="00D62922">
            <w:pPr>
              <w:keepNext/>
              <w:keepLines/>
              <w:rPr>
                <w:rFonts w:ascii="Arial" w:eastAsia="Calibri" w:hAnsi="Arial" w:cs="Arial"/>
              </w:rPr>
            </w:pPr>
            <w:r w:rsidRPr="00746F54">
              <w:rPr>
                <w:rFonts w:ascii="Arial" w:eastAsia="Calibri" w:hAnsi="Arial" w:cs="Arial"/>
              </w:rPr>
              <w:t>$0</w:t>
            </w:r>
          </w:p>
        </w:tc>
        <w:tc>
          <w:tcPr>
            <w:tcW w:w="1680" w:type="dxa"/>
          </w:tcPr>
          <w:p w14:paraId="6B402D1E" w14:textId="77777777" w:rsidR="00903C3A" w:rsidRPr="00746F54" w:rsidRDefault="00903C3A" w:rsidP="00D62922">
            <w:pPr>
              <w:keepNext/>
              <w:keepLines/>
              <w:rPr>
                <w:rFonts w:ascii="Arial" w:eastAsia="Calibri" w:hAnsi="Arial" w:cs="Arial"/>
              </w:rPr>
            </w:pPr>
            <w:r w:rsidRPr="00746F54">
              <w:rPr>
                <w:rFonts w:ascii="Arial" w:eastAsia="Calibri" w:hAnsi="Arial" w:cs="Arial"/>
              </w:rPr>
              <w:t>$0</w:t>
            </w:r>
          </w:p>
        </w:tc>
        <w:tc>
          <w:tcPr>
            <w:tcW w:w="1268" w:type="dxa"/>
          </w:tcPr>
          <w:p w14:paraId="180FD6C1" w14:textId="77777777" w:rsidR="00903C3A" w:rsidRPr="00746F54" w:rsidRDefault="00903C3A" w:rsidP="00D62922">
            <w:pPr>
              <w:keepNext/>
              <w:keepLines/>
              <w:jc w:val="center"/>
              <w:rPr>
                <w:rFonts w:ascii="Arial" w:eastAsia="Calibri" w:hAnsi="Arial" w:cs="Arial"/>
              </w:rPr>
            </w:pPr>
            <w:r w:rsidRPr="00746F54">
              <w:rPr>
                <w:rFonts w:ascii="Arial" w:eastAsia="Calibri" w:hAnsi="Arial" w:cs="Arial"/>
              </w:rPr>
              <w:t>-</w:t>
            </w:r>
          </w:p>
        </w:tc>
        <w:tc>
          <w:tcPr>
            <w:tcW w:w="1620" w:type="dxa"/>
          </w:tcPr>
          <w:p w14:paraId="32AE7185" w14:textId="77777777" w:rsidR="00903C3A" w:rsidRPr="00746F54" w:rsidRDefault="00903C3A" w:rsidP="00D62922">
            <w:pPr>
              <w:keepNext/>
              <w:keepLines/>
              <w:rPr>
                <w:rFonts w:ascii="Arial" w:eastAsia="Calibri" w:hAnsi="Arial" w:cs="Arial"/>
              </w:rPr>
            </w:pPr>
            <w:r w:rsidRPr="00746F54">
              <w:rPr>
                <w:rFonts w:ascii="Arial" w:eastAsia="Calibri" w:hAnsi="Arial" w:cs="Arial"/>
              </w:rPr>
              <w:t>$30,700,000</w:t>
            </w:r>
          </w:p>
        </w:tc>
      </w:tr>
    </w:tbl>
    <w:p w14:paraId="37A78A5A" w14:textId="77777777" w:rsidR="00903C3A" w:rsidRPr="00746F54" w:rsidRDefault="00903C3A" w:rsidP="00903C3A">
      <w:pPr>
        <w:spacing w:after="0"/>
        <w:rPr>
          <w:rFonts w:ascii="Arial" w:eastAsia="Calibri" w:hAnsi="Arial" w:cs="Arial"/>
        </w:rPr>
      </w:pPr>
    </w:p>
    <w:p w14:paraId="31735D7D" w14:textId="77777777" w:rsidR="00903C3A" w:rsidRPr="00746F54" w:rsidRDefault="00903C3A" w:rsidP="00903C3A">
      <w:pPr>
        <w:spacing w:after="0"/>
        <w:rPr>
          <w:rFonts w:ascii="Arial" w:eastAsia="Calibri" w:hAnsi="Arial" w:cs="Arial"/>
        </w:rPr>
      </w:pPr>
      <w:r w:rsidRPr="00746F54">
        <w:rPr>
          <w:rFonts w:ascii="Arial" w:eastAsia="Calibri" w:hAnsi="Arial" w:cs="Arial"/>
        </w:rPr>
        <w:t>As shown in Table 12, going into 2027, the CAISO will calculate the total recoverable EDAM revenues across the components to which each EDAM entity (</w:t>
      </w:r>
      <w:r w:rsidRPr="00746F54">
        <w:rPr>
          <w:rFonts w:ascii="Arial" w:eastAsia="Calibri" w:hAnsi="Arial" w:cs="Arial"/>
          <w:i/>
        </w:rPr>
        <w:t>i.e.</w:t>
      </w:r>
      <w:r w:rsidRPr="00746F54">
        <w:rPr>
          <w:rFonts w:ascii="Arial" w:eastAsia="Calibri" w:hAnsi="Arial" w:cs="Arial"/>
        </w:rPr>
        <w:t xml:space="preserve">, BAA) ultimately will be trued-up.  BAA 1 continues to carry its historical 3-year average plus the component 3 revenues captured in Table 5.  BAA 2, because it did not have any component 2 or 3 amounts, carries over its component 1 revenues into 2027 adjusted by the 2026 true-up under-recovery.  BAA 3 carries component 1 and component 2 illustrated in Table 4 into 2027, adjusted by the over-recovery in the 2026 true up.  BAA 4 continues to carry over component 1 into 2027 as there are no additional components applicable for the year.  </w:t>
      </w:r>
    </w:p>
    <w:p w14:paraId="31D64021" w14:textId="77777777" w:rsidR="00903C3A" w:rsidRPr="00746F54" w:rsidRDefault="00903C3A" w:rsidP="00903C3A">
      <w:pPr>
        <w:spacing w:after="0"/>
        <w:rPr>
          <w:rFonts w:ascii="Arial" w:eastAsia="Calibri" w:hAnsi="Arial" w:cs="Arial"/>
        </w:rPr>
      </w:pPr>
    </w:p>
    <w:p w14:paraId="036702EA" w14:textId="77777777" w:rsidR="00903C3A" w:rsidRPr="00746F54" w:rsidRDefault="00903C3A" w:rsidP="00903C3A">
      <w:pPr>
        <w:spacing w:after="0"/>
        <w:rPr>
          <w:rFonts w:ascii="Arial" w:eastAsia="Calibri" w:hAnsi="Arial" w:cs="Arial"/>
        </w:rPr>
      </w:pPr>
      <w:r w:rsidRPr="00746F54">
        <w:rPr>
          <w:rFonts w:ascii="Arial" w:eastAsia="Calibri" w:hAnsi="Arial" w:cs="Arial"/>
        </w:rPr>
        <w:t xml:space="preserve">Finally, having established the total recoverable amounts for 2027, the CAISO will need to calculate the total 2027 projected EDAM access charge recoverable amount for each BAA as </w:t>
      </w:r>
      <w:r w:rsidRPr="00746F54">
        <w:rPr>
          <w:rFonts w:ascii="Arial" w:eastAsia="Calibri" w:hAnsi="Arial" w:cs="Arial"/>
        </w:rPr>
        <w:lastRenderedPageBreak/>
        <w:t xml:space="preserve">the sum of each component EDAM recoverable amount, which is the difference shown in Table 13 between the components of EDAM recoverable revenue and what the BAA expects to collect through eligible OATT sales in 2027. </w:t>
      </w:r>
    </w:p>
    <w:p w14:paraId="21E78514" w14:textId="77777777" w:rsidR="00903C3A" w:rsidRPr="00746F54" w:rsidRDefault="00903C3A" w:rsidP="00903C3A">
      <w:pPr>
        <w:spacing w:after="0"/>
        <w:rPr>
          <w:rFonts w:ascii="Arial" w:eastAsia="Calibri" w:hAnsi="Arial" w:cs="Arial"/>
        </w:rPr>
      </w:pPr>
    </w:p>
    <w:p w14:paraId="49E92156" w14:textId="77777777" w:rsidR="00903C3A" w:rsidRPr="00746F54" w:rsidRDefault="00903C3A" w:rsidP="00903C3A">
      <w:pPr>
        <w:spacing w:after="0"/>
        <w:jc w:val="center"/>
        <w:rPr>
          <w:rFonts w:ascii="Arial" w:eastAsia="Calibri" w:hAnsi="Arial" w:cs="Arial"/>
          <w:b/>
        </w:rPr>
      </w:pPr>
      <w:r w:rsidRPr="00746F54">
        <w:rPr>
          <w:rFonts w:ascii="Arial" w:eastAsia="Calibri" w:hAnsi="Arial" w:cs="Arial"/>
          <w:b/>
        </w:rPr>
        <w:t xml:space="preserve">Table 13: 2027 EDAM Access Charge Recovery Calculation  </w:t>
      </w:r>
    </w:p>
    <w:tbl>
      <w:tblPr>
        <w:tblStyle w:val="TableGrid1"/>
        <w:tblW w:w="9680" w:type="dxa"/>
        <w:tblLayout w:type="fixed"/>
        <w:tblLook w:val="04A0" w:firstRow="1" w:lastRow="0" w:firstColumn="1" w:lastColumn="0" w:noHBand="0" w:noVBand="1"/>
      </w:tblPr>
      <w:tblGrid>
        <w:gridCol w:w="1388"/>
        <w:gridCol w:w="1937"/>
        <w:gridCol w:w="1716"/>
        <w:gridCol w:w="1434"/>
        <w:gridCol w:w="1440"/>
        <w:gridCol w:w="1765"/>
      </w:tblGrid>
      <w:tr w:rsidR="00903C3A" w:rsidRPr="00746F54" w14:paraId="7064EE9D" w14:textId="77777777" w:rsidTr="00D62922">
        <w:tc>
          <w:tcPr>
            <w:tcW w:w="1388" w:type="dxa"/>
          </w:tcPr>
          <w:p w14:paraId="0FB0CE9D" w14:textId="77777777" w:rsidR="00903C3A" w:rsidRPr="00746F54" w:rsidRDefault="00903C3A" w:rsidP="00D62922">
            <w:pPr>
              <w:rPr>
                <w:rFonts w:ascii="Arial" w:eastAsia="Calibri" w:hAnsi="Arial" w:cs="Arial"/>
              </w:rPr>
            </w:pPr>
            <w:r w:rsidRPr="00746F54">
              <w:rPr>
                <w:rFonts w:ascii="Arial" w:eastAsia="Calibri" w:hAnsi="Arial" w:cs="Arial"/>
              </w:rPr>
              <w:t>EDAM Entity transmission provider</w:t>
            </w:r>
          </w:p>
        </w:tc>
        <w:tc>
          <w:tcPr>
            <w:tcW w:w="1937" w:type="dxa"/>
          </w:tcPr>
          <w:p w14:paraId="0CF325DE" w14:textId="77777777" w:rsidR="00903C3A" w:rsidRPr="00746F54" w:rsidRDefault="00903C3A" w:rsidP="00D62922">
            <w:pPr>
              <w:rPr>
                <w:rFonts w:ascii="Arial" w:eastAsia="Calibri" w:hAnsi="Arial" w:cs="Arial"/>
              </w:rPr>
            </w:pPr>
            <w:r w:rsidRPr="00746F54">
              <w:rPr>
                <w:rFonts w:ascii="Arial" w:eastAsia="Calibri" w:hAnsi="Arial" w:cs="Arial"/>
              </w:rPr>
              <w:t>Estimate of historical EDAM recovery for 2027</w:t>
            </w:r>
          </w:p>
        </w:tc>
        <w:tc>
          <w:tcPr>
            <w:tcW w:w="1716" w:type="dxa"/>
          </w:tcPr>
          <w:p w14:paraId="67007E67" w14:textId="77777777" w:rsidR="00903C3A" w:rsidRPr="00746F54" w:rsidRDefault="00903C3A" w:rsidP="00D62922">
            <w:pPr>
              <w:rPr>
                <w:rFonts w:ascii="Arial" w:eastAsia="Calibri" w:hAnsi="Arial" w:cs="Arial"/>
              </w:rPr>
            </w:pPr>
            <w:r w:rsidRPr="00746F54">
              <w:rPr>
                <w:rFonts w:ascii="Arial" w:eastAsia="Calibri" w:hAnsi="Arial" w:cs="Arial"/>
              </w:rPr>
              <w:t>Estimate of new network upgrades EDAM recoverable revenue for 2027</w:t>
            </w:r>
          </w:p>
        </w:tc>
        <w:tc>
          <w:tcPr>
            <w:tcW w:w="1434" w:type="dxa"/>
          </w:tcPr>
          <w:p w14:paraId="18FE1D92" w14:textId="77777777" w:rsidR="00903C3A" w:rsidRPr="00746F54" w:rsidRDefault="00903C3A" w:rsidP="00D62922">
            <w:pPr>
              <w:rPr>
                <w:rFonts w:ascii="Arial" w:eastAsia="Calibri" w:hAnsi="Arial" w:cs="Arial"/>
              </w:rPr>
            </w:pPr>
            <w:r w:rsidRPr="00746F54">
              <w:rPr>
                <w:rFonts w:ascii="Arial" w:eastAsia="Calibri" w:hAnsi="Arial" w:cs="Arial"/>
              </w:rPr>
              <w:t>Net incremental wheeling-through transfers</w:t>
            </w:r>
          </w:p>
        </w:tc>
        <w:tc>
          <w:tcPr>
            <w:tcW w:w="1440" w:type="dxa"/>
          </w:tcPr>
          <w:p w14:paraId="67C12FF2" w14:textId="77777777" w:rsidR="00903C3A" w:rsidRPr="00746F54" w:rsidRDefault="00903C3A" w:rsidP="00D62922">
            <w:pPr>
              <w:rPr>
                <w:rFonts w:ascii="Arial" w:eastAsia="Calibri" w:hAnsi="Arial" w:cs="Arial"/>
              </w:rPr>
            </w:pPr>
            <w:r w:rsidRPr="00746F54">
              <w:rPr>
                <w:rFonts w:ascii="Arial" w:eastAsia="Calibri" w:hAnsi="Arial" w:cs="Arial"/>
              </w:rPr>
              <w:t>2026 True-up (over or under recovery)</w:t>
            </w:r>
          </w:p>
        </w:tc>
        <w:tc>
          <w:tcPr>
            <w:tcW w:w="1765" w:type="dxa"/>
          </w:tcPr>
          <w:p w14:paraId="795942CF" w14:textId="77777777" w:rsidR="00903C3A" w:rsidRPr="00746F54" w:rsidRDefault="00903C3A" w:rsidP="00D62922">
            <w:pPr>
              <w:rPr>
                <w:rFonts w:ascii="Arial" w:eastAsia="Calibri" w:hAnsi="Arial" w:cs="Arial"/>
              </w:rPr>
            </w:pPr>
            <w:r w:rsidRPr="00746F54">
              <w:rPr>
                <w:rFonts w:ascii="Arial" w:eastAsia="Calibri" w:hAnsi="Arial" w:cs="Arial"/>
              </w:rPr>
              <w:t>Estimated EDAM recoverable revenue (for 2027)</w:t>
            </w:r>
            <w:r w:rsidRPr="00746F54" w:rsidDel="003E7FD7">
              <w:rPr>
                <w:rFonts w:ascii="Arial" w:eastAsia="Calibri" w:hAnsi="Arial" w:cs="Arial"/>
                <w:vertAlign w:val="superscript"/>
              </w:rPr>
              <w:t xml:space="preserve"> </w:t>
            </w:r>
          </w:p>
        </w:tc>
      </w:tr>
      <w:tr w:rsidR="00903C3A" w:rsidRPr="00746F54" w14:paraId="0BF15575" w14:textId="77777777" w:rsidTr="00D62922">
        <w:tc>
          <w:tcPr>
            <w:tcW w:w="1388" w:type="dxa"/>
          </w:tcPr>
          <w:p w14:paraId="6B230122" w14:textId="77777777" w:rsidR="00903C3A" w:rsidRPr="00746F54" w:rsidRDefault="00903C3A" w:rsidP="00D62922">
            <w:pPr>
              <w:rPr>
                <w:rFonts w:ascii="Arial" w:eastAsia="Calibri" w:hAnsi="Arial" w:cs="Arial"/>
              </w:rPr>
            </w:pPr>
            <w:r w:rsidRPr="00746F54">
              <w:rPr>
                <w:rFonts w:ascii="Arial" w:eastAsia="Calibri" w:hAnsi="Arial" w:cs="Arial"/>
              </w:rPr>
              <w:t>BAA 1</w:t>
            </w:r>
          </w:p>
        </w:tc>
        <w:tc>
          <w:tcPr>
            <w:tcW w:w="1937" w:type="dxa"/>
          </w:tcPr>
          <w:p w14:paraId="38EF582F" w14:textId="77777777" w:rsidR="00903C3A" w:rsidRPr="00746F54" w:rsidRDefault="00903C3A" w:rsidP="00D62922">
            <w:pPr>
              <w:jc w:val="center"/>
              <w:rPr>
                <w:rFonts w:ascii="Arial" w:eastAsia="Calibri" w:hAnsi="Arial" w:cs="Arial"/>
              </w:rPr>
            </w:pPr>
            <w:r w:rsidRPr="00746F54">
              <w:rPr>
                <w:rFonts w:ascii="Arial" w:eastAsia="Calibri" w:hAnsi="Arial" w:cs="Arial"/>
              </w:rPr>
              <w:t>$7,125,000</w:t>
            </w:r>
          </w:p>
        </w:tc>
        <w:tc>
          <w:tcPr>
            <w:tcW w:w="1716" w:type="dxa"/>
          </w:tcPr>
          <w:p w14:paraId="5116CD07" w14:textId="77777777" w:rsidR="00903C3A" w:rsidRPr="00746F54" w:rsidRDefault="00903C3A" w:rsidP="00D62922">
            <w:pPr>
              <w:jc w:val="center"/>
              <w:rPr>
                <w:rFonts w:ascii="Arial" w:eastAsia="Calibri" w:hAnsi="Arial" w:cs="Arial"/>
              </w:rPr>
            </w:pPr>
            <w:r w:rsidRPr="00746F54">
              <w:rPr>
                <w:rFonts w:ascii="Arial" w:eastAsia="Calibri" w:hAnsi="Arial" w:cs="Arial"/>
              </w:rPr>
              <w:t>-</w:t>
            </w:r>
          </w:p>
        </w:tc>
        <w:tc>
          <w:tcPr>
            <w:tcW w:w="1434" w:type="dxa"/>
          </w:tcPr>
          <w:p w14:paraId="72C46A18" w14:textId="77777777" w:rsidR="00903C3A" w:rsidRPr="00746F54" w:rsidRDefault="00903C3A" w:rsidP="00D62922">
            <w:pPr>
              <w:jc w:val="center"/>
              <w:rPr>
                <w:rFonts w:ascii="Arial" w:eastAsia="Calibri" w:hAnsi="Arial" w:cs="Arial"/>
              </w:rPr>
            </w:pPr>
            <w:r w:rsidRPr="00746F54">
              <w:rPr>
                <w:rFonts w:ascii="Arial" w:eastAsia="Calibri" w:hAnsi="Arial" w:cs="Arial"/>
              </w:rPr>
              <w:t>$50,000</w:t>
            </w:r>
          </w:p>
        </w:tc>
        <w:tc>
          <w:tcPr>
            <w:tcW w:w="1440" w:type="dxa"/>
          </w:tcPr>
          <w:p w14:paraId="742711C7" w14:textId="77777777" w:rsidR="00903C3A" w:rsidRPr="00746F54" w:rsidRDefault="00903C3A" w:rsidP="00D62922">
            <w:pPr>
              <w:jc w:val="center"/>
              <w:rPr>
                <w:rFonts w:ascii="Arial" w:eastAsia="Calibri" w:hAnsi="Arial" w:cs="Arial"/>
              </w:rPr>
            </w:pPr>
            <w:r w:rsidRPr="00746F54">
              <w:rPr>
                <w:rFonts w:ascii="Arial" w:eastAsia="Calibri" w:hAnsi="Arial" w:cs="Arial"/>
              </w:rPr>
              <w:t>-</w:t>
            </w:r>
          </w:p>
        </w:tc>
        <w:tc>
          <w:tcPr>
            <w:tcW w:w="1765" w:type="dxa"/>
          </w:tcPr>
          <w:p w14:paraId="19E1F143" w14:textId="77777777" w:rsidR="00903C3A" w:rsidRPr="00746F54" w:rsidRDefault="00903C3A" w:rsidP="00D62922">
            <w:pPr>
              <w:jc w:val="center"/>
              <w:rPr>
                <w:rFonts w:ascii="Arial" w:eastAsia="Calibri" w:hAnsi="Arial" w:cs="Arial"/>
              </w:rPr>
            </w:pPr>
            <w:r w:rsidRPr="00746F54">
              <w:rPr>
                <w:rFonts w:ascii="Arial" w:eastAsia="Calibri" w:hAnsi="Arial" w:cs="Arial"/>
              </w:rPr>
              <w:t>$7,175,000</w:t>
            </w:r>
          </w:p>
        </w:tc>
      </w:tr>
      <w:tr w:rsidR="00903C3A" w:rsidRPr="00746F54" w14:paraId="55A21AC7" w14:textId="77777777" w:rsidTr="00D62922">
        <w:tc>
          <w:tcPr>
            <w:tcW w:w="1388" w:type="dxa"/>
          </w:tcPr>
          <w:p w14:paraId="4468333C" w14:textId="77777777" w:rsidR="00903C3A" w:rsidRPr="00746F54" w:rsidRDefault="00903C3A" w:rsidP="00D62922">
            <w:pPr>
              <w:rPr>
                <w:rFonts w:ascii="Arial" w:eastAsia="Calibri" w:hAnsi="Arial" w:cs="Arial"/>
              </w:rPr>
            </w:pPr>
            <w:r w:rsidRPr="00746F54">
              <w:rPr>
                <w:rFonts w:ascii="Arial" w:eastAsia="Calibri" w:hAnsi="Arial" w:cs="Arial"/>
              </w:rPr>
              <w:t>BAA 2</w:t>
            </w:r>
          </w:p>
        </w:tc>
        <w:tc>
          <w:tcPr>
            <w:tcW w:w="1937" w:type="dxa"/>
          </w:tcPr>
          <w:p w14:paraId="6C825471" w14:textId="77777777" w:rsidR="00903C3A" w:rsidRPr="00746F54" w:rsidRDefault="00903C3A" w:rsidP="00D62922">
            <w:pPr>
              <w:jc w:val="center"/>
              <w:rPr>
                <w:rFonts w:ascii="Arial" w:eastAsia="Calibri" w:hAnsi="Arial" w:cs="Arial"/>
              </w:rPr>
            </w:pPr>
            <w:r w:rsidRPr="00746F54">
              <w:rPr>
                <w:rFonts w:ascii="Arial" w:eastAsia="Calibri" w:hAnsi="Arial" w:cs="Arial"/>
              </w:rPr>
              <w:t>$1,100,000</w:t>
            </w:r>
          </w:p>
        </w:tc>
        <w:tc>
          <w:tcPr>
            <w:tcW w:w="1716" w:type="dxa"/>
          </w:tcPr>
          <w:p w14:paraId="5EEE7679" w14:textId="77777777" w:rsidR="00903C3A" w:rsidRPr="00746F54" w:rsidRDefault="00903C3A" w:rsidP="00D62922">
            <w:pPr>
              <w:jc w:val="center"/>
              <w:rPr>
                <w:rFonts w:ascii="Arial" w:eastAsia="Calibri" w:hAnsi="Arial" w:cs="Arial"/>
              </w:rPr>
            </w:pPr>
            <w:r w:rsidRPr="00746F54">
              <w:rPr>
                <w:rFonts w:ascii="Arial" w:eastAsia="Calibri" w:hAnsi="Arial" w:cs="Arial"/>
              </w:rPr>
              <w:t>-</w:t>
            </w:r>
          </w:p>
        </w:tc>
        <w:tc>
          <w:tcPr>
            <w:tcW w:w="1434" w:type="dxa"/>
          </w:tcPr>
          <w:p w14:paraId="7D43F0DF" w14:textId="77777777" w:rsidR="00903C3A" w:rsidRPr="00746F54" w:rsidRDefault="00903C3A" w:rsidP="00D62922">
            <w:pPr>
              <w:jc w:val="center"/>
              <w:rPr>
                <w:rFonts w:ascii="Arial" w:eastAsia="Calibri" w:hAnsi="Arial" w:cs="Arial"/>
              </w:rPr>
            </w:pPr>
            <w:r w:rsidRPr="00746F54">
              <w:rPr>
                <w:rFonts w:ascii="Arial" w:eastAsia="Calibri" w:hAnsi="Arial" w:cs="Arial"/>
              </w:rPr>
              <w:t>-</w:t>
            </w:r>
          </w:p>
        </w:tc>
        <w:tc>
          <w:tcPr>
            <w:tcW w:w="1440" w:type="dxa"/>
          </w:tcPr>
          <w:p w14:paraId="327C90F3" w14:textId="77777777" w:rsidR="00903C3A" w:rsidRPr="00746F54" w:rsidRDefault="00903C3A" w:rsidP="00D62922">
            <w:pPr>
              <w:jc w:val="center"/>
              <w:rPr>
                <w:rFonts w:ascii="Arial" w:eastAsia="Calibri" w:hAnsi="Arial" w:cs="Arial"/>
              </w:rPr>
            </w:pPr>
            <w:r w:rsidRPr="00746F54">
              <w:rPr>
                <w:rFonts w:ascii="Arial" w:eastAsia="Calibri" w:hAnsi="Arial" w:cs="Arial"/>
                <w:sz w:val="20"/>
                <w:szCs w:val="20"/>
              </w:rPr>
              <w:t>$1,000,000</w:t>
            </w:r>
          </w:p>
        </w:tc>
        <w:tc>
          <w:tcPr>
            <w:tcW w:w="1765" w:type="dxa"/>
          </w:tcPr>
          <w:p w14:paraId="6FD19084" w14:textId="77777777" w:rsidR="00903C3A" w:rsidRPr="00746F54" w:rsidRDefault="00903C3A" w:rsidP="00D62922">
            <w:pPr>
              <w:jc w:val="center"/>
              <w:rPr>
                <w:rFonts w:ascii="Arial" w:eastAsia="Calibri" w:hAnsi="Arial" w:cs="Arial"/>
              </w:rPr>
            </w:pPr>
            <w:r w:rsidRPr="00746F54">
              <w:rPr>
                <w:rFonts w:ascii="Arial" w:eastAsia="Calibri" w:hAnsi="Arial" w:cs="Arial"/>
              </w:rPr>
              <w:t>$2,100,000</w:t>
            </w:r>
          </w:p>
        </w:tc>
      </w:tr>
      <w:tr w:rsidR="00903C3A" w:rsidRPr="00746F54" w14:paraId="1AFEA54F" w14:textId="77777777" w:rsidTr="00D62922">
        <w:tc>
          <w:tcPr>
            <w:tcW w:w="1388" w:type="dxa"/>
          </w:tcPr>
          <w:p w14:paraId="46EA23D4" w14:textId="77777777" w:rsidR="00903C3A" w:rsidRPr="00746F54" w:rsidRDefault="00903C3A" w:rsidP="00D62922">
            <w:pPr>
              <w:rPr>
                <w:rFonts w:ascii="Arial" w:eastAsia="Calibri" w:hAnsi="Arial" w:cs="Arial"/>
              </w:rPr>
            </w:pPr>
            <w:r w:rsidRPr="00746F54">
              <w:rPr>
                <w:rFonts w:ascii="Arial" w:eastAsia="Calibri" w:hAnsi="Arial" w:cs="Arial"/>
              </w:rPr>
              <w:t>BAA 3</w:t>
            </w:r>
          </w:p>
        </w:tc>
        <w:tc>
          <w:tcPr>
            <w:tcW w:w="1937" w:type="dxa"/>
          </w:tcPr>
          <w:p w14:paraId="1F6D4632" w14:textId="77777777" w:rsidR="00903C3A" w:rsidRPr="00746F54" w:rsidRDefault="00903C3A" w:rsidP="00D62922">
            <w:pPr>
              <w:jc w:val="center"/>
              <w:rPr>
                <w:rFonts w:ascii="Arial" w:eastAsia="Calibri" w:hAnsi="Arial" w:cs="Arial"/>
              </w:rPr>
            </w:pPr>
            <w:r w:rsidRPr="00746F54">
              <w:rPr>
                <w:rFonts w:ascii="Arial" w:eastAsia="Calibri" w:hAnsi="Arial" w:cs="Arial"/>
              </w:rPr>
              <w:t>$1,100,000</w:t>
            </w:r>
          </w:p>
        </w:tc>
        <w:tc>
          <w:tcPr>
            <w:tcW w:w="1716" w:type="dxa"/>
          </w:tcPr>
          <w:p w14:paraId="3E2ABF43" w14:textId="77777777" w:rsidR="00903C3A" w:rsidRPr="00746F54" w:rsidRDefault="00903C3A" w:rsidP="00D62922">
            <w:pPr>
              <w:jc w:val="center"/>
              <w:rPr>
                <w:rFonts w:ascii="Arial" w:eastAsia="Calibri" w:hAnsi="Arial" w:cs="Arial"/>
              </w:rPr>
            </w:pPr>
            <w:r w:rsidRPr="00746F54">
              <w:rPr>
                <w:rFonts w:ascii="Arial" w:eastAsia="Calibri" w:hAnsi="Arial" w:cs="Arial"/>
              </w:rPr>
              <w:t>$59,000</w:t>
            </w:r>
          </w:p>
        </w:tc>
        <w:tc>
          <w:tcPr>
            <w:tcW w:w="1434" w:type="dxa"/>
          </w:tcPr>
          <w:p w14:paraId="08F831AE" w14:textId="77777777" w:rsidR="00903C3A" w:rsidRPr="00746F54" w:rsidRDefault="00903C3A" w:rsidP="00D62922">
            <w:pPr>
              <w:jc w:val="center"/>
              <w:rPr>
                <w:rFonts w:ascii="Arial" w:eastAsia="Calibri" w:hAnsi="Arial" w:cs="Arial"/>
              </w:rPr>
            </w:pPr>
            <w:r w:rsidRPr="00746F54">
              <w:rPr>
                <w:rFonts w:ascii="Arial" w:eastAsia="Calibri" w:hAnsi="Arial" w:cs="Arial"/>
              </w:rPr>
              <w:t>-</w:t>
            </w:r>
          </w:p>
        </w:tc>
        <w:tc>
          <w:tcPr>
            <w:tcW w:w="1440" w:type="dxa"/>
          </w:tcPr>
          <w:p w14:paraId="34968680" w14:textId="77777777" w:rsidR="00903C3A" w:rsidRPr="00746F54" w:rsidRDefault="00903C3A" w:rsidP="00D62922">
            <w:pPr>
              <w:jc w:val="center"/>
              <w:rPr>
                <w:rFonts w:ascii="Arial" w:eastAsia="Calibri" w:hAnsi="Arial" w:cs="Arial"/>
              </w:rPr>
            </w:pPr>
            <w:r w:rsidRPr="00746F54">
              <w:rPr>
                <w:rFonts w:ascii="Arial" w:eastAsia="Calibri" w:hAnsi="Arial" w:cs="Arial"/>
                <w:sz w:val="20"/>
                <w:szCs w:val="20"/>
              </w:rPr>
              <w:t>($500,000)</w:t>
            </w:r>
          </w:p>
        </w:tc>
        <w:tc>
          <w:tcPr>
            <w:tcW w:w="1765" w:type="dxa"/>
          </w:tcPr>
          <w:p w14:paraId="0DB2AF60" w14:textId="77777777" w:rsidR="00903C3A" w:rsidRPr="00746F54" w:rsidRDefault="00903C3A" w:rsidP="00D62922">
            <w:pPr>
              <w:jc w:val="center"/>
              <w:rPr>
                <w:rFonts w:ascii="Arial" w:eastAsia="Calibri" w:hAnsi="Arial" w:cs="Arial"/>
              </w:rPr>
            </w:pPr>
            <w:r w:rsidRPr="00746F54">
              <w:rPr>
                <w:rFonts w:ascii="Arial" w:eastAsia="Calibri" w:hAnsi="Arial" w:cs="Arial"/>
              </w:rPr>
              <w:t>$659,000</w:t>
            </w:r>
          </w:p>
        </w:tc>
      </w:tr>
      <w:tr w:rsidR="00903C3A" w:rsidRPr="00746F54" w14:paraId="570EDED5" w14:textId="77777777" w:rsidTr="00D62922">
        <w:tc>
          <w:tcPr>
            <w:tcW w:w="1388" w:type="dxa"/>
          </w:tcPr>
          <w:p w14:paraId="36187A5A" w14:textId="77777777" w:rsidR="00903C3A" w:rsidRPr="00746F54" w:rsidRDefault="00903C3A" w:rsidP="00D62922">
            <w:pPr>
              <w:rPr>
                <w:rFonts w:ascii="Arial" w:eastAsia="Calibri" w:hAnsi="Arial" w:cs="Arial"/>
              </w:rPr>
            </w:pPr>
            <w:r w:rsidRPr="00746F54">
              <w:rPr>
                <w:rFonts w:ascii="Arial" w:eastAsia="Calibri" w:hAnsi="Arial" w:cs="Arial"/>
              </w:rPr>
              <w:t>BAA 4</w:t>
            </w:r>
          </w:p>
        </w:tc>
        <w:tc>
          <w:tcPr>
            <w:tcW w:w="1937" w:type="dxa"/>
          </w:tcPr>
          <w:p w14:paraId="641AA071" w14:textId="77777777" w:rsidR="00903C3A" w:rsidRPr="00746F54" w:rsidRDefault="00903C3A" w:rsidP="00D62922">
            <w:pPr>
              <w:jc w:val="center"/>
              <w:rPr>
                <w:rFonts w:ascii="Arial" w:eastAsia="Calibri" w:hAnsi="Arial" w:cs="Arial"/>
              </w:rPr>
            </w:pPr>
            <w:r w:rsidRPr="00746F54">
              <w:rPr>
                <w:rFonts w:ascii="Arial" w:eastAsia="Calibri" w:hAnsi="Arial" w:cs="Arial"/>
              </w:rPr>
              <w:t>$1,600,000</w:t>
            </w:r>
          </w:p>
        </w:tc>
        <w:tc>
          <w:tcPr>
            <w:tcW w:w="1716" w:type="dxa"/>
          </w:tcPr>
          <w:p w14:paraId="6C89EF68" w14:textId="77777777" w:rsidR="00903C3A" w:rsidRPr="00746F54" w:rsidRDefault="00903C3A" w:rsidP="00D62922">
            <w:pPr>
              <w:jc w:val="center"/>
              <w:rPr>
                <w:rFonts w:ascii="Arial" w:eastAsia="Calibri" w:hAnsi="Arial" w:cs="Arial"/>
              </w:rPr>
            </w:pPr>
            <w:r w:rsidRPr="00746F54">
              <w:rPr>
                <w:rFonts w:ascii="Arial" w:eastAsia="Calibri" w:hAnsi="Arial" w:cs="Arial"/>
              </w:rPr>
              <w:t>-</w:t>
            </w:r>
          </w:p>
        </w:tc>
        <w:tc>
          <w:tcPr>
            <w:tcW w:w="1434" w:type="dxa"/>
          </w:tcPr>
          <w:p w14:paraId="02B25941" w14:textId="77777777" w:rsidR="00903C3A" w:rsidRPr="00746F54" w:rsidRDefault="00903C3A" w:rsidP="00D62922">
            <w:pPr>
              <w:jc w:val="center"/>
              <w:rPr>
                <w:rFonts w:ascii="Arial" w:eastAsia="Calibri" w:hAnsi="Arial" w:cs="Arial"/>
              </w:rPr>
            </w:pPr>
            <w:r w:rsidRPr="00746F54">
              <w:rPr>
                <w:rFonts w:ascii="Arial" w:eastAsia="Calibri" w:hAnsi="Arial" w:cs="Arial"/>
              </w:rPr>
              <w:t>-</w:t>
            </w:r>
          </w:p>
        </w:tc>
        <w:tc>
          <w:tcPr>
            <w:tcW w:w="1440" w:type="dxa"/>
          </w:tcPr>
          <w:p w14:paraId="0F16B875" w14:textId="77777777" w:rsidR="00903C3A" w:rsidRPr="00746F54" w:rsidRDefault="00903C3A" w:rsidP="00D62922">
            <w:pPr>
              <w:jc w:val="center"/>
              <w:rPr>
                <w:rFonts w:ascii="Arial" w:eastAsia="Calibri" w:hAnsi="Arial" w:cs="Arial"/>
              </w:rPr>
            </w:pPr>
            <w:r w:rsidRPr="00746F54">
              <w:rPr>
                <w:rFonts w:ascii="Arial" w:eastAsia="Calibri" w:hAnsi="Arial" w:cs="Arial"/>
              </w:rPr>
              <w:t>-</w:t>
            </w:r>
          </w:p>
        </w:tc>
        <w:tc>
          <w:tcPr>
            <w:tcW w:w="1765" w:type="dxa"/>
          </w:tcPr>
          <w:p w14:paraId="75AF0990" w14:textId="77777777" w:rsidR="00903C3A" w:rsidRPr="00746F54" w:rsidRDefault="00903C3A" w:rsidP="00D62922">
            <w:pPr>
              <w:jc w:val="center"/>
              <w:rPr>
                <w:rFonts w:ascii="Arial" w:eastAsia="Calibri" w:hAnsi="Arial" w:cs="Arial"/>
              </w:rPr>
            </w:pPr>
            <w:r w:rsidRPr="00746F54">
              <w:rPr>
                <w:rFonts w:ascii="Arial" w:eastAsia="Calibri" w:hAnsi="Arial" w:cs="Arial"/>
              </w:rPr>
              <w:t>$1,600,000</w:t>
            </w:r>
          </w:p>
        </w:tc>
      </w:tr>
    </w:tbl>
    <w:p w14:paraId="06614583" w14:textId="77777777" w:rsidR="00903C3A" w:rsidRPr="00746F54" w:rsidRDefault="00903C3A" w:rsidP="00546043">
      <w:pPr>
        <w:rPr>
          <w:rFonts w:ascii="Arial" w:hAnsi="Arial" w:cs="Arial"/>
        </w:rPr>
      </w:pPr>
    </w:p>
    <w:p w14:paraId="2B644CB1" w14:textId="77777777" w:rsidR="0074730E" w:rsidRPr="00746F54" w:rsidRDefault="0074730E" w:rsidP="0074730E">
      <w:pPr>
        <w:pStyle w:val="Heading1"/>
        <w:rPr>
          <w:rFonts w:ascii="Arial" w:hAnsi="Arial" w:cs="Arial"/>
        </w:rPr>
      </w:pPr>
      <w:bookmarkStart w:id="171" w:name="_Toc211337921"/>
      <w:bookmarkStart w:id="172" w:name="_Toc212733071"/>
      <w:r w:rsidRPr="00746F54">
        <w:rPr>
          <w:rFonts w:ascii="Arial" w:hAnsi="Arial" w:cs="Arial"/>
        </w:rPr>
        <w:t>CAISO Markets and Processes</w:t>
      </w:r>
      <w:bookmarkEnd w:id="171"/>
      <w:bookmarkEnd w:id="172"/>
    </w:p>
    <w:p w14:paraId="7F3EB879" w14:textId="3EA9C9D1" w:rsidR="004D29D1" w:rsidRPr="00746F54" w:rsidRDefault="004D29D1" w:rsidP="004D29D1">
      <w:pPr>
        <w:pStyle w:val="Heading2"/>
        <w:rPr>
          <w:rFonts w:ascii="Arial" w:hAnsi="Arial" w:cs="Arial"/>
        </w:rPr>
      </w:pPr>
      <w:bookmarkStart w:id="173" w:name="_Toc211337922"/>
      <w:bookmarkStart w:id="174" w:name="_Toc212733072"/>
      <w:r w:rsidRPr="00746F54">
        <w:rPr>
          <w:rFonts w:ascii="Arial" w:hAnsi="Arial" w:cs="Arial"/>
        </w:rPr>
        <w:t>Locational Marginal Prices formation</w:t>
      </w:r>
      <w:bookmarkEnd w:id="173"/>
      <w:bookmarkEnd w:id="174"/>
    </w:p>
    <w:p w14:paraId="3F523C08" w14:textId="34A26F6F" w:rsidR="0050559A" w:rsidRPr="00746F54" w:rsidRDefault="0050559A" w:rsidP="004D29D1">
      <w:pPr>
        <w:spacing w:after="240" w:line="300" w:lineRule="auto"/>
        <w:rPr>
          <w:rFonts w:ascii="Arial" w:eastAsia="Calibri" w:hAnsi="Arial" w:cs="Arial"/>
          <w:u w:val="single"/>
        </w:rPr>
      </w:pPr>
      <w:r w:rsidRPr="00746F54">
        <w:rPr>
          <w:rFonts w:ascii="Arial" w:eastAsia="Calibri" w:hAnsi="Arial" w:cs="Arial"/>
          <w:u w:val="single"/>
        </w:rPr>
        <w:t>Reference tariff section 33.27.</w:t>
      </w:r>
      <w:r w:rsidR="00267FB1" w:rsidRPr="00746F54">
        <w:rPr>
          <w:rFonts w:ascii="Arial" w:eastAsia="Calibri" w:hAnsi="Arial" w:cs="Arial"/>
          <w:u w:val="single"/>
        </w:rPr>
        <w:t>2</w:t>
      </w:r>
    </w:p>
    <w:p w14:paraId="243808FF" w14:textId="424A8161" w:rsidR="004D29D1" w:rsidRPr="00746F54" w:rsidRDefault="004D29D1" w:rsidP="004D29D1">
      <w:pPr>
        <w:spacing w:after="240" w:line="300" w:lineRule="auto"/>
        <w:rPr>
          <w:rFonts w:ascii="Arial" w:eastAsia="Calibri" w:hAnsi="Arial" w:cs="Arial"/>
        </w:rPr>
      </w:pPr>
      <w:r w:rsidRPr="00746F54">
        <w:rPr>
          <w:rFonts w:ascii="Arial" w:eastAsia="Calibri" w:hAnsi="Arial" w:cs="Arial"/>
        </w:rPr>
        <w:t>The CAISO Markets, including the EDAM and the WEIM, are based on using a Full Network Model coupled with locational marginal pricing.  This coupling is meant to ensure that the Locational Marginal Prices (LMPs) reflect both the physical system as well as the schedules produced by the market applications.  The Locational Marginal Price for Pnodes within each Balancing Authority Area in the EDAM Area will be determined in accordance with Appendix C. A detailed explanation for how the LMPs are derived is contained in Section 3.2 of the</w:t>
      </w:r>
      <w:r w:rsidRPr="00746F54">
        <w:rPr>
          <w:rFonts w:ascii="Arial" w:eastAsia="Calibri" w:hAnsi="Arial" w:cs="Arial"/>
          <w:b/>
        </w:rPr>
        <w:t xml:space="preserve"> </w:t>
      </w:r>
      <w:hyperlink r:id="rId24" w:history="1">
        <w:r w:rsidRPr="00746F54">
          <w:rPr>
            <w:rStyle w:val="Hyperlink"/>
            <w:rFonts w:ascii="Arial" w:eastAsia="Calibri" w:hAnsi="Arial" w:cs="Arial"/>
            <w:b/>
          </w:rPr>
          <w:t>BPM for Market Operations</w:t>
        </w:r>
      </w:hyperlink>
      <w:r w:rsidRPr="00746F54">
        <w:rPr>
          <w:rFonts w:ascii="Arial" w:eastAsia="Calibri" w:hAnsi="Arial" w:cs="Arial"/>
        </w:rPr>
        <w:t>.</w:t>
      </w:r>
    </w:p>
    <w:p w14:paraId="14BDEF0A" w14:textId="797C8CE9" w:rsidR="004D29D1" w:rsidRPr="00746F54" w:rsidRDefault="004D29D1" w:rsidP="004D29D1">
      <w:pPr>
        <w:spacing w:after="240" w:line="300" w:lineRule="auto"/>
        <w:rPr>
          <w:rFonts w:ascii="Arial" w:eastAsia="Calibri" w:hAnsi="Arial" w:cs="Arial"/>
        </w:rPr>
      </w:pPr>
      <w:r w:rsidRPr="00746F54">
        <w:rPr>
          <w:rFonts w:ascii="Arial" w:eastAsia="Calibri" w:hAnsi="Arial" w:cs="Arial"/>
        </w:rPr>
        <w:t>For each Pnode, the market determines separate components of the LMP for the Marginal Energy Cost (MEC), Marginal Cost of Congestion (MCC), Marginal Cost of Losses (MLC), and Marginal GHG Cost (MCG), as follows:</w:t>
      </w:r>
    </w:p>
    <w:p w14:paraId="55880249" w14:textId="77777777" w:rsidR="004D29D1" w:rsidRPr="00746F54" w:rsidRDefault="00FB47E6" w:rsidP="004D29D1">
      <w:pPr>
        <w:spacing w:after="240" w:line="300" w:lineRule="auto"/>
        <w:rPr>
          <w:rFonts w:ascii="Arial" w:eastAsia="Calibri" w:hAnsi="Arial" w:cs="Arial"/>
        </w:rPr>
      </w:pPr>
      <m:oMathPara>
        <m:oMath>
          <m:sSub>
            <m:sSubPr>
              <m:ctrlPr>
                <w:rPr>
                  <w:rFonts w:ascii="Cambria Math" w:eastAsia="Calibri" w:hAnsi="Cambria Math" w:cs="Arial"/>
                  <w:i/>
                </w:rPr>
              </m:ctrlPr>
            </m:sSubPr>
            <m:e>
              <m:r>
                <w:rPr>
                  <w:rFonts w:ascii="Cambria Math" w:eastAsia="Calibri" w:hAnsi="Cambria Math" w:cs="Arial"/>
                </w:rPr>
                <m:t>LMP</m:t>
              </m:r>
            </m:e>
            <m:sub>
              <m:r>
                <w:rPr>
                  <w:rFonts w:ascii="Cambria Math" w:eastAsia="Calibri" w:hAnsi="Cambria Math" w:cs="Arial"/>
                </w:rPr>
                <m:t>i</m:t>
              </m:r>
            </m:sub>
          </m:sSub>
          <m:r>
            <w:rPr>
              <w:rFonts w:ascii="Cambria Math" w:eastAsia="Calibri" w:hAnsi="Cambria Math" w:cs="Arial"/>
            </w:rPr>
            <m:t>=</m:t>
          </m:r>
          <m:sSub>
            <m:sSubPr>
              <m:ctrlPr>
                <w:rPr>
                  <w:rFonts w:ascii="Cambria Math" w:eastAsia="Calibri" w:hAnsi="Cambria Math" w:cs="Arial"/>
                  <w:i/>
                </w:rPr>
              </m:ctrlPr>
            </m:sSubPr>
            <m:e>
              <m:r>
                <w:rPr>
                  <w:rFonts w:ascii="Cambria Math" w:eastAsia="Calibri" w:hAnsi="Cambria Math" w:cs="Arial"/>
                </w:rPr>
                <m:t>MEC</m:t>
              </m:r>
            </m:e>
            <m:sub>
              <m:r>
                <w:rPr>
                  <w:rFonts w:ascii="Cambria Math" w:eastAsia="Calibri" w:hAnsi="Cambria Math" w:cs="Arial"/>
                </w:rPr>
                <m:t>i</m:t>
              </m:r>
            </m:sub>
          </m:sSub>
          <m:r>
            <w:rPr>
              <w:rFonts w:ascii="Cambria Math" w:eastAsia="Calibri" w:hAnsi="Cambria Math" w:cs="Arial"/>
            </w:rPr>
            <m:t>+</m:t>
          </m:r>
          <m:sSub>
            <m:sSubPr>
              <m:ctrlPr>
                <w:rPr>
                  <w:rFonts w:ascii="Cambria Math" w:eastAsia="Calibri" w:hAnsi="Cambria Math" w:cs="Arial"/>
                  <w:i/>
                </w:rPr>
              </m:ctrlPr>
            </m:sSubPr>
            <m:e>
              <m:r>
                <w:rPr>
                  <w:rFonts w:ascii="Cambria Math" w:eastAsia="Calibri" w:hAnsi="Cambria Math" w:cs="Arial"/>
                </w:rPr>
                <m:t>MCC</m:t>
              </m:r>
            </m:e>
            <m:sub>
              <m:r>
                <w:rPr>
                  <w:rFonts w:ascii="Cambria Math" w:eastAsia="Calibri" w:hAnsi="Cambria Math" w:cs="Arial"/>
                </w:rPr>
                <m:t>i</m:t>
              </m:r>
            </m:sub>
          </m:sSub>
          <m:r>
            <w:rPr>
              <w:rFonts w:ascii="Cambria Math" w:eastAsia="Calibri" w:hAnsi="Cambria Math" w:cs="Arial"/>
            </w:rPr>
            <m:t>+</m:t>
          </m:r>
          <m:sSub>
            <m:sSubPr>
              <m:ctrlPr>
                <w:rPr>
                  <w:rFonts w:ascii="Cambria Math" w:eastAsia="Calibri" w:hAnsi="Cambria Math" w:cs="Arial"/>
                  <w:i/>
                </w:rPr>
              </m:ctrlPr>
            </m:sSubPr>
            <m:e>
              <m:r>
                <w:rPr>
                  <w:rFonts w:ascii="Cambria Math" w:eastAsia="Calibri" w:hAnsi="Cambria Math" w:cs="Arial"/>
                </w:rPr>
                <m:t>MLC</m:t>
              </m:r>
            </m:e>
            <m:sub>
              <m:r>
                <w:rPr>
                  <w:rFonts w:ascii="Cambria Math" w:eastAsia="Calibri" w:hAnsi="Cambria Math" w:cs="Arial"/>
                </w:rPr>
                <m:t>i</m:t>
              </m:r>
            </m:sub>
          </m:sSub>
          <m:r>
            <w:rPr>
              <w:rFonts w:ascii="Cambria Math" w:eastAsia="Calibri" w:hAnsi="Cambria Math" w:cs="Arial"/>
            </w:rPr>
            <m:t>+</m:t>
          </m:r>
          <m:sSub>
            <m:sSubPr>
              <m:ctrlPr>
                <w:rPr>
                  <w:rFonts w:ascii="Cambria Math" w:eastAsia="Calibri" w:hAnsi="Cambria Math" w:cs="Arial"/>
                  <w:i/>
                </w:rPr>
              </m:ctrlPr>
            </m:sSubPr>
            <m:e>
              <m:r>
                <w:rPr>
                  <w:rFonts w:ascii="Cambria Math" w:eastAsia="Calibri" w:hAnsi="Cambria Math" w:cs="Arial"/>
                </w:rPr>
                <m:t>MGC</m:t>
              </m:r>
            </m:e>
            <m:sub>
              <m:r>
                <w:rPr>
                  <w:rFonts w:ascii="Cambria Math" w:eastAsia="Calibri" w:hAnsi="Cambria Math" w:cs="Arial"/>
                </w:rPr>
                <m:t>i</m:t>
              </m:r>
            </m:sub>
          </m:sSub>
        </m:oMath>
      </m:oMathPara>
    </w:p>
    <w:p w14:paraId="5DCC9870" w14:textId="77777777" w:rsidR="004D29D1" w:rsidRPr="00746F54" w:rsidRDefault="004D29D1" w:rsidP="004D29D1">
      <w:pPr>
        <w:spacing w:after="240" w:line="300" w:lineRule="auto"/>
        <w:rPr>
          <w:rFonts w:ascii="Arial" w:eastAsia="Calibri" w:hAnsi="Arial" w:cs="Arial"/>
        </w:rPr>
      </w:pPr>
    </w:p>
    <w:p w14:paraId="0D00EC70" w14:textId="77777777" w:rsidR="004D29D1" w:rsidRPr="00746F54" w:rsidRDefault="004D29D1" w:rsidP="004D29D1">
      <w:pPr>
        <w:pStyle w:val="Heading3"/>
        <w:rPr>
          <w:rFonts w:ascii="Arial" w:hAnsi="Arial" w:cs="Arial"/>
        </w:rPr>
      </w:pPr>
      <w:bookmarkStart w:id="175" w:name="_Toc211337923"/>
      <w:r w:rsidRPr="00746F54">
        <w:rPr>
          <w:rFonts w:ascii="Arial" w:hAnsi="Arial" w:cs="Arial"/>
        </w:rPr>
        <w:lastRenderedPageBreak/>
        <w:t>Marginal Energy Cost (MEC) and Impact of EDAM transfer on LMPs</w:t>
      </w:r>
      <w:bookmarkEnd w:id="175"/>
    </w:p>
    <w:p w14:paraId="777B3FCE" w14:textId="45722C71" w:rsidR="004D29D1" w:rsidRPr="00746F54" w:rsidRDefault="004D29D1" w:rsidP="004D29D1">
      <w:pPr>
        <w:pStyle w:val="ParaText"/>
        <w:spacing w:after="0"/>
        <w:rPr>
          <w:rFonts w:ascii="Arial" w:hAnsi="Arial" w:cs="Arial"/>
        </w:rPr>
      </w:pPr>
      <w:r w:rsidRPr="00746F54">
        <w:rPr>
          <w:rFonts w:ascii="Arial" w:hAnsi="Arial" w:cs="Arial"/>
        </w:rPr>
        <w:t>The MEC is the same for all Pnodes in each Balancing Authority Area in the Market Area. The MEC is the Shadow Price of the power balance constraint for the respective Balancing Authority Area at the optimal solution. The power balance constraint for each Balancing Authority Area in the Market Area ensures that the sum of Generation and imports equals the sum of Demand, including exports and Transmission Losses, plus the Net Market Transfer. The MEC for the Transfer System Resources (TSRs) on each side of the Market Transfer that they model is the MEC of the respective Balancing Authority Area. The MEC may be different between two Balancing Authority Areas in the Market Area when Market Transfers between these Balancing Authority Areas are scheduled at their respective scheduling limits. The MEC difference between the Balancing Authority Areas on either side of a specific Market Transfer generates Market Transfer revenue.</w:t>
      </w:r>
    </w:p>
    <w:p w14:paraId="4E4BA7BD" w14:textId="77777777" w:rsidR="004D29D1" w:rsidRPr="00746F54" w:rsidRDefault="004D29D1" w:rsidP="004D29D1">
      <w:pPr>
        <w:pStyle w:val="ParaText"/>
        <w:spacing w:after="0"/>
        <w:rPr>
          <w:rFonts w:ascii="Arial" w:hAnsi="Arial" w:cs="Arial"/>
        </w:rPr>
      </w:pPr>
    </w:p>
    <w:p w14:paraId="476ED8B3" w14:textId="77777777" w:rsidR="004D29D1" w:rsidRPr="00746F54" w:rsidRDefault="004D29D1" w:rsidP="004D29D1">
      <w:pPr>
        <w:pStyle w:val="Heading3"/>
        <w:rPr>
          <w:rFonts w:ascii="Arial" w:hAnsi="Arial" w:cs="Arial"/>
        </w:rPr>
      </w:pPr>
      <w:bookmarkStart w:id="176" w:name="_Toc211337924"/>
      <w:r w:rsidRPr="00746F54">
        <w:rPr>
          <w:rFonts w:ascii="Arial" w:hAnsi="Arial" w:cs="Arial"/>
        </w:rPr>
        <w:t>Marginal Cost of Congestion (MCC)</w:t>
      </w:r>
      <w:bookmarkEnd w:id="176"/>
    </w:p>
    <w:p w14:paraId="027C191B" w14:textId="0774DD9F" w:rsidR="004D29D1" w:rsidRPr="00746F54" w:rsidRDefault="004D29D1" w:rsidP="004D29D1">
      <w:pPr>
        <w:pStyle w:val="ParaText"/>
        <w:rPr>
          <w:rFonts w:ascii="Arial" w:hAnsi="Arial" w:cs="Arial"/>
        </w:rPr>
      </w:pPr>
      <w:r w:rsidRPr="00746F54">
        <w:rPr>
          <w:rFonts w:ascii="Arial" w:hAnsi="Arial" w:cs="Arial"/>
        </w:rPr>
        <w:t xml:space="preserve">The CAISO calculates the Marginal Cost of Congestion at each Pnode as the net contribution of the Shadow Prices of the binding Transmission Constraints at the optimal solution, weighted by the respective Power Transfer Distribution Factors. </w:t>
      </w:r>
    </w:p>
    <w:p w14:paraId="6DDBDE9F" w14:textId="5F519277" w:rsidR="004D29D1" w:rsidRPr="00746F54" w:rsidRDefault="004D29D1" w:rsidP="004D29D1">
      <w:pPr>
        <w:pStyle w:val="ParaText"/>
        <w:rPr>
          <w:rFonts w:ascii="Arial" w:hAnsi="Arial" w:cs="Arial"/>
        </w:rPr>
      </w:pPr>
      <w:r w:rsidRPr="00746F54">
        <w:rPr>
          <w:rFonts w:ascii="Arial" w:hAnsi="Arial" w:cs="Arial"/>
        </w:rPr>
        <w:t>The Power Transfer Distribution Factor for Pnode i on transmission component j of Transmission Constraint m in constraint case k (base, IRU deployment, or IRD deployment scenario) is the flow contribution on that transmission component j when an increment of power is injected at Pnode i and an equivalent amount of power is withdrawn at the Reference Bus. For Market Area Intertie Resources at a Scheduling Point, and TSRs at a Transfer Location, the PTDF to an intertie constraint or intertie scheduling limit at that Scheduling Point is +1 for an import and –1 for an export. The CAISO does not consider the effect of Transmission Losses in the calculation of PTDFs; they depend only on the network configuration. Furthermore, the difference between the PTDFs at two Pnodes with respect to any binding Transmission Constraint, and thus the difference between the MCCs of the LMPs at these Pnodes, is independent from the selection of the Reference Bus.</w:t>
      </w:r>
    </w:p>
    <w:p w14:paraId="26F87459" w14:textId="77777777" w:rsidR="004D29D1" w:rsidRPr="00746F54" w:rsidRDefault="004D29D1" w:rsidP="004D29D1">
      <w:pPr>
        <w:pStyle w:val="ParaText"/>
        <w:rPr>
          <w:rFonts w:ascii="Arial" w:hAnsi="Arial" w:cs="Arial"/>
        </w:rPr>
      </w:pPr>
      <w:r w:rsidRPr="00746F54">
        <w:rPr>
          <w:rFonts w:ascii="Arial" w:hAnsi="Arial" w:cs="Arial"/>
        </w:rPr>
        <w:t>Apply the constraint coefficient for the transmission component j of Transmission Constraint m when Transmission Constraint m is a Nomogram; otherwise, this constraint coefficient is always one.</w:t>
      </w:r>
    </w:p>
    <w:p w14:paraId="24944B2F" w14:textId="77777777" w:rsidR="004D29D1" w:rsidRPr="00746F54" w:rsidRDefault="004D29D1" w:rsidP="004D29D1">
      <w:pPr>
        <w:pStyle w:val="Heading3"/>
        <w:rPr>
          <w:rFonts w:ascii="Arial" w:hAnsi="Arial" w:cs="Arial"/>
        </w:rPr>
      </w:pPr>
      <w:bookmarkStart w:id="177" w:name="_Toc211337925"/>
      <w:r w:rsidRPr="00746F54">
        <w:rPr>
          <w:rFonts w:ascii="Arial" w:hAnsi="Arial" w:cs="Arial"/>
        </w:rPr>
        <w:lastRenderedPageBreak/>
        <w:t>Marginal Cost of Losses (MCL)</w:t>
      </w:r>
      <w:bookmarkEnd w:id="177"/>
    </w:p>
    <w:p w14:paraId="6814FD2C" w14:textId="64C6889A" w:rsidR="004D29D1" w:rsidRPr="00746F54" w:rsidRDefault="004D29D1" w:rsidP="004D29D1">
      <w:pPr>
        <w:pStyle w:val="ParaText"/>
        <w:rPr>
          <w:rFonts w:ascii="Arial" w:hAnsi="Arial" w:cs="Arial"/>
        </w:rPr>
      </w:pPr>
      <w:r w:rsidRPr="00746F54">
        <w:rPr>
          <w:rFonts w:ascii="Arial" w:hAnsi="Arial" w:cs="Arial"/>
        </w:rPr>
        <w:t>The CAISO calculates the Marginal Cost of Losses at each Pnode as the product of the MEC and the rate for Marginal Losses at that Pnode, where the rate for Marginal Losses at Pnode i is the sensitivity (partial derivative) of system losses (L) to an increment of power injected at that Pnode i and absorbed by the Reference Bus. This calculation reflects the area interchange control feature of the AC power flow where the net scheduled interchange (NSI) of a Balancing Authority Area in the FNM is kept constant while the iterative solution distributes loss deviation from the previous iteration to the Reference Bus. Consequently, the rate for Marginal Losses of the TSRs that model a Market Transfer at a Transfer Location between two Balancing Authority Areas in the Market Area may be different because these TSRs belong to different Balancing Authority Areas. The CAISO sets the MCL for both of these TSRs to the average rate for Marginal Losses between the two so that there is no MCL difference between the TSRs on either side of a specific Market Transfer. The Marginal Losses on transmission facilities outside the Market Area are ignored in the calculation of the MCL.</w:t>
      </w:r>
    </w:p>
    <w:p w14:paraId="08417C8B" w14:textId="77777777" w:rsidR="004D29D1" w:rsidRPr="00746F54" w:rsidRDefault="004D29D1" w:rsidP="004D29D1">
      <w:pPr>
        <w:pStyle w:val="Heading3"/>
        <w:rPr>
          <w:rFonts w:ascii="Arial" w:hAnsi="Arial" w:cs="Arial"/>
        </w:rPr>
      </w:pPr>
      <w:bookmarkStart w:id="178" w:name="_Toc211337926"/>
      <w:r w:rsidRPr="00746F54">
        <w:rPr>
          <w:rFonts w:ascii="Arial" w:hAnsi="Arial" w:cs="Arial"/>
        </w:rPr>
        <w:t>Marginal Greenhouse Gas Cost (MGC)</w:t>
      </w:r>
      <w:bookmarkEnd w:id="178"/>
    </w:p>
    <w:p w14:paraId="5353A820" w14:textId="7707EDAE" w:rsidR="004D29D1" w:rsidRPr="00746F54" w:rsidRDefault="004D29D1" w:rsidP="004D29D1">
      <w:pPr>
        <w:pStyle w:val="ParaText"/>
        <w:rPr>
          <w:rFonts w:ascii="Arial" w:hAnsi="Arial" w:cs="Arial"/>
        </w:rPr>
      </w:pPr>
      <w:r w:rsidRPr="00746F54">
        <w:rPr>
          <w:rFonts w:ascii="Arial" w:hAnsi="Arial" w:cs="Arial"/>
        </w:rPr>
        <w:t>The GHG model calculates an optimal GHG Transfer for each GHG Regulation Area. If the GHG Transfer for a GHG Regulation Area is an import, it is allocated optimally to resources outside that GHG Regulation Area based on those resources’ GHG Bid Adders. In that case, the Marginal GHG Cost for all Pnodes in a specific GHG Regulation Area is the Shadow Price of the GHG Transfer allocation constraint for that GHG Regulation Area and it represents the marginal cost of GHG regulation for net import transfer into that GHG Regulation Area. If the GHG Transfer is an export, the GHG Transfer allocation constraint is not binding, all GHG attributions are zero for that GHG Regulation Area, and the Marginal GHG Cost for all Pnodes in that GHG Regulation Area is zero. The Marginal GHG Cost outside of all GHG Regulation Areas is always zero. Furthermore, the Marginal GHG Cost of a TSR is always zero, even when its Transfer Location is within or at the border of a GHG Regulation Area, because the associated GHG regulation cost is collected from the LMP settlement of all physical resources within the GHG Regulation Area and paid explicitly to the respective resources outside the GHG Regulation Area with GHG Attributions for that GHG Regulation Area.</w:t>
      </w:r>
    </w:p>
    <w:p w14:paraId="1824E5BC" w14:textId="7AB2D911" w:rsidR="004D29D1" w:rsidRPr="00746F54" w:rsidRDefault="00EF36A2" w:rsidP="004D29D1">
      <w:pPr>
        <w:pStyle w:val="Heading2"/>
        <w:rPr>
          <w:rFonts w:ascii="Arial" w:hAnsi="Arial" w:cs="Arial"/>
        </w:rPr>
      </w:pPr>
      <w:r w:rsidRPr="00746F54">
        <w:rPr>
          <w:rFonts w:ascii="Arial" w:hAnsi="Arial" w:cs="Arial"/>
        </w:rPr>
        <w:t xml:space="preserve"> </w:t>
      </w:r>
      <w:bookmarkStart w:id="179" w:name="_Toc211337927"/>
      <w:bookmarkStart w:id="180" w:name="_Toc212733073"/>
      <w:r w:rsidR="004D29D1" w:rsidRPr="00746F54">
        <w:rPr>
          <w:rFonts w:ascii="Arial" w:hAnsi="Arial" w:cs="Arial"/>
        </w:rPr>
        <w:t>EDAM scheduling coordinators submit Import/Export schedules</w:t>
      </w:r>
      <w:bookmarkEnd w:id="179"/>
      <w:bookmarkEnd w:id="180"/>
    </w:p>
    <w:p w14:paraId="6A026E9C" w14:textId="36E2EA77" w:rsidR="004D29D1" w:rsidRPr="00746F54" w:rsidRDefault="004D29D1" w:rsidP="004D29D1">
      <w:pPr>
        <w:pStyle w:val="ParaText"/>
        <w:rPr>
          <w:rFonts w:ascii="Arial" w:hAnsi="Arial" w:cs="Arial"/>
          <w:u w:val="single"/>
        </w:rPr>
      </w:pPr>
      <w:r w:rsidRPr="00746F54">
        <w:rPr>
          <w:rFonts w:ascii="Arial" w:hAnsi="Arial" w:cs="Arial"/>
          <w:u w:val="single"/>
        </w:rPr>
        <w:t>Reference tariff section 33.27.3</w:t>
      </w:r>
    </w:p>
    <w:p w14:paraId="5A8E1066" w14:textId="7CFF523A" w:rsidR="004D29D1" w:rsidRPr="00746F54" w:rsidRDefault="004D29D1" w:rsidP="004D29D1">
      <w:pPr>
        <w:pStyle w:val="ParaText"/>
        <w:rPr>
          <w:rFonts w:ascii="Arial" w:hAnsi="Arial" w:cs="Arial"/>
        </w:rPr>
      </w:pPr>
      <w:r w:rsidRPr="00746F54">
        <w:rPr>
          <w:rFonts w:ascii="Arial" w:hAnsi="Arial" w:cs="Arial"/>
        </w:rPr>
        <w:t xml:space="preserve">The import/export schedules to an EDAM entity BAA from BAAs that are not in an EDAM area must be submitted at the BAA Default Generation Aggregation Point (DGAP) or the Generic </w:t>
      </w:r>
      <w:r w:rsidRPr="00746F54">
        <w:rPr>
          <w:rFonts w:ascii="Arial" w:hAnsi="Arial" w:cs="Arial"/>
        </w:rPr>
        <w:lastRenderedPageBreak/>
        <w:t xml:space="preserve">Generation Aggregation Points (GGAP) outside of the EDAM area, and the relevant intertie into the EDAM BAA. </w:t>
      </w:r>
    </w:p>
    <w:p w14:paraId="2D4FD933" w14:textId="3F3F252D" w:rsidR="004D29D1" w:rsidRPr="00746F54" w:rsidRDefault="004D29D1" w:rsidP="004D29D1">
      <w:pPr>
        <w:pStyle w:val="ParaText"/>
        <w:rPr>
          <w:rFonts w:ascii="Arial" w:hAnsi="Arial" w:cs="Arial"/>
        </w:rPr>
      </w:pPr>
      <w:r w:rsidRPr="00746F54">
        <w:rPr>
          <w:rFonts w:ascii="Arial" w:hAnsi="Arial" w:cs="Arial"/>
        </w:rPr>
        <w:t xml:space="preserve">The Generic Generation Aggregation Points (GGAP) are two non-overlapping default generation aggregations as described in Appendix C: (1) a North DGAP, which includes the WECC northwest Balancing Authority Areas; and (2) a South DGAP, which includes the WECC southwest Balancing Authority Areas’ Pnodes, except Mexico. </w:t>
      </w:r>
    </w:p>
    <w:p w14:paraId="71E66589" w14:textId="5917983F" w:rsidR="00714469" w:rsidRPr="00746F54" w:rsidRDefault="00714469" w:rsidP="004D29D1">
      <w:pPr>
        <w:pStyle w:val="ParaText"/>
        <w:rPr>
          <w:rFonts w:ascii="Arial" w:hAnsi="Arial" w:cs="Arial"/>
        </w:rPr>
      </w:pPr>
      <w:r w:rsidRPr="00746F54">
        <w:rPr>
          <w:rFonts w:ascii="Arial" w:hAnsi="Arial" w:cs="Arial"/>
        </w:rPr>
        <w:t>Reserved for future updates after workshop on 11/5 – 11/6</w:t>
      </w:r>
    </w:p>
    <w:p w14:paraId="0A6EF115" w14:textId="14DED9E0" w:rsidR="004D29D1" w:rsidRPr="00746F54" w:rsidRDefault="00EF36A2" w:rsidP="004D29D1">
      <w:pPr>
        <w:pStyle w:val="Heading2"/>
        <w:rPr>
          <w:rFonts w:ascii="Arial" w:hAnsi="Arial" w:cs="Arial"/>
        </w:rPr>
      </w:pPr>
      <w:r w:rsidRPr="00746F54">
        <w:rPr>
          <w:rFonts w:ascii="Arial" w:hAnsi="Arial" w:cs="Arial"/>
        </w:rPr>
        <w:t xml:space="preserve"> </w:t>
      </w:r>
      <w:bookmarkStart w:id="181" w:name="_Toc211337928"/>
      <w:bookmarkStart w:id="182" w:name="_Toc212733074"/>
      <w:r w:rsidR="004D29D1" w:rsidRPr="00746F54">
        <w:rPr>
          <w:rFonts w:ascii="Arial" w:hAnsi="Arial" w:cs="Arial"/>
        </w:rPr>
        <w:t>Power Balance Constraint Relaxation</w:t>
      </w:r>
      <w:bookmarkEnd w:id="181"/>
      <w:bookmarkEnd w:id="182"/>
    </w:p>
    <w:p w14:paraId="56C4AFC8" w14:textId="7030A391" w:rsidR="004D29D1" w:rsidRPr="00746F54" w:rsidRDefault="004D29D1" w:rsidP="004D29D1">
      <w:pPr>
        <w:pStyle w:val="ParaText"/>
        <w:rPr>
          <w:rFonts w:ascii="Arial" w:hAnsi="Arial" w:cs="Arial"/>
          <w:u w:val="single"/>
        </w:rPr>
      </w:pPr>
      <w:r w:rsidRPr="00746F54">
        <w:rPr>
          <w:rFonts w:ascii="Arial" w:hAnsi="Arial" w:cs="Arial"/>
          <w:u w:val="single"/>
        </w:rPr>
        <w:t>Reference tariff section 33.27.4</w:t>
      </w:r>
    </w:p>
    <w:p w14:paraId="35C0B0F8" w14:textId="009106F6" w:rsidR="004D29D1" w:rsidRPr="00746F54" w:rsidRDefault="004D29D1" w:rsidP="004D29D1">
      <w:pPr>
        <w:pStyle w:val="ParaText"/>
        <w:rPr>
          <w:rFonts w:ascii="Arial" w:hAnsi="Arial" w:cs="Arial"/>
        </w:rPr>
      </w:pPr>
      <w:r w:rsidRPr="00746F54">
        <w:rPr>
          <w:rFonts w:ascii="Arial" w:hAnsi="Arial" w:cs="Arial"/>
        </w:rPr>
        <w:t xml:space="preserve">A net export reliability capacity transfer above the reference transfer shall not cause </w:t>
      </w:r>
      <w:commentRangeStart w:id="183"/>
      <w:r w:rsidRPr="00746F54">
        <w:rPr>
          <w:rFonts w:ascii="Arial" w:hAnsi="Arial" w:cs="Arial"/>
        </w:rPr>
        <w:t xml:space="preserve">under-gen </w:t>
      </w:r>
      <w:commentRangeEnd w:id="183"/>
      <w:r w:rsidRPr="00746F54">
        <w:rPr>
          <w:rStyle w:val="CommentReference"/>
          <w:rFonts w:ascii="Arial" w:hAnsi="Arial" w:cs="Arial"/>
        </w:rPr>
        <w:commentReference w:id="183"/>
      </w:r>
      <w:r w:rsidRPr="00746F54">
        <w:rPr>
          <w:rFonts w:ascii="Arial" w:hAnsi="Arial" w:cs="Arial"/>
        </w:rPr>
        <w:t xml:space="preserve">conditions. In other words, no net export transfer above the net transfer reference when in under-generation conditions. </w:t>
      </w:r>
    </w:p>
    <w:p w14:paraId="3C51DDFB" w14:textId="77777777" w:rsidR="004D29D1" w:rsidRPr="00746F54" w:rsidRDefault="004D29D1" w:rsidP="004D29D1">
      <w:pPr>
        <w:pStyle w:val="ParaText"/>
        <w:rPr>
          <w:rFonts w:ascii="Arial" w:hAnsi="Arial" w:cs="Arial"/>
        </w:rPr>
      </w:pPr>
      <w:r w:rsidRPr="00746F54">
        <w:rPr>
          <w:rFonts w:ascii="Arial" w:hAnsi="Arial" w:cs="Arial"/>
        </w:rPr>
        <w:t xml:space="preserve">A net import reliability capacity transfer below the reference transfer shall not cause over-gen conditions. In other words, no net import transfer below the net transfer reference when in over-gen conditions. </w:t>
      </w:r>
    </w:p>
    <w:p w14:paraId="2BBDAF64" w14:textId="77777777" w:rsidR="004D29D1" w:rsidRPr="00746F54" w:rsidRDefault="00FB47E6" w:rsidP="004D29D1">
      <w:pPr>
        <w:spacing w:before="77" w:after="0" w:line="240" w:lineRule="auto"/>
        <w:ind w:left="1354"/>
        <w:textAlignment w:val="baseline"/>
        <w:rPr>
          <w:rFonts w:ascii="Arial" w:eastAsia="Times New Roman" w:hAnsi="Arial" w:cs="Arial"/>
          <w:sz w:val="24"/>
          <w:szCs w:val="24"/>
        </w:rPr>
      </w:pPr>
      <m:oMathPara>
        <m:oMathParaPr>
          <m:jc m:val="centerGroup"/>
        </m:oMathParaPr>
        <m:oMath>
          <m:d>
            <m:dPr>
              <m:begChr m:val=""/>
              <m:endChr m:val="}"/>
              <m:ctrlPr>
                <w:rPr>
                  <w:rFonts w:ascii="Cambria Math" w:eastAsiaTheme="minorEastAsia" w:hAnsi="Cambria Math" w:cs="Arial"/>
                  <w:i/>
                  <w:iCs/>
                  <w:color w:val="000000" w:themeColor="text1"/>
                  <w:kern w:val="24"/>
                  <w:sz w:val="32"/>
                  <w:szCs w:val="32"/>
                </w:rPr>
              </m:ctrlPr>
            </m:dPr>
            <m:e>
              <m:m>
                <m:mPr>
                  <m:mcs>
                    <m:mc>
                      <m:mcPr>
                        <m:count m:val="1"/>
                        <m:mcJc m:val="center"/>
                      </m:mcPr>
                    </m:mc>
                  </m:mcs>
                  <m:ctrlPr>
                    <w:rPr>
                      <w:rFonts w:ascii="Cambria Math" w:eastAsiaTheme="minorEastAsia" w:hAnsi="Cambria Math" w:cs="Arial"/>
                      <w:i/>
                      <w:iCs/>
                      <w:color w:val="000000" w:themeColor="text1"/>
                      <w:kern w:val="24"/>
                      <w:sz w:val="32"/>
                      <w:szCs w:val="32"/>
                    </w:rPr>
                  </m:ctrlPr>
                </m:mPr>
                <m:mr>
                  <m:e>
                    <m:sSub>
                      <m:sSubPr>
                        <m:ctrlPr>
                          <w:rPr>
                            <w:rFonts w:ascii="Cambria Math" w:eastAsiaTheme="minorEastAsia" w:hAnsi="Cambria Math" w:cs="Arial"/>
                            <w:i/>
                            <w:iCs/>
                            <w:color w:val="000000" w:themeColor="text1"/>
                            <w:kern w:val="24"/>
                            <w:sz w:val="32"/>
                            <w:szCs w:val="32"/>
                          </w:rPr>
                        </m:ctrlPr>
                      </m:sSubPr>
                      <m:e>
                        <m:r>
                          <w:rPr>
                            <w:rFonts w:ascii="Cambria Math" w:eastAsiaTheme="minorEastAsia" w:hAnsi="Cambria Math" w:cs="Arial"/>
                            <w:color w:val="000000" w:themeColor="text1"/>
                            <w:kern w:val="24"/>
                            <w:sz w:val="32"/>
                            <w:szCs w:val="32"/>
                          </w:rPr>
                          <m:t>RCUS</m:t>
                        </m:r>
                      </m:e>
                      <m:sub>
                        <m:r>
                          <w:rPr>
                            <w:rFonts w:ascii="Cambria Math" w:eastAsiaTheme="minorEastAsia" w:hAnsi="Cambria Math" w:cs="Arial"/>
                            <w:color w:val="000000" w:themeColor="text1"/>
                            <w:kern w:val="24"/>
                            <w:sz w:val="32"/>
                            <w:szCs w:val="32"/>
                          </w:rPr>
                          <m:t>j,t</m:t>
                        </m:r>
                      </m:sub>
                    </m:sSub>
                    <m:r>
                      <w:rPr>
                        <w:rFonts w:ascii="Cambria Math" w:eastAsiaTheme="minorEastAsia" w:hAnsi="Cambria Math" w:cs="Arial"/>
                        <w:color w:val="000000" w:themeColor="text1"/>
                        <w:kern w:val="24"/>
                        <w:sz w:val="32"/>
                        <w:szCs w:val="32"/>
                      </w:rPr>
                      <m:t> </m:t>
                    </m:r>
                    <m:d>
                      <m:dPr>
                        <m:ctrlPr>
                          <w:rPr>
                            <w:rFonts w:ascii="Cambria Math" w:eastAsiaTheme="minorEastAsia" w:hAnsi="Cambria Math" w:cs="Arial"/>
                            <w:i/>
                            <w:iCs/>
                            <w:color w:val="000000" w:themeColor="text1"/>
                            <w:kern w:val="24"/>
                            <w:sz w:val="32"/>
                            <w:szCs w:val="32"/>
                          </w:rPr>
                        </m:ctrlPr>
                      </m:dPr>
                      <m:e>
                        <m:sSubSup>
                          <m:sSubSupPr>
                            <m:ctrlPr>
                              <w:rPr>
                                <w:rFonts w:ascii="Cambria Math" w:eastAsiaTheme="minorEastAsia" w:hAnsi="Cambria Math" w:cs="Arial"/>
                                <w:i/>
                                <w:iCs/>
                                <w:color w:val="000000" w:themeColor="text1"/>
                                <w:kern w:val="24"/>
                                <w:sz w:val="32"/>
                                <w:szCs w:val="32"/>
                              </w:rPr>
                            </m:ctrlPr>
                          </m:sSubSupPr>
                          <m:e>
                            <m:r>
                              <w:rPr>
                                <w:rFonts w:ascii="Cambria Math" w:eastAsiaTheme="minorEastAsia" w:hAnsi="Cambria Math" w:cs="Arial"/>
                                <w:color w:val="000000" w:themeColor="text1"/>
                                <w:kern w:val="24"/>
                                <w:sz w:val="32"/>
                                <w:szCs w:val="32"/>
                              </w:rPr>
                              <m:t>T</m:t>
                            </m:r>
                          </m:e>
                          <m:sub>
                            <m:r>
                              <w:rPr>
                                <w:rFonts w:ascii="Cambria Math" w:eastAsiaTheme="minorEastAsia" w:hAnsi="Cambria Math" w:cs="Arial"/>
                                <w:color w:val="000000" w:themeColor="text1"/>
                                <w:kern w:val="24"/>
                                <w:sz w:val="32"/>
                                <w:szCs w:val="32"/>
                              </w:rPr>
                              <m:t>j,t</m:t>
                            </m:r>
                          </m:sub>
                          <m:sup>
                            <m:r>
                              <w:rPr>
                                <w:rFonts w:ascii="Cambria Math" w:eastAsiaTheme="minorEastAsia" w:hAnsi="Cambria Math" w:cs="Arial"/>
                                <w:color w:val="000000" w:themeColor="text1"/>
                                <w:kern w:val="24"/>
                                <w:sz w:val="32"/>
                                <w:szCs w:val="32"/>
                              </w:rPr>
                              <m:t>(RCU)</m:t>
                            </m:r>
                          </m:sup>
                        </m:sSubSup>
                        <m:r>
                          <w:rPr>
                            <w:rFonts w:ascii="Cambria Math" w:eastAsiaTheme="minorEastAsia" w:hAnsi="Cambria Math" w:cs="Arial"/>
                            <w:color w:val="000000" w:themeColor="text1"/>
                            <w:kern w:val="24"/>
                            <w:sz w:val="32"/>
                            <w:szCs w:val="32"/>
                          </w:rPr>
                          <m:t>-</m:t>
                        </m:r>
                        <m:sSub>
                          <m:sSubPr>
                            <m:ctrlPr>
                              <w:rPr>
                                <w:rFonts w:ascii="Cambria Math" w:eastAsiaTheme="minorEastAsia" w:hAnsi="Cambria Math" w:cs="Arial"/>
                                <w:i/>
                                <w:iCs/>
                                <w:color w:val="000000" w:themeColor="text1"/>
                                <w:kern w:val="24"/>
                                <w:sz w:val="32"/>
                                <w:szCs w:val="32"/>
                              </w:rPr>
                            </m:ctrlPr>
                          </m:sSubPr>
                          <m:e>
                            <m:acc>
                              <m:accPr>
                                <m:chr m:val="̅"/>
                                <m:ctrlPr>
                                  <w:rPr>
                                    <w:rFonts w:ascii="Cambria Math" w:eastAsiaTheme="minorEastAsia" w:hAnsi="Cambria Math" w:cs="Arial"/>
                                    <w:i/>
                                    <w:iCs/>
                                    <w:color w:val="000000" w:themeColor="text1"/>
                                    <w:kern w:val="24"/>
                                    <w:sz w:val="32"/>
                                    <w:szCs w:val="32"/>
                                  </w:rPr>
                                </m:ctrlPr>
                              </m:accPr>
                              <m:e>
                                <m:r>
                                  <w:rPr>
                                    <w:rFonts w:ascii="Cambria Math" w:eastAsiaTheme="minorEastAsia" w:hAnsi="Cambria Math" w:cs="Arial"/>
                                    <w:color w:val="000000" w:themeColor="text1"/>
                                    <w:kern w:val="24"/>
                                    <w:sz w:val="32"/>
                                    <w:szCs w:val="32"/>
                                  </w:rPr>
                                  <m:t>T</m:t>
                                </m:r>
                              </m:e>
                            </m:acc>
                          </m:e>
                          <m:sub>
                            <m:r>
                              <w:rPr>
                                <w:rFonts w:ascii="Cambria Math" w:eastAsiaTheme="minorEastAsia" w:hAnsi="Cambria Math" w:cs="Arial"/>
                                <w:color w:val="000000" w:themeColor="text1"/>
                                <w:kern w:val="24"/>
                                <w:sz w:val="32"/>
                                <w:szCs w:val="32"/>
                              </w:rPr>
                              <m:t>j,t</m:t>
                            </m:r>
                          </m:sub>
                        </m:sSub>
                      </m:e>
                    </m:d>
                    <m:r>
                      <w:rPr>
                        <w:rFonts w:ascii="Cambria Math" w:eastAsiaTheme="minorEastAsia" w:hAnsi="Cambria Math" w:cs="Arial"/>
                        <w:color w:val="000000" w:themeColor="text1"/>
                        <w:kern w:val="24"/>
                        <w:sz w:val="32"/>
                        <w:szCs w:val="32"/>
                      </w:rPr>
                      <m:t>≤0</m:t>
                    </m:r>
                  </m:e>
                </m:mr>
                <m:mr>
                  <m:e>
                    <m:sSub>
                      <m:sSubPr>
                        <m:ctrlPr>
                          <w:rPr>
                            <w:rFonts w:ascii="Cambria Math" w:eastAsiaTheme="minorEastAsia" w:hAnsi="Cambria Math" w:cs="Arial"/>
                            <w:i/>
                            <w:iCs/>
                            <w:color w:val="000000" w:themeColor="text1"/>
                            <w:kern w:val="24"/>
                            <w:sz w:val="32"/>
                            <w:szCs w:val="32"/>
                          </w:rPr>
                        </m:ctrlPr>
                      </m:sSubPr>
                      <m:e>
                        <m:r>
                          <w:rPr>
                            <w:rFonts w:ascii="Cambria Math" w:eastAsiaTheme="minorEastAsia" w:hAnsi="Cambria Math" w:cs="Arial"/>
                            <w:color w:val="000000" w:themeColor="text1"/>
                            <w:kern w:val="24"/>
                            <w:sz w:val="32"/>
                            <w:szCs w:val="32"/>
                          </w:rPr>
                          <m:t>RCDS</m:t>
                        </m:r>
                      </m:e>
                      <m:sub>
                        <m:r>
                          <w:rPr>
                            <w:rFonts w:ascii="Cambria Math" w:eastAsiaTheme="minorEastAsia" w:hAnsi="Cambria Math" w:cs="Arial"/>
                            <w:color w:val="000000" w:themeColor="text1"/>
                            <w:kern w:val="24"/>
                            <w:sz w:val="32"/>
                            <w:szCs w:val="32"/>
                          </w:rPr>
                          <m:t>j,t</m:t>
                        </m:r>
                      </m:sub>
                    </m:sSub>
                    <m:r>
                      <w:rPr>
                        <w:rFonts w:ascii="Cambria Math" w:eastAsiaTheme="minorEastAsia" w:hAnsi="Cambria Math" w:cs="Arial"/>
                        <w:color w:val="000000" w:themeColor="text1"/>
                        <w:kern w:val="24"/>
                        <w:sz w:val="32"/>
                        <w:szCs w:val="32"/>
                      </w:rPr>
                      <m:t> </m:t>
                    </m:r>
                    <m:d>
                      <m:dPr>
                        <m:ctrlPr>
                          <w:rPr>
                            <w:rFonts w:ascii="Cambria Math" w:eastAsiaTheme="minorEastAsia" w:hAnsi="Cambria Math" w:cs="Arial"/>
                            <w:i/>
                            <w:iCs/>
                            <w:color w:val="000000" w:themeColor="text1"/>
                            <w:kern w:val="24"/>
                            <w:sz w:val="32"/>
                            <w:szCs w:val="32"/>
                          </w:rPr>
                        </m:ctrlPr>
                      </m:dPr>
                      <m:e>
                        <m:sSubSup>
                          <m:sSubSupPr>
                            <m:ctrlPr>
                              <w:rPr>
                                <w:rFonts w:ascii="Cambria Math" w:eastAsiaTheme="minorEastAsia" w:hAnsi="Cambria Math" w:cs="Arial"/>
                                <w:i/>
                                <w:iCs/>
                                <w:color w:val="000000" w:themeColor="text1"/>
                                <w:kern w:val="24"/>
                                <w:sz w:val="32"/>
                                <w:szCs w:val="32"/>
                              </w:rPr>
                            </m:ctrlPr>
                          </m:sSubSupPr>
                          <m:e>
                            <m:r>
                              <w:rPr>
                                <w:rFonts w:ascii="Cambria Math" w:eastAsiaTheme="minorEastAsia" w:hAnsi="Cambria Math" w:cs="Arial"/>
                                <w:color w:val="000000" w:themeColor="text1"/>
                                <w:kern w:val="24"/>
                                <w:sz w:val="32"/>
                                <w:szCs w:val="32"/>
                              </w:rPr>
                              <m:t>T</m:t>
                            </m:r>
                          </m:e>
                          <m:sub>
                            <m:r>
                              <w:rPr>
                                <w:rFonts w:ascii="Cambria Math" w:eastAsiaTheme="minorEastAsia" w:hAnsi="Cambria Math" w:cs="Arial"/>
                                <w:color w:val="000000" w:themeColor="text1"/>
                                <w:kern w:val="24"/>
                                <w:sz w:val="32"/>
                                <w:szCs w:val="32"/>
                              </w:rPr>
                              <m:t>j,t</m:t>
                            </m:r>
                          </m:sub>
                          <m:sup>
                            <m:r>
                              <w:rPr>
                                <w:rFonts w:ascii="Cambria Math" w:eastAsiaTheme="minorEastAsia" w:hAnsi="Cambria Math" w:cs="Arial"/>
                                <w:color w:val="000000" w:themeColor="text1"/>
                                <w:kern w:val="24"/>
                                <w:sz w:val="32"/>
                                <w:szCs w:val="32"/>
                              </w:rPr>
                              <m:t>(RCU)</m:t>
                            </m:r>
                          </m:sup>
                        </m:sSubSup>
                        <m:r>
                          <w:rPr>
                            <w:rFonts w:ascii="Cambria Math" w:eastAsiaTheme="minorEastAsia" w:hAnsi="Cambria Math" w:cs="Arial"/>
                            <w:color w:val="000000" w:themeColor="text1"/>
                            <w:kern w:val="24"/>
                            <w:sz w:val="32"/>
                            <w:szCs w:val="32"/>
                          </w:rPr>
                          <m:t>-</m:t>
                        </m:r>
                        <m:sSub>
                          <m:sSubPr>
                            <m:ctrlPr>
                              <w:rPr>
                                <w:rFonts w:ascii="Cambria Math" w:eastAsiaTheme="minorEastAsia" w:hAnsi="Cambria Math" w:cs="Arial"/>
                                <w:i/>
                                <w:iCs/>
                                <w:color w:val="000000" w:themeColor="text1"/>
                                <w:kern w:val="24"/>
                                <w:sz w:val="32"/>
                                <w:szCs w:val="32"/>
                              </w:rPr>
                            </m:ctrlPr>
                          </m:sSubPr>
                          <m:e>
                            <m:acc>
                              <m:accPr>
                                <m:chr m:val="̅"/>
                                <m:ctrlPr>
                                  <w:rPr>
                                    <w:rFonts w:ascii="Cambria Math" w:eastAsiaTheme="minorEastAsia" w:hAnsi="Cambria Math" w:cs="Arial"/>
                                    <w:i/>
                                    <w:iCs/>
                                    <w:color w:val="000000" w:themeColor="text1"/>
                                    <w:kern w:val="24"/>
                                    <w:sz w:val="32"/>
                                    <w:szCs w:val="32"/>
                                  </w:rPr>
                                </m:ctrlPr>
                              </m:accPr>
                              <m:e>
                                <m:r>
                                  <w:rPr>
                                    <w:rFonts w:ascii="Cambria Math" w:eastAsiaTheme="minorEastAsia" w:hAnsi="Cambria Math" w:cs="Arial"/>
                                    <w:color w:val="000000" w:themeColor="text1"/>
                                    <w:kern w:val="24"/>
                                    <w:sz w:val="32"/>
                                    <w:szCs w:val="32"/>
                                  </w:rPr>
                                  <m:t>T</m:t>
                                </m:r>
                              </m:e>
                            </m:acc>
                          </m:e>
                          <m:sub>
                            <m:r>
                              <w:rPr>
                                <w:rFonts w:ascii="Cambria Math" w:eastAsiaTheme="minorEastAsia" w:hAnsi="Cambria Math" w:cs="Arial"/>
                                <w:color w:val="000000" w:themeColor="text1"/>
                                <w:kern w:val="24"/>
                                <w:sz w:val="32"/>
                                <w:szCs w:val="32"/>
                              </w:rPr>
                              <m:t>j,t</m:t>
                            </m:r>
                          </m:sub>
                        </m:sSub>
                      </m:e>
                    </m:d>
                    <m:r>
                      <w:rPr>
                        <w:rFonts w:ascii="Cambria Math" w:eastAsiaTheme="minorEastAsia" w:hAnsi="Cambria Math" w:cs="Arial"/>
                        <w:color w:val="000000" w:themeColor="text1"/>
                        <w:kern w:val="24"/>
                        <w:sz w:val="32"/>
                        <w:szCs w:val="32"/>
                      </w:rPr>
                      <m:t>≥0</m:t>
                    </m:r>
                  </m:e>
                </m:mr>
              </m:m>
            </m:e>
          </m:d>
          <m:r>
            <w:rPr>
              <w:rFonts w:ascii="Cambria Math" w:eastAsiaTheme="minorEastAsia" w:hAnsi="Cambria Math" w:cs="Arial"/>
              <w:color w:val="000000" w:themeColor="text1"/>
              <w:kern w:val="24"/>
              <w:sz w:val="32"/>
              <w:szCs w:val="32"/>
            </w:rPr>
            <m:t>,∀j∈EDAM∧t=1,2,…,T</m:t>
          </m:r>
        </m:oMath>
      </m:oMathPara>
    </w:p>
    <w:p w14:paraId="26FE5490" w14:textId="77777777" w:rsidR="004D29D1" w:rsidRPr="00746F54" w:rsidRDefault="004D29D1" w:rsidP="004D29D1">
      <w:pPr>
        <w:pStyle w:val="ParaText"/>
        <w:rPr>
          <w:rFonts w:ascii="Arial" w:hAnsi="Arial" w:cs="Arial"/>
        </w:rPr>
      </w:pPr>
    </w:p>
    <w:p w14:paraId="05FEEBDD" w14:textId="77777777" w:rsidR="004D29D1" w:rsidRPr="00746F54" w:rsidRDefault="004D29D1" w:rsidP="004D29D1">
      <w:pPr>
        <w:pStyle w:val="ParaText"/>
        <w:rPr>
          <w:rFonts w:ascii="Arial" w:hAnsi="Arial" w:cs="Arial"/>
        </w:rPr>
      </w:pPr>
      <w:r w:rsidRPr="00746F54">
        <w:rPr>
          <w:rFonts w:ascii="Arial" w:hAnsi="Arial" w:cs="Arial"/>
        </w:rPr>
        <w:t>Where the net transfer reference includes energy and IRU/IRD net transfers from the IFM pass</w:t>
      </w:r>
    </w:p>
    <w:p w14:paraId="1FAB1EB5" w14:textId="77777777" w:rsidR="004D29D1" w:rsidRPr="00746F54" w:rsidRDefault="00FB47E6" w:rsidP="004D29D1">
      <w:pPr>
        <w:spacing w:before="77" w:after="0" w:line="240" w:lineRule="auto"/>
        <w:ind w:left="1354"/>
        <w:textAlignment w:val="baseline"/>
        <w:rPr>
          <w:rFonts w:ascii="Arial" w:eastAsia="Times New Roman" w:hAnsi="Arial" w:cs="Arial"/>
          <w:sz w:val="24"/>
          <w:szCs w:val="24"/>
        </w:rPr>
      </w:pPr>
      <m:oMathPara>
        <m:oMathParaPr>
          <m:jc m:val="centerGroup"/>
        </m:oMathParaPr>
        <m:oMath>
          <m:sSub>
            <m:sSubPr>
              <m:ctrlPr>
                <w:rPr>
                  <w:rFonts w:ascii="Cambria Math" w:eastAsiaTheme="minorEastAsia" w:hAnsi="Cambria Math" w:cs="Arial"/>
                  <w:i/>
                  <w:iCs/>
                  <w:color w:val="000000" w:themeColor="text1"/>
                  <w:kern w:val="24"/>
                  <w:sz w:val="32"/>
                  <w:szCs w:val="32"/>
                </w:rPr>
              </m:ctrlPr>
            </m:sSubPr>
            <m:e>
              <m:acc>
                <m:accPr>
                  <m:chr m:val="̅"/>
                  <m:ctrlPr>
                    <w:rPr>
                      <w:rFonts w:ascii="Cambria Math" w:eastAsiaTheme="minorEastAsia" w:hAnsi="Cambria Math" w:cs="Arial"/>
                      <w:i/>
                      <w:iCs/>
                      <w:color w:val="000000" w:themeColor="text1"/>
                      <w:kern w:val="24"/>
                      <w:sz w:val="32"/>
                      <w:szCs w:val="32"/>
                    </w:rPr>
                  </m:ctrlPr>
                </m:accPr>
                <m:e>
                  <m:r>
                    <w:rPr>
                      <w:rFonts w:ascii="Cambria Math" w:eastAsiaTheme="minorEastAsia" w:hAnsi="Cambria Math" w:cs="Arial"/>
                      <w:color w:val="000000" w:themeColor="text1"/>
                      <w:kern w:val="24"/>
                      <w:sz w:val="32"/>
                      <w:szCs w:val="32"/>
                    </w:rPr>
                    <m:t>T</m:t>
                  </m:r>
                </m:e>
              </m:acc>
            </m:e>
            <m:sub>
              <m:r>
                <w:rPr>
                  <w:rFonts w:ascii="Cambria Math" w:eastAsiaTheme="minorEastAsia" w:hAnsi="Cambria Math" w:cs="Arial"/>
                  <w:color w:val="000000" w:themeColor="text1"/>
                  <w:kern w:val="24"/>
                  <w:sz w:val="32"/>
                  <w:szCs w:val="32"/>
                </w:rPr>
                <m:t>j</m:t>
              </m:r>
              <m:r>
                <m:rPr>
                  <m:sty m:val="p"/>
                </m:rPr>
                <w:rPr>
                  <w:rFonts w:ascii="Cambria Math" w:eastAsiaTheme="minorEastAsia" w:hAnsi="Cambria Math" w:cs="Arial"/>
                  <w:color w:val="000000" w:themeColor="text1"/>
                  <w:kern w:val="24"/>
                  <w:sz w:val="32"/>
                  <w:szCs w:val="32"/>
                </w:rPr>
                <m:t>,</m:t>
              </m:r>
              <m:r>
                <w:rPr>
                  <w:rFonts w:ascii="Cambria Math" w:eastAsiaTheme="minorEastAsia" w:hAnsi="Cambria Math" w:cs="Arial"/>
                  <w:color w:val="000000" w:themeColor="text1"/>
                  <w:kern w:val="24"/>
                  <w:sz w:val="32"/>
                  <w:szCs w:val="32"/>
                </w:rPr>
                <m:t>t</m:t>
              </m:r>
            </m:sub>
          </m:sSub>
          <m:r>
            <m:rPr>
              <m:sty m:val="p"/>
            </m:rPr>
            <w:rPr>
              <w:rFonts w:ascii="Cambria Math" w:eastAsiaTheme="minorEastAsia" w:hAnsi="Cambria Math" w:cs="Arial"/>
              <w:color w:val="000000" w:themeColor="text1"/>
              <w:kern w:val="24"/>
              <w:sz w:val="32"/>
              <w:szCs w:val="32"/>
            </w:rPr>
            <m:t>=</m:t>
          </m:r>
          <m:sSubSup>
            <m:sSubSupPr>
              <m:ctrlPr>
                <w:rPr>
                  <w:rFonts w:ascii="Cambria Math" w:eastAsiaTheme="minorEastAsia" w:hAnsi="Cambria Math" w:cs="Arial"/>
                  <w:i/>
                  <w:iCs/>
                  <w:color w:val="000000" w:themeColor="text1"/>
                  <w:kern w:val="24"/>
                  <w:sz w:val="32"/>
                  <w:szCs w:val="32"/>
                </w:rPr>
              </m:ctrlPr>
            </m:sSubSupPr>
            <m:e>
              <m:r>
                <w:rPr>
                  <w:rFonts w:ascii="Cambria Math" w:eastAsiaTheme="minorEastAsia" w:hAnsi="Cambria Math" w:cs="Arial"/>
                  <w:color w:val="000000" w:themeColor="text1"/>
                  <w:kern w:val="24"/>
                  <w:sz w:val="32"/>
                  <w:szCs w:val="32"/>
                </w:rPr>
                <m:t>T</m:t>
              </m:r>
            </m:e>
            <m:sub>
              <m:r>
                <w:rPr>
                  <w:rFonts w:ascii="Cambria Math" w:eastAsiaTheme="minorEastAsia" w:hAnsi="Cambria Math" w:cs="Arial"/>
                  <w:color w:val="000000" w:themeColor="text1"/>
                  <w:kern w:val="24"/>
                  <w:sz w:val="32"/>
                  <w:szCs w:val="32"/>
                </w:rPr>
                <m:t>j,t</m:t>
              </m:r>
            </m:sub>
            <m:sup>
              <m:r>
                <w:rPr>
                  <w:rFonts w:ascii="Cambria Math" w:eastAsiaTheme="minorEastAsia" w:hAnsi="Cambria Math" w:cs="Arial"/>
                  <w:color w:val="000000" w:themeColor="text1"/>
                  <w:kern w:val="24"/>
                  <w:sz w:val="32"/>
                  <w:szCs w:val="32"/>
                </w:rPr>
                <m:t>(EN)</m:t>
              </m:r>
            </m:sup>
          </m:sSubSup>
          <m:r>
            <m:rPr>
              <m:sty m:val="p"/>
            </m:rPr>
            <w:rPr>
              <w:rFonts w:ascii="Cambria Math" w:eastAsiaTheme="minorEastAsia" w:hAnsi="Cambria Math" w:cs="Arial"/>
              <w:color w:val="000000" w:themeColor="text1"/>
              <w:kern w:val="24"/>
              <w:sz w:val="32"/>
              <w:szCs w:val="32"/>
            </w:rPr>
            <m:t>+</m:t>
          </m:r>
          <m:sSubSup>
            <m:sSubSupPr>
              <m:ctrlPr>
                <w:rPr>
                  <w:rFonts w:ascii="Cambria Math" w:eastAsiaTheme="minorEastAsia" w:hAnsi="Cambria Math" w:cs="Arial"/>
                  <w:i/>
                  <w:iCs/>
                  <w:color w:val="000000" w:themeColor="text1"/>
                  <w:kern w:val="24"/>
                  <w:sz w:val="32"/>
                  <w:szCs w:val="32"/>
                </w:rPr>
              </m:ctrlPr>
            </m:sSubSupPr>
            <m:e>
              <m:r>
                <w:rPr>
                  <w:rFonts w:ascii="Cambria Math" w:eastAsiaTheme="minorEastAsia" w:hAnsi="Cambria Math" w:cs="Arial"/>
                  <w:color w:val="000000" w:themeColor="text1"/>
                  <w:kern w:val="24"/>
                  <w:sz w:val="32"/>
                  <w:szCs w:val="32"/>
                </w:rPr>
                <m:t>T</m:t>
              </m:r>
            </m:e>
            <m:sub>
              <m:r>
                <w:rPr>
                  <w:rFonts w:ascii="Cambria Math" w:eastAsiaTheme="minorEastAsia" w:hAnsi="Cambria Math" w:cs="Arial"/>
                  <w:color w:val="000000" w:themeColor="text1"/>
                  <w:kern w:val="24"/>
                  <w:sz w:val="32"/>
                  <w:szCs w:val="32"/>
                </w:rPr>
                <m:t>j,t</m:t>
              </m:r>
            </m:sub>
            <m:sup>
              <m:r>
                <w:rPr>
                  <w:rFonts w:ascii="Cambria Math" w:eastAsiaTheme="minorEastAsia" w:hAnsi="Cambria Math" w:cs="Arial"/>
                  <w:color w:val="000000" w:themeColor="text1"/>
                  <w:kern w:val="24"/>
                  <w:sz w:val="32"/>
                  <w:szCs w:val="32"/>
                </w:rPr>
                <m:t>(IRU)</m:t>
              </m:r>
            </m:sup>
          </m:sSubSup>
          <m:r>
            <w:rPr>
              <w:rFonts w:ascii="Cambria Math" w:eastAsiaTheme="minorEastAsia" w:hAnsi="Cambria Math" w:cs="Arial"/>
              <w:color w:val="000000" w:themeColor="text1"/>
              <w:kern w:val="24"/>
              <w:sz w:val="32"/>
              <w:szCs w:val="32"/>
            </w:rPr>
            <m:t>-</m:t>
          </m:r>
          <m:sSubSup>
            <m:sSubSupPr>
              <m:ctrlPr>
                <w:rPr>
                  <w:rFonts w:ascii="Cambria Math" w:eastAsiaTheme="minorEastAsia" w:hAnsi="Cambria Math" w:cs="Arial"/>
                  <w:i/>
                  <w:iCs/>
                  <w:color w:val="000000" w:themeColor="text1"/>
                  <w:kern w:val="24"/>
                  <w:sz w:val="32"/>
                  <w:szCs w:val="32"/>
                </w:rPr>
              </m:ctrlPr>
            </m:sSubSupPr>
            <m:e>
              <m:r>
                <w:rPr>
                  <w:rFonts w:ascii="Cambria Math" w:eastAsiaTheme="minorEastAsia" w:hAnsi="Cambria Math" w:cs="Arial"/>
                  <w:color w:val="000000" w:themeColor="text1"/>
                  <w:kern w:val="24"/>
                  <w:sz w:val="32"/>
                  <w:szCs w:val="32"/>
                </w:rPr>
                <m:t>T</m:t>
              </m:r>
            </m:e>
            <m:sub>
              <m:r>
                <w:rPr>
                  <w:rFonts w:ascii="Cambria Math" w:eastAsiaTheme="minorEastAsia" w:hAnsi="Cambria Math" w:cs="Arial"/>
                  <w:color w:val="000000" w:themeColor="text1"/>
                  <w:kern w:val="24"/>
                  <w:sz w:val="32"/>
                  <w:szCs w:val="32"/>
                </w:rPr>
                <m:t>j,t</m:t>
              </m:r>
            </m:sub>
            <m:sup>
              <m:r>
                <w:rPr>
                  <w:rFonts w:ascii="Cambria Math" w:eastAsiaTheme="minorEastAsia" w:hAnsi="Cambria Math" w:cs="Arial"/>
                  <w:color w:val="000000" w:themeColor="text1"/>
                  <w:kern w:val="24"/>
                  <w:sz w:val="32"/>
                  <w:szCs w:val="32"/>
                </w:rPr>
                <m:t>(IRD)</m:t>
              </m:r>
            </m:sup>
          </m:sSubSup>
          <m:r>
            <w:rPr>
              <w:rFonts w:ascii="Cambria Math" w:eastAsiaTheme="minorEastAsia" w:hAnsi="Cambria Math" w:cs="Arial"/>
              <w:color w:val="000000" w:themeColor="text1"/>
              <w:kern w:val="24"/>
              <w:sz w:val="32"/>
              <w:szCs w:val="32"/>
            </w:rPr>
            <m:t>,∀j∈EDAM∧t=1,2,…,T</m:t>
          </m:r>
        </m:oMath>
      </m:oMathPara>
    </w:p>
    <w:p w14:paraId="76711D54" w14:textId="77777777" w:rsidR="004D29D1" w:rsidRPr="00746F54" w:rsidRDefault="004D29D1" w:rsidP="004D29D1">
      <w:pPr>
        <w:pStyle w:val="ParaText"/>
        <w:rPr>
          <w:rFonts w:ascii="Arial" w:hAnsi="Arial" w:cs="Arial"/>
        </w:rPr>
      </w:pPr>
    </w:p>
    <w:p w14:paraId="6C7F068B" w14:textId="227E275D" w:rsidR="004D29D1" w:rsidRPr="00746F54" w:rsidRDefault="004D29D1" w:rsidP="004D29D1">
      <w:pPr>
        <w:pStyle w:val="ParaText"/>
        <w:spacing w:line="360" w:lineRule="auto"/>
        <w:rPr>
          <w:rFonts w:ascii="Arial" w:hAnsi="Arial" w:cs="Arial"/>
        </w:rPr>
      </w:pPr>
      <w:r w:rsidRPr="00746F54">
        <w:rPr>
          <w:rFonts w:ascii="Arial" w:hAnsi="Arial" w:cs="Arial"/>
        </w:rPr>
        <w:t>The Extended Day-Ahead Market will include a constraint to ensure each EDAM entity meets its Balancing Authority Area requirements before supporting EDAM transfers. The constraint will not allow a simultaneous power balance constraint violation in the upward/downward direction with a net EDAM Transfer export/import beyond the net EDAM Transfer eligible for the EDAM Resource Sufficiency Evaluation as established in Section 33.18.2.1</w:t>
      </w:r>
    </w:p>
    <w:p w14:paraId="602AE9F8" w14:textId="77777777" w:rsidR="004D29D1" w:rsidRPr="00746F54" w:rsidRDefault="004D29D1" w:rsidP="004D29D1">
      <w:pPr>
        <w:pStyle w:val="Paragraph"/>
        <w:spacing w:line="360" w:lineRule="auto"/>
        <w:rPr>
          <w:rFonts w:ascii="Arial" w:hAnsi="Arial" w:cs="Arial"/>
          <w:sz w:val="22"/>
        </w:rPr>
      </w:pPr>
      <w:r w:rsidRPr="00746F54">
        <w:rPr>
          <w:rFonts w:ascii="Arial" w:hAnsi="Arial" w:cs="Arial"/>
          <w:sz w:val="22"/>
        </w:rPr>
        <w:lastRenderedPageBreak/>
        <w:t xml:space="preserve">The EDAM BAA power balance </w:t>
      </w:r>
      <w:commentRangeStart w:id="184"/>
      <w:r w:rsidRPr="00746F54">
        <w:rPr>
          <w:rFonts w:ascii="Arial" w:hAnsi="Arial" w:cs="Arial"/>
          <w:sz w:val="22"/>
        </w:rPr>
        <w:t>constraints</w:t>
      </w:r>
      <w:commentRangeEnd w:id="184"/>
      <w:r w:rsidRPr="00746F54">
        <w:rPr>
          <w:rStyle w:val="CommentReference"/>
          <w:rFonts w:ascii="Arial" w:hAnsi="Arial" w:cs="Arial"/>
          <w:kern w:val="0"/>
          <w:sz w:val="22"/>
          <w:szCs w:val="22"/>
        </w:rPr>
        <w:commentReference w:id="184"/>
      </w:r>
      <w:r w:rsidRPr="00746F54">
        <w:rPr>
          <w:rFonts w:ascii="Arial" w:hAnsi="Arial" w:cs="Arial"/>
          <w:sz w:val="22"/>
        </w:rPr>
        <w:t xml:space="preserve"> in the </w:t>
      </w:r>
      <w:commentRangeStart w:id="185"/>
      <w:r w:rsidRPr="00746F54">
        <w:rPr>
          <w:rFonts w:ascii="Arial" w:hAnsi="Arial" w:cs="Arial"/>
          <w:sz w:val="22"/>
        </w:rPr>
        <w:t xml:space="preserve">IFM </w:t>
      </w:r>
      <w:commentRangeEnd w:id="185"/>
      <w:r w:rsidRPr="00746F54">
        <w:rPr>
          <w:rStyle w:val="CommentReference"/>
          <w:rFonts w:ascii="Arial" w:hAnsi="Arial" w:cs="Arial"/>
          <w:kern w:val="0"/>
          <w:sz w:val="22"/>
          <w:szCs w:val="22"/>
        </w:rPr>
        <w:commentReference w:id="185"/>
      </w:r>
      <w:r w:rsidRPr="00746F54">
        <w:rPr>
          <w:rFonts w:ascii="Arial" w:hAnsi="Arial" w:cs="Arial"/>
          <w:sz w:val="22"/>
        </w:rPr>
        <w:t>can be relaxed at a penalty by including energy supply shortfall and surplus variables.</w:t>
      </w:r>
    </w:p>
    <w:p w14:paraId="695EC973" w14:textId="77777777" w:rsidR="004D29D1" w:rsidRPr="00746F54" w:rsidRDefault="004D29D1" w:rsidP="004D29D1">
      <w:pPr>
        <w:pStyle w:val="Paragraph"/>
        <w:spacing w:line="360" w:lineRule="auto"/>
        <w:rPr>
          <w:rFonts w:ascii="Arial" w:hAnsi="Arial" w:cs="Arial"/>
          <w:sz w:val="22"/>
        </w:rPr>
      </w:pPr>
      <w:r w:rsidRPr="00746F54">
        <w:rPr>
          <w:rFonts w:ascii="Arial" w:hAnsi="Arial" w:cs="Arial"/>
          <w:sz w:val="22"/>
        </w:rPr>
        <w:t>Where the energy supply shortfall (</w:t>
      </w:r>
      <w:r w:rsidRPr="00746F54">
        <w:rPr>
          <w:rFonts w:ascii="Arial" w:hAnsi="Arial" w:cs="Arial"/>
          <w:i/>
          <w:sz w:val="22"/>
        </w:rPr>
        <w:t>ENUS</w:t>
      </w:r>
      <w:r w:rsidRPr="00746F54">
        <w:rPr>
          <w:rFonts w:ascii="Arial" w:hAnsi="Arial" w:cs="Arial"/>
          <w:sz w:val="22"/>
        </w:rPr>
        <w:t>) and surplus (</w:t>
      </w:r>
      <w:r w:rsidRPr="00746F54">
        <w:rPr>
          <w:rFonts w:ascii="Arial" w:hAnsi="Arial" w:cs="Arial"/>
          <w:i/>
          <w:sz w:val="22"/>
        </w:rPr>
        <w:t>ENDS</w:t>
      </w:r>
      <w:r w:rsidRPr="00746F54">
        <w:rPr>
          <w:rFonts w:ascii="Arial" w:hAnsi="Arial" w:cs="Arial"/>
          <w:sz w:val="22"/>
        </w:rPr>
        <w:t>) variables are assigned penalty costs in the objective function. To prevent transfers causing a power balance constraint relaxation in an EDAM BAA j interval t, the following constraints are enforced in the IFM:</w:t>
      </w:r>
    </w:p>
    <w:p w14:paraId="7463325E" w14:textId="77777777" w:rsidR="004D29D1" w:rsidRPr="00746F54" w:rsidRDefault="00FB47E6" w:rsidP="004D29D1">
      <w:pPr>
        <w:pStyle w:val="Equation"/>
        <w:spacing w:line="360" w:lineRule="auto"/>
        <w:rPr>
          <w:rFonts w:ascii="Arial" w:hAnsi="Arial" w:cs="Arial"/>
          <w:sz w:val="22"/>
          <w:szCs w:val="22"/>
        </w:rPr>
      </w:pPr>
      <m:oMathPara>
        <m:oMath>
          <m:d>
            <m:dPr>
              <m:begChr m:val=""/>
              <m:endChr m:val="}"/>
              <m:ctrlPr>
                <w:rPr>
                  <w:rFonts w:ascii="Cambria Math" w:hAnsi="Cambria Math" w:cs="Arial"/>
                  <w:sz w:val="22"/>
                  <w:szCs w:val="22"/>
                </w:rPr>
              </m:ctrlPr>
            </m:dPr>
            <m:e>
              <m:m>
                <m:mPr>
                  <m:mcs>
                    <m:mc>
                      <m:mcPr>
                        <m:count m:val="1"/>
                        <m:mcJc m:val="center"/>
                      </m:mcPr>
                    </m:mc>
                  </m:mcs>
                  <m:ctrlPr>
                    <w:rPr>
                      <w:rFonts w:ascii="Cambria Math" w:hAnsi="Cambria Math" w:cs="Arial"/>
                      <w:i/>
                      <w:sz w:val="22"/>
                      <w:szCs w:val="22"/>
                    </w:rPr>
                  </m:ctrlPr>
                </m:mPr>
                <m:mr>
                  <m:e>
                    <m:sSub>
                      <m:sSubPr>
                        <m:ctrlPr>
                          <w:rPr>
                            <w:rFonts w:ascii="Cambria Math" w:hAnsi="Cambria Math" w:cs="Arial"/>
                            <w:i/>
                            <w:iCs/>
                            <w:sz w:val="22"/>
                            <w:szCs w:val="22"/>
                          </w:rPr>
                        </m:ctrlPr>
                      </m:sSubPr>
                      <m:e>
                        <m:r>
                          <w:rPr>
                            <w:rFonts w:ascii="Cambria Math" w:hAnsi="Cambria Math" w:cs="Arial"/>
                            <w:sz w:val="22"/>
                            <w:szCs w:val="22"/>
                          </w:rPr>
                          <m:t>ENUS</m:t>
                        </m:r>
                      </m:e>
                      <m:sub>
                        <m:r>
                          <w:rPr>
                            <w:rFonts w:ascii="Cambria Math" w:hAnsi="Cambria Math" w:cs="Arial"/>
                            <w:sz w:val="22"/>
                            <w:szCs w:val="22"/>
                          </w:rPr>
                          <m:t>j,t</m:t>
                        </m:r>
                      </m:sub>
                    </m:sSub>
                    <m:r>
                      <w:rPr>
                        <w:rFonts w:ascii="Cambria Math" w:hAnsi="Cambria Math" w:cs="Arial"/>
                        <w:sz w:val="22"/>
                        <w:szCs w:val="22"/>
                      </w:rPr>
                      <m:t> </m:t>
                    </m:r>
                    <m:d>
                      <m:dPr>
                        <m:ctrlPr>
                          <w:rPr>
                            <w:rFonts w:ascii="Cambria Math" w:hAnsi="Cambria Math" w:cs="Arial"/>
                            <w:i/>
                            <w:iCs/>
                            <w:sz w:val="22"/>
                            <w:szCs w:val="22"/>
                          </w:rPr>
                        </m:ctrlPr>
                      </m:dPr>
                      <m:e>
                        <m:sSubSup>
                          <m:sSubSupPr>
                            <m:ctrlPr>
                              <w:rPr>
                                <w:rFonts w:ascii="Cambria Math" w:hAnsi="Cambria Math" w:cs="Arial"/>
                                <w:i/>
                                <w:iCs/>
                                <w:sz w:val="22"/>
                                <w:szCs w:val="22"/>
                              </w:rPr>
                            </m:ctrlPr>
                          </m:sSubSupPr>
                          <m:e>
                            <m:r>
                              <w:rPr>
                                <w:rFonts w:ascii="Cambria Math" w:hAnsi="Cambria Math" w:cs="Arial"/>
                                <w:sz w:val="22"/>
                                <w:szCs w:val="22"/>
                              </w:rPr>
                              <m:t>T</m:t>
                            </m:r>
                          </m:e>
                          <m:sub>
                            <m:r>
                              <w:rPr>
                                <w:rFonts w:ascii="Cambria Math" w:hAnsi="Cambria Math" w:cs="Arial"/>
                                <w:sz w:val="22"/>
                                <w:szCs w:val="22"/>
                              </w:rPr>
                              <m:t>j,t</m:t>
                            </m:r>
                          </m:sub>
                          <m:sup>
                            <m:d>
                              <m:dPr>
                                <m:ctrlPr>
                                  <w:rPr>
                                    <w:rFonts w:ascii="Cambria Math" w:hAnsi="Cambria Math" w:cs="Arial"/>
                                    <w:i/>
                                    <w:iCs/>
                                    <w:sz w:val="22"/>
                                    <w:szCs w:val="22"/>
                                  </w:rPr>
                                </m:ctrlPr>
                              </m:dPr>
                              <m:e>
                                <m:r>
                                  <w:rPr>
                                    <w:rFonts w:ascii="Cambria Math" w:hAnsi="Cambria Math" w:cs="Arial"/>
                                    <w:sz w:val="22"/>
                                    <w:szCs w:val="22"/>
                                  </w:rPr>
                                  <m:t>EN</m:t>
                                </m:r>
                              </m:e>
                            </m:d>
                          </m:sup>
                        </m:sSubSup>
                        <m:r>
                          <w:rPr>
                            <w:rFonts w:ascii="Cambria Math" w:hAnsi="Cambria Math" w:cs="Arial"/>
                            <w:sz w:val="22"/>
                            <w:szCs w:val="22"/>
                          </w:rPr>
                          <m:t>-</m:t>
                        </m:r>
                        <m:sSub>
                          <m:sSubPr>
                            <m:ctrlPr>
                              <w:rPr>
                                <w:rFonts w:ascii="Cambria Math" w:hAnsi="Cambria Math" w:cs="Arial"/>
                                <w:i/>
                                <w:iCs/>
                                <w:sz w:val="22"/>
                                <w:szCs w:val="22"/>
                              </w:rPr>
                            </m:ctrlPr>
                          </m:sSubPr>
                          <m:e>
                            <m:acc>
                              <m:accPr>
                                <m:chr m:val="̅"/>
                                <m:ctrlPr>
                                  <w:rPr>
                                    <w:rFonts w:ascii="Cambria Math" w:hAnsi="Cambria Math" w:cs="Arial"/>
                                    <w:i/>
                                    <w:sz w:val="22"/>
                                    <w:szCs w:val="22"/>
                                  </w:rPr>
                                </m:ctrlPr>
                              </m:accPr>
                              <m:e>
                                <m:r>
                                  <w:rPr>
                                    <w:rFonts w:ascii="Cambria Math" w:hAnsi="Cambria Math" w:cs="Arial"/>
                                    <w:sz w:val="22"/>
                                    <w:szCs w:val="22"/>
                                  </w:rPr>
                                  <m:t>T</m:t>
                                </m:r>
                              </m:e>
                            </m:acc>
                          </m:e>
                          <m:sub>
                            <m:r>
                              <w:rPr>
                                <w:rFonts w:ascii="Cambria Math" w:hAnsi="Cambria Math" w:cs="Arial"/>
                                <w:sz w:val="22"/>
                                <w:szCs w:val="22"/>
                              </w:rPr>
                              <m:t>j,t</m:t>
                            </m:r>
                          </m:sub>
                        </m:sSub>
                      </m:e>
                    </m:d>
                    <m:r>
                      <w:rPr>
                        <w:rFonts w:ascii="Cambria Math" w:hAnsi="Cambria Math" w:cs="Arial"/>
                        <w:sz w:val="22"/>
                        <w:szCs w:val="22"/>
                      </w:rPr>
                      <m:t>≤0</m:t>
                    </m:r>
                  </m:e>
                </m:mr>
                <m:mr>
                  <m:e>
                    <m:sSub>
                      <m:sSubPr>
                        <m:ctrlPr>
                          <w:rPr>
                            <w:rFonts w:ascii="Cambria Math" w:hAnsi="Cambria Math" w:cs="Arial"/>
                            <w:i/>
                            <w:iCs/>
                            <w:sz w:val="22"/>
                            <w:szCs w:val="22"/>
                          </w:rPr>
                        </m:ctrlPr>
                      </m:sSubPr>
                      <m:e>
                        <m:r>
                          <w:rPr>
                            <w:rFonts w:ascii="Cambria Math" w:hAnsi="Cambria Math" w:cs="Arial"/>
                            <w:sz w:val="22"/>
                            <w:szCs w:val="22"/>
                          </w:rPr>
                          <m:t>ENDS</m:t>
                        </m:r>
                      </m:e>
                      <m:sub>
                        <m:r>
                          <w:rPr>
                            <w:rFonts w:ascii="Cambria Math" w:hAnsi="Cambria Math" w:cs="Arial"/>
                            <w:sz w:val="22"/>
                            <w:szCs w:val="22"/>
                          </w:rPr>
                          <m:t>j,t</m:t>
                        </m:r>
                      </m:sub>
                    </m:sSub>
                    <m:r>
                      <w:rPr>
                        <w:rFonts w:ascii="Cambria Math" w:hAnsi="Cambria Math" w:cs="Arial"/>
                        <w:sz w:val="22"/>
                        <w:szCs w:val="22"/>
                      </w:rPr>
                      <m:t> </m:t>
                    </m:r>
                    <m:d>
                      <m:dPr>
                        <m:ctrlPr>
                          <w:rPr>
                            <w:rFonts w:ascii="Cambria Math" w:hAnsi="Cambria Math" w:cs="Arial"/>
                            <w:i/>
                            <w:iCs/>
                            <w:sz w:val="22"/>
                            <w:szCs w:val="22"/>
                          </w:rPr>
                        </m:ctrlPr>
                      </m:dPr>
                      <m:e>
                        <m:sSubSup>
                          <m:sSubSupPr>
                            <m:ctrlPr>
                              <w:rPr>
                                <w:rFonts w:ascii="Cambria Math" w:hAnsi="Cambria Math" w:cs="Arial"/>
                                <w:i/>
                                <w:iCs/>
                                <w:sz w:val="22"/>
                                <w:szCs w:val="22"/>
                              </w:rPr>
                            </m:ctrlPr>
                          </m:sSubSupPr>
                          <m:e>
                            <m:r>
                              <w:rPr>
                                <w:rFonts w:ascii="Cambria Math" w:hAnsi="Cambria Math" w:cs="Arial"/>
                                <w:sz w:val="22"/>
                                <w:szCs w:val="22"/>
                              </w:rPr>
                              <m:t>T</m:t>
                            </m:r>
                          </m:e>
                          <m:sub>
                            <m:r>
                              <w:rPr>
                                <w:rFonts w:ascii="Cambria Math" w:hAnsi="Cambria Math" w:cs="Arial"/>
                                <w:sz w:val="22"/>
                                <w:szCs w:val="22"/>
                              </w:rPr>
                              <m:t>j,t</m:t>
                            </m:r>
                          </m:sub>
                          <m:sup>
                            <m:d>
                              <m:dPr>
                                <m:ctrlPr>
                                  <w:rPr>
                                    <w:rFonts w:ascii="Cambria Math" w:hAnsi="Cambria Math" w:cs="Arial"/>
                                    <w:i/>
                                    <w:iCs/>
                                    <w:sz w:val="22"/>
                                    <w:szCs w:val="22"/>
                                  </w:rPr>
                                </m:ctrlPr>
                              </m:dPr>
                              <m:e>
                                <m:r>
                                  <w:rPr>
                                    <w:rFonts w:ascii="Cambria Math" w:hAnsi="Cambria Math" w:cs="Arial"/>
                                    <w:sz w:val="22"/>
                                    <w:szCs w:val="22"/>
                                  </w:rPr>
                                  <m:t>EN</m:t>
                                </m:r>
                              </m:e>
                            </m:d>
                          </m:sup>
                        </m:sSubSup>
                        <m:r>
                          <w:rPr>
                            <w:rFonts w:ascii="Cambria Math" w:hAnsi="Cambria Math" w:cs="Arial"/>
                            <w:sz w:val="22"/>
                            <w:szCs w:val="22"/>
                          </w:rPr>
                          <m:t>-</m:t>
                        </m:r>
                        <m:sSub>
                          <m:sSubPr>
                            <m:ctrlPr>
                              <w:rPr>
                                <w:rFonts w:ascii="Cambria Math" w:hAnsi="Cambria Math" w:cs="Arial"/>
                                <w:i/>
                                <w:iCs/>
                                <w:sz w:val="22"/>
                                <w:szCs w:val="22"/>
                              </w:rPr>
                            </m:ctrlPr>
                          </m:sSubPr>
                          <m:e>
                            <m:acc>
                              <m:accPr>
                                <m:chr m:val="̅"/>
                                <m:ctrlPr>
                                  <w:rPr>
                                    <w:rFonts w:ascii="Cambria Math" w:hAnsi="Cambria Math" w:cs="Arial"/>
                                    <w:i/>
                                    <w:sz w:val="22"/>
                                    <w:szCs w:val="22"/>
                                  </w:rPr>
                                </m:ctrlPr>
                              </m:accPr>
                              <m:e>
                                <m:r>
                                  <w:rPr>
                                    <w:rFonts w:ascii="Cambria Math" w:hAnsi="Cambria Math" w:cs="Arial"/>
                                    <w:sz w:val="22"/>
                                    <w:szCs w:val="22"/>
                                  </w:rPr>
                                  <m:t>T</m:t>
                                </m:r>
                              </m:e>
                            </m:acc>
                          </m:e>
                          <m:sub>
                            <m:r>
                              <w:rPr>
                                <w:rFonts w:ascii="Cambria Math" w:hAnsi="Cambria Math" w:cs="Arial"/>
                                <w:sz w:val="22"/>
                                <w:szCs w:val="22"/>
                              </w:rPr>
                              <m:t>j,t</m:t>
                            </m:r>
                          </m:sub>
                        </m:sSub>
                      </m:e>
                    </m:d>
                    <m:r>
                      <w:rPr>
                        <w:rFonts w:ascii="Cambria Math" w:hAnsi="Cambria Math" w:cs="Arial"/>
                        <w:sz w:val="22"/>
                        <w:szCs w:val="22"/>
                      </w:rPr>
                      <m:t>≥0</m:t>
                    </m:r>
                  </m:e>
                </m:mr>
              </m:m>
            </m:e>
          </m:d>
          <m:r>
            <w:rPr>
              <w:rFonts w:ascii="Cambria Math" w:hAnsi="Cambria Math" w:cs="Arial"/>
              <w:sz w:val="22"/>
              <w:szCs w:val="22"/>
            </w:rPr>
            <m:t>,∀j∈EDAM∧t=1,2,…,T</m:t>
          </m:r>
        </m:oMath>
      </m:oMathPara>
    </w:p>
    <w:p w14:paraId="1C902814" w14:textId="77777777" w:rsidR="004D29D1" w:rsidRPr="00746F54" w:rsidRDefault="004D29D1" w:rsidP="004D29D1">
      <w:pPr>
        <w:pStyle w:val="Paragraph"/>
        <w:spacing w:line="360" w:lineRule="auto"/>
        <w:rPr>
          <w:rFonts w:ascii="Arial" w:hAnsi="Arial" w:cs="Arial"/>
          <w:sz w:val="22"/>
        </w:rPr>
      </w:pPr>
      <w:r w:rsidRPr="00746F54">
        <w:rPr>
          <w:rFonts w:ascii="Arial" w:hAnsi="Arial" w:cs="Arial"/>
          <w:sz w:val="22"/>
        </w:rPr>
        <w:t xml:space="preserve">These constraints will not allow a net export energy transfer ( </w:t>
      </w:r>
      <m:oMath>
        <m:sSubSup>
          <m:sSubSupPr>
            <m:ctrlPr>
              <w:rPr>
                <w:rFonts w:ascii="Cambria Math" w:hAnsi="Cambria Math" w:cs="Arial"/>
                <w:i/>
                <w:iCs/>
                <w:sz w:val="22"/>
              </w:rPr>
            </m:ctrlPr>
          </m:sSubSupPr>
          <m:e>
            <m:r>
              <w:rPr>
                <w:rFonts w:ascii="Cambria Math" w:hAnsi="Cambria Math" w:cs="Arial"/>
                <w:sz w:val="22"/>
              </w:rPr>
              <m:t>T</m:t>
            </m:r>
          </m:e>
          <m:sub>
            <m:r>
              <w:rPr>
                <w:rFonts w:ascii="Cambria Math" w:hAnsi="Cambria Math" w:cs="Arial"/>
                <w:sz w:val="22"/>
              </w:rPr>
              <m:t>j,t</m:t>
            </m:r>
          </m:sub>
          <m:sup>
            <m:d>
              <m:dPr>
                <m:ctrlPr>
                  <w:rPr>
                    <w:rFonts w:ascii="Cambria Math" w:hAnsi="Cambria Math" w:cs="Arial"/>
                    <w:i/>
                    <w:iCs/>
                    <w:sz w:val="22"/>
                  </w:rPr>
                </m:ctrlPr>
              </m:dPr>
              <m:e>
                <m:r>
                  <w:rPr>
                    <w:rFonts w:ascii="Cambria Math" w:hAnsi="Cambria Math" w:cs="Arial"/>
                    <w:sz w:val="22"/>
                  </w:rPr>
                  <m:t>EN</m:t>
                </m:r>
              </m:e>
            </m:d>
          </m:sup>
        </m:sSubSup>
        <m:r>
          <w:rPr>
            <w:rFonts w:ascii="Cambria Math" w:hAnsi="Cambria Math" w:cs="Arial"/>
            <w:sz w:val="22"/>
          </w:rPr>
          <m:t xml:space="preserve">) </m:t>
        </m:r>
      </m:oMath>
      <w:r w:rsidRPr="00746F54">
        <w:rPr>
          <w:rFonts w:ascii="Arial" w:hAnsi="Arial" w:cs="Arial"/>
          <w:sz w:val="22"/>
        </w:rPr>
        <w:t>above a reference (</w:t>
      </w:r>
      <m:oMath>
        <m:sSub>
          <m:sSubPr>
            <m:ctrlPr>
              <w:rPr>
                <w:rFonts w:ascii="Cambria Math" w:hAnsi="Cambria Math" w:cs="Arial"/>
                <w:i/>
                <w:iCs/>
                <w:sz w:val="22"/>
              </w:rPr>
            </m:ctrlPr>
          </m:sSubPr>
          <m:e>
            <m:acc>
              <m:accPr>
                <m:chr m:val="̅"/>
                <m:ctrlPr>
                  <w:rPr>
                    <w:rFonts w:ascii="Cambria Math" w:hAnsi="Cambria Math" w:cs="Arial"/>
                    <w:i/>
                    <w:sz w:val="22"/>
                  </w:rPr>
                </m:ctrlPr>
              </m:accPr>
              <m:e>
                <m:r>
                  <w:rPr>
                    <w:rFonts w:ascii="Cambria Math" w:hAnsi="Cambria Math" w:cs="Arial"/>
                    <w:sz w:val="22"/>
                  </w:rPr>
                  <m:t>T</m:t>
                </m:r>
              </m:e>
            </m:acc>
          </m:e>
          <m:sub>
            <m:r>
              <w:rPr>
                <w:rFonts w:ascii="Cambria Math" w:hAnsi="Cambria Math" w:cs="Arial"/>
                <w:sz w:val="22"/>
              </w:rPr>
              <m:t>j,t</m:t>
            </m:r>
          </m:sub>
        </m:sSub>
        <m:r>
          <w:rPr>
            <w:rFonts w:ascii="Cambria Math" w:hAnsi="Cambria Math" w:cs="Arial"/>
            <w:sz w:val="22"/>
          </w:rPr>
          <m:t>)</m:t>
        </m:r>
      </m:oMath>
      <w:r w:rsidRPr="00746F54">
        <w:rPr>
          <w:rFonts w:ascii="Arial" w:hAnsi="Arial" w:cs="Arial"/>
          <w:sz w:val="22"/>
        </w:rPr>
        <w:t xml:space="preserve"> to cause power balance shortfall, or a net import energy transfer below a reference to cause power balance surplus. The net transfer reference is the RSE-eligible net transfer (</w:t>
      </w:r>
      <m:oMath>
        <m:sSubSup>
          <m:sSubSupPr>
            <m:ctrlPr>
              <w:rPr>
                <w:rFonts w:ascii="Cambria Math" w:hAnsi="Cambria Math" w:cs="Arial"/>
                <w:i/>
                <w:sz w:val="22"/>
              </w:rPr>
            </m:ctrlPr>
          </m:sSubSupPr>
          <m:e>
            <m:r>
              <w:rPr>
                <w:rFonts w:ascii="Cambria Math" w:hAnsi="Cambria Math" w:cs="Arial"/>
                <w:sz w:val="22"/>
              </w:rPr>
              <m:t>T</m:t>
            </m:r>
          </m:e>
          <m:sub>
            <m:r>
              <w:rPr>
                <w:rFonts w:ascii="Cambria Math" w:hAnsi="Cambria Math" w:cs="Arial"/>
                <w:sz w:val="22"/>
              </w:rPr>
              <m:t>j,t</m:t>
            </m:r>
          </m:sub>
          <m:sup>
            <m:r>
              <w:rPr>
                <w:rFonts w:ascii="Cambria Math" w:hAnsi="Cambria Math" w:cs="Arial"/>
                <w:sz w:val="22"/>
              </w:rPr>
              <m:t>(RSE)</m:t>
            </m:r>
          </m:sup>
        </m:sSubSup>
        <m:r>
          <w:rPr>
            <w:rFonts w:ascii="Cambria Math" w:hAnsi="Cambria Math" w:cs="Arial"/>
            <w:sz w:val="22"/>
          </w:rPr>
          <m:t>)</m:t>
        </m:r>
      </m:oMath>
      <w:r w:rsidRPr="00746F54">
        <w:rPr>
          <w:rFonts w:ascii="Arial" w:hAnsi="Arial" w:cs="Arial"/>
          <w:sz w:val="22"/>
        </w:rPr>
        <w:t>, as follows:</w:t>
      </w:r>
    </w:p>
    <w:p w14:paraId="615E3858" w14:textId="77777777" w:rsidR="004D29D1" w:rsidRPr="00746F54" w:rsidRDefault="00FB47E6" w:rsidP="004D29D1">
      <w:pPr>
        <w:pStyle w:val="Equation"/>
        <w:spacing w:line="360" w:lineRule="auto"/>
        <w:rPr>
          <w:rFonts w:ascii="Arial" w:hAnsi="Arial" w:cs="Arial"/>
          <w:sz w:val="22"/>
          <w:szCs w:val="22"/>
        </w:rPr>
      </w:pPr>
      <m:oMathPara>
        <m:oMath>
          <m:sSub>
            <m:sSubPr>
              <m:ctrlPr>
                <w:rPr>
                  <w:rFonts w:ascii="Cambria Math" w:hAnsi="Cambria Math" w:cs="Arial"/>
                  <w:sz w:val="22"/>
                  <w:szCs w:val="22"/>
                </w:rPr>
              </m:ctrlPr>
            </m:sSubPr>
            <m:e>
              <m:acc>
                <m:accPr>
                  <m:chr m:val="̅"/>
                  <m:ctrlPr>
                    <w:rPr>
                      <w:rFonts w:ascii="Cambria Math" w:hAnsi="Cambria Math" w:cs="Arial"/>
                      <w:sz w:val="22"/>
                      <w:szCs w:val="22"/>
                    </w:rPr>
                  </m:ctrlPr>
                </m:accPr>
                <m:e>
                  <m:r>
                    <w:rPr>
                      <w:rFonts w:ascii="Cambria Math" w:hAnsi="Cambria Math" w:cs="Arial"/>
                      <w:sz w:val="22"/>
                      <w:szCs w:val="22"/>
                    </w:rPr>
                    <m:t>T</m:t>
                  </m:r>
                </m:e>
              </m:acc>
            </m:e>
            <m:sub>
              <m:r>
                <w:rPr>
                  <w:rFonts w:ascii="Cambria Math" w:hAnsi="Cambria Math" w:cs="Arial"/>
                  <w:sz w:val="22"/>
                  <w:szCs w:val="22"/>
                </w:rPr>
                <m:t>j</m:t>
              </m:r>
              <m:r>
                <m:rPr>
                  <m:sty m:val="p"/>
                </m:rPr>
                <w:rPr>
                  <w:rFonts w:ascii="Cambria Math" w:hAnsi="Cambria Math" w:cs="Arial"/>
                  <w:sz w:val="22"/>
                  <w:szCs w:val="22"/>
                </w:rPr>
                <m:t>,</m:t>
              </m:r>
              <m:r>
                <w:rPr>
                  <w:rFonts w:ascii="Cambria Math" w:hAnsi="Cambria Math" w:cs="Arial"/>
                  <w:sz w:val="22"/>
                  <w:szCs w:val="22"/>
                </w:rPr>
                <m:t>t</m:t>
              </m:r>
            </m:sub>
          </m:sSub>
          <m:r>
            <m:rPr>
              <m:sty m:val="p"/>
            </m:rPr>
            <w:rPr>
              <w:rFonts w:ascii="Cambria Math" w:hAnsi="Cambria Math" w:cs="Arial"/>
              <w:sz w:val="22"/>
              <w:szCs w:val="22"/>
            </w:rPr>
            <m:t>=</m:t>
          </m:r>
          <m:sSubSup>
            <m:sSubSupPr>
              <m:ctrlPr>
                <w:rPr>
                  <w:rFonts w:ascii="Cambria Math" w:hAnsi="Cambria Math" w:cs="Arial"/>
                  <w:i/>
                  <w:sz w:val="22"/>
                  <w:szCs w:val="22"/>
                </w:rPr>
              </m:ctrlPr>
            </m:sSubSupPr>
            <m:e>
              <m:r>
                <w:rPr>
                  <w:rFonts w:ascii="Cambria Math" w:hAnsi="Cambria Math" w:cs="Arial"/>
                  <w:sz w:val="22"/>
                  <w:szCs w:val="22"/>
                </w:rPr>
                <m:t>T</m:t>
              </m:r>
            </m:e>
            <m:sub>
              <m:r>
                <w:rPr>
                  <w:rFonts w:ascii="Cambria Math" w:hAnsi="Cambria Math" w:cs="Arial"/>
                  <w:sz w:val="22"/>
                  <w:szCs w:val="22"/>
                </w:rPr>
                <m:t>j,t</m:t>
              </m:r>
            </m:sub>
            <m:sup>
              <m:r>
                <w:rPr>
                  <w:rFonts w:ascii="Cambria Math" w:hAnsi="Cambria Math" w:cs="Arial"/>
                  <w:sz w:val="22"/>
                  <w:szCs w:val="22"/>
                </w:rPr>
                <m:t>(RSE)</m:t>
              </m:r>
            </m:sup>
          </m:sSubSup>
          <m:r>
            <w:rPr>
              <w:rFonts w:ascii="Cambria Math" w:hAnsi="Cambria Math" w:cs="Arial"/>
              <w:sz w:val="22"/>
              <w:szCs w:val="22"/>
            </w:rPr>
            <m:t>,∀j∈EDAM∧t=1,2,…,T</m:t>
          </m:r>
        </m:oMath>
      </m:oMathPara>
    </w:p>
    <w:p w14:paraId="76A460D5" w14:textId="77777777" w:rsidR="004D29D1" w:rsidRPr="00746F54" w:rsidRDefault="004D29D1" w:rsidP="004D29D1">
      <w:pPr>
        <w:pStyle w:val="Paragraph"/>
        <w:spacing w:line="360" w:lineRule="auto"/>
        <w:rPr>
          <w:rFonts w:ascii="Arial" w:hAnsi="Arial" w:cs="Arial"/>
          <w:sz w:val="22"/>
        </w:rPr>
      </w:pPr>
      <w:r w:rsidRPr="00746F54">
        <w:rPr>
          <w:rFonts w:ascii="Arial" w:hAnsi="Arial" w:cs="Arial"/>
          <w:sz w:val="22"/>
        </w:rPr>
        <w:t>Similar imbalance reserve balance relaxation constraints are not required in the IRU/IRD deployment scenarios because of the economic relaxation of the IRU/IRD requirements provided by the IRU/IRD surplus.</w:t>
      </w:r>
    </w:p>
    <w:p w14:paraId="1B23B58E" w14:textId="77777777" w:rsidR="004D29D1" w:rsidRPr="00746F54" w:rsidRDefault="004D29D1" w:rsidP="004D29D1">
      <w:pPr>
        <w:rPr>
          <w:rFonts w:ascii="Arial" w:hAnsi="Arial" w:cs="Arial"/>
        </w:rPr>
      </w:pPr>
    </w:p>
    <w:p w14:paraId="43F8CAE6" w14:textId="77777777" w:rsidR="004D29D1" w:rsidRPr="00746F54" w:rsidRDefault="004D29D1" w:rsidP="004D29D1">
      <w:pPr>
        <w:pStyle w:val="Heading3"/>
        <w:rPr>
          <w:rFonts w:ascii="Arial" w:hAnsi="Arial" w:cs="Arial"/>
        </w:rPr>
      </w:pPr>
      <w:bookmarkStart w:id="186" w:name="_Toc176969887"/>
      <w:bookmarkStart w:id="187" w:name="_Toc211337929"/>
      <w:r w:rsidRPr="00746F54">
        <w:rPr>
          <w:rFonts w:ascii="Arial" w:hAnsi="Arial" w:cs="Arial"/>
        </w:rPr>
        <w:t>Power Balance Relaxation Constraints in the RUC</w:t>
      </w:r>
      <w:bookmarkEnd w:id="186"/>
      <w:bookmarkEnd w:id="187"/>
    </w:p>
    <w:p w14:paraId="3A8CA9E1" w14:textId="77777777" w:rsidR="004D29D1" w:rsidRPr="00746F54" w:rsidRDefault="004D29D1" w:rsidP="004D29D1">
      <w:pPr>
        <w:spacing w:line="360" w:lineRule="auto"/>
        <w:rPr>
          <w:rFonts w:ascii="Arial" w:hAnsi="Arial" w:cs="Arial"/>
        </w:rPr>
      </w:pPr>
      <w:r w:rsidRPr="00746F54">
        <w:rPr>
          <w:rFonts w:ascii="Arial" w:hAnsi="Arial" w:cs="Arial"/>
        </w:rPr>
        <w:t>In RUC, IRU and IRD awards are fixed and therefore not relaxed. The RCU/RCD can be relaxed and are part of the PBC constraint that includes fixed energy awards that are fixed from the IFM pass.  More specifically:</w:t>
      </w:r>
    </w:p>
    <w:p w14:paraId="415DEBCA" w14:textId="77777777" w:rsidR="004D29D1" w:rsidRPr="00746F54" w:rsidRDefault="004D29D1" w:rsidP="004D29D1">
      <w:pPr>
        <w:spacing w:line="360" w:lineRule="auto"/>
        <w:rPr>
          <w:rFonts w:ascii="Arial" w:hAnsi="Arial" w:cs="Arial"/>
        </w:rPr>
      </w:pPr>
      <w:r w:rsidRPr="00746F54">
        <w:rPr>
          <w:rFonts w:ascii="Arial" w:hAnsi="Arial" w:cs="Arial"/>
        </w:rPr>
        <w:t>The EDAM BAA power balance constraints in the RUC can be relaxed at a penalty by including reliability capacity shortfall and surplus variables as follows:</w:t>
      </w:r>
    </w:p>
    <w:p w14:paraId="4B2B700F" w14:textId="77777777" w:rsidR="004D29D1" w:rsidRPr="00746F54" w:rsidRDefault="00FB47E6" w:rsidP="004D29D1">
      <w:pPr>
        <w:spacing w:line="360" w:lineRule="auto"/>
        <w:rPr>
          <w:rFonts w:ascii="Arial" w:hAnsi="Arial" w:cs="Arial"/>
        </w:rPr>
      </w:pPr>
      <m:oMathPara>
        <m:oMath>
          <m:nary>
            <m:naryPr>
              <m:chr m:val="∑"/>
              <m:limLoc m:val="undOvr"/>
              <m:supHide m:val="1"/>
              <m:ctrlPr>
                <w:rPr>
                  <w:rFonts w:ascii="Cambria Math" w:hAnsi="Cambria Math" w:cs="Arial"/>
                  <w:i/>
                  <w:iCs/>
                  <w:sz w:val="24"/>
                  <w:szCs w:val="24"/>
                  <w14:ligatures w14:val="standardContextual"/>
                </w:rPr>
              </m:ctrlPr>
            </m:naryPr>
            <m:sub>
              <m:r>
                <w:rPr>
                  <w:rFonts w:ascii="Cambria Math" w:hAnsi="Cambria Math" w:cs="Arial"/>
                </w:rPr>
                <m:t>i∈</m:t>
              </m:r>
              <m:sSub>
                <m:sSubPr>
                  <m:ctrlPr>
                    <w:rPr>
                      <w:rFonts w:ascii="Cambria Math" w:hAnsi="Cambria Math" w:cs="Arial"/>
                      <w:i/>
                      <w:iCs/>
                      <w:sz w:val="24"/>
                      <w:szCs w:val="24"/>
                      <w14:ligatures w14:val="standardContextual"/>
                    </w:rPr>
                  </m:ctrlPr>
                </m:sSubPr>
                <m:e>
                  <m:r>
                    <w:rPr>
                      <w:rFonts w:ascii="Cambria Math" w:hAnsi="Cambria Math" w:cs="Arial"/>
                    </w:rPr>
                    <m:t>BAA</m:t>
                  </m:r>
                </m:e>
                <m:sub>
                  <m:r>
                    <w:rPr>
                      <w:rFonts w:ascii="Cambria Math" w:hAnsi="Cambria Math" w:cs="Arial"/>
                    </w:rPr>
                    <m:t>j</m:t>
                  </m:r>
                </m:sub>
              </m:sSub>
            </m:sub>
            <m:sup/>
            <m:e>
              <m:f>
                <m:fPr>
                  <m:ctrlPr>
                    <w:rPr>
                      <w:rFonts w:ascii="Cambria Math" w:hAnsi="Cambria Math" w:cs="Arial"/>
                      <w:i/>
                      <w:iCs/>
                      <w:sz w:val="24"/>
                      <w:szCs w:val="24"/>
                      <w14:ligatures w14:val="standardContextual"/>
                    </w:rPr>
                  </m:ctrlPr>
                </m:fPr>
                <m:num>
                  <m:d>
                    <m:dPr>
                      <m:ctrlPr>
                        <w:rPr>
                          <w:rFonts w:ascii="Cambria Math" w:hAnsi="Cambria Math" w:cs="Arial"/>
                          <w:i/>
                          <w:iCs/>
                          <w:sz w:val="24"/>
                          <w:szCs w:val="24"/>
                          <w14:ligatures w14:val="standardContextual"/>
                        </w:rPr>
                      </m:ctrlPr>
                    </m:dPr>
                    <m:e>
                      <m:r>
                        <w:rPr>
                          <w:rFonts w:ascii="Cambria Math" w:hAnsi="Cambria Math" w:cs="Arial"/>
                        </w:rPr>
                        <m:t>∆</m:t>
                      </m:r>
                      <m:sSub>
                        <m:sSubPr>
                          <m:ctrlPr>
                            <w:rPr>
                              <w:rFonts w:ascii="Cambria Math" w:hAnsi="Cambria Math" w:cs="Arial"/>
                              <w:i/>
                              <w:iCs/>
                              <w:sz w:val="24"/>
                              <w:szCs w:val="24"/>
                              <w14:ligatures w14:val="standardContextual"/>
                            </w:rPr>
                          </m:ctrlPr>
                        </m:sSubPr>
                        <m:e>
                          <m:r>
                            <w:rPr>
                              <w:rFonts w:ascii="Cambria Math" w:hAnsi="Cambria Math" w:cs="Arial"/>
                            </w:rPr>
                            <m:t>RCU</m:t>
                          </m:r>
                        </m:e>
                        <m:sub>
                          <m:r>
                            <w:rPr>
                              <w:rFonts w:ascii="Cambria Math" w:hAnsi="Cambria Math" w:cs="Arial"/>
                            </w:rPr>
                            <m:t>i,t</m:t>
                          </m:r>
                        </m:sub>
                      </m:sSub>
                      <m:r>
                        <w:rPr>
                          <w:rFonts w:ascii="Cambria Math" w:hAnsi="Cambria Math" w:cs="Arial"/>
                        </w:rPr>
                        <m:t>-</m:t>
                      </m:r>
                      <m:sSub>
                        <m:sSubPr>
                          <m:ctrlPr>
                            <w:rPr>
                              <w:rFonts w:ascii="Cambria Math" w:hAnsi="Cambria Math" w:cs="Arial"/>
                              <w:i/>
                              <w:iCs/>
                              <w:sz w:val="24"/>
                              <w:szCs w:val="24"/>
                              <w14:ligatures w14:val="standardContextual"/>
                            </w:rPr>
                          </m:ctrlPr>
                        </m:sSubPr>
                        <m:e>
                          <m:r>
                            <w:rPr>
                              <w:rFonts w:ascii="Cambria Math" w:hAnsi="Cambria Math" w:cs="Arial"/>
                            </w:rPr>
                            <m:t>∆RCD</m:t>
                          </m:r>
                        </m:e>
                        <m:sub>
                          <m:r>
                            <w:rPr>
                              <w:rFonts w:ascii="Cambria Math" w:hAnsi="Cambria Math" w:cs="Arial"/>
                            </w:rPr>
                            <m:t>i,t</m:t>
                          </m:r>
                        </m:sub>
                      </m:sSub>
                    </m:e>
                  </m:d>
                </m:num>
                <m:den>
                  <m:sSubSup>
                    <m:sSubSupPr>
                      <m:ctrlPr>
                        <w:rPr>
                          <w:rFonts w:ascii="Cambria Math" w:hAnsi="Cambria Math" w:cs="Arial"/>
                          <w:i/>
                          <w:iCs/>
                          <w:sz w:val="24"/>
                          <w:szCs w:val="24"/>
                          <w14:ligatures w14:val="standardContextual"/>
                        </w:rPr>
                      </m:ctrlPr>
                    </m:sSubSupPr>
                    <m:e>
                      <m:r>
                        <w:rPr>
                          <w:rFonts w:ascii="Cambria Math" w:hAnsi="Cambria Math" w:cs="Arial"/>
                        </w:rPr>
                        <m:t>LPF</m:t>
                      </m:r>
                    </m:e>
                    <m:sub>
                      <m:r>
                        <w:rPr>
                          <w:rFonts w:ascii="Cambria Math" w:hAnsi="Cambria Math" w:cs="Arial"/>
                        </w:rPr>
                        <m:t>i,t</m:t>
                      </m:r>
                    </m:sub>
                    <m:sup>
                      <m:r>
                        <w:rPr>
                          <w:rFonts w:ascii="Cambria Math" w:hAnsi="Cambria Math" w:cs="Arial"/>
                        </w:rPr>
                        <m:t>(RUC)</m:t>
                      </m:r>
                    </m:sup>
                  </m:sSubSup>
                </m:den>
              </m:f>
            </m:e>
          </m:nary>
          <m:r>
            <w:rPr>
              <w:rFonts w:ascii="Cambria Math" w:hAnsi="Cambria Math" w:cs="Arial"/>
            </w:rPr>
            <m:t>+∆</m:t>
          </m:r>
          <m:sSubSup>
            <m:sSubSupPr>
              <m:ctrlPr>
                <w:rPr>
                  <w:rFonts w:ascii="Cambria Math" w:hAnsi="Cambria Math" w:cs="Arial"/>
                  <w:i/>
                  <w:iCs/>
                  <w:sz w:val="24"/>
                  <w:szCs w:val="24"/>
                  <w14:ligatures w14:val="standardContextual"/>
                </w:rPr>
              </m:ctrlPr>
            </m:sSubSupPr>
            <m:e>
              <m:r>
                <w:rPr>
                  <w:rFonts w:ascii="Cambria Math" w:hAnsi="Cambria Math" w:cs="Arial"/>
                </w:rPr>
                <m:t>T</m:t>
              </m:r>
            </m:e>
            <m:sub>
              <m:r>
                <w:rPr>
                  <w:rFonts w:ascii="Cambria Math" w:hAnsi="Cambria Math" w:cs="Arial"/>
                </w:rPr>
                <m:t>j,t</m:t>
              </m:r>
            </m:sub>
            <m:sup>
              <m:r>
                <w:rPr>
                  <w:rFonts w:ascii="Cambria Math" w:hAnsi="Cambria Math" w:cs="Arial"/>
                </w:rPr>
                <m:t>(RCU)</m:t>
              </m:r>
            </m:sup>
          </m:sSubSup>
          <m:r>
            <w:rPr>
              <w:rFonts w:ascii="Cambria Math" w:hAnsi="Cambria Math" w:cs="Arial"/>
            </w:rPr>
            <m:t>+</m:t>
          </m:r>
          <m:sSub>
            <m:sSubPr>
              <m:ctrlPr>
                <w:rPr>
                  <w:rFonts w:ascii="Cambria Math" w:hAnsi="Cambria Math" w:cs="Arial"/>
                  <w:i/>
                  <w:iCs/>
                  <w:sz w:val="24"/>
                  <w:szCs w:val="24"/>
                  <w14:ligatures w14:val="standardContextual"/>
                </w:rPr>
              </m:ctrlPr>
            </m:sSubPr>
            <m:e>
              <m:r>
                <w:rPr>
                  <w:rFonts w:ascii="Cambria Math" w:hAnsi="Cambria Math" w:cs="Arial"/>
                </w:rPr>
                <m:t>RCUS</m:t>
              </m:r>
            </m:e>
            <m:sub>
              <m:r>
                <w:rPr>
                  <w:rFonts w:ascii="Cambria Math" w:hAnsi="Cambria Math" w:cs="Arial"/>
                </w:rPr>
                <m:t>j,t</m:t>
              </m:r>
            </m:sub>
          </m:sSub>
          <m:r>
            <w:rPr>
              <w:rFonts w:ascii="Cambria Math" w:hAnsi="Cambria Math" w:cs="Arial"/>
            </w:rPr>
            <m:t>-</m:t>
          </m:r>
          <m:sSub>
            <m:sSubPr>
              <m:ctrlPr>
                <w:rPr>
                  <w:rFonts w:ascii="Cambria Math" w:hAnsi="Cambria Math" w:cs="Arial"/>
                  <w:i/>
                  <w:iCs/>
                  <w:sz w:val="24"/>
                  <w:szCs w:val="24"/>
                  <w14:ligatures w14:val="standardContextual"/>
                </w:rPr>
              </m:ctrlPr>
            </m:sSubPr>
            <m:e>
              <m:r>
                <w:rPr>
                  <w:rFonts w:ascii="Cambria Math" w:hAnsi="Cambria Math" w:cs="Arial"/>
                </w:rPr>
                <m:t>RCDS</m:t>
              </m:r>
            </m:e>
            <m:sub>
              <m:r>
                <w:rPr>
                  <w:rFonts w:ascii="Cambria Math" w:hAnsi="Cambria Math" w:cs="Arial"/>
                </w:rPr>
                <m:t>j,t</m:t>
              </m:r>
            </m:sub>
          </m:sSub>
          <m:r>
            <w:rPr>
              <w:rFonts w:ascii="Cambria Math" w:hAnsi="Cambria Math" w:cs="Arial"/>
            </w:rPr>
            <m:t>=0,∀j∈EDAM∧t=1,2,…,T</m:t>
          </m:r>
        </m:oMath>
      </m:oMathPara>
    </w:p>
    <w:p w14:paraId="5C76DAD2" w14:textId="77777777" w:rsidR="004D29D1" w:rsidRPr="00746F54" w:rsidRDefault="004D29D1" w:rsidP="004D29D1">
      <w:pPr>
        <w:spacing w:line="360" w:lineRule="auto"/>
        <w:rPr>
          <w:rFonts w:ascii="Arial" w:hAnsi="Arial" w:cs="Arial"/>
        </w:rPr>
      </w:pPr>
      <w:r w:rsidRPr="00746F54">
        <w:rPr>
          <w:rFonts w:ascii="Arial" w:hAnsi="Arial" w:cs="Arial"/>
        </w:rPr>
        <w:t>Where the reliability capacity shortfall (</w:t>
      </w:r>
      <w:r w:rsidRPr="00746F54">
        <w:rPr>
          <w:rFonts w:ascii="Arial" w:hAnsi="Arial" w:cs="Arial"/>
          <w:i/>
          <w:iCs/>
        </w:rPr>
        <w:t>RCUS</w:t>
      </w:r>
      <w:r w:rsidRPr="00746F54">
        <w:rPr>
          <w:rFonts w:ascii="Arial" w:hAnsi="Arial" w:cs="Arial"/>
        </w:rPr>
        <w:t>) and surplus (</w:t>
      </w:r>
      <w:r w:rsidRPr="00746F54">
        <w:rPr>
          <w:rFonts w:ascii="Arial" w:hAnsi="Arial" w:cs="Arial"/>
          <w:i/>
          <w:iCs/>
        </w:rPr>
        <w:t>RCDS</w:t>
      </w:r>
      <w:r w:rsidRPr="00746F54">
        <w:rPr>
          <w:rFonts w:ascii="Arial" w:hAnsi="Arial" w:cs="Arial"/>
        </w:rPr>
        <w:t>) variables are assigned penalty costs in the objective function. To prevent transfers causing a power balance constraint relaxation in an EDAM BAA, the following constraints are enforced in the RUC:</w:t>
      </w:r>
    </w:p>
    <w:p w14:paraId="56B58F4B" w14:textId="77777777" w:rsidR="004D29D1" w:rsidRPr="00746F54" w:rsidRDefault="00FB47E6" w:rsidP="004D29D1">
      <w:pPr>
        <w:spacing w:line="360" w:lineRule="auto"/>
        <w:rPr>
          <w:rFonts w:ascii="Arial" w:hAnsi="Arial" w:cs="Arial"/>
        </w:rPr>
      </w:pPr>
      <m:oMathPara>
        <m:oMath>
          <m:d>
            <m:dPr>
              <m:begChr m:val=""/>
              <m:endChr m:val="}"/>
              <m:ctrlPr>
                <w:rPr>
                  <w:rFonts w:ascii="Cambria Math" w:hAnsi="Cambria Math" w:cs="Arial"/>
                  <w:sz w:val="24"/>
                  <w:szCs w:val="24"/>
                  <w14:ligatures w14:val="standardContextual"/>
                </w:rPr>
              </m:ctrlPr>
            </m:dPr>
            <m:e>
              <m:m>
                <m:mPr>
                  <m:mcs>
                    <m:mc>
                      <m:mcPr>
                        <m:count m:val="1"/>
                        <m:mcJc m:val="center"/>
                      </m:mcPr>
                    </m:mc>
                  </m:mcs>
                  <m:ctrlPr>
                    <w:rPr>
                      <w:rFonts w:ascii="Cambria Math" w:hAnsi="Cambria Math" w:cs="Arial"/>
                      <w:i/>
                      <w:iCs/>
                      <w:sz w:val="24"/>
                      <w:szCs w:val="24"/>
                      <w14:ligatures w14:val="standardContextual"/>
                    </w:rPr>
                  </m:ctrlPr>
                </m:mPr>
                <m:mr>
                  <m:e>
                    <m:sSub>
                      <m:sSubPr>
                        <m:ctrlPr>
                          <w:rPr>
                            <w:rFonts w:ascii="Cambria Math" w:hAnsi="Cambria Math" w:cs="Arial"/>
                            <w:i/>
                            <w:iCs/>
                            <w:sz w:val="24"/>
                            <w:szCs w:val="24"/>
                            <w14:ligatures w14:val="standardContextual"/>
                          </w:rPr>
                        </m:ctrlPr>
                      </m:sSubPr>
                      <m:e>
                        <m:r>
                          <w:rPr>
                            <w:rFonts w:ascii="Cambria Math" w:hAnsi="Cambria Math" w:cs="Arial"/>
                          </w:rPr>
                          <m:t>RCUS</m:t>
                        </m:r>
                      </m:e>
                      <m:sub>
                        <m:r>
                          <w:rPr>
                            <w:rFonts w:ascii="Cambria Math" w:hAnsi="Cambria Math" w:cs="Arial"/>
                          </w:rPr>
                          <m:t>j,t</m:t>
                        </m:r>
                      </m:sub>
                    </m:sSub>
                    <m:r>
                      <w:rPr>
                        <w:rFonts w:ascii="Cambria Math" w:hAnsi="Cambria Math" w:cs="Arial"/>
                      </w:rPr>
                      <m:t xml:space="preserve"> </m:t>
                    </m:r>
                    <m:d>
                      <m:dPr>
                        <m:ctrlPr>
                          <w:rPr>
                            <w:rFonts w:ascii="Cambria Math" w:hAnsi="Cambria Math" w:cs="Arial"/>
                            <w:i/>
                            <w:iCs/>
                            <w:sz w:val="24"/>
                            <w:szCs w:val="24"/>
                            <w14:ligatures w14:val="standardContextual"/>
                          </w:rPr>
                        </m:ctrlPr>
                      </m:dPr>
                      <m:e>
                        <m:sSubSup>
                          <m:sSubSupPr>
                            <m:ctrlPr>
                              <w:rPr>
                                <w:rFonts w:ascii="Cambria Math" w:hAnsi="Cambria Math" w:cs="Arial"/>
                                <w:i/>
                                <w:iCs/>
                                <w:sz w:val="24"/>
                                <w:szCs w:val="24"/>
                                <w14:ligatures w14:val="standardContextual"/>
                              </w:rPr>
                            </m:ctrlPr>
                          </m:sSubSupPr>
                          <m:e>
                            <m:r>
                              <w:rPr>
                                <w:rFonts w:ascii="Cambria Math" w:hAnsi="Cambria Math" w:cs="Arial"/>
                              </w:rPr>
                              <m:t>T</m:t>
                            </m:r>
                          </m:e>
                          <m:sub>
                            <m:r>
                              <w:rPr>
                                <w:rFonts w:ascii="Cambria Math" w:hAnsi="Cambria Math" w:cs="Arial"/>
                              </w:rPr>
                              <m:t>j,t</m:t>
                            </m:r>
                          </m:sub>
                          <m:sup>
                            <m:r>
                              <w:rPr>
                                <w:rFonts w:ascii="Cambria Math" w:hAnsi="Cambria Math" w:cs="Arial"/>
                              </w:rPr>
                              <m:t>(RCU)</m:t>
                            </m:r>
                          </m:sup>
                        </m:sSubSup>
                        <m:r>
                          <w:rPr>
                            <w:rFonts w:ascii="Cambria Math" w:hAnsi="Cambria Math" w:cs="Arial"/>
                          </w:rPr>
                          <m:t>-</m:t>
                        </m:r>
                        <m:sSub>
                          <m:sSubPr>
                            <m:ctrlPr>
                              <w:rPr>
                                <w:rFonts w:ascii="Cambria Math" w:hAnsi="Cambria Math" w:cs="Arial"/>
                                <w:i/>
                                <w:iCs/>
                                <w:sz w:val="24"/>
                                <w:szCs w:val="24"/>
                                <w14:ligatures w14:val="standardContextual"/>
                              </w:rPr>
                            </m:ctrlPr>
                          </m:sSubPr>
                          <m:e>
                            <m:acc>
                              <m:accPr>
                                <m:chr m:val="̅"/>
                                <m:ctrlPr>
                                  <w:rPr>
                                    <w:rFonts w:ascii="Cambria Math" w:hAnsi="Cambria Math" w:cs="Arial"/>
                                    <w:i/>
                                    <w:iCs/>
                                    <w:sz w:val="24"/>
                                    <w:szCs w:val="24"/>
                                    <w14:ligatures w14:val="standardContextual"/>
                                  </w:rPr>
                                </m:ctrlPr>
                              </m:accPr>
                              <m:e>
                                <m:r>
                                  <w:rPr>
                                    <w:rFonts w:ascii="Cambria Math" w:hAnsi="Cambria Math" w:cs="Arial"/>
                                  </w:rPr>
                                  <m:t>T</m:t>
                                </m:r>
                              </m:e>
                            </m:acc>
                          </m:e>
                          <m:sub>
                            <m:r>
                              <w:rPr>
                                <w:rFonts w:ascii="Cambria Math" w:hAnsi="Cambria Math" w:cs="Arial"/>
                              </w:rPr>
                              <m:t>j,t</m:t>
                            </m:r>
                          </m:sub>
                        </m:sSub>
                      </m:e>
                    </m:d>
                    <m:r>
                      <w:rPr>
                        <w:rFonts w:ascii="Cambria Math" w:hAnsi="Cambria Math" w:cs="Arial"/>
                      </w:rPr>
                      <m:t>≤0</m:t>
                    </m:r>
                  </m:e>
                </m:mr>
                <m:mr>
                  <m:e>
                    <m:sSub>
                      <m:sSubPr>
                        <m:ctrlPr>
                          <w:rPr>
                            <w:rFonts w:ascii="Cambria Math" w:hAnsi="Cambria Math" w:cs="Arial"/>
                            <w:i/>
                            <w:iCs/>
                            <w:sz w:val="24"/>
                            <w:szCs w:val="24"/>
                            <w14:ligatures w14:val="standardContextual"/>
                          </w:rPr>
                        </m:ctrlPr>
                      </m:sSubPr>
                      <m:e>
                        <m:r>
                          <w:rPr>
                            <w:rFonts w:ascii="Cambria Math" w:hAnsi="Cambria Math" w:cs="Arial"/>
                          </w:rPr>
                          <m:t>RCDS</m:t>
                        </m:r>
                      </m:e>
                      <m:sub>
                        <m:r>
                          <w:rPr>
                            <w:rFonts w:ascii="Cambria Math" w:hAnsi="Cambria Math" w:cs="Arial"/>
                          </w:rPr>
                          <m:t>j,t</m:t>
                        </m:r>
                      </m:sub>
                    </m:sSub>
                    <m:r>
                      <w:rPr>
                        <w:rFonts w:ascii="Cambria Math" w:hAnsi="Cambria Math" w:cs="Arial"/>
                      </w:rPr>
                      <m:t xml:space="preserve"> </m:t>
                    </m:r>
                    <m:d>
                      <m:dPr>
                        <m:ctrlPr>
                          <w:rPr>
                            <w:rFonts w:ascii="Cambria Math" w:hAnsi="Cambria Math" w:cs="Arial"/>
                            <w:i/>
                            <w:iCs/>
                            <w:sz w:val="24"/>
                            <w:szCs w:val="24"/>
                            <w14:ligatures w14:val="standardContextual"/>
                          </w:rPr>
                        </m:ctrlPr>
                      </m:dPr>
                      <m:e>
                        <m:sSubSup>
                          <m:sSubSupPr>
                            <m:ctrlPr>
                              <w:rPr>
                                <w:rFonts w:ascii="Cambria Math" w:hAnsi="Cambria Math" w:cs="Arial"/>
                                <w:i/>
                                <w:iCs/>
                                <w:sz w:val="24"/>
                                <w:szCs w:val="24"/>
                                <w14:ligatures w14:val="standardContextual"/>
                              </w:rPr>
                            </m:ctrlPr>
                          </m:sSubSupPr>
                          <m:e>
                            <m:r>
                              <w:rPr>
                                <w:rFonts w:ascii="Cambria Math" w:hAnsi="Cambria Math" w:cs="Arial"/>
                              </w:rPr>
                              <m:t>T</m:t>
                            </m:r>
                          </m:e>
                          <m:sub>
                            <m:r>
                              <w:rPr>
                                <w:rFonts w:ascii="Cambria Math" w:hAnsi="Cambria Math" w:cs="Arial"/>
                              </w:rPr>
                              <m:t>j,t</m:t>
                            </m:r>
                          </m:sub>
                          <m:sup>
                            <m:r>
                              <w:rPr>
                                <w:rFonts w:ascii="Cambria Math" w:hAnsi="Cambria Math" w:cs="Arial"/>
                              </w:rPr>
                              <m:t>(RCU)</m:t>
                            </m:r>
                          </m:sup>
                        </m:sSubSup>
                        <m:r>
                          <w:rPr>
                            <w:rFonts w:ascii="Cambria Math" w:hAnsi="Cambria Math" w:cs="Arial"/>
                          </w:rPr>
                          <m:t>-</m:t>
                        </m:r>
                        <m:sSub>
                          <m:sSubPr>
                            <m:ctrlPr>
                              <w:rPr>
                                <w:rFonts w:ascii="Cambria Math" w:hAnsi="Cambria Math" w:cs="Arial"/>
                                <w:i/>
                                <w:iCs/>
                                <w:sz w:val="24"/>
                                <w:szCs w:val="24"/>
                                <w14:ligatures w14:val="standardContextual"/>
                              </w:rPr>
                            </m:ctrlPr>
                          </m:sSubPr>
                          <m:e>
                            <m:acc>
                              <m:accPr>
                                <m:chr m:val="̅"/>
                                <m:ctrlPr>
                                  <w:rPr>
                                    <w:rFonts w:ascii="Cambria Math" w:hAnsi="Cambria Math" w:cs="Arial"/>
                                    <w:i/>
                                    <w:iCs/>
                                    <w:sz w:val="24"/>
                                    <w:szCs w:val="24"/>
                                    <w14:ligatures w14:val="standardContextual"/>
                                  </w:rPr>
                                </m:ctrlPr>
                              </m:accPr>
                              <m:e>
                                <m:r>
                                  <w:rPr>
                                    <w:rFonts w:ascii="Cambria Math" w:hAnsi="Cambria Math" w:cs="Arial"/>
                                  </w:rPr>
                                  <m:t>T</m:t>
                                </m:r>
                              </m:e>
                            </m:acc>
                          </m:e>
                          <m:sub>
                            <m:r>
                              <w:rPr>
                                <w:rFonts w:ascii="Cambria Math" w:hAnsi="Cambria Math" w:cs="Arial"/>
                              </w:rPr>
                              <m:t>j,t</m:t>
                            </m:r>
                          </m:sub>
                        </m:sSub>
                      </m:e>
                    </m:d>
                    <m:r>
                      <w:rPr>
                        <w:rFonts w:ascii="Cambria Math" w:hAnsi="Cambria Math" w:cs="Arial"/>
                      </w:rPr>
                      <m:t>≥0</m:t>
                    </m:r>
                  </m:e>
                </m:mr>
              </m:m>
            </m:e>
          </m:d>
          <m:r>
            <w:rPr>
              <w:rFonts w:ascii="Cambria Math" w:hAnsi="Cambria Math" w:cs="Arial"/>
            </w:rPr>
            <m:t>,∀j∈EDAM∧t=1,2,…,T</m:t>
          </m:r>
        </m:oMath>
      </m:oMathPara>
    </w:p>
    <w:p w14:paraId="0E470465" w14:textId="77777777" w:rsidR="004D29D1" w:rsidRPr="00746F54" w:rsidRDefault="004D29D1" w:rsidP="004D29D1">
      <w:pPr>
        <w:spacing w:line="360" w:lineRule="auto"/>
        <w:rPr>
          <w:rFonts w:ascii="Arial" w:hAnsi="Arial" w:cs="Arial"/>
        </w:rPr>
      </w:pPr>
      <w:r w:rsidRPr="00746F54">
        <w:rPr>
          <w:rFonts w:ascii="Arial" w:hAnsi="Arial" w:cs="Arial"/>
        </w:rPr>
        <w:t>These constraints will not allow a net export reliability capacity transfer above a reference to cause power balance shortfall, or a net import reliability capacity transfer below a reference to cause power balance surplus. The net transfer reference includes the energy and IRU/IRD net transfers from the IFM, as follows:</w:t>
      </w:r>
    </w:p>
    <w:p w14:paraId="5580497E" w14:textId="77777777" w:rsidR="004D29D1" w:rsidRPr="00746F54" w:rsidRDefault="00FB47E6" w:rsidP="004D29D1">
      <w:pPr>
        <w:spacing w:line="360" w:lineRule="auto"/>
        <w:rPr>
          <w:rFonts w:ascii="Arial" w:hAnsi="Arial" w:cs="Arial"/>
        </w:rPr>
      </w:pPr>
      <m:oMathPara>
        <m:oMath>
          <m:sSub>
            <m:sSubPr>
              <m:ctrlPr>
                <w:rPr>
                  <w:rFonts w:ascii="Cambria Math" w:hAnsi="Cambria Math" w:cs="Arial"/>
                  <w:sz w:val="24"/>
                  <w:szCs w:val="24"/>
                  <w14:ligatures w14:val="standardContextual"/>
                </w:rPr>
              </m:ctrlPr>
            </m:sSubPr>
            <m:e>
              <m:acc>
                <m:accPr>
                  <m:chr m:val="̅"/>
                  <m:ctrlPr>
                    <w:rPr>
                      <w:rFonts w:ascii="Cambria Math" w:hAnsi="Cambria Math" w:cs="Arial"/>
                      <w:sz w:val="24"/>
                      <w:szCs w:val="24"/>
                      <w14:ligatures w14:val="standardContextual"/>
                    </w:rPr>
                  </m:ctrlPr>
                </m:accPr>
                <m:e>
                  <m:r>
                    <w:rPr>
                      <w:rFonts w:ascii="Cambria Math" w:hAnsi="Cambria Math" w:cs="Arial"/>
                    </w:rPr>
                    <m:t>T</m:t>
                  </m:r>
                </m:e>
              </m:acc>
            </m:e>
            <m:sub>
              <m:r>
                <w:rPr>
                  <w:rFonts w:ascii="Cambria Math" w:hAnsi="Cambria Math" w:cs="Arial"/>
                </w:rPr>
                <m:t>j</m:t>
              </m:r>
              <m:r>
                <m:rPr>
                  <m:sty m:val="p"/>
                </m:rPr>
                <w:rPr>
                  <w:rFonts w:ascii="Cambria Math" w:hAnsi="Cambria Math" w:cs="Arial"/>
                </w:rPr>
                <m:t>,</m:t>
              </m:r>
              <m:r>
                <w:rPr>
                  <w:rFonts w:ascii="Cambria Math" w:hAnsi="Cambria Math" w:cs="Arial"/>
                </w:rPr>
                <m:t>t</m:t>
              </m:r>
            </m:sub>
          </m:sSub>
          <m:r>
            <m:rPr>
              <m:sty m:val="p"/>
            </m:rPr>
            <w:rPr>
              <w:rFonts w:ascii="Cambria Math" w:hAnsi="Cambria Math" w:cs="Arial"/>
            </w:rPr>
            <m:t>=</m:t>
          </m:r>
          <m:sSubSup>
            <m:sSubSupPr>
              <m:ctrlPr>
                <w:rPr>
                  <w:rFonts w:ascii="Cambria Math" w:hAnsi="Cambria Math" w:cs="Arial"/>
                  <w:i/>
                  <w:iCs/>
                  <w:sz w:val="24"/>
                  <w:szCs w:val="24"/>
                  <w14:ligatures w14:val="standardContextual"/>
                </w:rPr>
              </m:ctrlPr>
            </m:sSubSupPr>
            <m:e>
              <m:r>
                <w:rPr>
                  <w:rFonts w:ascii="Cambria Math" w:hAnsi="Cambria Math" w:cs="Arial"/>
                </w:rPr>
                <m:t>T</m:t>
              </m:r>
            </m:e>
            <m:sub>
              <m:r>
                <w:rPr>
                  <w:rFonts w:ascii="Cambria Math" w:hAnsi="Cambria Math" w:cs="Arial"/>
                </w:rPr>
                <m:t>j,t</m:t>
              </m:r>
            </m:sub>
            <m:sup>
              <m:r>
                <w:rPr>
                  <w:rFonts w:ascii="Cambria Math" w:hAnsi="Cambria Math" w:cs="Arial"/>
                </w:rPr>
                <m:t>(RSE)</m:t>
              </m:r>
            </m:sup>
          </m:sSubSup>
          <m:r>
            <w:rPr>
              <w:rFonts w:ascii="Cambria Math" w:hAnsi="Cambria Math" w:cs="Arial"/>
            </w:rPr>
            <m:t>-</m:t>
          </m:r>
          <m:sSubSup>
            <m:sSubSupPr>
              <m:ctrlPr>
                <w:rPr>
                  <w:rFonts w:ascii="Cambria Math" w:hAnsi="Cambria Math" w:cs="Arial"/>
                  <w:i/>
                  <w:iCs/>
                  <w:sz w:val="24"/>
                  <w:szCs w:val="24"/>
                  <w14:ligatures w14:val="standardContextual"/>
                </w:rPr>
              </m:ctrlPr>
            </m:sSubSupPr>
            <m:e>
              <m:r>
                <w:rPr>
                  <w:rFonts w:ascii="Cambria Math" w:hAnsi="Cambria Math" w:cs="Arial"/>
                </w:rPr>
                <m:t>T</m:t>
              </m:r>
            </m:e>
            <m:sub>
              <m:r>
                <w:rPr>
                  <w:rFonts w:ascii="Cambria Math" w:hAnsi="Cambria Math" w:cs="Arial"/>
                </w:rPr>
                <m:t>j,t</m:t>
              </m:r>
            </m:sub>
            <m:sup>
              <m:r>
                <w:rPr>
                  <w:rFonts w:ascii="Cambria Math" w:hAnsi="Cambria Math" w:cs="Arial"/>
                </w:rPr>
                <m:t>(EN)</m:t>
              </m:r>
            </m:sup>
          </m:sSubSup>
          <m:r>
            <m:rPr>
              <m:sty m:val="p"/>
            </m:rPr>
            <w:rPr>
              <w:rFonts w:ascii="Cambria Math" w:hAnsi="Cambria Math" w:cs="Arial"/>
            </w:rPr>
            <m:t>-</m:t>
          </m:r>
          <m:sSubSup>
            <m:sSubSupPr>
              <m:ctrlPr>
                <w:rPr>
                  <w:rFonts w:ascii="Cambria Math" w:hAnsi="Cambria Math" w:cs="Arial"/>
                  <w:i/>
                  <w:iCs/>
                  <w:sz w:val="24"/>
                  <w:szCs w:val="24"/>
                  <w14:ligatures w14:val="standardContextual"/>
                </w:rPr>
              </m:ctrlPr>
            </m:sSubSupPr>
            <m:e>
              <m:r>
                <w:rPr>
                  <w:rFonts w:ascii="Cambria Math" w:hAnsi="Cambria Math" w:cs="Arial"/>
                </w:rPr>
                <m:t>T</m:t>
              </m:r>
            </m:e>
            <m:sub>
              <m:r>
                <w:rPr>
                  <w:rFonts w:ascii="Cambria Math" w:hAnsi="Cambria Math" w:cs="Arial"/>
                </w:rPr>
                <m:t>j,t</m:t>
              </m:r>
            </m:sub>
            <m:sup>
              <m:r>
                <w:rPr>
                  <w:rFonts w:ascii="Cambria Math" w:hAnsi="Cambria Math" w:cs="Arial"/>
                </w:rPr>
                <m:t>(IRU)</m:t>
              </m:r>
            </m:sup>
          </m:sSubSup>
          <m:r>
            <m:rPr>
              <m:sty m:val="p"/>
            </m:rPr>
            <w:rPr>
              <w:rFonts w:ascii="Cambria Math" w:hAnsi="Cambria Math" w:cs="Arial"/>
            </w:rPr>
            <m:t>+</m:t>
          </m:r>
          <m:sSubSup>
            <m:sSubSupPr>
              <m:ctrlPr>
                <w:rPr>
                  <w:rFonts w:ascii="Cambria Math" w:hAnsi="Cambria Math" w:cs="Arial"/>
                  <w:i/>
                  <w:iCs/>
                  <w:sz w:val="24"/>
                  <w:szCs w:val="24"/>
                  <w14:ligatures w14:val="standardContextual"/>
                </w:rPr>
              </m:ctrlPr>
            </m:sSubSupPr>
            <m:e>
              <m:r>
                <w:rPr>
                  <w:rFonts w:ascii="Cambria Math" w:hAnsi="Cambria Math" w:cs="Arial"/>
                </w:rPr>
                <m:t>T</m:t>
              </m:r>
            </m:e>
            <m:sub>
              <m:r>
                <w:rPr>
                  <w:rFonts w:ascii="Cambria Math" w:hAnsi="Cambria Math" w:cs="Arial"/>
                </w:rPr>
                <m:t>j,t</m:t>
              </m:r>
            </m:sub>
            <m:sup>
              <m:r>
                <w:rPr>
                  <w:rFonts w:ascii="Cambria Math" w:hAnsi="Cambria Math" w:cs="Arial"/>
                </w:rPr>
                <m:t>(IRD)</m:t>
              </m:r>
            </m:sup>
          </m:sSubSup>
          <m:r>
            <w:rPr>
              <w:rFonts w:ascii="Cambria Math" w:hAnsi="Cambria Math" w:cs="Arial"/>
            </w:rPr>
            <m:t>,∀j∈EDAM∧t=1,2,…,T</m:t>
          </m:r>
        </m:oMath>
      </m:oMathPara>
    </w:p>
    <w:p w14:paraId="35904675" w14:textId="77777777" w:rsidR="004D29D1" w:rsidRPr="00746F54" w:rsidRDefault="004D29D1" w:rsidP="004D29D1">
      <w:pPr>
        <w:spacing w:line="360" w:lineRule="auto"/>
        <w:rPr>
          <w:rFonts w:ascii="Arial" w:hAnsi="Arial" w:cs="Arial"/>
        </w:rPr>
      </w:pPr>
      <w:r w:rsidRPr="00746F54">
        <w:rPr>
          <w:rFonts w:ascii="Arial" w:hAnsi="Arial" w:cs="Arial"/>
        </w:rPr>
        <w:t>Where positive IRD transfers reserve transfer capacity in the import direction.</w:t>
      </w:r>
    </w:p>
    <w:p w14:paraId="0A7E1E58" w14:textId="78CF19E7" w:rsidR="00267FB1" w:rsidRPr="00746F54" w:rsidRDefault="00EF36A2" w:rsidP="00267FB1">
      <w:pPr>
        <w:pStyle w:val="Heading2"/>
        <w:rPr>
          <w:rFonts w:ascii="Arial" w:hAnsi="Arial" w:cs="Arial"/>
        </w:rPr>
      </w:pPr>
      <w:r w:rsidRPr="00746F54">
        <w:rPr>
          <w:rFonts w:ascii="Arial" w:hAnsi="Arial" w:cs="Arial"/>
        </w:rPr>
        <w:t xml:space="preserve"> </w:t>
      </w:r>
      <w:bookmarkStart w:id="188" w:name="_Toc211337930"/>
      <w:bookmarkStart w:id="189" w:name="_Toc212733075"/>
      <w:r w:rsidR="00267FB1" w:rsidRPr="00746F54">
        <w:rPr>
          <w:rFonts w:ascii="Arial" w:hAnsi="Arial" w:cs="Arial"/>
        </w:rPr>
        <w:t>Power Balance Constraint Relaxation</w:t>
      </w:r>
      <w:bookmarkEnd w:id="188"/>
      <w:bookmarkEnd w:id="189"/>
    </w:p>
    <w:p w14:paraId="277EC4CB" w14:textId="3B734965" w:rsidR="00267FB1" w:rsidRPr="00746F54" w:rsidRDefault="00267FB1" w:rsidP="004D29D1">
      <w:pPr>
        <w:spacing w:line="360" w:lineRule="auto"/>
        <w:rPr>
          <w:rFonts w:ascii="Arial" w:hAnsi="Arial" w:cs="Arial"/>
          <w:u w:val="single"/>
        </w:rPr>
      </w:pPr>
      <w:r w:rsidRPr="00746F54">
        <w:rPr>
          <w:rFonts w:ascii="Arial" w:hAnsi="Arial" w:cs="Arial"/>
          <w:u w:val="single"/>
        </w:rPr>
        <w:t>Reference tariff section 33.27.5</w:t>
      </w:r>
    </w:p>
    <w:p w14:paraId="783DA6C3" w14:textId="77777777" w:rsidR="00267FB1" w:rsidRPr="00746F54" w:rsidRDefault="00267FB1" w:rsidP="00267FB1">
      <w:pPr>
        <w:spacing w:after="240" w:line="300" w:lineRule="auto"/>
        <w:rPr>
          <w:rFonts w:ascii="Arial" w:eastAsia="Calibri" w:hAnsi="Arial" w:cs="Arial"/>
          <w:kern w:val="2"/>
          <w14:ligatures w14:val="standardContextual"/>
        </w:rPr>
      </w:pPr>
      <w:r w:rsidRPr="00746F54">
        <w:rPr>
          <w:rFonts w:ascii="Arial" w:eastAsia="Calibri" w:hAnsi="Arial" w:cs="Arial"/>
          <w:kern w:val="2"/>
          <w14:ligatures w14:val="standardContextual"/>
        </w:rPr>
        <w:t xml:space="preserve">Integrated Balancing Authority Areas (“IBAAs”) are those Balancing Authority Areas that are not part of the CAISO but are closely interconnected/integrated with the EDAM Full Network Model through multiple free-flowing AC interconnections.  While power flows on an IBAA’s system can result in parallel flows and otherwise more complex interactions with the EDAM solution, IBAAs do not apply to BAAs that join EDAM consistent with section 33.27.5 of the tariff.   </w:t>
      </w:r>
    </w:p>
    <w:p w14:paraId="42638444" w14:textId="1434AB56" w:rsidR="0074730E" w:rsidRPr="00746F54" w:rsidRDefault="00267FB1" w:rsidP="00B324A3">
      <w:pPr>
        <w:spacing w:after="240" w:line="300" w:lineRule="auto"/>
        <w:rPr>
          <w:rFonts w:ascii="Arial" w:hAnsi="Arial" w:cs="Arial"/>
        </w:rPr>
      </w:pPr>
      <w:r w:rsidRPr="00746F54">
        <w:rPr>
          <w:rFonts w:ascii="Arial" w:eastAsia="Calibri" w:hAnsi="Arial" w:cs="Arial"/>
          <w:kern w:val="2"/>
          <w14:ligatures w14:val="standardContextual"/>
        </w:rPr>
        <w:t>EDAM will model and capture the effect of power flows internal to the IBAAs’ systems in the same manner as WEIM by utilizing a network model to represent flows within the IBAA, adding market resources to the model of the IBAA, mapping the Intertie Schedules to System Resources, and using distribution factors to attribute schedules submitted at the intertie points.  For more information on IBAA’s, refer to the Balancing Authority Area section of the Market Operations BPM.</w:t>
      </w:r>
    </w:p>
    <w:p w14:paraId="1A6DD824" w14:textId="77777777" w:rsidR="00104037" w:rsidRPr="00746F54" w:rsidRDefault="00104037" w:rsidP="00104037">
      <w:pPr>
        <w:pStyle w:val="Heading1"/>
        <w:rPr>
          <w:rFonts w:ascii="Arial" w:hAnsi="Arial" w:cs="Arial"/>
        </w:rPr>
      </w:pPr>
      <w:bookmarkStart w:id="190" w:name="_Toc211337931"/>
      <w:bookmarkStart w:id="191" w:name="_Toc212733076"/>
      <w:r w:rsidRPr="00746F54">
        <w:rPr>
          <w:rFonts w:ascii="Arial" w:hAnsi="Arial" w:cs="Arial"/>
        </w:rPr>
        <w:t>Inter-SC Trades</w:t>
      </w:r>
      <w:bookmarkEnd w:id="190"/>
      <w:bookmarkEnd w:id="191"/>
    </w:p>
    <w:p w14:paraId="74EB5041" w14:textId="5E8D6B51" w:rsidR="00104037" w:rsidRPr="00746F54" w:rsidRDefault="00104037" w:rsidP="00104037">
      <w:pPr>
        <w:pStyle w:val="ParaText"/>
        <w:rPr>
          <w:rFonts w:ascii="Arial" w:hAnsi="Arial" w:cs="Arial"/>
          <w:u w:val="single"/>
        </w:rPr>
      </w:pPr>
      <w:r w:rsidRPr="00746F54">
        <w:rPr>
          <w:rFonts w:ascii="Arial" w:hAnsi="Arial" w:cs="Arial"/>
          <w:u w:val="single"/>
        </w:rPr>
        <w:t>Reference tariff sections 28 and 33.28.</w:t>
      </w:r>
    </w:p>
    <w:p w14:paraId="03099461" w14:textId="3BB99A8E" w:rsidR="00104037" w:rsidRPr="00746F54" w:rsidRDefault="00104037" w:rsidP="00104037">
      <w:pPr>
        <w:pStyle w:val="ParaText"/>
        <w:rPr>
          <w:rFonts w:ascii="Arial" w:hAnsi="Arial" w:cs="Arial"/>
        </w:rPr>
      </w:pPr>
      <w:r w:rsidRPr="00746F54">
        <w:rPr>
          <w:rFonts w:ascii="Arial" w:hAnsi="Arial" w:cs="Arial"/>
        </w:rPr>
        <w:t>Inter-SC trades are an optional market feature which scheduling coordinators can utilize to facilitate settlement of bilateral contracts between parties.</w:t>
      </w:r>
      <w:r w:rsidRPr="00746F54" w:rsidDel="00476D63">
        <w:rPr>
          <w:rFonts w:ascii="Arial" w:hAnsi="Arial" w:cs="Arial"/>
        </w:rPr>
        <w:t xml:space="preserve"> </w:t>
      </w:r>
      <w:r w:rsidRPr="00746F54">
        <w:rPr>
          <w:rFonts w:ascii="Arial" w:hAnsi="Arial" w:cs="Arial"/>
        </w:rPr>
        <w:t xml:space="preserve">The ISO facilitates Inter-SC trades of energy, ancillary services, and IFM Load Uplift Obligations.  Within WEIM and EDAM balancing areas, only inter-SC trades of energy are supported for the day-ahead and the real-time markets. Within the CAISO balancing area, inter-SC trades of energy, ancillary services, and IFM Load Uplift Obligations continue to be supported. </w:t>
      </w:r>
      <w:r w:rsidR="00776EBF" w:rsidRPr="00746F54">
        <w:rPr>
          <w:rFonts w:ascii="Arial" w:hAnsi="Arial" w:cs="Arial"/>
        </w:rPr>
        <w:t xml:space="preserve">For procedures and processes for </w:t>
      </w:r>
      <w:r w:rsidR="00776EBF" w:rsidRPr="00746F54">
        <w:rPr>
          <w:rFonts w:ascii="Arial" w:hAnsi="Arial" w:cs="Arial"/>
        </w:rPr>
        <w:lastRenderedPageBreak/>
        <w:t xml:space="preserve">submission of inter-SC trades of energy in WEIM and EDAM, please refer to the Market Instruments BPM and corresponding sections 28 and 33.28 of the Tariff.  Note that CAISO tariff support for inter-SC trades in WEIM and EDAM may have a later effective date than EDAM launch.     </w:t>
      </w:r>
    </w:p>
    <w:p w14:paraId="51E5266C" w14:textId="16A841DF" w:rsidR="00930BA2" w:rsidRPr="0097362D" w:rsidRDefault="00930BA2" w:rsidP="0097362D">
      <w:pPr>
        <w:pStyle w:val="Heading1"/>
      </w:pPr>
      <w:bookmarkStart w:id="192" w:name="_Toc211337932"/>
      <w:bookmarkStart w:id="193" w:name="_Toc212733077"/>
      <w:r w:rsidRPr="0097362D">
        <w:t>Bids and Self Schedule Submission</w:t>
      </w:r>
      <w:bookmarkEnd w:id="192"/>
      <w:bookmarkEnd w:id="193"/>
      <w:r w:rsidRPr="0097362D">
        <w:t xml:space="preserve"> </w:t>
      </w:r>
    </w:p>
    <w:p w14:paraId="5EFFE289" w14:textId="1B69F8C8" w:rsidR="00930BA2" w:rsidRPr="00746F54" w:rsidRDefault="00930BA2" w:rsidP="00930BA2">
      <w:pPr>
        <w:pStyle w:val="ParaText"/>
        <w:spacing w:line="360" w:lineRule="auto"/>
        <w:rPr>
          <w:rFonts w:ascii="Arial" w:hAnsi="Arial" w:cs="Arial"/>
        </w:rPr>
      </w:pPr>
      <w:r w:rsidRPr="00746F54">
        <w:rPr>
          <w:rFonts w:ascii="Arial" w:hAnsi="Arial" w:cs="Arial"/>
          <w:u w:val="single"/>
        </w:rPr>
        <w:t>Reference</w:t>
      </w:r>
      <w:r w:rsidR="00E73BFD" w:rsidRPr="00746F54">
        <w:rPr>
          <w:rFonts w:ascii="Arial" w:hAnsi="Arial" w:cs="Arial"/>
          <w:u w:val="single"/>
        </w:rPr>
        <w:t xml:space="preserve"> tariff</w:t>
      </w:r>
      <w:r w:rsidRPr="00746F54">
        <w:rPr>
          <w:rFonts w:ascii="Arial" w:hAnsi="Arial" w:cs="Arial"/>
          <w:u w:val="single"/>
        </w:rPr>
        <w:t xml:space="preserve"> </w:t>
      </w:r>
      <w:r w:rsidR="00E73BFD" w:rsidRPr="00746F54">
        <w:rPr>
          <w:rFonts w:ascii="Arial" w:hAnsi="Arial" w:cs="Arial"/>
          <w:u w:val="single"/>
        </w:rPr>
        <w:t>s</w:t>
      </w:r>
      <w:r w:rsidRPr="00746F54">
        <w:rPr>
          <w:rFonts w:ascii="Arial" w:hAnsi="Arial" w:cs="Arial"/>
          <w:u w:val="single"/>
        </w:rPr>
        <w:t>ection 33.30</w:t>
      </w:r>
    </w:p>
    <w:p w14:paraId="19A291CA" w14:textId="3B8DB4CC" w:rsidR="00930BA2" w:rsidRPr="00746F54" w:rsidRDefault="00930BA2" w:rsidP="00930BA2">
      <w:pPr>
        <w:pStyle w:val="ParaText"/>
        <w:spacing w:line="360" w:lineRule="auto"/>
        <w:rPr>
          <w:rFonts w:ascii="Arial" w:hAnsi="Arial" w:cs="Arial"/>
        </w:rPr>
      </w:pPr>
      <w:r w:rsidRPr="00746F54">
        <w:rPr>
          <w:rFonts w:ascii="Arial" w:hAnsi="Arial" w:cs="Arial"/>
        </w:rPr>
        <w:t xml:space="preserve">Bids are submitted by EDAM entities for the Day-Ahead market.  SIBR processes bids through a series of validation rules.  A warning is issued from SIBR if the bid is not valid and the EDAM entity is given an opportunity to cancel the bid and resubmit the bid, time permitting.   After Market Close, SIBR creates clean bids, or generates bids (described in more detail in the BPM for Market Instruments, Section 8) in accordance with CAISO Market rules.  Clean bids and generated bids are pushed to the DAM market processes.  Additional detail regarding the bid validation process is in the BPM for market instruments. These bid components are summarized as follows and are described further in the </w:t>
      </w:r>
      <w:r w:rsidRPr="00746F54">
        <w:rPr>
          <w:rFonts w:ascii="Arial" w:hAnsi="Arial" w:cs="Arial"/>
          <w:i/>
        </w:rPr>
        <w:t xml:space="preserve">BPM for Market Instruments, </w:t>
      </w:r>
      <w:r w:rsidRPr="00746F54">
        <w:rPr>
          <w:rFonts w:ascii="Arial" w:hAnsi="Arial" w:cs="Arial"/>
        </w:rPr>
        <w:t>Section 5:</w:t>
      </w:r>
    </w:p>
    <w:p w14:paraId="0CBFBB11" w14:textId="77777777" w:rsidR="00930BA2" w:rsidRPr="00746F54" w:rsidRDefault="00930BA2" w:rsidP="00930BA2">
      <w:pPr>
        <w:pStyle w:val="Bullet2HRt"/>
        <w:numPr>
          <w:ilvl w:val="0"/>
          <w:numId w:val="0"/>
        </w:numPr>
        <w:spacing w:line="360" w:lineRule="auto"/>
        <w:rPr>
          <w:rFonts w:ascii="Arial" w:hAnsi="Arial" w:cs="Arial"/>
          <w:b/>
        </w:rPr>
      </w:pPr>
      <w:commentRangeStart w:id="194"/>
      <w:r w:rsidRPr="00746F54">
        <w:rPr>
          <w:rFonts w:ascii="Arial" w:hAnsi="Arial" w:cs="Arial"/>
          <w:b/>
        </w:rPr>
        <w:t>Energy Bids (multi-segment)</w:t>
      </w:r>
      <w:r w:rsidRPr="00746F54">
        <w:rPr>
          <w:rFonts w:ascii="Arial" w:hAnsi="Arial" w:cs="Arial"/>
          <w:b/>
          <w:bCs/>
        </w:rPr>
        <w:t xml:space="preserve"> </w:t>
      </w:r>
      <w:commentRangeEnd w:id="194"/>
      <w:r w:rsidR="00E73BFD" w:rsidRPr="00746F54">
        <w:rPr>
          <w:rStyle w:val="CommentReference"/>
          <w:rFonts w:ascii="Arial" w:hAnsi="Arial" w:cs="Arial"/>
        </w:rPr>
        <w:commentReference w:id="194"/>
      </w:r>
    </w:p>
    <w:p w14:paraId="327835FF" w14:textId="77777777" w:rsidR="00930BA2" w:rsidRPr="00746F54" w:rsidRDefault="00930BA2" w:rsidP="00930BA2">
      <w:pPr>
        <w:pStyle w:val="Bullet2HRt"/>
        <w:numPr>
          <w:ilvl w:val="0"/>
          <w:numId w:val="119"/>
        </w:numPr>
        <w:spacing w:line="360" w:lineRule="auto"/>
        <w:rPr>
          <w:rFonts w:ascii="Arial" w:hAnsi="Arial" w:cs="Arial"/>
        </w:rPr>
      </w:pPr>
      <w:r w:rsidRPr="00746F54">
        <w:rPr>
          <w:rFonts w:ascii="Arial" w:hAnsi="Arial" w:cs="Arial"/>
        </w:rPr>
        <w:t>Three-part Energy Bids for Generating Resources (including Aggregate Generating Resources with specified Generation Distribution Factors). Three-part Energy Bids are also for logical generators that represent Participating Loads in association with fixed (i.e., Price Taker), non-conforming Load Schedules</w:t>
      </w:r>
    </w:p>
    <w:p w14:paraId="48BC41AA" w14:textId="77777777" w:rsidR="00930BA2" w:rsidRPr="00746F54" w:rsidRDefault="00930BA2" w:rsidP="00930BA2">
      <w:pPr>
        <w:pStyle w:val="Bullet2HRt"/>
        <w:numPr>
          <w:ilvl w:val="0"/>
          <w:numId w:val="119"/>
        </w:numPr>
        <w:spacing w:line="360" w:lineRule="auto"/>
        <w:rPr>
          <w:rFonts w:ascii="Arial" w:hAnsi="Arial" w:cs="Arial"/>
        </w:rPr>
      </w:pPr>
      <w:r w:rsidRPr="00746F54">
        <w:rPr>
          <w:rFonts w:ascii="Arial" w:hAnsi="Arial" w:cs="Arial"/>
        </w:rPr>
        <w:t>One-part Energy Bids for non-Participating Loads (including aggregated Loads with specified Load Distribution Factors).  One-part Energy Bids for System Resources (imports and exports).</w:t>
      </w:r>
    </w:p>
    <w:p w14:paraId="527D1615" w14:textId="183106D1" w:rsidR="00BA2258" w:rsidRPr="00746F54" w:rsidRDefault="00BA2258" w:rsidP="00930BA2">
      <w:pPr>
        <w:pStyle w:val="Bullet2HRt"/>
        <w:numPr>
          <w:ilvl w:val="0"/>
          <w:numId w:val="0"/>
        </w:numPr>
        <w:spacing w:line="360" w:lineRule="auto"/>
        <w:rPr>
          <w:rFonts w:ascii="Arial" w:hAnsi="Arial" w:cs="Arial"/>
          <w:b/>
        </w:rPr>
      </w:pPr>
      <w:r w:rsidRPr="00746F54">
        <w:rPr>
          <w:rFonts w:ascii="Arial" w:hAnsi="Arial" w:cs="Arial"/>
          <w:b/>
        </w:rPr>
        <w:t>Demand Bids</w:t>
      </w:r>
    </w:p>
    <w:p w14:paraId="3E381720" w14:textId="4B3E1E24" w:rsidR="00BA2258" w:rsidRPr="00746F54" w:rsidRDefault="00BA2258" w:rsidP="00BA2258">
      <w:pPr>
        <w:pStyle w:val="Bullet2HRt"/>
        <w:numPr>
          <w:ilvl w:val="0"/>
          <w:numId w:val="135"/>
        </w:numPr>
        <w:spacing w:line="360" w:lineRule="auto"/>
        <w:rPr>
          <w:rFonts w:ascii="Arial" w:hAnsi="Arial" w:cs="Arial"/>
          <w:b/>
        </w:rPr>
      </w:pPr>
      <w:r w:rsidRPr="00746F54">
        <w:rPr>
          <w:rFonts w:ascii="Arial" w:hAnsi="Arial" w:cs="Arial"/>
        </w:rPr>
        <w:t>EDAM Entity Scheduling Coordinator and EDAM Load Serving Entity Scheduling Coordinator</w:t>
      </w:r>
      <w:r w:rsidR="00A31F51" w:rsidRPr="00746F54">
        <w:rPr>
          <w:rFonts w:ascii="Arial" w:hAnsi="Arial" w:cs="Arial"/>
        </w:rPr>
        <w:t xml:space="preserve"> may submit Demand Bids within the EDAM Entity balancing authority area.  </w:t>
      </w:r>
    </w:p>
    <w:p w14:paraId="0BAF5B78" w14:textId="59299F39" w:rsidR="00A31F51" w:rsidRPr="00746F54" w:rsidRDefault="00A31F51" w:rsidP="00BA2258">
      <w:pPr>
        <w:pStyle w:val="Bullet2HRt"/>
        <w:numPr>
          <w:ilvl w:val="0"/>
          <w:numId w:val="135"/>
        </w:numPr>
        <w:spacing w:line="360" w:lineRule="auto"/>
        <w:rPr>
          <w:rFonts w:ascii="Arial" w:hAnsi="Arial" w:cs="Arial"/>
          <w:b/>
        </w:rPr>
      </w:pPr>
      <w:r w:rsidRPr="00746F54">
        <w:rPr>
          <w:rFonts w:ascii="Arial" w:hAnsi="Arial" w:cs="Arial"/>
        </w:rPr>
        <w:lastRenderedPageBreak/>
        <w:t>The Scheduling Coordinators representing load may submit Day-Ahead economic bids or self-schedules indicating the hourly quantity of Energy in MWh that it intends to purchase in the IFM for each trading hour of the trading day.</w:t>
      </w:r>
    </w:p>
    <w:p w14:paraId="70C18F10" w14:textId="7E2E7131" w:rsidR="00A31F51" w:rsidRPr="00746F54" w:rsidRDefault="00A31F51" w:rsidP="00BA2258">
      <w:pPr>
        <w:pStyle w:val="Bullet2HRt"/>
        <w:numPr>
          <w:ilvl w:val="0"/>
          <w:numId w:val="135"/>
        </w:numPr>
        <w:spacing w:line="360" w:lineRule="auto"/>
        <w:rPr>
          <w:rFonts w:ascii="Arial" w:hAnsi="Arial" w:cs="Arial"/>
          <w:b/>
        </w:rPr>
      </w:pPr>
      <w:r w:rsidRPr="00746F54">
        <w:rPr>
          <w:rFonts w:ascii="Arial" w:hAnsi="Arial" w:cs="Arial"/>
        </w:rPr>
        <w:t>Common information provided in the Demand Bids is:</w:t>
      </w:r>
    </w:p>
    <w:p w14:paraId="14823352" w14:textId="1B249AC6" w:rsidR="00A31F51" w:rsidRPr="00746F54" w:rsidRDefault="00A31F51" w:rsidP="00A31F51">
      <w:pPr>
        <w:pStyle w:val="Bullet2HRt"/>
        <w:numPr>
          <w:ilvl w:val="1"/>
          <w:numId w:val="135"/>
        </w:numPr>
        <w:spacing w:line="360" w:lineRule="auto"/>
        <w:rPr>
          <w:rFonts w:ascii="Arial" w:hAnsi="Arial" w:cs="Arial"/>
          <w:b/>
        </w:rPr>
      </w:pPr>
      <w:r w:rsidRPr="00746F54">
        <w:rPr>
          <w:rFonts w:ascii="Arial" w:hAnsi="Arial" w:cs="Arial"/>
        </w:rPr>
        <w:t>Scheduling Coordinator ID Code</w:t>
      </w:r>
    </w:p>
    <w:p w14:paraId="1CF44C45" w14:textId="2FC292D1" w:rsidR="00A31F51" w:rsidRPr="00746F54" w:rsidRDefault="00A31F51" w:rsidP="00A31F51">
      <w:pPr>
        <w:pStyle w:val="Bullet2HRt"/>
        <w:numPr>
          <w:ilvl w:val="1"/>
          <w:numId w:val="135"/>
        </w:numPr>
        <w:spacing w:line="360" w:lineRule="auto"/>
        <w:rPr>
          <w:rFonts w:ascii="Arial" w:hAnsi="Arial" w:cs="Arial"/>
          <w:b/>
        </w:rPr>
      </w:pPr>
      <w:r w:rsidRPr="00746F54">
        <w:rPr>
          <w:rFonts w:ascii="Arial" w:hAnsi="Arial" w:cs="Arial"/>
        </w:rPr>
        <w:t>Location of the LAP, PNode or APNode, as applicable</w:t>
      </w:r>
    </w:p>
    <w:p w14:paraId="40910F36" w14:textId="3C7DF21E" w:rsidR="00A31F51" w:rsidRPr="00746F54" w:rsidRDefault="00A31F51" w:rsidP="00A31F51">
      <w:pPr>
        <w:pStyle w:val="Bullet2HRt"/>
        <w:numPr>
          <w:ilvl w:val="0"/>
          <w:numId w:val="135"/>
        </w:numPr>
        <w:spacing w:line="360" w:lineRule="auto"/>
        <w:rPr>
          <w:rFonts w:ascii="Arial" w:hAnsi="Arial" w:cs="Arial"/>
          <w:b/>
        </w:rPr>
      </w:pPr>
      <w:r w:rsidRPr="00746F54">
        <w:rPr>
          <w:rFonts w:ascii="Arial" w:hAnsi="Arial" w:cs="Arial"/>
        </w:rPr>
        <w:t xml:space="preserve">For additional information on Demand Bid submission, please refer to the Demand Bids section of the </w:t>
      </w:r>
      <w:r w:rsidRPr="00746F54">
        <w:rPr>
          <w:rFonts w:ascii="Arial" w:hAnsi="Arial" w:cs="Arial"/>
          <w:i/>
        </w:rPr>
        <w:t xml:space="preserve">Market Instruments </w:t>
      </w:r>
      <w:r w:rsidRPr="00746F54">
        <w:rPr>
          <w:rFonts w:ascii="Arial" w:hAnsi="Arial" w:cs="Arial"/>
        </w:rPr>
        <w:t>BPM.</w:t>
      </w:r>
    </w:p>
    <w:p w14:paraId="79300247" w14:textId="1AA8A2DF" w:rsidR="00930BA2" w:rsidRPr="00746F54" w:rsidRDefault="00930BA2" w:rsidP="00930BA2">
      <w:pPr>
        <w:pStyle w:val="Bullet2HRt"/>
        <w:numPr>
          <w:ilvl w:val="0"/>
          <w:numId w:val="0"/>
        </w:numPr>
        <w:spacing w:line="360" w:lineRule="auto"/>
        <w:rPr>
          <w:rFonts w:ascii="Arial" w:hAnsi="Arial" w:cs="Arial"/>
          <w:b/>
        </w:rPr>
      </w:pPr>
      <w:r w:rsidRPr="00746F54">
        <w:rPr>
          <w:rFonts w:ascii="Arial" w:hAnsi="Arial" w:cs="Arial"/>
          <w:b/>
        </w:rPr>
        <w:t>Ancillary Service Bids</w:t>
      </w:r>
    </w:p>
    <w:p w14:paraId="41D450BC" w14:textId="30FBBDC6" w:rsidR="00930BA2" w:rsidRPr="00746F54" w:rsidRDefault="00930BA2" w:rsidP="00930BA2">
      <w:pPr>
        <w:pStyle w:val="Bullet2HRt"/>
        <w:numPr>
          <w:ilvl w:val="0"/>
          <w:numId w:val="119"/>
        </w:numPr>
        <w:spacing w:line="360" w:lineRule="auto"/>
        <w:rPr>
          <w:rFonts w:ascii="Arial" w:hAnsi="Arial" w:cs="Arial"/>
        </w:rPr>
      </w:pPr>
      <w:r w:rsidRPr="00746F54">
        <w:rPr>
          <w:rFonts w:ascii="Arial" w:hAnsi="Arial" w:cs="Arial"/>
        </w:rPr>
        <w:t>For the CAISO</w:t>
      </w:r>
      <w:r w:rsidR="00BA2258" w:rsidRPr="00746F54">
        <w:rPr>
          <w:rFonts w:ascii="Arial" w:hAnsi="Arial" w:cs="Arial"/>
        </w:rPr>
        <w:t xml:space="preserve"> balancing area</w:t>
      </w:r>
      <w:r w:rsidRPr="00746F54">
        <w:rPr>
          <w:rFonts w:ascii="Arial" w:hAnsi="Arial" w:cs="Arial"/>
        </w:rPr>
        <w:t>, Scheduling Coordinators submit AS bids in the DAM and the IFM considers AS bids in conjunction with energy bids to make AS awards based on a simultaneous optimization.   See Market Operations BPM Section 2.5.2 for more information on optimized AS bidding.</w:t>
      </w:r>
    </w:p>
    <w:p w14:paraId="092A085A" w14:textId="57D02F4F" w:rsidR="00930BA2" w:rsidRPr="00746F54" w:rsidRDefault="00930BA2" w:rsidP="00930BA2">
      <w:pPr>
        <w:pStyle w:val="Bullet2HRt"/>
        <w:numPr>
          <w:ilvl w:val="0"/>
          <w:numId w:val="119"/>
        </w:numPr>
        <w:spacing w:line="360" w:lineRule="auto"/>
        <w:rPr>
          <w:rFonts w:ascii="Arial" w:hAnsi="Arial" w:cs="Arial"/>
        </w:rPr>
      </w:pPr>
      <w:r w:rsidRPr="00746F54">
        <w:rPr>
          <w:rFonts w:ascii="Arial" w:hAnsi="Arial" w:cs="Arial"/>
        </w:rPr>
        <w:t xml:space="preserve">For EDAM entities, ancillary services are </w:t>
      </w:r>
      <w:r w:rsidR="00BA2258" w:rsidRPr="00746F54">
        <w:rPr>
          <w:rFonts w:ascii="Arial" w:hAnsi="Arial" w:cs="Arial"/>
        </w:rPr>
        <w:t xml:space="preserve">currently </w:t>
      </w:r>
      <w:r w:rsidRPr="00746F54">
        <w:rPr>
          <w:rFonts w:ascii="Arial" w:hAnsi="Arial" w:cs="Arial"/>
        </w:rPr>
        <w:t xml:space="preserve">not co-optimized with energy.  EDAM entities submit AS requirements and self-schedule AS resources via SIBR.  A submission to self-provide AS in a given trading hour contains only a capacity offer without a price. Submissions to self-provide an AS are only evaluated for feasibility with respect to the relevant resource operating characteristics.  </w:t>
      </w:r>
    </w:p>
    <w:p w14:paraId="2C8F262F" w14:textId="77777777" w:rsidR="00930BA2" w:rsidRPr="00746F54" w:rsidRDefault="00930BA2" w:rsidP="00930BA2">
      <w:pPr>
        <w:pStyle w:val="Bullet2HRt"/>
        <w:numPr>
          <w:ilvl w:val="0"/>
          <w:numId w:val="119"/>
        </w:numPr>
        <w:spacing w:line="360" w:lineRule="auto"/>
        <w:rPr>
          <w:rFonts w:ascii="Arial" w:hAnsi="Arial" w:cs="Arial"/>
        </w:rPr>
      </w:pPr>
      <w:r w:rsidRPr="00746F54">
        <w:rPr>
          <w:rFonts w:ascii="Arial" w:hAnsi="Arial" w:cs="Arial"/>
        </w:rPr>
        <w:t>TSR Bids</w:t>
      </w:r>
    </w:p>
    <w:p w14:paraId="0AB8A97A" w14:textId="3A47E468" w:rsidR="00930BA2" w:rsidRPr="00746F54" w:rsidRDefault="00930BA2" w:rsidP="00930BA2">
      <w:pPr>
        <w:pStyle w:val="Bullet2HRt"/>
        <w:numPr>
          <w:ilvl w:val="1"/>
          <w:numId w:val="119"/>
        </w:numPr>
        <w:spacing w:line="360" w:lineRule="auto"/>
        <w:rPr>
          <w:rFonts w:ascii="Arial" w:hAnsi="Arial" w:cs="Arial"/>
        </w:rPr>
      </w:pPr>
      <w:r w:rsidRPr="00746F54">
        <w:rPr>
          <w:rFonts w:ascii="Arial" w:hAnsi="Arial" w:cs="Arial"/>
        </w:rPr>
        <w:t>See section 17.6.1 for details on TSR bid types</w:t>
      </w:r>
    </w:p>
    <w:p w14:paraId="694A5CF9" w14:textId="77777777" w:rsidR="00930BA2" w:rsidRPr="00746F54" w:rsidRDefault="00930BA2" w:rsidP="00930BA2">
      <w:pPr>
        <w:pStyle w:val="Bullet2HRt"/>
        <w:numPr>
          <w:ilvl w:val="0"/>
          <w:numId w:val="119"/>
        </w:numPr>
        <w:spacing w:line="360" w:lineRule="auto"/>
        <w:rPr>
          <w:rFonts w:ascii="Arial" w:hAnsi="Arial" w:cs="Arial"/>
        </w:rPr>
      </w:pPr>
      <w:r w:rsidRPr="00746F54">
        <w:rPr>
          <w:rFonts w:ascii="Arial" w:hAnsi="Arial" w:cs="Arial"/>
        </w:rPr>
        <w:t>Green House Gas (GHG) Bids</w:t>
      </w:r>
    </w:p>
    <w:p w14:paraId="64DDAA60" w14:textId="73123335" w:rsidR="00930BA2" w:rsidRPr="00746F54" w:rsidRDefault="00930BA2" w:rsidP="00930BA2">
      <w:pPr>
        <w:pStyle w:val="Bullet2HRt"/>
        <w:numPr>
          <w:ilvl w:val="1"/>
          <w:numId w:val="119"/>
        </w:numPr>
        <w:spacing w:line="360" w:lineRule="auto"/>
        <w:rPr>
          <w:rFonts w:ascii="Arial" w:hAnsi="Arial" w:cs="Arial"/>
        </w:rPr>
      </w:pPr>
      <w:r w:rsidRPr="00746F54">
        <w:rPr>
          <w:rFonts w:ascii="Arial" w:hAnsi="Arial" w:cs="Arial"/>
        </w:rPr>
        <w:t xml:space="preserve">See Section 18.2.2 for details on GHG bidding. </w:t>
      </w:r>
    </w:p>
    <w:p w14:paraId="26DE10A0" w14:textId="77777777" w:rsidR="00930BA2" w:rsidRPr="00746F54" w:rsidRDefault="00930BA2" w:rsidP="00930BA2">
      <w:pPr>
        <w:pStyle w:val="Bullet2HRt"/>
        <w:numPr>
          <w:ilvl w:val="0"/>
          <w:numId w:val="119"/>
        </w:numPr>
        <w:spacing w:line="360" w:lineRule="auto"/>
        <w:rPr>
          <w:rFonts w:ascii="Arial" w:hAnsi="Arial" w:cs="Arial"/>
        </w:rPr>
      </w:pPr>
      <w:r w:rsidRPr="00746F54">
        <w:rPr>
          <w:rFonts w:ascii="Arial" w:hAnsi="Arial" w:cs="Arial"/>
        </w:rPr>
        <w:t>Imbalance Reserve Up/Down (IRU/IRD) and Residual Capacity Up/Down (RCU/RCD)</w:t>
      </w:r>
    </w:p>
    <w:p w14:paraId="3030853F" w14:textId="77777777" w:rsidR="00930BA2" w:rsidRPr="00746F54" w:rsidRDefault="00930BA2" w:rsidP="00930BA2">
      <w:pPr>
        <w:pStyle w:val="Bullet2HRt"/>
        <w:numPr>
          <w:ilvl w:val="1"/>
          <w:numId w:val="119"/>
        </w:numPr>
        <w:spacing w:line="360" w:lineRule="auto"/>
        <w:rPr>
          <w:rFonts w:ascii="Arial" w:hAnsi="Arial" w:cs="Arial"/>
        </w:rPr>
      </w:pPr>
      <w:r w:rsidRPr="00746F54">
        <w:rPr>
          <w:rFonts w:ascii="Arial" w:hAnsi="Arial" w:cs="Arial"/>
        </w:rPr>
        <w:t xml:space="preserve">See Market Operations BPM for IRU/IRD and RCU/RCD bidding details. </w:t>
      </w:r>
    </w:p>
    <w:p w14:paraId="5074816D" w14:textId="04BEC983" w:rsidR="00930BA2" w:rsidRPr="00746F54" w:rsidRDefault="00930BA2" w:rsidP="00930BA2">
      <w:pPr>
        <w:pStyle w:val="Bullet2HRt"/>
        <w:numPr>
          <w:ilvl w:val="0"/>
          <w:numId w:val="0"/>
        </w:numPr>
        <w:rPr>
          <w:rFonts w:ascii="Arial" w:hAnsi="Arial" w:cs="Arial"/>
        </w:rPr>
      </w:pPr>
      <w:r w:rsidRPr="00746F54">
        <w:rPr>
          <w:rFonts w:ascii="Arial" w:hAnsi="Arial" w:cs="Arial"/>
        </w:rPr>
        <w:lastRenderedPageBreak/>
        <w:t xml:space="preserve">All bid types may be submitted as far as seven days in advance of the given trade date and may be revised up until 10:00 for the next trade date execution, commonly referred to as “D+1.”  SC entities with bidding responsibilities should strive to complete bidding MW quantities by 09:00 to improve the accuracy of the advisory RSE executions at 09:00 and 09:30 for their BAA.   Should bidding not be complete for the advisory RSE executions, EDAM entities may be required to consider taking actions to pass the RSE without the benefit of the best available information.  </w:t>
      </w:r>
    </w:p>
    <w:p w14:paraId="3EDF1055" w14:textId="040D7CCF" w:rsidR="004966A5" w:rsidRPr="0097362D" w:rsidRDefault="004966A5" w:rsidP="0097362D">
      <w:pPr>
        <w:pStyle w:val="Heading2"/>
      </w:pPr>
      <w:r w:rsidRPr="00746F54">
        <w:t xml:space="preserve"> </w:t>
      </w:r>
      <w:bookmarkStart w:id="195" w:name="_Toc211337933"/>
      <w:bookmarkStart w:id="196" w:name="_Toc212733078"/>
      <w:r w:rsidRPr="0097362D">
        <w:t>Economic Bids at EDAM Interties</w:t>
      </w:r>
      <w:bookmarkEnd w:id="195"/>
      <w:bookmarkEnd w:id="196"/>
    </w:p>
    <w:p w14:paraId="29DE6B49" w14:textId="740D387F" w:rsidR="004966A5" w:rsidRPr="00746F54" w:rsidRDefault="004966A5" w:rsidP="004966A5">
      <w:pPr>
        <w:pStyle w:val="ParaText"/>
        <w:rPr>
          <w:rFonts w:ascii="Arial" w:hAnsi="Arial" w:cs="Arial"/>
          <w:u w:val="single"/>
        </w:rPr>
      </w:pPr>
      <w:r w:rsidRPr="00746F54">
        <w:rPr>
          <w:rFonts w:ascii="Arial" w:hAnsi="Arial" w:cs="Arial"/>
          <w:u w:val="single"/>
        </w:rPr>
        <w:t>Reference tariff section 33.30.3.</w:t>
      </w:r>
    </w:p>
    <w:p w14:paraId="5E41743E" w14:textId="3BDCB84C" w:rsidR="004966A5" w:rsidRPr="00746F54" w:rsidRDefault="00BE63D4" w:rsidP="004966A5">
      <w:pPr>
        <w:pStyle w:val="ParaText"/>
        <w:rPr>
          <w:rFonts w:ascii="Arial" w:hAnsi="Arial" w:cs="Arial"/>
        </w:rPr>
      </w:pPr>
      <w:r w:rsidRPr="00746F54">
        <w:rPr>
          <w:rFonts w:ascii="Arial" w:hAnsi="Arial" w:cs="Arial"/>
        </w:rPr>
        <w:t>Scheduling Coordinators may not submit economic bids at EDAM external interties or EDAM internal interties unless the submission of economic bids has been enabled by the EDAM entity under its tariff consistent with tariff section 29.34(i)(2).  Scheduling coordinators may otherwise submit self-schedules at the EDAM entity external intertie to meet contractual obligations.</w:t>
      </w:r>
    </w:p>
    <w:p w14:paraId="30B54B3B" w14:textId="5D39CF5A" w:rsidR="00BE63D4" w:rsidRPr="00746F54" w:rsidRDefault="00BE63D4" w:rsidP="004966A5">
      <w:pPr>
        <w:pStyle w:val="ParaText"/>
        <w:rPr>
          <w:rFonts w:ascii="Arial" w:hAnsi="Arial" w:cs="Arial"/>
        </w:rPr>
      </w:pPr>
      <w:r w:rsidRPr="00746F54">
        <w:rPr>
          <w:rFonts w:ascii="Arial" w:hAnsi="Arial" w:cs="Arial"/>
        </w:rPr>
        <w:t>The exception to the rule</w:t>
      </w:r>
      <w:r w:rsidR="00D15226" w:rsidRPr="00746F54">
        <w:rPr>
          <w:rFonts w:ascii="Arial" w:hAnsi="Arial" w:cs="Arial"/>
        </w:rPr>
        <w:t xml:space="preserve"> noted</w:t>
      </w:r>
      <w:r w:rsidRPr="00746F54">
        <w:rPr>
          <w:rFonts w:ascii="Arial" w:hAnsi="Arial" w:cs="Arial"/>
        </w:rPr>
        <w:t xml:space="preserve"> above is that a Scheduling Coordinators for a designated network resource </w:t>
      </w:r>
      <w:r w:rsidR="00D15226" w:rsidRPr="00746F54">
        <w:rPr>
          <w:rFonts w:ascii="Arial" w:hAnsi="Arial" w:cs="Arial"/>
        </w:rPr>
        <w:t xml:space="preserve">located outside of the EDAM area at an EDAM external Intertie, which is designated under the terms of the EDAM Entity or EDAM Transmission Service Provider tariff, may economically bid at the EDAM external intertie.  </w:t>
      </w:r>
      <w:commentRangeStart w:id="197"/>
      <w:r w:rsidR="00D15226" w:rsidRPr="00746F54">
        <w:rPr>
          <w:rFonts w:ascii="Arial" w:hAnsi="Arial" w:cs="Arial"/>
        </w:rPr>
        <w:t xml:space="preserve">The designated network resource will be registered in Masterfile as a system resource or tie gen resource with either 5-minute or 15-minute dispatch capability to respond to market awards. </w:t>
      </w:r>
      <w:commentRangeEnd w:id="197"/>
      <w:r w:rsidR="00C932BC" w:rsidRPr="00746F54">
        <w:rPr>
          <w:rStyle w:val="CommentReference"/>
          <w:rFonts w:ascii="Arial" w:hAnsi="Arial" w:cs="Arial"/>
        </w:rPr>
        <w:commentReference w:id="197"/>
      </w:r>
      <w:r w:rsidR="00D15226" w:rsidRPr="00746F54">
        <w:rPr>
          <w:rFonts w:ascii="Arial" w:hAnsi="Arial" w:cs="Arial"/>
        </w:rPr>
        <w:t xml:space="preserve"> For additional information on registering the resource in Masterfile, please refer to </w:t>
      </w:r>
      <w:r w:rsidR="00C932BC" w:rsidRPr="00746F54">
        <w:rPr>
          <w:rFonts w:ascii="Arial" w:hAnsi="Arial" w:cs="Arial"/>
          <w:highlight w:val="yellow"/>
        </w:rPr>
        <w:t>section XXX</w:t>
      </w:r>
      <w:r w:rsidR="00C932BC" w:rsidRPr="00746F54">
        <w:rPr>
          <w:rFonts w:ascii="Arial" w:hAnsi="Arial" w:cs="Arial"/>
        </w:rPr>
        <w:t xml:space="preserve"> of this BPM.  </w:t>
      </w:r>
    </w:p>
    <w:p w14:paraId="6C8A5A81" w14:textId="6E6E6866" w:rsidR="00C932BC" w:rsidRPr="00746F54" w:rsidRDefault="00C932BC" w:rsidP="004966A5">
      <w:pPr>
        <w:pStyle w:val="ParaText"/>
        <w:rPr>
          <w:rFonts w:ascii="Arial" w:hAnsi="Arial" w:cs="Arial"/>
        </w:rPr>
      </w:pPr>
      <w:r w:rsidRPr="00746F54">
        <w:rPr>
          <w:rFonts w:ascii="Arial" w:hAnsi="Arial" w:cs="Arial"/>
        </w:rPr>
        <w:t xml:space="preserve">The CAISO will continue to support economic bidding at the interties of its balancing authority area as described in </w:t>
      </w:r>
      <w:r w:rsidRPr="00746F54">
        <w:rPr>
          <w:rFonts w:ascii="Arial" w:hAnsi="Arial" w:cs="Arial"/>
          <w:highlight w:val="yellow"/>
        </w:rPr>
        <w:t>section XXX of this BPM</w:t>
      </w:r>
      <w:r w:rsidRPr="00746F54">
        <w:rPr>
          <w:rFonts w:ascii="Arial" w:hAnsi="Arial" w:cs="Arial"/>
        </w:rPr>
        <w:t xml:space="preserve">.  </w:t>
      </w:r>
    </w:p>
    <w:p w14:paraId="2E81AFF5" w14:textId="77777777" w:rsidR="005D7027" w:rsidRPr="0097362D" w:rsidRDefault="005D7027" w:rsidP="0097362D">
      <w:pPr>
        <w:pStyle w:val="Heading2"/>
      </w:pPr>
      <w:bookmarkStart w:id="198" w:name="_Toc211337934"/>
      <w:bookmarkStart w:id="199" w:name="_Toc212733079"/>
      <w:r w:rsidRPr="0097362D">
        <w:t>EDAM Entity Access to Bid Information</w:t>
      </w:r>
      <w:bookmarkEnd w:id="198"/>
      <w:bookmarkEnd w:id="199"/>
    </w:p>
    <w:p w14:paraId="55A2D436" w14:textId="77777777" w:rsidR="005D7027" w:rsidRPr="00746F54" w:rsidRDefault="005D7027" w:rsidP="00636D40">
      <w:pPr>
        <w:pStyle w:val="Bullet2HRt"/>
        <w:numPr>
          <w:ilvl w:val="0"/>
          <w:numId w:val="0"/>
        </w:numPr>
        <w:rPr>
          <w:rFonts w:ascii="Arial" w:hAnsi="Arial" w:cs="Arial"/>
          <w:bCs/>
          <w:u w:val="single"/>
        </w:rPr>
      </w:pPr>
      <w:bookmarkStart w:id="200" w:name="_Toc211337935"/>
      <w:r w:rsidRPr="00746F54">
        <w:rPr>
          <w:rFonts w:ascii="Arial" w:hAnsi="Arial" w:cs="Arial"/>
        </w:rPr>
        <w:t>Reference</w:t>
      </w:r>
      <w:r w:rsidRPr="00746F54">
        <w:rPr>
          <w:rFonts w:ascii="Arial" w:hAnsi="Arial" w:cs="Arial"/>
          <w:bCs/>
          <w:u w:val="single"/>
        </w:rPr>
        <w:t xml:space="preserve"> tariff section 33.30.4</w:t>
      </w:r>
      <w:bookmarkEnd w:id="200"/>
    </w:p>
    <w:p w14:paraId="1AC6A925" w14:textId="77777777" w:rsidR="00FB6D53" w:rsidRPr="00746F54" w:rsidRDefault="005D7027" w:rsidP="00636D40">
      <w:pPr>
        <w:pStyle w:val="Bullet2HRt"/>
        <w:numPr>
          <w:ilvl w:val="0"/>
          <w:numId w:val="0"/>
        </w:numPr>
        <w:rPr>
          <w:rFonts w:ascii="Arial" w:hAnsi="Arial" w:cs="Arial"/>
          <w:bCs/>
        </w:rPr>
      </w:pPr>
      <w:bookmarkStart w:id="201" w:name="_Toc211337936"/>
      <w:r w:rsidRPr="00746F54">
        <w:rPr>
          <w:rFonts w:ascii="Arial" w:hAnsi="Arial" w:cs="Arial"/>
        </w:rPr>
        <w:t>To</w:t>
      </w:r>
      <w:r w:rsidRPr="00746F54">
        <w:rPr>
          <w:rFonts w:ascii="Arial" w:hAnsi="Arial" w:cs="Arial"/>
          <w:bCs/>
          <w:u w:val="single"/>
        </w:rPr>
        <w:t xml:space="preserve"> </w:t>
      </w:r>
      <w:r w:rsidRPr="00746F54">
        <w:rPr>
          <w:rFonts w:ascii="Arial" w:hAnsi="Arial" w:cs="Arial"/>
          <w:bCs/>
        </w:rPr>
        <w:t xml:space="preserve">support </w:t>
      </w:r>
      <w:r w:rsidR="001A1D8C" w:rsidRPr="00746F54">
        <w:rPr>
          <w:rFonts w:ascii="Arial" w:hAnsi="Arial" w:cs="Arial"/>
          <w:bCs/>
        </w:rPr>
        <w:t>the EDAM Entity obligations</w:t>
      </w:r>
      <w:r w:rsidR="00FB6D53" w:rsidRPr="00746F54">
        <w:rPr>
          <w:rFonts w:ascii="Arial" w:hAnsi="Arial" w:cs="Arial"/>
          <w:bCs/>
        </w:rPr>
        <w:t>, particularly the conduct of the EDAM Resource Sufficiency Evaluation, CAISO will provide the EDAM Entity with access to certain data related to resource bids, without sharing pricing information, associated with the EDAM resources within its balancing authority area and at interties with other balancing authority areas.</w:t>
      </w:r>
      <w:bookmarkEnd w:id="201"/>
    </w:p>
    <w:p w14:paraId="13F4C8A3" w14:textId="37CFB965" w:rsidR="005D7027" w:rsidRPr="00746F54" w:rsidRDefault="00FB6D53" w:rsidP="00636D40">
      <w:pPr>
        <w:pStyle w:val="Bullet2HRt"/>
        <w:numPr>
          <w:ilvl w:val="0"/>
          <w:numId w:val="0"/>
        </w:numPr>
        <w:rPr>
          <w:rFonts w:ascii="Arial" w:hAnsi="Arial" w:cs="Arial"/>
        </w:rPr>
      </w:pPr>
      <w:bookmarkStart w:id="202" w:name="_Toc211337937"/>
      <w:r w:rsidRPr="00746F54">
        <w:rPr>
          <w:rFonts w:ascii="Arial" w:hAnsi="Arial" w:cs="Arial"/>
        </w:rPr>
        <w:t>The</w:t>
      </w:r>
      <w:r w:rsidRPr="00746F54">
        <w:rPr>
          <w:rFonts w:ascii="Arial" w:hAnsi="Arial" w:cs="Arial"/>
          <w:bCs/>
        </w:rPr>
        <w:t xml:space="preserve"> EDAM Entity will </w:t>
      </w:r>
      <w:r w:rsidR="00FC600B" w:rsidRPr="00746F54">
        <w:rPr>
          <w:rFonts w:ascii="Arial" w:hAnsi="Arial" w:cs="Arial"/>
          <w:bCs/>
        </w:rPr>
        <w:t>receive access to this biding information through the Customer Market Results Interface (CMRI).</w:t>
      </w:r>
      <w:bookmarkEnd w:id="202"/>
      <w:r w:rsidR="00FC600B" w:rsidRPr="00746F54">
        <w:rPr>
          <w:rFonts w:ascii="Arial" w:hAnsi="Arial" w:cs="Arial"/>
          <w:bCs/>
        </w:rPr>
        <w:t xml:space="preserve">  </w:t>
      </w:r>
      <w:r w:rsidRPr="00746F54">
        <w:rPr>
          <w:rFonts w:ascii="Arial" w:hAnsi="Arial" w:cs="Arial"/>
          <w:bCs/>
        </w:rPr>
        <w:t xml:space="preserve"> </w:t>
      </w:r>
      <w:r w:rsidR="00FC7631" w:rsidRPr="00746F54">
        <w:rPr>
          <w:rFonts w:ascii="Arial" w:hAnsi="Arial" w:cs="Arial"/>
        </w:rPr>
        <w:t xml:space="preserve"> </w:t>
      </w:r>
    </w:p>
    <w:p w14:paraId="13499E36" w14:textId="77777777" w:rsidR="00F04034" w:rsidRPr="0097362D" w:rsidRDefault="00F04034" w:rsidP="0097362D">
      <w:pPr>
        <w:pStyle w:val="Heading2"/>
      </w:pPr>
      <w:bookmarkStart w:id="203" w:name="_Toc211337938"/>
      <w:bookmarkStart w:id="204" w:name="_Toc212733080"/>
      <w:r w:rsidRPr="0097362D">
        <w:lastRenderedPageBreak/>
        <w:t>RUC Availability Bids for Variable Energy Resources</w:t>
      </w:r>
      <w:bookmarkEnd w:id="203"/>
      <w:bookmarkEnd w:id="204"/>
    </w:p>
    <w:p w14:paraId="7A82EBB9" w14:textId="77777777" w:rsidR="00F04034" w:rsidRPr="00746F54" w:rsidRDefault="00F04034" w:rsidP="00636D40">
      <w:pPr>
        <w:pStyle w:val="Bullet2HRt"/>
        <w:numPr>
          <w:ilvl w:val="0"/>
          <w:numId w:val="0"/>
        </w:numPr>
        <w:rPr>
          <w:rFonts w:ascii="Arial" w:hAnsi="Arial" w:cs="Arial"/>
          <w:bCs/>
          <w:u w:val="single"/>
        </w:rPr>
      </w:pPr>
      <w:bookmarkStart w:id="205" w:name="_Toc211337939"/>
      <w:r w:rsidRPr="00746F54">
        <w:rPr>
          <w:rFonts w:ascii="Arial" w:hAnsi="Arial" w:cs="Arial"/>
          <w:u w:val="single"/>
        </w:rPr>
        <w:t>Re</w:t>
      </w:r>
      <w:r w:rsidRPr="00746F54">
        <w:rPr>
          <w:rFonts w:ascii="Arial" w:hAnsi="Arial" w:cs="Arial"/>
          <w:bCs/>
          <w:u w:val="single"/>
        </w:rPr>
        <w:t>ference tariff section 33.30.6.</w:t>
      </w:r>
      <w:bookmarkEnd w:id="205"/>
    </w:p>
    <w:p w14:paraId="533AD2F0" w14:textId="77777777" w:rsidR="00F04034" w:rsidRPr="00746F54" w:rsidRDefault="00F04034" w:rsidP="00636D40">
      <w:pPr>
        <w:pStyle w:val="Bullet2HRt"/>
        <w:numPr>
          <w:ilvl w:val="0"/>
          <w:numId w:val="0"/>
        </w:numPr>
        <w:rPr>
          <w:rFonts w:ascii="Arial" w:hAnsi="Arial" w:cs="Arial"/>
          <w:bCs/>
        </w:rPr>
      </w:pPr>
      <w:bookmarkStart w:id="206" w:name="_Toc211337940"/>
      <w:r w:rsidRPr="00746F54">
        <w:rPr>
          <w:rFonts w:ascii="Arial" w:hAnsi="Arial" w:cs="Arial"/>
        </w:rPr>
        <w:t>An EDAM Resource Scheduling Coordinator for a Variable Energy Resource must submit RUC</w:t>
      </w:r>
      <w:r w:rsidRPr="00746F54">
        <w:rPr>
          <w:rFonts w:ascii="Arial" w:hAnsi="Arial" w:cs="Arial"/>
          <w:bCs/>
        </w:rPr>
        <w:t xml:space="preserve"> Availability Bids in the Day Ahead Market as specified in section 31.5.1.2 of the tariff.  The Variable Energy Resource is considered an Eligible Intermittent Resource for purposes of that section.</w:t>
      </w:r>
      <w:bookmarkEnd w:id="206"/>
    </w:p>
    <w:p w14:paraId="5EB6EF6A" w14:textId="0279788C" w:rsidR="00F04034" w:rsidRPr="00746F54" w:rsidRDefault="00F04034" w:rsidP="00636D40">
      <w:pPr>
        <w:pStyle w:val="Bullet2HRt"/>
        <w:numPr>
          <w:ilvl w:val="0"/>
          <w:numId w:val="0"/>
        </w:numPr>
        <w:rPr>
          <w:rFonts w:ascii="Arial" w:hAnsi="Arial" w:cs="Arial"/>
        </w:rPr>
      </w:pPr>
      <w:bookmarkStart w:id="207" w:name="_Toc211337941"/>
      <w:r w:rsidRPr="00746F54">
        <w:rPr>
          <w:rFonts w:ascii="Arial" w:hAnsi="Arial" w:cs="Arial"/>
        </w:rPr>
        <w:t xml:space="preserve">As described in that section, RUC Availability Bids are submitted for capacity for which they are also </w:t>
      </w:r>
      <w:r w:rsidRPr="00746F54">
        <w:rPr>
          <w:rFonts w:ascii="Arial" w:hAnsi="Arial" w:cs="Arial"/>
          <w:bCs/>
        </w:rPr>
        <w:t xml:space="preserve">submitting an Energy Bid in the IFM.  </w:t>
      </w:r>
      <w:r w:rsidR="00870BC3" w:rsidRPr="00746F54">
        <w:rPr>
          <w:rFonts w:ascii="Arial" w:hAnsi="Arial" w:cs="Arial"/>
          <w:bCs/>
        </w:rPr>
        <w:t>The Scheduling Coordinators representing the Variable Energy Resources must submit RUC availability bids for Reliability Capacity Up (RCU) at a quantity equal to their forecasted output based on the forecast.</w:t>
      </w:r>
      <w:bookmarkEnd w:id="207"/>
      <w:r w:rsidR="00870BC3" w:rsidRPr="00746F54">
        <w:rPr>
          <w:rFonts w:ascii="Arial" w:hAnsi="Arial" w:cs="Arial"/>
          <w:bCs/>
        </w:rPr>
        <w:t xml:space="preserve">  </w:t>
      </w:r>
    </w:p>
    <w:p w14:paraId="20960DA3" w14:textId="6680B167" w:rsidR="00930BA2" w:rsidRPr="0097362D" w:rsidRDefault="00F77716" w:rsidP="0097362D">
      <w:pPr>
        <w:pStyle w:val="Heading2"/>
      </w:pPr>
      <w:r w:rsidRPr="0097362D">
        <w:t xml:space="preserve"> </w:t>
      </w:r>
      <w:bookmarkStart w:id="208" w:name="_Toc211337942"/>
      <w:bookmarkStart w:id="209" w:name="_Toc212733081"/>
      <w:r w:rsidR="00930BA2" w:rsidRPr="0097362D">
        <w:t>Convergence Bidding</w:t>
      </w:r>
      <w:bookmarkEnd w:id="208"/>
      <w:bookmarkEnd w:id="209"/>
    </w:p>
    <w:p w14:paraId="6D967A40" w14:textId="150E062C" w:rsidR="00FC7631" w:rsidRPr="00746F54" w:rsidRDefault="00FC7631" w:rsidP="00930BA2">
      <w:pPr>
        <w:pStyle w:val="Bullet2HRt"/>
        <w:numPr>
          <w:ilvl w:val="0"/>
          <w:numId w:val="0"/>
        </w:numPr>
        <w:rPr>
          <w:rFonts w:ascii="Arial" w:hAnsi="Arial" w:cs="Arial"/>
          <w:u w:val="single"/>
        </w:rPr>
      </w:pPr>
      <w:r w:rsidRPr="00746F54">
        <w:rPr>
          <w:rFonts w:ascii="Arial" w:hAnsi="Arial" w:cs="Arial"/>
          <w:u w:val="single"/>
        </w:rPr>
        <w:t>Reference tariff section 33.30.7</w:t>
      </w:r>
    </w:p>
    <w:p w14:paraId="3795F44A" w14:textId="47A3AFA7" w:rsidR="00930BA2" w:rsidRPr="00746F54" w:rsidRDefault="00930BA2" w:rsidP="00930BA2">
      <w:pPr>
        <w:pStyle w:val="Bullet2HRt"/>
        <w:numPr>
          <w:ilvl w:val="0"/>
          <w:numId w:val="0"/>
        </w:numPr>
        <w:rPr>
          <w:rFonts w:ascii="Arial" w:hAnsi="Arial" w:cs="Arial"/>
        </w:rPr>
      </w:pPr>
      <w:r w:rsidRPr="00746F54">
        <w:rPr>
          <w:rFonts w:ascii="Arial" w:hAnsi="Arial" w:cs="Arial"/>
        </w:rPr>
        <w:t xml:space="preserve">Convergence bidding (commonly known as virtual bidding) allows market participants to submit financial bids in the day-ahead market that do not represent physical supply or demand. Convergence bidding is a common feature of forward electricity markets and improves price convergence between the day-ahead and real-time markets. CAISO provides each EDAM entity with the option, at the onset of its participation in EDAM, to elect whether to implement convergence bidding within its balancing area. </w:t>
      </w:r>
    </w:p>
    <w:p w14:paraId="0EC99F11" w14:textId="77777777" w:rsidR="00930BA2" w:rsidRPr="00746F54" w:rsidRDefault="00930BA2" w:rsidP="00930BA2">
      <w:pPr>
        <w:pStyle w:val="Bullet2HRt"/>
        <w:numPr>
          <w:ilvl w:val="0"/>
          <w:numId w:val="0"/>
        </w:numPr>
        <w:rPr>
          <w:rFonts w:ascii="Arial" w:hAnsi="Arial" w:cs="Arial"/>
        </w:rPr>
      </w:pPr>
      <w:r w:rsidRPr="00746F54">
        <w:rPr>
          <w:rFonts w:ascii="Arial" w:hAnsi="Arial" w:cs="Arial"/>
        </w:rPr>
        <w:t xml:space="preserve">Convergence bidding will continue to be supported within the CAISO balancing area, as described further in the Market Operations BPM.  </w:t>
      </w:r>
    </w:p>
    <w:p w14:paraId="67E7FD08" w14:textId="77777777" w:rsidR="00930BA2" w:rsidRPr="0097362D" w:rsidRDefault="00930BA2" w:rsidP="00C92ADB">
      <w:pPr>
        <w:pStyle w:val="Heading3"/>
      </w:pPr>
      <w:bookmarkStart w:id="210" w:name="_Toc211337943"/>
      <w:r w:rsidRPr="0097362D">
        <w:t>Suspending Convergence Bidding</w:t>
      </w:r>
      <w:bookmarkEnd w:id="210"/>
    </w:p>
    <w:p w14:paraId="49E2FC0A" w14:textId="78B4F835" w:rsidR="00930BA2" w:rsidRPr="00746F54" w:rsidRDefault="00930BA2" w:rsidP="00930BA2">
      <w:pPr>
        <w:pStyle w:val="ParaText"/>
        <w:rPr>
          <w:rFonts w:ascii="Arial" w:hAnsi="Arial" w:cs="Arial"/>
        </w:rPr>
      </w:pPr>
      <w:r w:rsidRPr="00746F54">
        <w:rPr>
          <w:rFonts w:ascii="Arial" w:hAnsi="Arial" w:cs="Arial"/>
        </w:rPr>
        <w:t>The CAISO has the authority to suspend convergence bidding when necessary, per Tariff 7.9.3.  This can be performed to bids already submitted or to bids that will be submitted in the future either at the Pnode, Aggregated Pnode, or all Pnodes levels. Suspending convergence bidding is considered a rare, last-resort action, only performed where the inclusion of such convergence bidding risks:</w:t>
      </w:r>
    </w:p>
    <w:p w14:paraId="23EBE732" w14:textId="77777777" w:rsidR="00930BA2" w:rsidRPr="00746F54" w:rsidRDefault="00930BA2" w:rsidP="00930BA2">
      <w:pPr>
        <w:pStyle w:val="ParaText"/>
        <w:spacing w:after="0"/>
        <w:ind w:left="720"/>
        <w:rPr>
          <w:rFonts w:ascii="Arial" w:hAnsi="Arial" w:cs="Arial"/>
        </w:rPr>
      </w:pPr>
      <w:r w:rsidRPr="00746F54">
        <w:rPr>
          <w:rFonts w:ascii="Arial" w:hAnsi="Arial" w:cs="Arial"/>
        </w:rPr>
        <w:t>• Sufficient Energy or Ancillary Service bids</w:t>
      </w:r>
    </w:p>
    <w:p w14:paraId="2C1141A8" w14:textId="77777777" w:rsidR="00930BA2" w:rsidRPr="00746F54" w:rsidRDefault="00930BA2" w:rsidP="00930BA2">
      <w:pPr>
        <w:pStyle w:val="ParaText"/>
        <w:spacing w:after="0"/>
        <w:ind w:left="720"/>
        <w:rPr>
          <w:rFonts w:ascii="Arial" w:hAnsi="Arial" w:cs="Arial"/>
        </w:rPr>
      </w:pPr>
      <w:r w:rsidRPr="00746F54">
        <w:rPr>
          <w:rFonts w:ascii="Arial" w:hAnsi="Arial" w:cs="Arial"/>
        </w:rPr>
        <w:t>• Process failure of bids</w:t>
      </w:r>
    </w:p>
    <w:p w14:paraId="2D10915D" w14:textId="77777777" w:rsidR="00930BA2" w:rsidRPr="00746F54" w:rsidRDefault="00930BA2" w:rsidP="00930BA2">
      <w:pPr>
        <w:pStyle w:val="ParaText"/>
        <w:spacing w:after="0"/>
        <w:ind w:left="720"/>
        <w:rPr>
          <w:rFonts w:ascii="Arial" w:hAnsi="Arial" w:cs="Arial"/>
        </w:rPr>
      </w:pPr>
      <w:r w:rsidRPr="00746F54">
        <w:rPr>
          <w:rFonts w:ascii="Arial" w:hAnsi="Arial" w:cs="Arial"/>
        </w:rPr>
        <w:t>• Achieving alternating current (AC) solutions over an extended period of time</w:t>
      </w:r>
    </w:p>
    <w:p w14:paraId="6FA573A0" w14:textId="77777777" w:rsidR="00930BA2" w:rsidRPr="00746F54" w:rsidRDefault="00930BA2" w:rsidP="00930BA2">
      <w:pPr>
        <w:pStyle w:val="ParaText"/>
        <w:spacing w:after="0"/>
        <w:ind w:left="720"/>
        <w:rPr>
          <w:rFonts w:ascii="Arial" w:hAnsi="Arial" w:cs="Arial"/>
        </w:rPr>
      </w:pPr>
      <w:r w:rsidRPr="00746F54">
        <w:rPr>
          <w:rFonts w:ascii="Arial" w:hAnsi="Arial" w:cs="Arial"/>
        </w:rPr>
        <w:t xml:space="preserve">• Enforcement of natural gas constraint(s) </w:t>
      </w:r>
    </w:p>
    <w:p w14:paraId="3951AEF8" w14:textId="72EE8A71" w:rsidR="00930BA2" w:rsidRPr="00746F54" w:rsidRDefault="00930BA2" w:rsidP="00930BA2">
      <w:pPr>
        <w:pStyle w:val="ParaText"/>
        <w:spacing w:after="0"/>
        <w:ind w:left="720"/>
        <w:rPr>
          <w:rFonts w:ascii="Arial" w:hAnsi="Arial" w:cs="Arial"/>
        </w:rPr>
      </w:pPr>
      <w:r w:rsidRPr="00746F54">
        <w:rPr>
          <w:rFonts w:ascii="Arial" w:hAnsi="Arial" w:cs="Arial"/>
        </w:rPr>
        <w:t>• Where not taking such action may affect system reliability or grid operations</w:t>
      </w:r>
    </w:p>
    <w:p w14:paraId="0DB24507" w14:textId="77777777" w:rsidR="00930BA2" w:rsidRPr="00746F54" w:rsidRDefault="00930BA2" w:rsidP="00930BA2">
      <w:pPr>
        <w:pStyle w:val="ParaText"/>
        <w:spacing w:after="0"/>
        <w:rPr>
          <w:rFonts w:ascii="Arial" w:hAnsi="Arial" w:cs="Arial"/>
        </w:rPr>
      </w:pPr>
    </w:p>
    <w:p w14:paraId="0B0EC45C" w14:textId="34B969B0" w:rsidR="00930BA2" w:rsidRPr="00746F54" w:rsidRDefault="00930BA2" w:rsidP="00930BA2">
      <w:pPr>
        <w:pStyle w:val="ParaText"/>
        <w:spacing w:after="0"/>
        <w:rPr>
          <w:rFonts w:ascii="Arial" w:hAnsi="Arial" w:cs="Arial"/>
        </w:rPr>
      </w:pPr>
      <w:r w:rsidRPr="00746F54">
        <w:rPr>
          <w:rFonts w:ascii="Arial" w:hAnsi="Arial" w:cs="Arial"/>
        </w:rPr>
        <w:t xml:space="preserve">Should suspension of convergence bidding be determined necessary, the market operator shall send a market message that the Day-Ahead market will note process convergence bids on the desired Pnode list.  In addition, per Tariff requirements, within two business days, the CAISO will provide information justifying the decision to suspend or limit convergence bidding.   </w:t>
      </w:r>
    </w:p>
    <w:p w14:paraId="508FB458" w14:textId="77777777" w:rsidR="00930BA2" w:rsidRPr="00746F54" w:rsidRDefault="00930BA2" w:rsidP="00930BA2">
      <w:pPr>
        <w:pStyle w:val="ParaText"/>
        <w:spacing w:after="0"/>
        <w:rPr>
          <w:rFonts w:ascii="Arial" w:hAnsi="Arial" w:cs="Arial"/>
        </w:rPr>
      </w:pPr>
    </w:p>
    <w:p w14:paraId="7681466D" w14:textId="2D96E1B0" w:rsidR="00930BA2" w:rsidRPr="00746F54" w:rsidRDefault="00930BA2" w:rsidP="00930BA2">
      <w:pPr>
        <w:pStyle w:val="BPM"/>
        <w:spacing w:after="0"/>
        <w:rPr>
          <w:rFonts w:ascii="Arial" w:hAnsi="Arial"/>
        </w:rPr>
      </w:pPr>
      <w:r w:rsidRPr="00746F54">
        <w:rPr>
          <w:rFonts w:ascii="Arial" w:hAnsi="Arial"/>
        </w:rPr>
        <w:t>To ensure AC convergence under virtual bidding, the market operator may enforce a nodal group MW limit constraint on a location basis to limit the volume of bids at a particular location or set of locations.  These nodal group MW limits will only be used when an AC solution is not attainable within the IFM before the Day-Ahead Market clears. When a nodal group MW limit enforcement is needed, it will be applied to the total flow affected by both physical and virtual bids.  For more information, see section 3.1.11 Nodal Group Limit Constraints in the Market Operations BPM.</w:t>
      </w:r>
    </w:p>
    <w:p w14:paraId="5514D7D4" w14:textId="77777777" w:rsidR="00930BA2" w:rsidRPr="00746F54" w:rsidRDefault="00930BA2" w:rsidP="00930BA2">
      <w:pPr>
        <w:pStyle w:val="BPM"/>
        <w:spacing w:after="0"/>
        <w:rPr>
          <w:rFonts w:ascii="Arial" w:hAnsi="Arial"/>
        </w:rPr>
      </w:pPr>
    </w:p>
    <w:p w14:paraId="1187AD50" w14:textId="4131748F" w:rsidR="00930BA2" w:rsidRPr="00746F54" w:rsidRDefault="00930BA2" w:rsidP="00930BA2">
      <w:pPr>
        <w:pStyle w:val="Heading2"/>
        <w:rPr>
          <w:rFonts w:ascii="Arial" w:hAnsi="Arial" w:cs="Arial"/>
        </w:rPr>
      </w:pPr>
      <w:bookmarkStart w:id="211" w:name="_Toc211337944"/>
      <w:bookmarkStart w:id="212" w:name="_Toc212733082"/>
      <w:r w:rsidRPr="00746F54">
        <w:rPr>
          <w:rFonts w:ascii="Arial" w:hAnsi="Arial" w:cs="Arial"/>
        </w:rPr>
        <w:t>Market Run Considerations</w:t>
      </w:r>
      <w:bookmarkEnd w:id="211"/>
      <w:bookmarkEnd w:id="212"/>
    </w:p>
    <w:p w14:paraId="1D109800" w14:textId="77777777" w:rsidR="00930BA2" w:rsidRPr="00746F54" w:rsidRDefault="00930BA2" w:rsidP="00930BA2">
      <w:pPr>
        <w:pStyle w:val="Heading3"/>
        <w:rPr>
          <w:rFonts w:ascii="Arial" w:hAnsi="Arial" w:cs="Arial"/>
        </w:rPr>
      </w:pPr>
      <w:bookmarkStart w:id="213" w:name="_Toc211337945"/>
      <w:bookmarkStart w:id="214" w:name="_Hlk210119938"/>
      <w:r w:rsidRPr="00746F54">
        <w:rPr>
          <w:rFonts w:ascii="Arial" w:hAnsi="Arial" w:cs="Arial"/>
        </w:rPr>
        <w:t>Holding the market open SIBR outage between 0900-1000</w:t>
      </w:r>
      <w:bookmarkEnd w:id="213"/>
    </w:p>
    <w:p w14:paraId="20A40BD9" w14:textId="77777777" w:rsidR="00930BA2" w:rsidRPr="00746F54" w:rsidRDefault="00930BA2" w:rsidP="00930BA2">
      <w:pPr>
        <w:rPr>
          <w:rFonts w:ascii="Arial" w:hAnsi="Arial" w:cs="Arial"/>
        </w:rPr>
      </w:pPr>
      <w:r w:rsidRPr="00746F54">
        <w:rPr>
          <w:rFonts w:ascii="Arial" w:hAnsi="Arial" w:cs="Arial"/>
        </w:rPr>
        <w:t xml:space="preserve">For equal opportunity for all EDAM participants to bid fairly into the Day-Ahead market, any interruption to the EDAM computer systems (e.g., SIBR), the market operator may hold open the Day-Ahead market per Tariff Section 31.6.1 Criteria for Temporary Waiver of Timing Requirements.   </w:t>
      </w:r>
    </w:p>
    <w:p w14:paraId="5067411F" w14:textId="77777777" w:rsidR="00930BA2" w:rsidRPr="00746F54" w:rsidRDefault="00930BA2" w:rsidP="00930BA2">
      <w:pPr>
        <w:rPr>
          <w:rFonts w:ascii="Arial" w:hAnsi="Arial" w:cs="Arial"/>
        </w:rPr>
      </w:pPr>
      <w:r w:rsidRPr="00746F54">
        <w:rPr>
          <w:rFonts w:ascii="Arial" w:hAnsi="Arial" w:cs="Arial"/>
        </w:rPr>
        <w:t>For the approximate time period between 09:00 and 10:00 PPT for the next trade day, the Day-Ahead market may be held open for as much as an equal time it was unavailable (i.e., for a 15-minute interruption the Day-Ahead market may be held open until 10:15 PPT).  The market should be held open for a fair amount of time for every entity to submit or adjust its bids.  The market operator will send details outlining the new market close timing in a market message and will close the market on that timeframe.</w:t>
      </w:r>
    </w:p>
    <w:p w14:paraId="243A326E" w14:textId="77777777" w:rsidR="00930BA2" w:rsidRPr="00746F54" w:rsidRDefault="00930BA2" w:rsidP="00930BA2">
      <w:pPr>
        <w:rPr>
          <w:rFonts w:ascii="Arial" w:hAnsi="Arial" w:cs="Arial"/>
        </w:rPr>
      </w:pPr>
      <w:r w:rsidRPr="00746F54">
        <w:rPr>
          <w:rFonts w:ascii="Arial" w:hAnsi="Arial" w:cs="Arial"/>
        </w:rPr>
        <w:t xml:space="preserve">If an individual EDAM entity reports issues submitting or validating bids but the CAISO has confirmed its systems are available and are working correctly, the Day-Ahead market should close as normal at 10:00 PPT.  All entities are encouraged to have back-up processes and procedures to ensure complete and accurate bidding should their 3rd party software fail.  </w:t>
      </w:r>
    </w:p>
    <w:p w14:paraId="67AD7C93" w14:textId="77777777" w:rsidR="00930BA2" w:rsidRPr="00746F54" w:rsidRDefault="00930BA2" w:rsidP="00930BA2">
      <w:pPr>
        <w:rPr>
          <w:rFonts w:ascii="Arial" w:hAnsi="Arial" w:cs="Arial"/>
        </w:rPr>
      </w:pPr>
      <w:r w:rsidRPr="00746F54">
        <w:rPr>
          <w:rFonts w:ascii="Arial" w:hAnsi="Arial" w:cs="Arial"/>
        </w:rPr>
        <w:t xml:space="preserve">However, should the absence of bids (e.g., all load bids from a participant from the given EDAM entity or other issues that could potentially prevent a successful Day-Ahead market execution) and, in turn, potentially affect System Reliability the subsequent day, then the Day-Ahead market may be held open for a reasonable time.  The market operator will send details on the new market close timing in a market message and will close the market on that timeframe.  This extra time is for the affected entity to complete its bidding to an acceptable or reasonable level on a case-by-case basis.   </w:t>
      </w:r>
    </w:p>
    <w:p w14:paraId="059112B6" w14:textId="77777777" w:rsidR="00930BA2" w:rsidRPr="00746F54" w:rsidRDefault="00930BA2" w:rsidP="00930BA2">
      <w:pPr>
        <w:pStyle w:val="Heading3"/>
        <w:rPr>
          <w:rFonts w:ascii="Arial" w:hAnsi="Arial" w:cs="Arial"/>
        </w:rPr>
      </w:pPr>
      <w:bookmarkStart w:id="215" w:name="_Toc211337946"/>
      <w:bookmarkEnd w:id="214"/>
      <w:r w:rsidRPr="00746F54">
        <w:rPr>
          <w:rFonts w:ascii="Arial" w:hAnsi="Arial" w:cs="Arial"/>
        </w:rPr>
        <w:lastRenderedPageBreak/>
        <w:t>Initial Conditions</w:t>
      </w:r>
      <w:bookmarkEnd w:id="215"/>
      <w:r w:rsidRPr="00746F54">
        <w:rPr>
          <w:rFonts w:ascii="Arial" w:hAnsi="Arial" w:cs="Arial"/>
        </w:rPr>
        <w:t xml:space="preserve"> </w:t>
      </w:r>
    </w:p>
    <w:p w14:paraId="29877489" w14:textId="497B92D1" w:rsidR="00930BA2" w:rsidRPr="00746F54" w:rsidRDefault="00930BA2" w:rsidP="00930BA2">
      <w:pPr>
        <w:pStyle w:val="ParaText"/>
        <w:rPr>
          <w:rFonts w:ascii="Arial" w:hAnsi="Arial" w:cs="Arial"/>
        </w:rPr>
      </w:pPr>
      <w:r w:rsidRPr="00746F54">
        <w:rPr>
          <w:rFonts w:ascii="Arial" w:hAnsi="Arial" w:cs="Arial"/>
        </w:rPr>
        <w:t xml:space="preserve">Initial conditions tracks the last known online or offline status and duration of each resource at the starting point of the Day-Ahead market for all EDAM participants. The market operator shall only adjust initial conditions based upon a data transfer issue. For example, resource initial condition is online in 3x1 in HE24, for HE1 the next day, 3x1 is offline as well as 2x1, but plant level is online to 1x1 MW level.  As the only remaining configuration is 1x1, the market operator will make the correction to the initial condition to online 1x1. In addition, the market operator may also correct an infeasible initial condition such as, </w:t>
      </w:r>
      <w:r w:rsidRPr="00746F54">
        <w:rPr>
          <w:rFonts w:ascii="Arial" w:hAnsi="Arial" w:cs="Arial"/>
          <w:u w:val="single"/>
        </w:rPr>
        <w:t>i</w:t>
      </w:r>
      <w:r w:rsidRPr="00746F54">
        <w:rPr>
          <w:rFonts w:ascii="Arial" w:hAnsi="Arial" w:cs="Arial"/>
        </w:rPr>
        <w:t xml:space="preserve">f the resource is operating in 3x1 in HE24, which is not a shutdown capable configuration, and in HE1, the plant and configuration are offline, correct the initial conditions all to offline. </w:t>
      </w:r>
    </w:p>
    <w:p w14:paraId="0E80F333" w14:textId="411F06B2" w:rsidR="00930BA2" w:rsidRPr="00746F54" w:rsidRDefault="00930BA2" w:rsidP="00930BA2">
      <w:pPr>
        <w:pStyle w:val="PlainText"/>
        <w:rPr>
          <w:rFonts w:ascii="Arial" w:hAnsi="Arial" w:cs="Arial"/>
        </w:rPr>
      </w:pPr>
      <w:bookmarkStart w:id="216" w:name="_Hlk209593479"/>
      <w:r w:rsidRPr="00746F54">
        <w:rPr>
          <w:rFonts w:ascii="Arial" w:hAnsi="Arial" w:cs="Arial"/>
        </w:rPr>
        <w:t xml:space="preserve">A Self-Bridge determination process </w:t>
      </w:r>
      <w:bookmarkEnd w:id="216"/>
      <w:r w:rsidRPr="00746F54">
        <w:rPr>
          <w:rFonts w:ascii="Arial" w:hAnsi="Arial" w:cs="Arial"/>
        </w:rPr>
        <w:t xml:space="preserve">runs at 09:00 and for any resource that does not have prior Day-Ahead awards all the way up to HE24, then checks SIBR for the given resource. If the resource submitted a real time self-schedule for the remaining hours of the day, an update is made to the Day-Ahead initial condition.  </w:t>
      </w:r>
    </w:p>
    <w:p w14:paraId="03FE94D1" w14:textId="77777777" w:rsidR="00930BA2" w:rsidRPr="00746F54" w:rsidRDefault="00930BA2" w:rsidP="00930BA2">
      <w:pPr>
        <w:pStyle w:val="PlainText"/>
        <w:rPr>
          <w:rFonts w:ascii="Arial" w:hAnsi="Arial" w:cs="Arial"/>
        </w:rPr>
      </w:pPr>
    </w:p>
    <w:p w14:paraId="589FCC9F" w14:textId="77777777" w:rsidR="00930BA2" w:rsidRPr="00746F54" w:rsidRDefault="00930BA2" w:rsidP="00930BA2">
      <w:pPr>
        <w:pStyle w:val="PlainText"/>
        <w:rPr>
          <w:rFonts w:ascii="Arial" w:hAnsi="Arial" w:cs="Arial"/>
        </w:rPr>
      </w:pPr>
      <w:r w:rsidRPr="00746F54">
        <w:rPr>
          <w:rFonts w:ascii="Arial" w:hAnsi="Arial" w:cs="Arial"/>
        </w:rPr>
        <w:t>For example:</w:t>
      </w:r>
    </w:p>
    <w:p w14:paraId="0579E088" w14:textId="77777777" w:rsidR="00930BA2" w:rsidRPr="00746F54" w:rsidRDefault="00930BA2" w:rsidP="00930BA2">
      <w:pPr>
        <w:pStyle w:val="PlainText"/>
        <w:rPr>
          <w:rFonts w:ascii="Arial" w:hAnsi="Arial" w:cs="Arial"/>
        </w:rPr>
      </w:pPr>
    </w:p>
    <w:p w14:paraId="2FA7830B" w14:textId="596BA78F" w:rsidR="00930BA2" w:rsidRPr="00746F54" w:rsidRDefault="00930BA2" w:rsidP="00930BA2">
      <w:pPr>
        <w:pStyle w:val="PlainText"/>
        <w:rPr>
          <w:rFonts w:ascii="Arial" w:hAnsi="Arial" w:cs="Arial"/>
        </w:rPr>
      </w:pPr>
      <w:r w:rsidRPr="00746F54">
        <w:rPr>
          <w:rFonts w:ascii="Arial" w:hAnsi="Arial" w:cs="Arial"/>
        </w:rPr>
        <w:t>1. Resource has Day-Ahead awards HE01 to HE23.The gap of hours before HE24 cannot exceed the resource’s minimum down time (e.g., time in which the resource can cycle back online).</w:t>
      </w:r>
    </w:p>
    <w:p w14:paraId="485B1B55" w14:textId="77777777" w:rsidR="00930BA2" w:rsidRPr="00746F54" w:rsidRDefault="00930BA2" w:rsidP="00930BA2">
      <w:pPr>
        <w:pStyle w:val="PlainText"/>
        <w:rPr>
          <w:rFonts w:ascii="Arial" w:hAnsi="Arial" w:cs="Arial"/>
        </w:rPr>
      </w:pPr>
    </w:p>
    <w:p w14:paraId="6A3459A7" w14:textId="120806A6" w:rsidR="00930BA2" w:rsidRPr="00746F54" w:rsidRDefault="00930BA2" w:rsidP="00930BA2">
      <w:pPr>
        <w:pStyle w:val="PlainText"/>
        <w:rPr>
          <w:rFonts w:ascii="Arial" w:hAnsi="Arial" w:cs="Arial"/>
        </w:rPr>
      </w:pPr>
      <w:r w:rsidRPr="00746F54">
        <w:rPr>
          <w:rFonts w:ascii="Arial" w:hAnsi="Arial" w:cs="Arial"/>
        </w:rPr>
        <w:t xml:space="preserve">2. Before 09:00 they submit a real time self-schedule for HE24.  </w:t>
      </w:r>
    </w:p>
    <w:p w14:paraId="75604A56" w14:textId="77777777" w:rsidR="00930BA2" w:rsidRPr="00746F54" w:rsidRDefault="00930BA2" w:rsidP="00930BA2">
      <w:pPr>
        <w:pStyle w:val="PlainText"/>
        <w:rPr>
          <w:rFonts w:ascii="Arial" w:hAnsi="Arial" w:cs="Arial"/>
        </w:rPr>
      </w:pPr>
    </w:p>
    <w:p w14:paraId="0A10A9F3" w14:textId="58F3BEC8" w:rsidR="00930BA2" w:rsidRPr="00746F54" w:rsidRDefault="00930BA2" w:rsidP="00930BA2">
      <w:pPr>
        <w:pStyle w:val="PlainText"/>
        <w:rPr>
          <w:rFonts w:ascii="Arial" w:hAnsi="Arial" w:cs="Arial"/>
        </w:rPr>
      </w:pPr>
      <w:r w:rsidRPr="00746F54">
        <w:rPr>
          <w:rFonts w:ascii="Arial" w:hAnsi="Arial" w:cs="Arial"/>
        </w:rPr>
        <w:t xml:space="preserve">3. The market operator considers this an offer to stay online and changes the initial condition from Offline -- 60 minutes to Online -- 1440 minutes </w:t>
      </w:r>
    </w:p>
    <w:p w14:paraId="3C54878D" w14:textId="77777777" w:rsidR="00930BA2" w:rsidRPr="00746F54" w:rsidRDefault="00930BA2" w:rsidP="00930BA2">
      <w:pPr>
        <w:pStyle w:val="PlainText"/>
        <w:rPr>
          <w:rFonts w:ascii="Arial" w:hAnsi="Arial" w:cs="Arial"/>
        </w:rPr>
      </w:pPr>
    </w:p>
    <w:p w14:paraId="11E0EF83" w14:textId="19EAEC81" w:rsidR="00930BA2" w:rsidRPr="00746F54" w:rsidRDefault="00930BA2" w:rsidP="00930BA2">
      <w:pPr>
        <w:pStyle w:val="PlainText"/>
        <w:rPr>
          <w:rFonts w:ascii="Arial" w:hAnsi="Arial" w:cs="Arial"/>
        </w:rPr>
      </w:pPr>
      <w:r w:rsidRPr="00746F54">
        <w:rPr>
          <w:rFonts w:ascii="Arial" w:hAnsi="Arial" w:cs="Arial"/>
        </w:rPr>
        <w:t xml:space="preserve">4. In the RTPD look-Ahead horizon, RTPD observes the forthcoming Day-Ahead awards and keeps the resource online honoring any minimum down time. </w:t>
      </w:r>
    </w:p>
    <w:p w14:paraId="7D512C68" w14:textId="77777777" w:rsidR="00930BA2" w:rsidRPr="00746F54" w:rsidRDefault="00930BA2" w:rsidP="00930BA2">
      <w:pPr>
        <w:pStyle w:val="PlainText"/>
        <w:rPr>
          <w:rFonts w:ascii="Arial" w:hAnsi="Arial" w:cs="Arial"/>
        </w:rPr>
      </w:pPr>
    </w:p>
    <w:p w14:paraId="73C3B189" w14:textId="163FBC66" w:rsidR="00930BA2" w:rsidRPr="00746F54" w:rsidRDefault="00930BA2" w:rsidP="00930BA2">
      <w:pPr>
        <w:pStyle w:val="PlainText"/>
        <w:rPr>
          <w:rFonts w:ascii="Arial" w:hAnsi="Arial" w:cs="Arial"/>
        </w:rPr>
      </w:pPr>
      <w:r w:rsidRPr="00746F54">
        <w:rPr>
          <w:rFonts w:ascii="Arial" w:hAnsi="Arial" w:cs="Arial"/>
        </w:rPr>
        <w:t xml:space="preserve">5. Should the Day-Ahead not award starting HE1 (step 3), the entity can remove the real time self-schedule.  It was only an offer to stay online for Day-Ahead consideration. </w:t>
      </w:r>
    </w:p>
    <w:p w14:paraId="43C4971C" w14:textId="77777777" w:rsidR="00930BA2" w:rsidRPr="00746F54" w:rsidRDefault="00930BA2" w:rsidP="00930BA2">
      <w:pPr>
        <w:pStyle w:val="PlainText"/>
        <w:rPr>
          <w:rFonts w:ascii="Arial" w:hAnsi="Arial" w:cs="Arial"/>
        </w:rPr>
      </w:pPr>
    </w:p>
    <w:p w14:paraId="452ACCFD" w14:textId="3A08B70F" w:rsidR="00F77716" w:rsidRPr="0097362D" w:rsidRDefault="00F77716" w:rsidP="00AA79F2">
      <w:pPr>
        <w:pStyle w:val="Heading2"/>
      </w:pPr>
      <w:bookmarkStart w:id="217" w:name="_Toc211337947"/>
      <w:bookmarkStart w:id="218" w:name="_Toc212733083"/>
      <w:commentRangeStart w:id="219"/>
      <w:r w:rsidRPr="0097362D">
        <w:t>Bids from External Resources</w:t>
      </w:r>
      <w:bookmarkEnd w:id="217"/>
      <w:commentRangeEnd w:id="219"/>
      <w:r w:rsidR="00762188" w:rsidRPr="0097362D">
        <w:rPr>
          <w:rStyle w:val="CommentReference"/>
          <w:sz w:val="30"/>
          <w:szCs w:val="22"/>
        </w:rPr>
        <w:commentReference w:id="219"/>
      </w:r>
      <w:bookmarkEnd w:id="218"/>
    </w:p>
    <w:p w14:paraId="665F4274" w14:textId="340A547F" w:rsidR="00F77716" w:rsidRPr="00746F54" w:rsidRDefault="00F77716" w:rsidP="00F77716">
      <w:pPr>
        <w:pStyle w:val="ParaText"/>
        <w:rPr>
          <w:rFonts w:ascii="Arial" w:hAnsi="Arial" w:cs="Arial"/>
          <w:u w:val="single"/>
        </w:rPr>
      </w:pPr>
      <w:r w:rsidRPr="00746F54">
        <w:rPr>
          <w:rFonts w:ascii="Arial" w:hAnsi="Arial" w:cs="Arial"/>
          <w:u w:val="single"/>
        </w:rPr>
        <w:t>Reference tariff section 33.30.8.</w:t>
      </w:r>
    </w:p>
    <w:p w14:paraId="32792B72" w14:textId="19E459C5" w:rsidR="007E73A8" w:rsidRPr="00746F54" w:rsidRDefault="007E73A8" w:rsidP="00F77716">
      <w:pPr>
        <w:pStyle w:val="ParaText"/>
        <w:rPr>
          <w:rFonts w:ascii="Arial" w:hAnsi="Arial" w:cs="Arial"/>
          <w:b/>
          <w:bCs/>
        </w:rPr>
      </w:pPr>
      <w:r w:rsidRPr="00746F54">
        <w:rPr>
          <w:rFonts w:ascii="Arial" w:hAnsi="Arial" w:cs="Arial"/>
          <w:b/>
          <w:bCs/>
        </w:rPr>
        <w:t>[</w:t>
      </w:r>
      <w:r w:rsidR="00714469" w:rsidRPr="00746F54">
        <w:rPr>
          <w:rFonts w:ascii="Arial" w:hAnsi="Arial" w:cs="Arial"/>
        </w:rPr>
        <w:t>Reserved for future updates after workshop on 11/5 – 11/6</w:t>
      </w:r>
      <w:r w:rsidR="004E1625" w:rsidRPr="00746F54">
        <w:rPr>
          <w:rFonts w:ascii="Arial" w:hAnsi="Arial" w:cs="Arial"/>
        </w:rPr>
        <w:t>]</w:t>
      </w:r>
    </w:p>
    <w:p w14:paraId="4E6F0D5C" w14:textId="782A84DB" w:rsidR="00F77716" w:rsidRPr="0097362D" w:rsidRDefault="00F77716" w:rsidP="00AA79F2">
      <w:pPr>
        <w:pStyle w:val="Heading2"/>
      </w:pPr>
      <w:bookmarkStart w:id="220" w:name="_Toc211337948"/>
      <w:bookmarkStart w:id="221" w:name="_Toc212733084"/>
      <w:r w:rsidRPr="0097362D">
        <w:t>Base Schedules Replaced by Day-Ahead Schedules</w:t>
      </w:r>
      <w:bookmarkEnd w:id="220"/>
      <w:bookmarkEnd w:id="221"/>
    </w:p>
    <w:p w14:paraId="0BE61BB5" w14:textId="57E17292" w:rsidR="002F56FE" w:rsidRPr="00746F54" w:rsidRDefault="002F56FE" w:rsidP="002F56FE">
      <w:pPr>
        <w:pStyle w:val="ParaText"/>
        <w:rPr>
          <w:rFonts w:ascii="Arial" w:hAnsi="Arial" w:cs="Arial"/>
          <w:u w:val="single"/>
        </w:rPr>
      </w:pPr>
      <w:r w:rsidRPr="00746F54">
        <w:rPr>
          <w:rFonts w:ascii="Arial" w:hAnsi="Arial" w:cs="Arial"/>
          <w:u w:val="single"/>
        </w:rPr>
        <w:t>Reference tariff section 33.30.9.</w:t>
      </w:r>
    </w:p>
    <w:p w14:paraId="605CC67B" w14:textId="77777777" w:rsidR="00337AE2" w:rsidRPr="00746F54" w:rsidRDefault="00337AE2" w:rsidP="002F56FE">
      <w:pPr>
        <w:pStyle w:val="ParaText"/>
        <w:rPr>
          <w:rFonts w:ascii="Arial" w:hAnsi="Arial" w:cs="Arial"/>
        </w:rPr>
      </w:pPr>
      <w:r w:rsidRPr="00746F54">
        <w:rPr>
          <w:rFonts w:ascii="Arial" w:hAnsi="Arial" w:cs="Arial"/>
        </w:rPr>
        <w:lastRenderedPageBreak/>
        <w:t xml:space="preserve">With participation in EDAM, the EDAM Entity Scheduling Coordinator will no longer submit EIM Base Schedules into the Real-Time Market.  The Day-Ahead Schedules for the EDAM Entity Balancing Authority Area will be used for the EIM Entity Balancing Authority Area in the Real-Time Market rather than submitted EIM Base Schedules and the EIM Base Load Schedule provided by the CAISO.  </w:t>
      </w:r>
    </w:p>
    <w:p w14:paraId="5DE3F0CC" w14:textId="10F90649" w:rsidR="007E73A8" w:rsidRPr="00746F54" w:rsidRDefault="00337AE2" w:rsidP="002F56FE">
      <w:pPr>
        <w:pStyle w:val="ParaText"/>
        <w:rPr>
          <w:rFonts w:ascii="Arial" w:hAnsi="Arial" w:cs="Arial"/>
        </w:rPr>
      </w:pPr>
      <w:r w:rsidRPr="00746F54">
        <w:rPr>
          <w:rFonts w:ascii="Arial" w:hAnsi="Arial" w:cs="Arial"/>
        </w:rPr>
        <w:t xml:space="preserve">EDAM Transfer schedules of energy between balancing authority areas in the EDAM market footprint (EDAM area) will continue in the Real-Time Market with the corresponding balancing authority areas in the EIM area.  </w:t>
      </w:r>
      <w:r w:rsidR="008435C9" w:rsidRPr="00746F54">
        <w:rPr>
          <w:rFonts w:ascii="Arial" w:hAnsi="Arial" w:cs="Arial"/>
        </w:rPr>
        <w:t xml:space="preserve">EDAM transfers of energy emerging from the Day-Ahead Market will not be optimized in the Real-Time Market.  Day-Ahead import and export schedules at EDAM external interties with balancing authority areas in the EIM Area will also persist in the Real-Time Market.  If the import/export schedule is with another EIM Entity Balancing Authority Area, the Day-Ahead Schedule will be mirrored at the corresponding EIM Mirror System Resource for the balancing authority area in the Real -Time Market.  Similarly, Day-Ahead import and export schedules at EDAM external interties will also not be optimized in the Real-Time Market.  </w:t>
      </w:r>
    </w:p>
    <w:p w14:paraId="29D8D1CA" w14:textId="1182803C" w:rsidR="009F4874" w:rsidRPr="00746F54" w:rsidRDefault="009F4874" w:rsidP="002F56FE">
      <w:pPr>
        <w:pStyle w:val="ParaText"/>
        <w:rPr>
          <w:rFonts w:ascii="Arial" w:hAnsi="Arial" w:cs="Arial"/>
        </w:rPr>
      </w:pPr>
      <w:r w:rsidRPr="00746F54">
        <w:rPr>
          <w:rFonts w:ascii="Arial" w:hAnsi="Arial" w:cs="Arial"/>
        </w:rPr>
        <w:t xml:space="preserve">Balancing authorities participating only in the WEIM will continue to submit Base Schedules as they do today as described in the tariff and the </w:t>
      </w:r>
      <w:r w:rsidRPr="00746F54">
        <w:rPr>
          <w:rFonts w:ascii="Arial" w:hAnsi="Arial" w:cs="Arial"/>
          <w:i/>
          <w:iCs/>
        </w:rPr>
        <w:t xml:space="preserve">Energy Imbalance Market </w:t>
      </w:r>
      <w:r w:rsidRPr="00746F54">
        <w:rPr>
          <w:rFonts w:ascii="Arial" w:hAnsi="Arial" w:cs="Arial"/>
        </w:rPr>
        <w:t xml:space="preserve">Business Practice Manual.  </w:t>
      </w:r>
    </w:p>
    <w:p w14:paraId="3A75EC52" w14:textId="7B608C01" w:rsidR="002F56FE" w:rsidRPr="0097362D" w:rsidRDefault="002F56FE" w:rsidP="00AA79F2">
      <w:pPr>
        <w:pStyle w:val="Heading2"/>
      </w:pPr>
      <w:bookmarkStart w:id="222" w:name="_Toc211337949"/>
      <w:bookmarkStart w:id="223" w:name="_Toc212733085"/>
      <w:r w:rsidRPr="0097362D">
        <w:t>Information Available for Bidding by Gas-Fired Resources</w:t>
      </w:r>
      <w:bookmarkEnd w:id="222"/>
      <w:bookmarkEnd w:id="223"/>
    </w:p>
    <w:p w14:paraId="646B0D9C" w14:textId="7A9DE3B5" w:rsidR="002F56FE" w:rsidRPr="00746F54" w:rsidRDefault="002F56FE">
      <w:pPr>
        <w:pStyle w:val="ParaText"/>
        <w:rPr>
          <w:rFonts w:ascii="Arial" w:hAnsi="Arial" w:cs="Arial"/>
          <w:u w:val="single"/>
        </w:rPr>
      </w:pPr>
      <w:r w:rsidRPr="00746F54">
        <w:rPr>
          <w:rFonts w:ascii="Arial" w:hAnsi="Arial" w:cs="Arial"/>
          <w:u w:val="single"/>
        </w:rPr>
        <w:t>Reference tariff section 33.30.10</w:t>
      </w:r>
      <w:r w:rsidR="00942DDF" w:rsidRPr="00746F54">
        <w:rPr>
          <w:rFonts w:ascii="Arial" w:hAnsi="Arial" w:cs="Arial"/>
          <w:u w:val="single"/>
        </w:rPr>
        <w:t>, 6.5.2.2.3</w:t>
      </w:r>
    </w:p>
    <w:p w14:paraId="486E15C7" w14:textId="7AC0610D" w:rsidR="00C740F8" w:rsidRPr="00746F54" w:rsidRDefault="00942DDF">
      <w:pPr>
        <w:pStyle w:val="ParaText"/>
        <w:rPr>
          <w:rFonts w:ascii="Arial" w:hAnsi="Arial" w:cs="Arial"/>
        </w:rPr>
      </w:pPr>
      <w:r w:rsidRPr="00746F54">
        <w:rPr>
          <w:rFonts w:ascii="Arial" w:hAnsi="Arial" w:cs="Arial"/>
        </w:rPr>
        <w:t xml:space="preserve">As part of the EDAM design, the CAISO will publish advisory Day-Ahead Market results two days prior to the trading day to help inform gas procurement by EDAM resource scheduling coordinators that submit bids for gas-fired resources.  </w:t>
      </w:r>
      <w:r w:rsidR="00CD629D" w:rsidRPr="00746F54">
        <w:rPr>
          <w:rFonts w:ascii="Arial" w:hAnsi="Arial" w:cs="Arial"/>
        </w:rPr>
        <w:t>The information, in its advisory form, will not be settled through the market</w:t>
      </w:r>
      <w:r w:rsidR="001B296C" w:rsidRPr="00746F54">
        <w:rPr>
          <w:rFonts w:ascii="Arial" w:hAnsi="Arial" w:cs="Arial"/>
        </w:rPr>
        <w:t xml:space="preserve">.  </w:t>
      </w:r>
      <w:r w:rsidR="004E1625" w:rsidRPr="00746F54">
        <w:rPr>
          <w:rFonts w:ascii="Arial" w:hAnsi="Arial" w:cs="Arial"/>
        </w:rPr>
        <w:t xml:space="preserve">The CAISO will run an advisory trade date + 2 Day-Ahead Market (TD+2) run with re-optimization for energy, ancillary services, and imbalance reserves.  The TD+2 run will the latest available load and resource output forecasts, corresponding available bids, and latest </w:t>
      </w:r>
      <w:r w:rsidR="004E1625" w:rsidRPr="00746F54">
        <w:rPr>
          <w:rStyle w:val="BPMChar"/>
          <w:rFonts w:ascii="Arial" w:hAnsi="Arial"/>
        </w:rPr>
        <w:t xml:space="preserve">available outage information to produce advisory market results.  These advisory results will be available in CMRI to the corresponding scheduling coordinators.  </w:t>
      </w:r>
    </w:p>
    <w:p w14:paraId="48083DF2" w14:textId="6854AABD" w:rsidR="00691D5E" w:rsidRPr="00AA79F2" w:rsidRDefault="000D11B2" w:rsidP="00AA79F2">
      <w:pPr>
        <w:pStyle w:val="Heading1"/>
      </w:pPr>
      <w:bookmarkStart w:id="224" w:name="_Toc211337950"/>
      <w:bookmarkStart w:id="225" w:name="_Toc212733086"/>
      <w:r w:rsidRPr="00AA79F2">
        <w:rPr>
          <w:rStyle w:val="BPMChar"/>
          <w:rFonts w:cstheme="minorBidi"/>
        </w:rPr>
        <w:t>Resource Sufficiency</w:t>
      </w:r>
      <w:r w:rsidR="00691D5E" w:rsidRPr="00AA79F2">
        <w:rPr>
          <w:rStyle w:val="BPMChar"/>
          <w:rFonts w:cstheme="minorBidi"/>
        </w:rPr>
        <w:t xml:space="preserve"> </w:t>
      </w:r>
      <w:commentRangeStart w:id="226"/>
      <w:r w:rsidR="00691D5E" w:rsidRPr="00AA79F2">
        <w:rPr>
          <w:rStyle w:val="BPMChar"/>
          <w:rFonts w:cstheme="minorBidi"/>
        </w:rPr>
        <w:t>Requirements</w:t>
      </w:r>
      <w:bookmarkEnd w:id="224"/>
      <w:commentRangeEnd w:id="226"/>
      <w:r w:rsidRPr="00AA79F2">
        <w:rPr>
          <w:rStyle w:val="BPMChar"/>
          <w:rFonts w:cstheme="minorBidi"/>
        </w:rPr>
        <w:commentReference w:id="226"/>
      </w:r>
      <w:bookmarkEnd w:id="225"/>
    </w:p>
    <w:p w14:paraId="7F3D3CDC" w14:textId="5A7C2B85" w:rsidR="00691D5E" w:rsidRPr="00AA79F2" w:rsidRDefault="00691D5E" w:rsidP="00AA79F2">
      <w:pPr>
        <w:pStyle w:val="Heading2"/>
      </w:pPr>
      <w:bookmarkStart w:id="227" w:name="_Toc211337951"/>
      <w:bookmarkStart w:id="228" w:name="_Toc212733087"/>
      <w:r w:rsidRPr="00AA79F2">
        <w:t>EDAM Resource Sufficiency Evaluation (EDAM RSE)</w:t>
      </w:r>
      <w:bookmarkEnd w:id="227"/>
      <w:bookmarkEnd w:id="228"/>
    </w:p>
    <w:p w14:paraId="6B54BCDB" w14:textId="77168CFC" w:rsidR="00691D5E" w:rsidRPr="00746F54" w:rsidRDefault="00691D5E" w:rsidP="00691D5E">
      <w:pPr>
        <w:pStyle w:val="ParaText"/>
        <w:rPr>
          <w:rFonts w:ascii="Arial" w:hAnsi="Arial" w:cs="Arial"/>
          <w:u w:val="single"/>
        </w:rPr>
      </w:pPr>
      <w:r w:rsidRPr="00746F54">
        <w:rPr>
          <w:rFonts w:ascii="Arial" w:hAnsi="Arial" w:cs="Arial"/>
          <w:u w:val="single"/>
        </w:rPr>
        <w:t>Reference tariff section 33.31.1</w:t>
      </w:r>
    </w:p>
    <w:p w14:paraId="2CDDFDFE" w14:textId="25FAC465" w:rsidR="00691D5E" w:rsidRPr="00746F54" w:rsidRDefault="00691D5E" w:rsidP="00691D5E">
      <w:pPr>
        <w:rPr>
          <w:rFonts w:ascii="Arial" w:hAnsi="Arial" w:cs="Arial"/>
        </w:rPr>
      </w:pPr>
      <w:r w:rsidRPr="00746F54">
        <w:rPr>
          <w:rFonts w:ascii="Arial" w:hAnsi="Arial" w:cs="Arial"/>
          <w:u w:val="single"/>
        </w:rPr>
        <w:lastRenderedPageBreak/>
        <w:t>Required Submission Time</w:t>
      </w:r>
      <w:r w:rsidRPr="00746F54">
        <w:rPr>
          <w:rFonts w:ascii="Arial" w:hAnsi="Arial" w:cs="Arial"/>
        </w:rPr>
        <w:t xml:space="preserve">:   Binding EDAM RSE performed immediately in advance of the Day-Ahead Market (approx.) 10 a.m. to evaluate RSE-eligible supply against </w:t>
      </w:r>
      <w:r w:rsidR="00760A84" w:rsidRPr="00746F54">
        <w:rPr>
          <w:rFonts w:ascii="Arial" w:hAnsi="Arial" w:cs="Arial"/>
        </w:rPr>
        <w:t xml:space="preserve">fixed </w:t>
      </w:r>
      <w:r w:rsidRPr="00746F54">
        <w:rPr>
          <w:rFonts w:ascii="Arial" w:hAnsi="Arial" w:cs="Arial"/>
        </w:rPr>
        <w:t xml:space="preserve">obligations established at (approx.) 9 a.m. </w:t>
      </w:r>
    </w:p>
    <w:p w14:paraId="5B65CA6B" w14:textId="77777777" w:rsidR="00691D5E" w:rsidRPr="00746F54" w:rsidRDefault="00691D5E" w:rsidP="00691D5E">
      <w:pPr>
        <w:pStyle w:val="ParaText"/>
        <w:rPr>
          <w:rFonts w:ascii="Arial" w:hAnsi="Arial" w:cs="Arial"/>
          <w:u w:val="single"/>
        </w:rPr>
      </w:pPr>
      <w:r w:rsidRPr="00746F54">
        <w:rPr>
          <w:rFonts w:ascii="Arial" w:hAnsi="Arial" w:cs="Arial"/>
        </w:rPr>
        <w:t>The EDAM resource sufficiency evaluation tests that EDAM entities have sufficient supply and reserves to meet forecasted demand, ancillary services (capacity), and uncertainty (Imbalance Reserve, flexibility) that may materialize between Day-Ahead and Real-Time before engaging in transfers with other EDAM BAAs through the DA market. To perform the tests, the RSE application will run a unit-commitment optimization based upon each BAA’s entire load and supply without considering transmission constraints. If the market optimization is not able to meet the RSE obligation with available supply, a condition where the test does not need to relax the power balance constraints to solve, then the BAA “passes” the RSE. If the optimization must relax constraints to solve, then the BAA “fails” the RSE. Failures can be in the upward and/or downward direction. An upward failure occurs when the optimization must relax the upward power balance constraint, upward imbalance reserve procurement constraint and/or upward ancillary services procurement constraint. A downward failure occurs when the optimization must relax the downward power balance constraint, downward imbalance reserve procurement constraint or downward ancillary services procurement constraint. The optimization will seek to minimize the sum of the constraint relaxation quantities across the 24 intervals.</w:t>
      </w:r>
    </w:p>
    <w:p w14:paraId="6B136035" w14:textId="32545A27" w:rsidR="00691D5E" w:rsidRPr="00746F54" w:rsidRDefault="00691D5E" w:rsidP="00691D5E">
      <w:pPr>
        <w:pStyle w:val="ParaText"/>
        <w:rPr>
          <w:rFonts w:ascii="Arial" w:hAnsi="Arial" w:cs="Arial"/>
          <w:u w:val="single"/>
        </w:rPr>
      </w:pPr>
      <w:r w:rsidRPr="00746F54">
        <w:rPr>
          <w:rFonts w:ascii="Arial" w:hAnsi="Arial" w:cs="Arial"/>
        </w:rPr>
        <w:t xml:space="preserve">Specifically, the EDAM-RSE evaluates hourly each EDAM-BAA ability to satisfy Demand obligations, referred to in this Business Practice Manual as “power balance constraints,” the Imbalance obligations, referred to in this Business Practice Manual as “IRU/IRD procurement restraints,” and the Ancillary Service obligations, referred to in this Business Practice Manual as “AS procurement constraints.”  In an hour where no constraint is relaxed, it is considered a pass for the hour. If any of the constraints </w:t>
      </w:r>
      <w:r w:rsidR="00760A84" w:rsidRPr="00746F54">
        <w:rPr>
          <w:rFonts w:ascii="Arial" w:hAnsi="Arial" w:cs="Arial"/>
        </w:rPr>
        <w:t>are</w:t>
      </w:r>
      <w:r w:rsidRPr="00746F54">
        <w:rPr>
          <w:rFonts w:ascii="Arial" w:hAnsi="Arial" w:cs="Arial"/>
        </w:rPr>
        <w:t xml:space="preserve"> violated, it is considered a fail for the hour. The EDAM-RSE tests both upward and downward directions, with the upward test considering EN (under generation), RU, SR, NR, and IRU. The downward test is for EN (over generation), RD, and IRD. It is possible for an EDAM BAA to fail the test in one direction and also in both directions.  The EDAM-RSE is based on a new Optimization Pass; no NA run and does not use Convergence Bids, Load resource Bids or optimizable TSR transfer.  It will minimize slack variables while satisfying all the Demand, Imbalance Reserve, and Ancillary Service obligations, and resource constraints including inter-temporal constraints.</w:t>
      </w:r>
      <w:r w:rsidRPr="00746F54">
        <w:rPr>
          <w:rFonts w:ascii="Arial" w:hAnsi="Arial" w:cs="Arial"/>
          <w:u w:val="single"/>
        </w:rPr>
        <w:t xml:space="preserve">  </w:t>
      </w:r>
    </w:p>
    <w:p w14:paraId="615EBC53" w14:textId="11F8F2F4" w:rsidR="00691D5E" w:rsidRPr="0097362D" w:rsidRDefault="00A54DF0" w:rsidP="0097362D">
      <w:pPr>
        <w:pStyle w:val="Heading3"/>
      </w:pPr>
      <w:bookmarkStart w:id="229" w:name="_Toc211337952"/>
      <w:r w:rsidRPr="0097362D">
        <w:t>Timing and Components of the EDAM RSE</w:t>
      </w:r>
      <w:bookmarkEnd w:id="229"/>
    </w:p>
    <w:p w14:paraId="74D0638D" w14:textId="010701BA" w:rsidR="00A54DF0" w:rsidRPr="00746F54" w:rsidRDefault="00A54DF0" w:rsidP="00691D5E">
      <w:pPr>
        <w:spacing w:line="360" w:lineRule="auto"/>
        <w:rPr>
          <w:rFonts w:ascii="Arial" w:hAnsi="Arial" w:cs="Arial"/>
          <w:u w:val="single"/>
        </w:rPr>
      </w:pPr>
      <w:r w:rsidRPr="00746F54">
        <w:rPr>
          <w:rFonts w:ascii="Arial" w:hAnsi="Arial" w:cs="Arial"/>
          <w:u w:val="single"/>
        </w:rPr>
        <w:t>Reference tariff sections 33.31.1.1 and 33.31.1.2</w:t>
      </w:r>
    </w:p>
    <w:p w14:paraId="0A6BABB9" w14:textId="48BF7AA2" w:rsidR="00691D5E" w:rsidRPr="00746F54" w:rsidRDefault="00691D5E" w:rsidP="00691D5E">
      <w:pPr>
        <w:spacing w:line="360" w:lineRule="auto"/>
        <w:rPr>
          <w:rFonts w:ascii="Arial" w:hAnsi="Arial" w:cs="Arial"/>
        </w:rPr>
      </w:pPr>
      <w:r w:rsidRPr="00746F54">
        <w:rPr>
          <w:rFonts w:ascii="Arial" w:hAnsi="Arial" w:cs="Arial"/>
        </w:rPr>
        <w:t xml:space="preserve">The EDAM resource sufficiency evaluation is designed to incentivize BAAs participating in EDAM to come to the market with sufficient supply to meet their next-day obligations prior to </w:t>
      </w:r>
      <w:r w:rsidRPr="00746F54">
        <w:rPr>
          <w:rFonts w:ascii="Arial" w:hAnsi="Arial" w:cs="Arial"/>
        </w:rPr>
        <w:lastRenderedPageBreak/>
        <w:t xml:space="preserve">engaging in transfers with other participating BAAs. By requiring each participating BAA to demonstrate sufficient forward procured supply each day, the EDAM RSE discourages BAAs with insufficient capacity from inappropriately leaning on neighboring BAAs for supplemental capacity.  The RSE is applied equally and uniformly across the EDAM BAAs.  The processes and actions discussed below are equally applicable and available to any EDAM BAA that chooses to use them.  The CISO BAA participation guide is included as a supplement to this business practice manual.    </w:t>
      </w:r>
    </w:p>
    <w:p w14:paraId="5FA79D70" w14:textId="268EE24F" w:rsidR="00691D5E" w:rsidRPr="00746F54" w:rsidRDefault="00760A84" w:rsidP="00691D5E">
      <w:pPr>
        <w:spacing w:line="360" w:lineRule="auto"/>
        <w:rPr>
          <w:rFonts w:ascii="Arial" w:hAnsi="Arial" w:cs="Arial"/>
        </w:rPr>
      </w:pPr>
      <w:r w:rsidRPr="00746F54">
        <w:rPr>
          <w:rFonts w:ascii="Arial" w:hAnsi="Arial" w:cs="Arial"/>
        </w:rPr>
        <w:t>Using best efforts, market operator will produce a</w:t>
      </w:r>
      <w:r w:rsidR="00691D5E" w:rsidRPr="00746F54">
        <w:rPr>
          <w:rFonts w:ascii="Arial" w:hAnsi="Arial" w:cs="Arial"/>
        </w:rPr>
        <w:t xml:space="preserve">dvisory RSE runs </w:t>
      </w:r>
      <w:r w:rsidRPr="00746F54">
        <w:rPr>
          <w:rFonts w:ascii="Arial" w:hAnsi="Arial" w:cs="Arial"/>
        </w:rPr>
        <w:t>that a</w:t>
      </w:r>
      <w:r w:rsidR="00691D5E" w:rsidRPr="00746F54">
        <w:rPr>
          <w:rFonts w:ascii="Arial" w:hAnsi="Arial" w:cs="Arial"/>
        </w:rPr>
        <w:t xml:space="preserve">re automatically executed every 30 minutes between </w:t>
      </w:r>
      <w:commentRangeStart w:id="230"/>
      <w:commentRangeStart w:id="231"/>
      <w:r w:rsidR="00691D5E" w:rsidRPr="00746F54">
        <w:rPr>
          <w:rFonts w:ascii="Arial" w:hAnsi="Arial" w:cs="Arial"/>
        </w:rPr>
        <w:t xml:space="preserve">06:00 </w:t>
      </w:r>
      <w:commentRangeEnd w:id="230"/>
      <w:r w:rsidR="00691D5E" w:rsidRPr="00746F54">
        <w:rPr>
          <w:rFonts w:ascii="Arial" w:hAnsi="Arial" w:cs="Arial"/>
        </w:rPr>
        <w:t xml:space="preserve"> </w:t>
      </w:r>
      <w:r w:rsidR="00691D5E" w:rsidRPr="00746F54">
        <w:rPr>
          <w:rStyle w:val="CommentReference"/>
          <w:rFonts w:ascii="Arial" w:hAnsi="Arial" w:cs="Arial"/>
        </w:rPr>
        <w:commentReference w:id="230"/>
      </w:r>
      <w:commentRangeEnd w:id="231"/>
      <w:r w:rsidR="00691D5E" w:rsidRPr="00746F54">
        <w:rPr>
          <w:rStyle w:val="CommentReference"/>
          <w:rFonts w:ascii="Arial" w:hAnsi="Arial" w:cs="Arial"/>
        </w:rPr>
        <w:commentReference w:id="231"/>
      </w:r>
      <w:r w:rsidR="00691D5E" w:rsidRPr="00746F54">
        <w:rPr>
          <w:rFonts w:ascii="Arial" w:hAnsi="Arial" w:cs="Arial"/>
        </w:rPr>
        <w:t xml:space="preserve">and 09:00 (Note: additional publications are under consideration). The final binding RSE will be conducted for all EDAM entities every day at approximately 10 a.m. prior to running the day-ahead market.  Note: Should the 09:00 and 09:30 Advisory runs fail and not be able to complete successfully, the </w:t>
      </w:r>
      <w:commentRangeStart w:id="232"/>
      <w:r w:rsidR="00691D5E" w:rsidRPr="00746F54">
        <w:rPr>
          <w:rFonts w:ascii="Arial" w:hAnsi="Arial" w:cs="Arial"/>
        </w:rPr>
        <w:t xml:space="preserve">market operator will </w:t>
      </w:r>
      <w:commentRangeEnd w:id="232"/>
      <w:r w:rsidR="00691D5E" w:rsidRPr="00746F54">
        <w:rPr>
          <w:rStyle w:val="CommentReference"/>
          <w:rFonts w:ascii="Arial" w:hAnsi="Arial" w:cs="Arial"/>
        </w:rPr>
        <w:commentReference w:id="232"/>
      </w:r>
      <w:r w:rsidR="00691D5E" w:rsidRPr="00746F54">
        <w:rPr>
          <w:rFonts w:ascii="Arial" w:hAnsi="Arial" w:cs="Arial"/>
        </w:rPr>
        <w:t xml:space="preserve">send a system message, escalate to IT teams, and </w:t>
      </w:r>
      <w:r w:rsidRPr="00746F54">
        <w:rPr>
          <w:rFonts w:ascii="Arial" w:hAnsi="Arial" w:cs="Arial"/>
        </w:rPr>
        <w:t xml:space="preserve">use best efforts to </w:t>
      </w:r>
      <w:r w:rsidR="00691D5E" w:rsidRPr="00746F54">
        <w:rPr>
          <w:rFonts w:ascii="Arial" w:hAnsi="Arial" w:cs="Arial"/>
        </w:rPr>
        <w:t>ensure an advisory execution is provided with a minimum of 15-minutes before a binding RSE post-10:00.</w:t>
      </w:r>
    </w:p>
    <w:p w14:paraId="3C4FCB99" w14:textId="77777777" w:rsidR="00691D5E" w:rsidRPr="00746F54" w:rsidRDefault="00691D5E" w:rsidP="00691D5E">
      <w:pPr>
        <w:spacing w:line="360" w:lineRule="auto"/>
        <w:jc w:val="center"/>
        <w:rPr>
          <w:rFonts w:ascii="Arial" w:hAnsi="Arial" w:cs="Arial"/>
        </w:rPr>
      </w:pPr>
      <w:commentRangeStart w:id="233"/>
      <w:r w:rsidRPr="00746F54">
        <w:rPr>
          <w:rFonts w:ascii="Arial" w:hAnsi="Arial" w:cs="Arial"/>
          <w:noProof/>
        </w:rPr>
        <w:drawing>
          <wp:inline distT="0" distB="0" distL="0" distR="0" wp14:anchorId="71136D10" wp14:editId="114BED8F">
            <wp:extent cx="4511675" cy="1854200"/>
            <wp:effectExtent l="0" t="0" r="0" b="0"/>
            <wp:docPr id="1397823390" name="Picture 4" descr="A black background with white arrows&#10;&#10;Description automatically generated"/>
            <wp:cNvGraphicFramePr/>
            <a:graphic xmlns:a="http://schemas.openxmlformats.org/drawingml/2006/main">
              <a:graphicData uri="http://schemas.openxmlformats.org/drawingml/2006/picture">
                <pic:pic xmlns:pic="http://schemas.openxmlformats.org/drawingml/2006/picture">
                  <pic:nvPicPr>
                    <pic:cNvPr id="5" name="Picture 4" descr="A black background with white arrows&#10;&#10;Description automatically generated"/>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4511675" cy="1854200"/>
                    </a:xfrm>
                    <a:prstGeom prst="rect">
                      <a:avLst/>
                    </a:prstGeom>
                    <a:noFill/>
                  </pic:spPr>
                </pic:pic>
              </a:graphicData>
            </a:graphic>
          </wp:inline>
        </w:drawing>
      </w:r>
      <w:commentRangeEnd w:id="233"/>
      <w:r w:rsidRPr="00746F54">
        <w:rPr>
          <w:rStyle w:val="CommentReference"/>
          <w:rFonts w:ascii="Arial" w:hAnsi="Arial" w:cs="Arial"/>
        </w:rPr>
        <w:commentReference w:id="233"/>
      </w:r>
    </w:p>
    <w:p w14:paraId="5C42745D" w14:textId="77777777" w:rsidR="00691D5E" w:rsidRPr="00746F54" w:rsidRDefault="00691D5E" w:rsidP="00691D5E">
      <w:pPr>
        <w:spacing w:line="360" w:lineRule="auto"/>
        <w:jc w:val="center"/>
        <w:rPr>
          <w:rFonts w:ascii="Arial" w:hAnsi="Arial" w:cs="Arial"/>
        </w:rPr>
      </w:pPr>
    </w:p>
    <w:p w14:paraId="7C76EE12" w14:textId="77777777" w:rsidR="00691D5E" w:rsidRPr="00746F54" w:rsidRDefault="00691D5E" w:rsidP="00691D5E">
      <w:pPr>
        <w:spacing w:line="360" w:lineRule="auto"/>
        <w:rPr>
          <w:rFonts w:ascii="Arial" w:hAnsi="Arial" w:cs="Arial"/>
        </w:rPr>
      </w:pPr>
      <w:r w:rsidRPr="00746F54">
        <w:rPr>
          <w:rFonts w:ascii="Arial" w:hAnsi="Arial" w:cs="Arial"/>
        </w:rPr>
        <w:t xml:space="preserve">Figure 1 illustrates the RSE process applied to the CISO BAA as a participating Balancing Authority Area in the EDAM Area.  </w:t>
      </w:r>
    </w:p>
    <w:p w14:paraId="79982405" w14:textId="77777777" w:rsidR="00691D5E" w:rsidRPr="00746F54" w:rsidRDefault="00691D5E" w:rsidP="00691D5E">
      <w:pPr>
        <w:spacing w:after="0" w:line="360" w:lineRule="auto"/>
        <w:jc w:val="center"/>
        <w:rPr>
          <w:rFonts w:ascii="Arial" w:hAnsi="Arial" w:cs="Arial"/>
        </w:rPr>
      </w:pPr>
      <w:r w:rsidRPr="00746F54">
        <w:rPr>
          <w:rFonts w:ascii="Arial" w:hAnsi="Arial" w:cs="Arial"/>
          <w:color w:val="1F4E79" w:themeColor="accent1" w:themeShade="80"/>
        </w:rPr>
        <w:t>Figure 1: Illustration of RSE (Applied to CISO BA)</w:t>
      </w:r>
    </w:p>
    <w:p w14:paraId="5CAABAD7" w14:textId="77777777" w:rsidR="00691D5E" w:rsidRPr="00746F54" w:rsidRDefault="00691D5E" w:rsidP="00691D5E">
      <w:pPr>
        <w:spacing w:after="0" w:line="360" w:lineRule="auto"/>
        <w:rPr>
          <w:rFonts w:ascii="Arial" w:hAnsi="Arial" w:cs="Arial"/>
        </w:rPr>
      </w:pPr>
      <w:r w:rsidRPr="00746F54">
        <w:rPr>
          <w:rFonts w:ascii="Arial" w:hAnsi="Arial" w:cs="Arial"/>
          <w:noProof/>
        </w:rPr>
        <w:lastRenderedPageBreak/>
        <w:drawing>
          <wp:inline distT="0" distB="0" distL="0" distR="0" wp14:anchorId="28E54C69" wp14:editId="7FB11A3A">
            <wp:extent cx="6000750" cy="2920878"/>
            <wp:effectExtent l="19050" t="19050" r="19050" b="13335"/>
            <wp:docPr id="5" name="Picture 5" descr="A diagram of a marke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A diagram of a market&#10;&#10;AI-generated content may be incorrect."/>
                    <pic:cNvPicPr/>
                  </pic:nvPicPr>
                  <pic:blipFill>
                    <a:blip r:embed="rId26"/>
                    <a:stretch>
                      <a:fillRect/>
                    </a:stretch>
                  </pic:blipFill>
                  <pic:spPr>
                    <a:xfrm>
                      <a:off x="0" y="0"/>
                      <a:ext cx="6013835" cy="2927247"/>
                    </a:xfrm>
                    <a:prstGeom prst="rect">
                      <a:avLst/>
                    </a:prstGeom>
                    <a:ln>
                      <a:solidFill>
                        <a:sysClr val="windowText" lastClr="000000"/>
                      </a:solidFill>
                    </a:ln>
                  </pic:spPr>
                </pic:pic>
              </a:graphicData>
            </a:graphic>
          </wp:inline>
        </w:drawing>
      </w:r>
    </w:p>
    <w:p w14:paraId="1CCEC105" w14:textId="77777777" w:rsidR="00691D5E" w:rsidRPr="00746F54" w:rsidRDefault="00691D5E" w:rsidP="00691D5E">
      <w:pPr>
        <w:ind w:left="720"/>
        <w:rPr>
          <w:rFonts w:ascii="Arial" w:hAnsi="Arial" w:cs="Arial"/>
        </w:rPr>
      </w:pPr>
    </w:p>
    <w:p w14:paraId="42CF9A68" w14:textId="385E47F2" w:rsidR="00691D5E" w:rsidRPr="00746F54" w:rsidRDefault="00691D5E" w:rsidP="00691D5E">
      <w:pPr>
        <w:spacing w:after="0" w:line="360" w:lineRule="auto"/>
        <w:rPr>
          <w:rFonts w:ascii="Arial" w:hAnsi="Arial" w:cs="Arial"/>
        </w:rPr>
      </w:pPr>
      <w:r w:rsidRPr="00746F54">
        <w:rPr>
          <w:rFonts w:ascii="Arial" w:hAnsi="Arial" w:cs="Arial"/>
        </w:rPr>
        <w:t xml:space="preserve">BAAs that fail the RSE in any hour of the 24-hour evaluation may incur at least one of the following types of financial surcharges: (1) on-peak upward failure surcharges; (2) off-peak upward failure surcharges; (3) downward failure surcharges. Upward failure surcharges are calculated on a tiered structure that incorporates the magnitude of the failure and any persistence in upward failures over a rolling 30-day period. The downward failure surcharge is not tiered. </w:t>
      </w:r>
    </w:p>
    <w:p w14:paraId="4E6B0E00" w14:textId="59053B4C" w:rsidR="00691D5E" w:rsidRPr="00746F54" w:rsidRDefault="000D11B2" w:rsidP="004E1625">
      <w:pPr>
        <w:pStyle w:val="Heading4"/>
        <w:rPr>
          <w:rFonts w:ascii="Arial" w:hAnsi="Arial" w:cs="Arial"/>
        </w:rPr>
      </w:pPr>
      <w:commentRangeStart w:id="234"/>
      <w:commentRangeEnd w:id="234"/>
      <w:r w:rsidRPr="00746F54">
        <w:rPr>
          <w:rStyle w:val="CommentReference"/>
          <w:rFonts w:ascii="Arial" w:hAnsi="Arial" w:cs="Arial"/>
        </w:rPr>
        <w:commentReference w:id="234"/>
      </w:r>
      <w:r w:rsidR="00691D5E" w:rsidRPr="00746F54">
        <w:rPr>
          <w:rFonts w:ascii="Arial" w:hAnsi="Arial" w:cs="Arial"/>
        </w:rPr>
        <w:t xml:space="preserve">PROCESS FOR ADVISORY PASS OF THE DAY-AHEAD RESOURCE SUFFICIENCY EVALUATION </w:t>
      </w:r>
    </w:p>
    <w:p w14:paraId="7C04F06F" w14:textId="77777777" w:rsidR="00691D5E" w:rsidRPr="00746F54" w:rsidRDefault="00691D5E" w:rsidP="00691D5E">
      <w:pPr>
        <w:spacing w:after="0" w:line="360" w:lineRule="auto"/>
        <w:rPr>
          <w:rFonts w:ascii="Arial" w:hAnsi="Arial" w:cs="Arial"/>
        </w:rPr>
      </w:pPr>
      <w:r w:rsidRPr="00746F54">
        <w:rPr>
          <w:rFonts w:ascii="Arial" w:hAnsi="Arial" w:cs="Arial"/>
        </w:rPr>
        <w:t xml:space="preserve">All EDAM entities prepare to meet their RSE obligations each morning,  including taking actions to ensure reliability if there is a significant projected supply shortfall. The RSE obligation for the demand forecast and imbalance reserve requirements is finalized at 9 a.m.  If there is a projected RSE shortfall at 9 a.m., all entities will still have approximately one hour before the binding RSE is performed at 10 a.m. to </w:t>
      </w:r>
      <w:commentRangeStart w:id="235"/>
      <w:r w:rsidRPr="00746F54">
        <w:rPr>
          <w:rFonts w:ascii="Arial" w:hAnsi="Arial" w:cs="Arial"/>
        </w:rPr>
        <w:t xml:space="preserve">resolve a potential </w:t>
      </w:r>
      <w:commentRangeEnd w:id="235"/>
      <w:r w:rsidRPr="00746F54">
        <w:rPr>
          <w:rStyle w:val="CommentReference"/>
          <w:rFonts w:ascii="Arial" w:hAnsi="Arial" w:cs="Arial"/>
        </w:rPr>
        <w:commentReference w:id="235"/>
      </w:r>
      <w:r w:rsidRPr="00746F54">
        <w:rPr>
          <w:rFonts w:ascii="Arial" w:hAnsi="Arial" w:cs="Arial"/>
        </w:rPr>
        <w:t xml:space="preserve">shortfall prior to the 10 a.m. run of the RSE.  Further details specific to the CISO BAA are provided in the supplement to this Business Practice Manual.  </w:t>
      </w:r>
    </w:p>
    <w:p w14:paraId="6488DBBE" w14:textId="77777777" w:rsidR="00691D5E" w:rsidRPr="00746F54" w:rsidRDefault="00691D5E" w:rsidP="00691D5E">
      <w:pPr>
        <w:spacing w:after="0" w:line="360" w:lineRule="auto"/>
        <w:rPr>
          <w:rFonts w:ascii="Arial" w:hAnsi="Arial" w:cs="Arial"/>
        </w:rPr>
      </w:pPr>
    </w:p>
    <w:p w14:paraId="7162E6F4" w14:textId="5319D587" w:rsidR="00691D5E" w:rsidRPr="00746F54" w:rsidRDefault="00691D5E" w:rsidP="00691D5E">
      <w:pPr>
        <w:pStyle w:val="ListParagraph"/>
        <w:numPr>
          <w:ilvl w:val="0"/>
          <w:numId w:val="103"/>
        </w:numPr>
        <w:spacing w:after="0" w:line="360" w:lineRule="auto"/>
        <w:rPr>
          <w:rFonts w:ascii="Arial" w:hAnsi="Arial" w:cs="Arial"/>
        </w:rPr>
      </w:pPr>
      <w:r w:rsidRPr="00746F54">
        <w:rPr>
          <w:rFonts w:ascii="Arial" w:hAnsi="Arial" w:cs="Arial"/>
        </w:rPr>
        <w:t xml:space="preserve"> </w:t>
      </w:r>
      <w:bookmarkStart w:id="236" w:name="_Hlk204675900"/>
      <w:r w:rsidRPr="00746F54">
        <w:rPr>
          <w:rFonts w:ascii="Arial" w:hAnsi="Arial" w:cs="Arial"/>
          <w:b/>
          <w:bCs/>
        </w:rPr>
        <w:t>Accounting for Demand Response/Load Modification Resources.</w:t>
      </w:r>
      <w:r w:rsidRPr="00746F54">
        <w:rPr>
          <w:rFonts w:ascii="Arial" w:hAnsi="Arial" w:cs="Arial"/>
        </w:rPr>
        <w:t xml:space="preserve">  All demand response and load modification programs that do not qualify as EDAM Resource Facilities are eligible to be accounted for consistent with ISO Tariff Section 33.31.4.1.  </w:t>
      </w:r>
      <w:r w:rsidRPr="00746F54">
        <w:rPr>
          <w:rFonts w:ascii="Arial" w:hAnsi="Arial" w:cs="Arial"/>
        </w:rPr>
        <w:lastRenderedPageBreak/>
        <w:t xml:space="preserve">This includes reliability demand response resources (RDRR), which is a participation model available to all entities.  CISO BAA’s accounting for RDRR is set forth in the supplement to this Business Practice Manual.  Other EDAM Entities with RDRR may similarly account for such resources as supply-side demand response resources.  Entities accounting for RDRR </w:t>
      </w:r>
      <w:r w:rsidRPr="00746F54">
        <w:rPr>
          <w:rFonts w:ascii="Arial" w:hAnsi="Arial" w:cs="Arial"/>
          <w:b/>
          <w:bCs/>
        </w:rPr>
        <w:t>will not</w:t>
      </w:r>
      <w:r w:rsidRPr="00746F54">
        <w:rPr>
          <w:rFonts w:ascii="Arial" w:hAnsi="Arial" w:cs="Arial"/>
        </w:rPr>
        <w:t xml:space="preserve"> utilize the process for adjustments to demand forecasts explained in Section 3.1.6 of this Business Practice Manual but will follow the process below</w:t>
      </w:r>
      <w:r w:rsidR="002E1230" w:rsidRPr="00746F54">
        <w:rPr>
          <w:rFonts w:ascii="Arial" w:hAnsi="Arial" w:cs="Arial"/>
        </w:rPr>
        <w:t xml:space="preserve"> for these supply-side participation models</w:t>
      </w:r>
      <w:r w:rsidRPr="00746F54">
        <w:rPr>
          <w:rFonts w:ascii="Arial" w:hAnsi="Arial" w:cs="Arial"/>
        </w:rPr>
        <w:t xml:space="preserve">. </w:t>
      </w:r>
    </w:p>
    <w:p w14:paraId="7A432429" w14:textId="77777777" w:rsidR="00691D5E" w:rsidRPr="00746F54" w:rsidRDefault="00691D5E" w:rsidP="00691D5E">
      <w:pPr>
        <w:pStyle w:val="ListParagraph"/>
        <w:spacing w:after="0" w:line="360" w:lineRule="auto"/>
        <w:rPr>
          <w:rFonts w:ascii="Arial" w:hAnsi="Arial" w:cs="Arial"/>
          <w:b/>
          <w:bCs/>
        </w:rPr>
      </w:pPr>
    </w:p>
    <w:p w14:paraId="7CCF2D1B" w14:textId="77777777" w:rsidR="00691D5E" w:rsidRPr="00746F54" w:rsidRDefault="00691D5E" w:rsidP="00691D5E">
      <w:pPr>
        <w:pStyle w:val="ListParagraph"/>
        <w:spacing w:after="0" w:line="360" w:lineRule="auto"/>
        <w:rPr>
          <w:rFonts w:ascii="Arial" w:hAnsi="Arial" w:cs="Arial"/>
        </w:rPr>
      </w:pPr>
      <w:r w:rsidRPr="00746F54">
        <w:rPr>
          <w:rFonts w:ascii="Arial" w:hAnsi="Arial" w:cs="Arial"/>
        </w:rPr>
        <w:t xml:space="preserve">EDAM entities with supply-side RDRRs should consider whether such resources are reflected in the 9 a.m. advisory RSE results.  If not, then the entity may account for RDRR as an adjustment to the RSE in accordance with the procedures set forth below.  This adjustment should only be used to account for available RDRR capacity that did not submit a day-ahead offer by 9 a.m., as any RDRR capacity offered into the day-ahead market by 9 a.m. would already be reflected in the advisory RSE results.  Any RDRR adjustments must correspond to the expected use of the RDRR based on a reasonable expectation that it will enable or deploy the resources as conditions will materialize in real-time.   </w:t>
      </w:r>
      <w:bookmarkStart w:id="237" w:name="_Hlk206156006"/>
    </w:p>
    <w:p w14:paraId="33025A86" w14:textId="77777777" w:rsidR="00691D5E" w:rsidRPr="00746F54" w:rsidRDefault="00691D5E" w:rsidP="00691D5E">
      <w:pPr>
        <w:pStyle w:val="ListParagraph"/>
        <w:spacing w:after="0" w:line="360" w:lineRule="auto"/>
        <w:rPr>
          <w:rFonts w:ascii="Arial" w:hAnsi="Arial" w:cs="Arial"/>
          <w:b/>
          <w:bCs/>
        </w:rPr>
      </w:pPr>
      <w:r w:rsidRPr="00746F54">
        <w:rPr>
          <w:rFonts w:ascii="Arial" w:hAnsi="Arial" w:cs="Arial"/>
          <w:b/>
          <w:bCs/>
        </w:rPr>
        <w:t>EDAM Entity Process of Adding RDRR to RSE:</w:t>
      </w:r>
    </w:p>
    <w:p w14:paraId="7C5787F0" w14:textId="77777777" w:rsidR="00691D5E" w:rsidRPr="00746F54" w:rsidRDefault="00691D5E" w:rsidP="00691D5E">
      <w:pPr>
        <w:pStyle w:val="ListParagraph"/>
        <w:spacing w:after="0" w:line="360" w:lineRule="auto"/>
        <w:ind w:left="1440"/>
        <w:rPr>
          <w:rFonts w:ascii="Arial" w:hAnsi="Arial" w:cs="Arial"/>
          <w:b/>
          <w:bCs/>
        </w:rPr>
      </w:pPr>
      <w:r w:rsidRPr="00746F54">
        <w:rPr>
          <w:rFonts w:ascii="Arial" w:hAnsi="Arial" w:cs="Arial"/>
          <w:b/>
          <w:bCs/>
        </w:rPr>
        <w:t>EDAM BAA Operator Action:</w:t>
      </w:r>
    </w:p>
    <w:p w14:paraId="45070A68" w14:textId="77777777" w:rsidR="00691D5E" w:rsidRPr="00746F54" w:rsidRDefault="00691D5E" w:rsidP="00691D5E">
      <w:pPr>
        <w:pStyle w:val="ListParagraph"/>
        <w:numPr>
          <w:ilvl w:val="0"/>
          <w:numId w:val="105"/>
        </w:numPr>
        <w:spacing w:after="0" w:line="360" w:lineRule="auto"/>
        <w:rPr>
          <w:rFonts w:ascii="Arial" w:hAnsi="Arial" w:cs="Arial"/>
        </w:rPr>
      </w:pPr>
      <w:r w:rsidRPr="00746F54">
        <w:rPr>
          <w:rFonts w:ascii="Arial" w:hAnsi="Arial" w:cs="Arial"/>
        </w:rPr>
        <w:t>After 09:00 DA RSE, EDAM BAA operator determines whether conditions for including RDRR/equivalent resources in the DA RSE have been met</w:t>
      </w:r>
    </w:p>
    <w:p w14:paraId="3A271A50" w14:textId="77777777" w:rsidR="00691D5E" w:rsidRPr="00746F54" w:rsidRDefault="00691D5E" w:rsidP="00691D5E">
      <w:pPr>
        <w:pStyle w:val="ListParagraph"/>
        <w:numPr>
          <w:ilvl w:val="0"/>
          <w:numId w:val="105"/>
        </w:numPr>
        <w:spacing w:after="0" w:line="360" w:lineRule="auto"/>
        <w:rPr>
          <w:rFonts w:ascii="Arial" w:hAnsi="Arial" w:cs="Arial"/>
        </w:rPr>
      </w:pPr>
      <w:r w:rsidRPr="00746F54">
        <w:rPr>
          <w:rFonts w:ascii="Arial" w:hAnsi="Arial" w:cs="Arial"/>
        </w:rPr>
        <w:t>EDAM BAA operator determines how much RDRR/equivalent resource capacity to include in the RSE and in which hours, and communicates this to the CAISO market operator</w:t>
      </w:r>
    </w:p>
    <w:bookmarkEnd w:id="236"/>
    <w:bookmarkEnd w:id="237"/>
    <w:p w14:paraId="0929436F" w14:textId="77777777" w:rsidR="00691D5E" w:rsidRPr="00746F54" w:rsidRDefault="00691D5E" w:rsidP="00691D5E">
      <w:pPr>
        <w:pStyle w:val="ListParagraph"/>
        <w:spacing w:after="0" w:line="360" w:lineRule="auto"/>
        <w:ind w:left="1440"/>
        <w:rPr>
          <w:rFonts w:ascii="Arial" w:hAnsi="Arial" w:cs="Arial"/>
        </w:rPr>
      </w:pPr>
    </w:p>
    <w:p w14:paraId="0F0CC109" w14:textId="77777777" w:rsidR="00691D5E" w:rsidRPr="00746F54" w:rsidRDefault="00691D5E" w:rsidP="00691D5E">
      <w:pPr>
        <w:pStyle w:val="ListParagraph"/>
        <w:numPr>
          <w:ilvl w:val="0"/>
          <w:numId w:val="103"/>
        </w:numPr>
        <w:rPr>
          <w:rFonts w:ascii="Arial" w:hAnsi="Arial" w:cs="Arial"/>
          <w:b/>
          <w:bCs/>
        </w:rPr>
      </w:pPr>
      <w:bookmarkStart w:id="238" w:name="_Hlk204675937"/>
      <w:r w:rsidRPr="00746F54">
        <w:rPr>
          <w:rFonts w:ascii="Arial" w:hAnsi="Arial" w:cs="Arial"/>
          <w:b/>
          <w:bCs/>
        </w:rPr>
        <w:t>Additional Actions EDAM Entities May Take to Attempt to Cure RSE Failures</w:t>
      </w:r>
    </w:p>
    <w:p w14:paraId="77562339" w14:textId="77777777" w:rsidR="00691D5E" w:rsidRPr="00746F54" w:rsidRDefault="00691D5E" w:rsidP="00691D5E">
      <w:pPr>
        <w:spacing w:line="360" w:lineRule="auto"/>
        <w:ind w:left="1080"/>
        <w:rPr>
          <w:rFonts w:ascii="Arial" w:hAnsi="Arial" w:cs="Arial"/>
        </w:rPr>
      </w:pPr>
      <w:r w:rsidRPr="00746F54">
        <w:rPr>
          <w:rFonts w:ascii="Arial" w:hAnsi="Arial" w:cs="Arial"/>
        </w:rPr>
        <w:t xml:space="preserve">As noted above, EDAM BAAs will examine its RSE position throughout each morning. If by 9 a.m. the EDAM BA expects an upward RSE shortfall based on these results, it may need to act. If the shortfall reveals threats to system reliability, entities may be informed by the resource sufficiency evaluation results as part of their individual evaluation of utilizing Exceptional Dispatch (CISO BAA) authority or Manual Dispatch (EDAM entities).  To the extent an EDAM RSE shortfall is indicative </w:t>
      </w:r>
      <w:r w:rsidRPr="00746F54">
        <w:rPr>
          <w:rFonts w:ascii="Arial" w:hAnsi="Arial" w:cs="Arial"/>
        </w:rPr>
        <w:lastRenderedPageBreak/>
        <w:t xml:space="preserve">of the CISO BAA potentially not having a reliable next-day operating plan, the advisory RSE is serving as an additional reliability indicator available to BA system operators as they exercise their existing discretionary authority to resolve potential reliability problems.  EDAM entities may view it similarly.  Exercise of  Exceptional Dispatch or Manual Dispatch authority considers the economics and efficiency of the available supply to the extent possible, consistent with existing Exceptional Dispatch and Manual Dispatch practices. </w:t>
      </w:r>
    </w:p>
    <w:p w14:paraId="3E92414F" w14:textId="77777777" w:rsidR="00691D5E" w:rsidRPr="00746F54" w:rsidRDefault="00691D5E" w:rsidP="00691D5E">
      <w:pPr>
        <w:spacing w:line="360" w:lineRule="auto"/>
        <w:ind w:left="1080"/>
        <w:rPr>
          <w:rFonts w:ascii="Arial" w:hAnsi="Arial" w:cs="Arial"/>
          <w:b/>
          <w:bCs/>
        </w:rPr>
      </w:pPr>
      <w:r w:rsidRPr="00746F54">
        <w:rPr>
          <w:rFonts w:ascii="Arial" w:hAnsi="Arial" w:cs="Arial"/>
          <w:b/>
          <w:bCs/>
        </w:rPr>
        <w:t>EDAM Entity Process to Create a Day-Ahead Manual Dispatch</w:t>
      </w:r>
    </w:p>
    <w:p w14:paraId="0BE05A6E" w14:textId="1ACB9A46" w:rsidR="00691D5E" w:rsidRPr="00746F54" w:rsidRDefault="00691D5E" w:rsidP="00691D5E">
      <w:pPr>
        <w:spacing w:line="360" w:lineRule="auto"/>
        <w:ind w:left="1080"/>
        <w:rPr>
          <w:rFonts w:ascii="Arial" w:hAnsi="Arial" w:cs="Arial"/>
        </w:rPr>
      </w:pPr>
      <w:r w:rsidRPr="0097362D">
        <w:rPr>
          <w:rFonts w:ascii="Arial" w:hAnsi="Arial" w:cs="Arial"/>
        </w:rPr>
        <w:t>By 09:</w:t>
      </w:r>
      <w:commentRangeStart w:id="239"/>
      <w:r w:rsidRPr="0097362D">
        <w:rPr>
          <w:rFonts w:ascii="Arial" w:hAnsi="Arial" w:cs="Arial"/>
        </w:rPr>
        <w:t>00</w:t>
      </w:r>
      <w:commentRangeEnd w:id="239"/>
      <w:r w:rsidR="002E1230" w:rsidRPr="0097362D">
        <w:rPr>
          <w:rStyle w:val="CommentReference"/>
          <w:rFonts w:ascii="Arial" w:hAnsi="Arial" w:cs="Arial"/>
        </w:rPr>
        <w:commentReference w:id="239"/>
      </w:r>
      <w:r w:rsidRPr="0097362D">
        <w:rPr>
          <w:rFonts w:ascii="Arial" w:hAnsi="Arial" w:cs="Arial"/>
        </w:rPr>
        <w:t>, the</w:t>
      </w:r>
      <w:r w:rsidRPr="00746F54">
        <w:rPr>
          <w:rFonts w:ascii="Arial" w:hAnsi="Arial" w:cs="Arial"/>
        </w:rPr>
        <w:t xml:space="preserve"> EDAM entity shall:</w:t>
      </w:r>
    </w:p>
    <w:p w14:paraId="38F9E290" w14:textId="77777777" w:rsidR="00691D5E" w:rsidRPr="00746F54" w:rsidRDefault="00691D5E" w:rsidP="00691D5E">
      <w:pPr>
        <w:spacing w:line="360" w:lineRule="auto"/>
        <w:ind w:left="1080"/>
        <w:rPr>
          <w:rFonts w:ascii="Arial" w:hAnsi="Arial" w:cs="Arial"/>
        </w:rPr>
      </w:pPr>
      <w:r w:rsidRPr="00746F54">
        <w:rPr>
          <w:rFonts w:ascii="Arial" w:hAnsi="Arial" w:cs="Arial"/>
        </w:rPr>
        <w:t>•</w:t>
      </w:r>
      <w:r w:rsidRPr="00746F54">
        <w:rPr>
          <w:rFonts w:ascii="Arial" w:hAnsi="Arial" w:cs="Arial"/>
        </w:rPr>
        <w:tab/>
        <w:t>Provide the Market operator with the resource, MWs and timing requirements.</w:t>
      </w:r>
    </w:p>
    <w:p w14:paraId="6575756B" w14:textId="77777777" w:rsidR="00691D5E" w:rsidRPr="00746F54" w:rsidRDefault="00691D5E" w:rsidP="00691D5E">
      <w:pPr>
        <w:spacing w:line="360" w:lineRule="auto"/>
        <w:ind w:left="1080"/>
        <w:rPr>
          <w:rFonts w:ascii="Arial" w:hAnsi="Arial" w:cs="Arial"/>
        </w:rPr>
      </w:pPr>
      <w:r w:rsidRPr="00746F54">
        <w:rPr>
          <w:rFonts w:ascii="Arial" w:hAnsi="Arial" w:cs="Arial"/>
        </w:rPr>
        <w:t>•</w:t>
      </w:r>
      <w:r w:rsidRPr="00746F54">
        <w:rPr>
          <w:rFonts w:ascii="Arial" w:hAnsi="Arial" w:cs="Arial"/>
        </w:rPr>
        <w:tab/>
        <w:t xml:space="preserve">Create a matching forward-dated Manual Dispatch in the WEIM BAAOP system </w:t>
      </w:r>
    </w:p>
    <w:bookmarkEnd w:id="238"/>
    <w:p w14:paraId="065DD571" w14:textId="7DD8D167" w:rsidR="00691D5E" w:rsidRPr="00746F54" w:rsidRDefault="000D11B2" w:rsidP="00691D5E">
      <w:pPr>
        <w:pStyle w:val="ListParagraph"/>
        <w:spacing w:line="360" w:lineRule="auto"/>
        <w:rPr>
          <w:rFonts w:ascii="Arial" w:hAnsi="Arial" w:cs="Arial"/>
        </w:rPr>
      </w:pPr>
      <w:commentRangeStart w:id="240"/>
      <w:commentRangeEnd w:id="240"/>
      <w:r w:rsidRPr="00746F54">
        <w:rPr>
          <w:rStyle w:val="CommentReference"/>
          <w:rFonts w:ascii="Arial" w:hAnsi="Arial" w:cs="Arial"/>
        </w:rPr>
        <w:commentReference w:id="240"/>
      </w:r>
      <w:r w:rsidR="00691D5E" w:rsidRPr="00746F54">
        <w:rPr>
          <w:rFonts w:ascii="Arial" w:hAnsi="Arial" w:cs="Arial"/>
        </w:rPr>
        <w:t xml:space="preserve">RSE Resupply </w:t>
      </w:r>
      <w:commentRangeStart w:id="241"/>
      <w:r w:rsidR="00691D5E" w:rsidRPr="00746F54">
        <w:rPr>
          <w:rFonts w:ascii="Arial" w:hAnsi="Arial" w:cs="Arial"/>
        </w:rPr>
        <w:t>Flowchart</w:t>
      </w:r>
      <w:commentRangeEnd w:id="241"/>
      <w:r w:rsidRPr="00746F54">
        <w:rPr>
          <w:rStyle w:val="CommentReference"/>
          <w:rFonts w:ascii="Arial" w:hAnsi="Arial" w:cs="Arial"/>
        </w:rPr>
        <w:commentReference w:id="241"/>
      </w:r>
      <w:r w:rsidR="00691D5E" w:rsidRPr="00746F54">
        <w:rPr>
          <w:rFonts w:ascii="Arial" w:hAnsi="Arial" w:cs="Arial"/>
        </w:rPr>
        <w:t>:</w:t>
      </w:r>
    </w:p>
    <w:p w14:paraId="58D20E51" w14:textId="77777777" w:rsidR="00691D5E" w:rsidRPr="00746F54" w:rsidRDefault="00691D5E" w:rsidP="00691D5E">
      <w:pPr>
        <w:rPr>
          <w:rFonts w:ascii="Arial" w:hAnsi="Arial" w:cs="Arial"/>
        </w:rPr>
      </w:pPr>
      <w:r w:rsidRPr="00746F54">
        <w:rPr>
          <w:rFonts w:ascii="Arial" w:hAnsi="Arial" w:cs="Arial"/>
          <w:noProof/>
        </w:rPr>
        <w:drawing>
          <wp:inline distT="0" distB="0" distL="0" distR="0" wp14:anchorId="48482B37" wp14:editId="13AEB879">
            <wp:extent cx="5724525" cy="3443277"/>
            <wp:effectExtent l="0" t="0" r="0" b="5080"/>
            <wp:docPr id="781237359" name="Picture 1" descr="A diagram of a computer progr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1237359" name="Picture 1" descr="A diagram of a computer program"/>
                    <pic:cNvPicPr/>
                  </pic:nvPicPr>
                  <pic:blipFill>
                    <a:blip r:embed="rId27"/>
                    <a:stretch>
                      <a:fillRect/>
                    </a:stretch>
                  </pic:blipFill>
                  <pic:spPr>
                    <a:xfrm>
                      <a:off x="0" y="0"/>
                      <a:ext cx="5725661" cy="3443960"/>
                    </a:xfrm>
                    <a:prstGeom prst="rect">
                      <a:avLst/>
                    </a:prstGeom>
                  </pic:spPr>
                </pic:pic>
              </a:graphicData>
            </a:graphic>
          </wp:inline>
        </w:drawing>
      </w:r>
    </w:p>
    <w:p w14:paraId="0D7C1118" w14:textId="77777777" w:rsidR="00691D5E" w:rsidRPr="00746F54" w:rsidRDefault="00691D5E" w:rsidP="00691D5E">
      <w:pPr>
        <w:rPr>
          <w:rFonts w:ascii="Arial" w:hAnsi="Arial" w:cs="Arial"/>
        </w:rPr>
      </w:pPr>
    </w:p>
    <w:p w14:paraId="3C3AE270" w14:textId="37BC4EAE" w:rsidR="00691D5E" w:rsidRPr="00746F54" w:rsidRDefault="00691D5E" w:rsidP="006E21B3">
      <w:pPr>
        <w:rPr>
          <w:rFonts w:ascii="Arial" w:hAnsi="Arial" w:cs="Arial"/>
        </w:rPr>
      </w:pPr>
      <w:r w:rsidRPr="00746F54">
        <w:rPr>
          <w:rFonts w:ascii="Arial" w:hAnsi="Arial" w:cs="Arial"/>
          <w:noProof/>
        </w:rPr>
        <w:lastRenderedPageBreak/>
        <w:drawing>
          <wp:inline distT="0" distB="0" distL="0" distR="0" wp14:anchorId="30E7A51E" wp14:editId="41B63B5A">
            <wp:extent cx="5848350" cy="3717701"/>
            <wp:effectExtent l="0" t="0" r="0" b="0"/>
            <wp:docPr id="1459554891" name="Picture 1" descr="A diagram of a te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59554891" name="Picture 1" descr="A diagram of a test"/>
                    <pic:cNvPicPr/>
                  </pic:nvPicPr>
                  <pic:blipFill>
                    <a:blip r:embed="rId28"/>
                    <a:stretch>
                      <a:fillRect/>
                    </a:stretch>
                  </pic:blipFill>
                  <pic:spPr>
                    <a:xfrm>
                      <a:off x="0" y="0"/>
                      <a:ext cx="5849610" cy="3718502"/>
                    </a:xfrm>
                    <a:prstGeom prst="rect">
                      <a:avLst/>
                    </a:prstGeom>
                  </pic:spPr>
                </pic:pic>
              </a:graphicData>
            </a:graphic>
          </wp:inline>
        </w:drawing>
      </w:r>
    </w:p>
    <w:p w14:paraId="3A0DA60C" w14:textId="56317A29" w:rsidR="00691D5E" w:rsidRPr="00746F54" w:rsidRDefault="002E1230" w:rsidP="006E21B3">
      <w:pPr>
        <w:pStyle w:val="Heading3"/>
        <w:rPr>
          <w:rFonts w:ascii="Arial" w:hAnsi="Arial" w:cs="Arial"/>
        </w:rPr>
      </w:pPr>
      <w:bookmarkStart w:id="242" w:name="_Toc211337953"/>
      <w:r w:rsidRPr="00746F54">
        <w:rPr>
          <w:rFonts w:ascii="Arial" w:hAnsi="Arial" w:cs="Arial"/>
        </w:rPr>
        <w:t xml:space="preserve">Process for EDAM Resources and Intertie Resources to Register RSE-Eligible Supply </w:t>
      </w:r>
      <w:bookmarkEnd w:id="242"/>
    </w:p>
    <w:p w14:paraId="38A7FF83" w14:textId="7C74908D" w:rsidR="00691D5E" w:rsidRPr="00746F54" w:rsidRDefault="00691D5E" w:rsidP="006E21B3">
      <w:pPr>
        <w:rPr>
          <w:rFonts w:ascii="Arial" w:hAnsi="Arial" w:cs="Arial"/>
        </w:rPr>
      </w:pPr>
      <w:r w:rsidRPr="00746F54">
        <w:rPr>
          <w:rFonts w:ascii="Arial" w:hAnsi="Arial" w:cs="Arial"/>
        </w:rPr>
        <w:t xml:space="preserve">In the initial on-boarding process, and thereafter, EDAM entities may establish their RSE-eligible </w:t>
      </w:r>
      <w:commentRangeStart w:id="243"/>
      <w:r w:rsidRPr="00746F54">
        <w:rPr>
          <w:rFonts w:ascii="Arial" w:hAnsi="Arial" w:cs="Arial"/>
        </w:rPr>
        <w:t>supply</w:t>
      </w:r>
      <w:commentRangeEnd w:id="243"/>
      <w:r w:rsidRPr="00746F54">
        <w:rPr>
          <w:rStyle w:val="CommentReference"/>
          <w:rFonts w:ascii="Arial" w:hAnsi="Arial" w:cs="Arial"/>
        </w:rPr>
        <w:commentReference w:id="243"/>
      </w:r>
      <w:r w:rsidRPr="00746F54">
        <w:rPr>
          <w:rFonts w:ascii="Arial" w:hAnsi="Arial" w:cs="Arial"/>
        </w:rPr>
        <w:t>.  EDAM resources and intertie resources qualified to register, and registered, are RSE-eligible supply upon satisfaction of the requirements set forth below. All resources within the C</w:t>
      </w:r>
      <w:r w:rsidR="002E1230" w:rsidRPr="00746F54">
        <w:rPr>
          <w:rFonts w:ascii="Arial" w:hAnsi="Arial" w:cs="Arial"/>
        </w:rPr>
        <w:t xml:space="preserve">ISO BAA </w:t>
      </w:r>
      <w:r w:rsidRPr="00746F54">
        <w:rPr>
          <w:rFonts w:ascii="Arial" w:hAnsi="Arial" w:cs="Arial"/>
        </w:rPr>
        <w:t xml:space="preserve">are registered as RSE-eligible supply and not subject to additional registration requirements.  </w:t>
      </w:r>
    </w:p>
    <w:p w14:paraId="200226AC" w14:textId="77777777" w:rsidR="00691D5E" w:rsidRPr="00746F54" w:rsidRDefault="00691D5E" w:rsidP="00691D5E">
      <w:pPr>
        <w:pStyle w:val="Heading5"/>
        <w:rPr>
          <w:rFonts w:ascii="Arial" w:hAnsi="Arial" w:cs="Arial"/>
        </w:rPr>
      </w:pPr>
      <w:r w:rsidRPr="00746F54">
        <w:rPr>
          <w:rFonts w:ascii="Arial" w:hAnsi="Arial" w:cs="Arial"/>
        </w:rPr>
        <w:t xml:space="preserve">EDAM Resources </w:t>
      </w:r>
    </w:p>
    <w:p w14:paraId="0D926569" w14:textId="77777777" w:rsidR="00691D5E" w:rsidRPr="00746F54" w:rsidRDefault="00691D5E" w:rsidP="006E21B3">
      <w:pPr>
        <w:rPr>
          <w:rFonts w:ascii="Arial" w:hAnsi="Arial" w:cs="Arial"/>
        </w:rPr>
      </w:pPr>
      <w:r w:rsidRPr="00746F54">
        <w:rPr>
          <w:rFonts w:ascii="Arial" w:hAnsi="Arial" w:cs="Arial"/>
        </w:rPr>
        <w:t xml:space="preserve">EDAM resources include all resources within the balancing area of the EDAM entity, including but not limited to generating units, storage resources, distributed energy resource providers, and demand response providers.  </w:t>
      </w:r>
    </w:p>
    <w:p w14:paraId="44492737" w14:textId="77777777" w:rsidR="00691D5E" w:rsidRPr="00746F54" w:rsidRDefault="00691D5E" w:rsidP="006E21B3">
      <w:pPr>
        <w:rPr>
          <w:rFonts w:ascii="Arial" w:hAnsi="Arial" w:cs="Arial"/>
        </w:rPr>
      </w:pPr>
      <w:r w:rsidRPr="00746F54">
        <w:rPr>
          <w:rFonts w:ascii="Arial" w:hAnsi="Arial" w:cs="Arial"/>
        </w:rPr>
        <w:t xml:space="preserve">Eligible EDAM resources will be registered by the applicable scheduling coordinator with eligibility contingent on the resource maintaining its status as a CAISO-metered entity or scheduling coordinator metered entity, as applicable, and compliance with Section 10 of the CAISO </w:t>
      </w:r>
      <w:commentRangeStart w:id="244"/>
      <w:r w:rsidRPr="00746F54">
        <w:rPr>
          <w:rFonts w:ascii="Arial" w:hAnsi="Arial" w:cs="Arial"/>
        </w:rPr>
        <w:t>Tariff</w:t>
      </w:r>
      <w:commentRangeEnd w:id="244"/>
      <w:r w:rsidRPr="00746F54">
        <w:rPr>
          <w:rStyle w:val="CommentReference"/>
          <w:rFonts w:ascii="Arial" w:hAnsi="Arial" w:cs="Arial"/>
        </w:rPr>
        <w:commentReference w:id="244"/>
      </w:r>
      <w:r w:rsidRPr="00746F54">
        <w:rPr>
          <w:rFonts w:ascii="Arial" w:hAnsi="Arial" w:cs="Arial"/>
        </w:rPr>
        <w:t xml:space="preserve">.   </w:t>
      </w:r>
    </w:p>
    <w:p w14:paraId="45723A0E" w14:textId="77777777" w:rsidR="00691D5E" w:rsidRPr="00746F54" w:rsidRDefault="00691D5E" w:rsidP="00691D5E">
      <w:pPr>
        <w:pStyle w:val="Heading5"/>
        <w:rPr>
          <w:rFonts w:ascii="Arial" w:hAnsi="Arial" w:cs="Arial"/>
        </w:rPr>
      </w:pPr>
      <w:r w:rsidRPr="00746F54">
        <w:rPr>
          <w:rFonts w:ascii="Arial" w:hAnsi="Arial" w:cs="Arial"/>
        </w:rPr>
        <w:t xml:space="preserve">EDAM Intertie Resources </w:t>
      </w:r>
    </w:p>
    <w:p w14:paraId="4A29F317" w14:textId="77777777" w:rsidR="00691D5E" w:rsidRPr="00746F54" w:rsidRDefault="00691D5E" w:rsidP="006E21B3">
      <w:pPr>
        <w:rPr>
          <w:rFonts w:ascii="Arial" w:hAnsi="Arial" w:cs="Arial"/>
        </w:rPr>
      </w:pPr>
      <w:r w:rsidRPr="00746F54">
        <w:rPr>
          <w:rFonts w:ascii="Arial" w:hAnsi="Arial" w:cs="Arial"/>
        </w:rPr>
        <w:t xml:space="preserve">EDAM intertie resources include any resource, including pseudo-tied and dynamically-scheduled resources, that submits bids at the border of an EDAM BAA and a non-EDAM BAA.  </w:t>
      </w:r>
      <w:r w:rsidRPr="00746F54">
        <w:rPr>
          <w:rFonts w:ascii="Arial" w:hAnsi="Arial" w:cs="Arial"/>
        </w:rPr>
        <w:lastRenderedPageBreak/>
        <w:t xml:space="preserve">This includes resources submitting bids at the border where the CAISO balancing authority area joins the border of a non-EDAM BAA.  Intertie resources eligible to register for the RSE include resources bidding at the border of the CAISO balancing authority area that are associated with a forward contract with a load serving entity within the CAISO balancing authority area and/or otherwise possess a reasonable expectation of delivery to the CAISO balancing authority area.  </w:t>
      </w:r>
    </w:p>
    <w:p w14:paraId="465FA88D" w14:textId="77777777" w:rsidR="00691D5E" w:rsidRPr="00746F54" w:rsidRDefault="00691D5E" w:rsidP="006E21B3">
      <w:pPr>
        <w:rPr>
          <w:rFonts w:ascii="Arial" w:hAnsi="Arial" w:cs="Arial"/>
        </w:rPr>
      </w:pPr>
      <w:r w:rsidRPr="00746F54">
        <w:rPr>
          <w:rFonts w:ascii="Arial" w:hAnsi="Arial" w:cs="Arial"/>
        </w:rPr>
        <w:t xml:space="preserve">Eligible intertie resources will be registered by the applicable scheduling coordinator with registration contingent upon CAISO, as the market operator, receipt of an authorized affidavit certifying the MW portion(s) (1) associated with a forward contract with a load-serving entity within the CAISO balancing authority area, and/or (2) for which a reasonable expectation of delivery </w:t>
      </w:r>
      <w:commentRangeStart w:id="245"/>
      <w:r w:rsidRPr="00746F54">
        <w:rPr>
          <w:rFonts w:ascii="Arial" w:hAnsi="Arial" w:cs="Arial"/>
        </w:rPr>
        <w:t>exists</w:t>
      </w:r>
      <w:commentRangeEnd w:id="245"/>
      <w:r w:rsidRPr="00746F54">
        <w:rPr>
          <w:rStyle w:val="CommentReference"/>
          <w:rFonts w:ascii="Arial" w:hAnsi="Arial" w:cs="Arial"/>
        </w:rPr>
        <w:commentReference w:id="245"/>
      </w:r>
      <w:r w:rsidRPr="00746F54">
        <w:rPr>
          <w:rFonts w:ascii="Arial" w:hAnsi="Arial" w:cs="Arial"/>
        </w:rPr>
        <w:t xml:space="preserve">.  </w:t>
      </w:r>
    </w:p>
    <w:p w14:paraId="5ED1F1FA" w14:textId="1EDA76AC" w:rsidR="00691D5E" w:rsidRPr="00746F54" w:rsidRDefault="002E1230" w:rsidP="006E21B3">
      <w:pPr>
        <w:pStyle w:val="Heading3"/>
        <w:rPr>
          <w:rFonts w:ascii="Arial" w:hAnsi="Arial" w:cs="Arial"/>
        </w:rPr>
      </w:pPr>
      <w:bookmarkStart w:id="246" w:name="_Toc211337954"/>
      <w:r w:rsidRPr="00746F54">
        <w:rPr>
          <w:rFonts w:ascii="Arial" w:hAnsi="Arial" w:cs="Arial"/>
        </w:rPr>
        <w:t xml:space="preserve">Process for Market Operator to Establish RSE Obligations </w:t>
      </w:r>
      <w:commentRangeStart w:id="247"/>
      <w:commentRangeStart w:id="248"/>
      <w:commentRangeEnd w:id="247"/>
      <w:r w:rsidR="00691D5E" w:rsidRPr="00746F54">
        <w:rPr>
          <w:rStyle w:val="CommentReference"/>
          <w:rFonts w:ascii="Arial" w:hAnsi="Arial" w:cs="Arial"/>
          <w:b w:val="0"/>
        </w:rPr>
        <w:commentReference w:id="247"/>
      </w:r>
      <w:commentRangeEnd w:id="248"/>
      <w:r w:rsidR="00691D5E" w:rsidRPr="00746F54">
        <w:rPr>
          <w:rStyle w:val="CommentReference"/>
          <w:rFonts w:ascii="Arial" w:hAnsi="Arial" w:cs="Arial"/>
          <w:b w:val="0"/>
        </w:rPr>
        <w:commentReference w:id="248"/>
      </w:r>
      <w:bookmarkEnd w:id="246"/>
    </w:p>
    <w:p w14:paraId="373CEBF9" w14:textId="77777777" w:rsidR="00691D5E" w:rsidRPr="00746F54" w:rsidRDefault="00691D5E" w:rsidP="006E21B3">
      <w:pPr>
        <w:rPr>
          <w:rFonts w:ascii="Arial" w:hAnsi="Arial" w:cs="Arial"/>
        </w:rPr>
      </w:pPr>
      <w:r w:rsidRPr="00746F54">
        <w:rPr>
          <w:rFonts w:ascii="Arial" w:hAnsi="Arial" w:cs="Arial"/>
        </w:rPr>
        <w:t xml:space="preserve">The day-ahead resource sufficiency evaluation considers three demand obligations:  a forecast requirement, an imbalance reserve requirement, and an ancillary service requirement.  </w:t>
      </w:r>
    </w:p>
    <w:p w14:paraId="3735755E" w14:textId="77777777" w:rsidR="00691D5E" w:rsidRPr="00746F54" w:rsidRDefault="00691D5E" w:rsidP="006E21B3">
      <w:pPr>
        <w:rPr>
          <w:rFonts w:ascii="Arial" w:hAnsi="Arial" w:cs="Arial"/>
        </w:rPr>
      </w:pPr>
      <w:r w:rsidRPr="00746F54">
        <w:rPr>
          <w:rFonts w:ascii="Arial" w:hAnsi="Arial" w:cs="Arial"/>
        </w:rPr>
        <w:t xml:space="preserve">The </w:t>
      </w:r>
      <w:commentRangeStart w:id="249"/>
      <w:r w:rsidRPr="00746F54">
        <w:rPr>
          <w:rFonts w:ascii="Arial" w:hAnsi="Arial" w:cs="Arial"/>
        </w:rPr>
        <w:t>market operator will establish advisory demand obligations</w:t>
      </w:r>
      <w:commentRangeEnd w:id="249"/>
      <w:r w:rsidRPr="00746F54">
        <w:rPr>
          <w:rStyle w:val="CommentReference"/>
          <w:rFonts w:ascii="Arial" w:hAnsi="Arial" w:cs="Arial"/>
        </w:rPr>
        <w:commentReference w:id="249"/>
      </w:r>
      <w:r w:rsidRPr="00746F54">
        <w:rPr>
          <w:rFonts w:ascii="Arial" w:hAnsi="Arial" w:cs="Arial"/>
        </w:rPr>
        <w:t xml:space="preserve"> per chosen elections finalized during onboarding detailed in Section 33 of the CAISO tariff for use in each advisory run of the day-ahead resource sufficiency evaluation performed in advance of 9 a.m.  In performing the binding run of the day-ahead resource sufficiency evaluation at approximately 10 a.m., the market </w:t>
      </w:r>
      <w:r w:rsidRPr="00746F54" w:rsidDel="00644225">
        <w:rPr>
          <w:rFonts w:ascii="Arial" w:hAnsi="Arial" w:cs="Arial"/>
        </w:rPr>
        <w:t xml:space="preserve">operator </w:t>
      </w:r>
      <w:r w:rsidRPr="00746F54">
        <w:rPr>
          <w:rFonts w:ascii="Arial" w:hAnsi="Arial" w:cs="Arial"/>
        </w:rPr>
        <w:t xml:space="preserve">will strive to utilize the same demand obligations as in the final 9 a.m. advisory run. </w:t>
      </w:r>
    </w:p>
    <w:p w14:paraId="18E45CAF" w14:textId="77777777" w:rsidR="00691D5E" w:rsidRPr="00746F54" w:rsidRDefault="00691D5E" w:rsidP="00691D5E">
      <w:pPr>
        <w:pStyle w:val="Heading5"/>
        <w:rPr>
          <w:rFonts w:ascii="Arial" w:hAnsi="Arial" w:cs="Arial"/>
        </w:rPr>
      </w:pPr>
      <w:r w:rsidRPr="00746F54">
        <w:rPr>
          <w:rFonts w:ascii="Arial" w:hAnsi="Arial" w:cs="Arial"/>
        </w:rPr>
        <w:t xml:space="preserve">Forecast Requirement </w:t>
      </w:r>
    </w:p>
    <w:p w14:paraId="0BC46EA2" w14:textId="77777777" w:rsidR="00691D5E" w:rsidRPr="00746F54" w:rsidRDefault="00691D5E" w:rsidP="006E21B3">
      <w:pPr>
        <w:rPr>
          <w:rFonts w:ascii="Arial" w:hAnsi="Arial" w:cs="Arial"/>
        </w:rPr>
      </w:pPr>
      <w:r w:rsidRPr="00746F54">
        <w:rPr>
          <w:rFonts w:ascii="Arial" w:hAnsi="Arial" w:cs="Arial"/>
        </w:rPr>
        <w:t>The market operator will establish the BAA Demand Forecast and the Variable Energy Resource Forecast for each EDAM Entity per chosen elections finalized during onboarding detailed in Section 33 of the CAISO tariff</w:t>
      </w:r>
      <w:r w:rsidRPr="00746F54">
        <w:rPr>
          <w:rStyle w:val="CommentReference"/>
          <w:rFonts w:ascii="Arial" w:hAnsi="Arial" w:cs="Arial"/>
        </w:rPr>
        <w:t>.</w:t>
      </w:r>
      <w:r w:rsidRPr="00746F54">
        <w:rPr>
          <w:rFonts w:ascii="Arial" w:hAnsi="Arial" w:cs="Arial"/>
        </w:rPr>
        <w:t xml:space="preserve"> The market operator will also establish the BAA Demand Forecast and the Variable Energy Resource Forecast for the CISO BAA.  Details on the BAA Demand Forecast and the Variable Energy Resource Forecast are discussed in Section 3.1.</w:t>
      </w:r>
      <w:commentRangeStart w:id="250"/>
      <w:r w:rsidRPr="00746F54">
        <w:rPr>
          <w:rFonts w:ascii="Arial" w:hAnsi="Arial" w:cs="Arial"/>
        </w:rPr>
        <w:t>4</w:t>
      </w:r>
      <w:commentRangeEnd w:id="250"/>
      <w:r w:rsidRPr="00746F54">
        <w:rPr>
          <w:rStyle w:val="CommentReference"/>
          <w:rFonts w:ascii="Arial" w:hAnsi="Arial" w:cs="Arial"/>
        </w:rPr>
        <w:commentReference w:id="250"/>
      </w:r>
      <w:r w:rsidRPr="00746F54">
        <w:rPr>
          <w:rFonts w:ascii="Arial" w:hAnsi="Arial" w:cs="Arial"/>
        </w:rPr>
        <w:t>.</w:t>
      </w:r>
      <w:r w:rsidRPr="00746F54" w:rsidDel="00080294">
        <w:rPr>
          <w:rFonts w:ascii="Arial" w:hAnsi="Arial" w:cs="Arial"/>
        </w:rPr>
        <w:t xml:space="preserve"> </w:t>
      </w:r>
      <w:r w:rsidRPr="00746F54">
        <w:rPr>
          <w:rFonts w:ascii="Arial" w:hAnsi="Arial" w:cs="Arial"/>
        </w:rPr>
        <w:t xml:space="preserve"> </w:t>
      </w:r>
    </w:p>
    <w:p w14:paraId="09D4F427" w14:textId="4AD54ED2" w:rsidR="00691D5E" w:rsidRPr="00746F54" w:rsidRDefault="00691D5E" w:rsidP="006E21B3">
      <w:pPr>
        <w:rPr>
          <w:rFonts w:ascii="Arial" w:hAnsi="Arial" w:cs="Arial"/>
        </w:rPr>
      </w:pPr>
      <w:bookmarkStart w:id="251" w:name="_Hlk209781888"/>
      <w:r w:rsidRPr="00746F54">
        <w:rPr>
          <w:rFonts w:ascii="Arial" w:hAnsi="Arial" w:cs="Arial"/>
        </w:rPr>
        <w:t>The market operator will publish the BAA Demand Forecast and Variable Energy Resources Forecast for each EDAM entity at 06:00 and 09:00 with additional publishing, if necessary.  Should additional time be required to ensure complete and accurate forecasting, the market operator may manually hold the 09:00 advisory DA RSE execution</w:t>
      </w:r>
      <w:r w:rsidR="002E1230" w:rsidRPr="00746F54">
        <w:rPr>
          <w:rFonts w:ascii="Arial" w:hAnsi="Arial" w:cs="Arial"/>
        </w:rPr>
        <w:t>, escalate</w:t>
      </w:r>
      <w:r w:rsidR="00AB48F2" w:rsidRPr="00746F54">
        <w:rPr>
          <w:rFonts w:ascii="Arial" w:hAnsi="Arial" w:cs="Arial"/>
        </w:rPr>
        <w:t xml:space="preserve">, </w:t>
      </w:r>
      <w:r w:rsidR="002E1230" w:rsidRPr="00746F54">
        <w:rPr>
          <w:rFonts w:ascii="Arial" w:hAnsi="Arial" w:cs="Arial"/>
        </w:rPr>
        <w:t xml:space="preserve">and send a notification as described above. </w:t>
      </w:r>
    </w:p>
    <w:bookmarkEnd w:id="251"/>
    <w:p w14:paraId="49A73197" w14:textId="77777777" w:rsidR="00691D5E" w:rsidRPr="00746F54" w:rsidRDefault="00691D5E" w:rsidP="00691D5E">
      <w:pPr>
        <w:pStyle w:val="Heading5"/>
        <w:rPr>
          <w:rFonts w:ascii="Arial" w:hAnsi="Arial" w:cs="Arial"/>
        </w:rPr>
      </w:pPr>
      <w:r w:rsidRPr="00746F54">
        <w:rPr>
          <w:rFonts w:ascii="Arial" w:hAnsi="Arial" w:cs="Arial"/>
        </w:rPr>
        <w:t>Imbalance Reserve Requirement</w:t>
      </w:r>
    </w:p>
    <w:p w14:paraId="2E265B41" w14:textId="23903324" w:rsidR="00691D5E" w:rsidRPr="00746F54" w:rsidRDefault="00691D5E" w:rsidP="006E21B3">
      <w:pPr>
        <w:rPr>
          <w:rFonts w:ascii="Arial" w:hAnsi="Arial" w:cs="Arial"/>
        </w:rPr>
      </w:pPr>
      <w:bookmarkStart w:id="252" w:name="_Hlk210197598"/>
      <w:r w:rsidRPr="00746F54">
        <w:rPr>
          <w:rFonts w:ascii="Arial" w:hAnsi="Arial" w:cs="Arial"/>
        </w:rPr>
        <w:t xml:space="preserve">The market </w:t>
      </w:r>
      <w:r w:rsidRPr="00746F54" w:rsidDel="00DE5C28">
        <w:rPr>
          <w:rFonts w:ascii="Arial" w:hAnsi="Arial" w:cs="Arial"/>
        </w:rPr>
        <w:t>operator</w:t>
      </w:r>
      <w:r w:rsidRPr="00746F54">
        <w:rPr>
          <w:rFonts w:ascii="Arial" w:hAnsi="Arial" w:cs="Arial"/>
        </w:rPr>
        <w:t xml:space="preserve"> will establish an imbalance reserve requirement for each balancing authority in the EDAM area in both the upwards and downwards direction.  The imbalance reserve requirements are established in accordance with Section 31.3.1.6 of the CAISO tariff and are discussed in further detail in Market Operations BPM and Market Operations Appendix.  Adjustments to the Imbalance reserves requirements are not made by the market operator or </w:t>
      </w:r>
      <w:r w:rsidRPr="00746F54">
        <w:rPr>
          <w:rFonts w:ascii="Arial" w:hAnsi="Arial" w:cs="Arial"/>
        </w:rPr>
        <w:lastRenderedPageBreak/>
        <w:t>EDAM entities.  For the resource sufficiency evaluation, an imbalance reserve requirement is calculated for the advisory executions starting at 06:00.  Upon publication of the final load forecast at 09:00, a final imbalance reserve requirement is calculated for the 10:00 binding resource sufficiency execution unless additional time is required to ensure complete and accurate imbalance reserve requirements. For more information on the resource sufficiency evaluation, see section 4.1</w:t>
      </w:r>
      <w:commentRangeStart w:id="253"/>
      <w:commentRangeEnd w:id="253"/>
      <w:r w:rsidRPr="00746F54">
        <w:rPr>
          <w:rStyle w:val="CommentReference"/>
          <w:rFonts w:ascii="Arial" w:hAnsi="Arial" w:cs="Arial"/>
        </w:rPr>
        <w:commentReference w:id="253"/>
      </w:r>
      <w:r w:rsidRPr="00746F54">
        <w:rPr>
          <w:rFonts w:ascii="Arial" w:hAnsi="Arial" w:cs="Arial"/>
        </w:rPr>
        <w:t xml:space="preserve">.  </w:t>
      </w:r>
    </w:p>
    <w:bookmarkEnd w:id="252"/>
    <w:p w14:paraId="10878796" w14:textId="77777777" w:rsidR="00691D5E" w:rsidRPr="00746F54" w:rsidRDefault="00691D5E" w:rsidP="00691D5E">
      <w:pPr>
        <w:pStyle w:val="Heading5"/>
        <w:rPr>
          <w:rFonts w:ascii="Arial" w:hAnsi="Arial" w:cs="Arial"/>
        </w:rPr>
      </w:pPr>
      <w:r w:rsidRPr="00746F54">
        <w:rPr>
          <w:rFonts w:ascii="Arial" w:hAnsi="Arial" w:cs="Arial"/>
        </w:rPr>
        <w:t>Ancillary Service Requirement</w:t>
      </w:r>
    </w:p>
    <w:p w14:paraId="3A693718" w14:textId="2BDA96B6" w:rsidR="00691D5E" w:rsidRPr="00746F54" w:rsidRDefault="00691D5E" w:rsidP="006E21B3">
      <w:pPr>
        <w:rPr>
          <w:rFonts w:ascii="Arial" w:hAnsi="Arial" w:cs="Arial"/>
        </w:rPr>
      </w:pPr>
      <w:r w:rsidRPr="00746F54">
        <w:rPr>
          <w:rFonts w:ascii="Arial" w:hAnsi="Arial" w:cs="Arial"/>
        </w:rPr>
        <w:t xml:space="preserve">Based on the ancillary service requirements communicated by each EDAM entity, the market operator will utilize the communicated requirements to document the ancillary service requirement for each EDAM entity based on the ancillary service requirements communicated by the EDAM entity scheduling coordinator to the market operator prior to the advisory runs of the day-ahead resource sufficiency evaluation.  The appropriate entity should utilize the SIBR interface to submit the required values.  </w:t>
      </w:r>
    </w:p>
    <w:p w14:paraId="717376FF" w14:textId="77777777" w:rsidR="00691D5E" w:rsidRPr="00746F54" w:rsidRDefault="00691D5E" w:rsidP="006E21B3">
      <w:pPr>
        <w:rPr>
          <w:rFonts w:ascii="Arial" w:hAnsi="Arial" w:cs="Arial"/>
        </w:rPr>
      </w:pPr>
      <w:r w:rsidRPr="00746F54">
        <w:rPr>
          <w:rFonts w:ascii="Arial" w:hAnsi="Arial" w:cs="Arial"/>
        </w:rPr>
        <w:t>The m</w:t>
      </w:r>
      <w:commentRangeStart w:id="254"/>
      <w:r w:rsidRPr="00746F54">
        <w:rPr>
          <w:rFonts w:ascii="Arial" w:hAnsi="Arial" w:cs="Arial"/>
        </w:rPr>
        <w:t xml:space="preserve">arket operator will establish the ancillary service requirement for the CAISO balancing authority area based on Section 8 of the CAISO tariff and the implementing business practice manuals.  </w:t>
      </w:r>
      <w:commentRangeEnd w:id="254"/>
      <w:r w:rsidRPr="00746F54">
        <w:rPr>
          <w:rStyle w:val="CommentReference"/>
          <w:rFonts w:ascii="Arial" w:hAnsi="Arial" w:cs="Arial"/>
        </w:rPr>
        <w:commentReference w:id="254"/>
      </w:r>
    </w:p>
    <w:p w14:paraId="75A90853" w14:textId="6ABE579D" w:rsidR="00691D5E" w:rsidRPr="00746F54" w:rsidRDefault="00691D5E" w:rsidP="006E21B3">
      <w:pPr>
        <w:rPr>
          <w:rFonts w:ascii="Arial" w:hAnsi="Arial" w:cs="Arial"/>
        </w:rPr>
      </w:pPr>
      <w:r w:rsidRPr="00746F54">
        <w:rPr>
          <w:rFonts w:ascii="Arial" w:hAnsi="Arial" w:cs="Arial"/>
        </w:rPr>
        <w:t>The ancillary service requirement utilized by the market operator</w:t>
      </w:r>
      <w:r w:rsidRPr="00746F54" w:rsidDel="002276D8">
        <w:rPr>
          <w:rFonts w:ascii="Arial" w:hAnsi="Arial" w:cs="Arial"/>
        </w:rPr>
        <w:t xml:space="preserve"> </w:t>
      </w:r>
      <w:r w:rsidRPr="00746F54">
        <w:rPr>
          <w:rFonts w:ascii="Arial" w:hAnsi="Arial" w:cs="Arial"/>
        </w:rPr>
        <w:t xml:space="preserve">in the 9 a.m. advisory run of the day-ahead resource sufficiency evaluation will be utilized in the 10 a.m. binding run of the day-ahead resource sufficiency evaluation unless additional time be required to ensure a complete and accurate </w:t>
      </w:r>
      <w:r w:rsidR="002E1230" w:rsidRPr="00746F54">
        <w:rPr>
          <w:rFonts w:ascii="Arial" w:hAnsi="Arial" w:cs="Arial"/>
        </w:rPr>
        <w:t>ancillary service requirements</w:t>
      </w:r>
      <w:r w:rsidRPr="00746F54">
        <w:rPr>
          <w:rFonts w:ascii="Arial" w:hAnsi="Arial" w:cs="Arial"/>
        </w:rPr>
        <w:t xml:space="preserve">.  </w:t>
      </w:r>
    </w:p>
    <w:p w14:paraId="70B1435F" w14:textId="77777777" w:rsidR="00691D5E" w:rsidRPr="00746F54" w:rsidRDefault="00691D5E" w:rsidP="00691D5E">
      <w:pPr>
        <w:pStyle w:val="Heading5"/>
        <w:rPr>
          <w:rFonts w:ascii="Arial" w:hAnsi="Arial" w:cs="Arial"/>
        </w:rPr>
      </w:pPr>
      <w:commentRangeStart w:id="255"/>
      <w:r w:rsidRPr="00746F54">
        <w:rPr>
          <w:rFonts w:ascii="Arial" w:hAnsi="Arial" w:cs="Arial"/>
        </w:rPr>
        <w:t xml:space="preserve">Demand Response/Load Modification Adjustments </w:t>
      </w:r>
      <w:commentRangeEnd w:id="255"/>
      <w:r w:rsidRPr="00746F54">
        <w:rPr>
          <w:rStyle w:val="CommentReference"/>
          <w:rFonts w:ascii="Arial" w:hAnsi="Arial" w:cs="Arial"/>
          <w:b w:val="0"/>
        </w:rPr>
        <w:commentReference w:id="255"/>
      </w:r>
      <w:r w:rsidRPr="00746F54">
        <w:rPr>
          <w:rFonts w:ascii="Arial" w:hAnsi="Arial" w:cs="Arial"/>
        </w:rPr>
        <w:t>that are not RDRR</w:t>
      </w:r>
    </w:p>
    <w:p w14:paraId="5B729104" w14:textId="183385AC" w:rsidR="00691D5E" w:rsidRPr="00746F54" w:rsidRDefault="00691D5E" w:rsidP="006E21B3">
      <w:pPr>
        <w:rPr>
          <w:rFonts w:ascii="Arial" w:hAnsi="Arial" w:cs="Arial"/>
        </w:rPr>
      </w:pPr>
      <w:r w:rsidRPr="00746F54">
        <w:rPr>
          <w:rFonts w:ascii="Arial" w:hAnsi="Arial" w:cs="Arial"/>
        </w:rPr>
        <w:t>To account for demand response programs administered within its balancing area that do not qualify as RSE-eligible supply, and are not RDRR, each EDAM entity retains discretion to submit an adjustment to its CAISO Forecast of BAA Demand to account for such programs via API interfaces</w:t>
      </w:r>
      <w:r w:rsidR="006E21B3" w:rsidRPr="00746F54">
        <w:rPr>
          <w:rFonts w:ascii="Arial" w:hAnsi="Arial" w:cs="Arial"/>
        </w:rPr>
        <w:t xml:space="preserve">. </w:t>
      </w:r>
      <w:r w:rsidRPr="00746F54">
        <w:rPr>
          <w:rFonts w:ascii="Arial" w:hAnsi="Arial" w:cs="Arial"/>
        </w:rPr>
        <w:t xml:space="preserve"> The adjustments must be received prior to </w:t>
      </w:r>
      <w:commentRangeStart w:id="256"/>
      <w:r w:rsidRPr="00746F54">
        <w:rPr>
          <w:rFonts w:ascii="Arial" w:hAnsi="Arial" w:cs="Arial"/>
        </w:rPr>
        <w:t xml:space="preserve">07:00 a.m. before the </w:t>
      </w:r>
      <w:commentRangeEnd w:id="256"/>
      <w:r w:rsidRPr="00746F54">
        <w:rPr>
          <w:rFonts w:ascii="Arial" w:hAnsi="Arial" w:cs="Arial"/>
        </w:rPr>
        <w:t>Day-Ahead</w:t>
      </w:r>
      <w:r w:rsidRPr="00746F54">
        <w:rPr>
          <w:rStyle w:val="CommentReference"/>
          <w:rFonts w:ascii="Arial" w:hAnsi="Arial" w:cs="Arial"/>
        </w:rPr>
        <w:commentReference w:id="256"/>
      </w:r>
      <w:r w:rsidRPr="00746F54">
        <w:rPr>
          <w:rFonts w:ascii="Arial" w:hAnsi="Arial" w:cs="Arial"/>
        </w:rPr>
        <w:t xml:space="preserve"> close for evaluation in the binding day-ahead resource sufficiency evaluation and applicable CAISO Forecast of BAA </w:t>
      </w:r>
      <w:commentRangeStart w:id="257"/>
      <w:commentRangeStart w:id="258"/>
      <w:r w:rsidRPr="00746F54">
        <w:rPr>
          <w:rFonts w:ascii="Arial" w:hAnsi="Arial" w:cs="Arial"/>
        </w:rPr>
        <w:t>Demand</w:t>
      </w:r>
      <w:commentRangeEnd w:id="257"/>
      <w:r w:rsidRPr="00746F54">
        <w:rPr>
          <w:rStyle w:val="CommentReference"/>
          <w:rFonts w:ascii="Arial" w:hAnsi="Arial" w:cs="Arial"/>
        </w:rPr>
        <w:commentReference w:id="257"/>
      </w:r>
      <w:commentRangeEnd w:id="258"/>
      <w:r w:rsidRPr="00746F54">
        <w:rPr>
          <w:rStyle w:val="CommentReference"/>
          <w:rFonts w:ascii="Arial" w:hAnsi="Arial" w:cs="Arial"/>
        </w:rPr>
        <w:commentReference w:id="258"/>
      </w:r>
      <w:r w:rsidRPr="00746F54">
        <w:rPr>
          <w:rFonts w:ascii="Arial" w:hAnsi="Arial" w:cs="Arial"/>
        </w:rPr>
        <w:t>. DR schedules submitted after 07:00 but prior to 09:00 will be considered for inclusion into the day-ahead CAISO Forecast of BAA demand where feasible on a case-by-case basis.</w:t>
      </w:r>
    </w:p>
    <w:p w14:paraId="553229E2" w14:textId="77777777" w:rsidR="00691D5E" w:rsidRPr="00746F54" w:rsidRDefault="00691D5E" w:rsidP="006E21B3">
      <w:pPr>
        <w:rPr>
          <w:rFonts w:ascii="Arial" w:hAnsi="Arial" w:cs="Arial"/>
        </w:rPr>
      </w:pPr>
      <w:r w:rsidRPr="00746F54">
        <w:rPr>
          <w:rFonts w:ascii="Arial" w:hAnsi="Arial" w:cs="Arial"/>
        </w:rPr>
        <w:t xml:space="preserve">EDAM entities submitting adjustments to the applicable CAISO Forecast of BAA demand for use in the binding day-ahead resource sufficiency evaluation must enable or deploy the reduction response corresponding to the adjustment consistent with the applicable requirements of the reduction response program.  </w:t>
      </w:r>
    </w:p>
    <w:p w14:paraId="007D9E5E" w14:textId="1F43B02A" w:rsidR="00691D5E" w:rsidRPr="00746F54" w:rsidRDefault="00691D5E" w:rsidP="006E21B3">
      <w:pPr>
        <w:rPr>
          <w:rFonts w:ascii="Arial" w:hAnsi="Arial" w:cs="Arial"/>
        </w:rPr>
      </w:pPr>
      <w:r w:rsidRPr="00746F54">
        <w:rPr>
          <w:rFonts w:ascii="Arial" w:hAnsi="Arial" w:cs="Arial"/>
        </w:rPr>
        <w:t xml:space="preserve">The CAISO’s use of the demand response and load modification adjustments to reflect programs administered within the CAISO balancing authority area is discussed in section 6.7.2.51. </w:t>
      </w:r>
      <w:r w:rsidR="002E1230" w:rsidRPr="00746F54">
        <w:rPr>
          <w:rFonts w:ascii="Arial" w:hAnsi="Arial" w:cs="Arial"/>
        </w:rPr>
        <w:t>of</w:t>
      </w:r>
      <w:r w:rsidRPr="00746F54">
        <w:rPr>
          <w:rFonts w:ascii="Arial" w:hAnsi="Arial" w:cs="Arial"/>
        </w:rPr>
        <w:t xml:space="preserve"> the Market Op</w:t>
      </w:r>
      <w:r w:rsidR="002E1230" w:rsidRPr="00746F54">
        <w:rPr>
          <w:rFonts w:ascii="Arial" w:hAnsi="Arial" w:cs="Arial"/>
        </w:rPr>
        <w:t>erations</w:t>
      </w:r>
      <w:r w:rsidRPr="00746F54">
        <w:rPr>
          <w:rFonts w:ascii="Arial" w:hAnsi="Arial" w:cs="Arial"/>
        </w:rPr>
        <w:t xml:space="preserve"> </w:t>
      </w:r>
      <w:commentRangeStart w:id="259"/>
      <w:r w:rsidRPr="00746F54">
        <w:rPr>
          <w:rFonts w:ascii="Arial" w:hAnsi="Arial" w:cs="Arial"/>
        </w:rPr>
        <w:t>BPM</w:t>
      </w:r>
      <w:commentRangeEnd w:id="259"/>
      <w:r w:rsidRPr="00746F54">
        <w:rPr>
          <w:rStyle w:val="CommentReference"/>
          <w:rFonts w:ascii="Arial" w:hAnsi="Arial" w:cs="Arial"/>
        </w:rPr>
        <w:commentReference w:id="259"/>
      </w:r>
      <w:r w:rsidRPr="00746F54">
        <w:rPr>
          <w:rFonts w:ascii="Arial" w:hAnsi="Arial" w:cs="Arial"/>
        </w:rPr>
        <w:t>.</w:t>
      </w:r>
    </w:p>
    <w:p w14:paraId="6E3138C3" w14:textId="77777777" w:rsidR="00691D5E" w:rsidRPr="00746F54" w:rsidRDefault="00691D5E" w:rsidP="00691D5E">
      <w:pPr>
        <w:ind w:left="720"/>
        <w:rPr>
          <w:rFonts w:ascii="Arial" w:hAnsi="Arial" w:cs="Arial"/>
        </w:rPr>
      </w:pPr>
    </w:p>
    <w:p w14:paraId="715B8F04" w14:textId="77777777" w:rsidR="00691D5E" w:rsidRPr="00746F54" w:rsidRDefault="00691D5E" w:rsidP="00691D5E">
      <w:pPr>
        <w:pStyle w:val="Heading5"/>
        <w:rPr>
          <w:rFonts w:ascii="Arial" w:hAnsi="Arial" w:cs="Arial"/>
        </w:rPr>
      </w:pPr>
      <w:r w:rsidRPr="00746F54">
        <w:rPr>
          <w:rFonts w:ascii="Arial" w:hAnsi="Arial" w:cs="Arial"/>
        </w:rPr>
        <w:lastRenderedPageBreak/>
        <w:t xml:space="preserve">Transfers Between EDAM BAAs in Support of EDAM RSE </w:t>
      </w:r>
    </w:p>
    <w:p w14:paraId="608A93B2" w14:textId="7ADAD20A" w:rsidR="00691D5E" w:rsidRPr="00746F54" w:rsidRDefault="00691D5E" w:rsidP="006E21B3">
      <w:pPr>
        <w:rPr>
          <w:rFonts w:ascii="Arial" w:hAnsi="Arial" w:cs="Arial"/>
        </w:rPr>
      </w:pPr>
      <w:r w:rsidRPr="00746F54">
        <w:rPr>
          <w:rFonts w:ascii="Arial" w:hAnsi="Arial" w:cs="Arial"/>
        </w:rPr>
        <w:t xml:space="preserve">To </w:t>
      </w:r>
      <w:r w:rsidR="002E1230" w:rsidRPr="00746F54">
        <w:rPr>
          <w:rFonts w:ascii="Arial" w:hAnsi="Arial" w:cs="Arial"/>
        </w:rPr>
        <w:t xml:space="preserve">implement the </w:t>
      </w:r>
      <w:r w:rsidRPr="00746F54">
        <w:rPr>
          <w:rFonts w:ascii="Arial" w:hAnsi="Arial" w:cs="Arial"/>
        </w:rPr>
        <w:t>account</w:t>
      </w:r>
      <w:r w:rsidR="002E1230" w:rsidRPr="00746F54">
        <w:rPr>
          <w:rFonts w:ascii="Arial" w:hAnsi="Arial" w:cs="Arial"/>
        </w:rPr>
        <w:t>ing</w:t>
      </w:r>
      <w:r w:rsidRPr="00746F54">
        <w:rPr>
          <w:rFonts w:ascii="Arial" w:hAnsi="Arial" w:cs="Arial"/>
        </w:rPr>
        <w:t xml:space="preserve"> for EDAM transfers supported by firm or conditional firm point-to-point transmission service or network integration transmission service across an EDAM Internal Intertie released in accordance with Section 33.18.2.1 of the CAISO tariff, the market operator will adjust the BAA Demand Forecast for each applicable entity to reduce the forecast obligation of the importing balancing authority area and to increase the forecast obligation of the exporting balancing authority area in an amount corresponding to the EDAM transfer supported by firm or conditional firm point-to-point transmission service or network integration transmission service across an EDAM Internal Intertie.  </w:t>
      </w:r>
      <w:r w:rsidR="002E1230" w:rsidRPr="00746F54">
        <w:rPr>
          <w:rFonts w:ascii="Arial" w:hAnsi="Arial" w:cs="Arial"/>
        </w:rPr>
        <w:t xml:space="preserve">This is referred to as the EDAM transfer adjustment.  </w:t>
      </w:r>
    </w:p>
    <w:p w14:paraId="3F510E9F" w14:textId="1CB23C1A" w:rsidR="00691D5E" w:rsidRPr="00746F54" w:rsidRDefault="00691D5E" w:rsidP="006E21B3">
      <w:pPr>
        <w:rPr>
          <w:rFonts w:ascii="Arial" w:hAnsi="Arial" w:cs="Arial"/>
        </w:rPr>
      </w:pPr>
      <w:r w:rsidRPr="00746F54">
        <w:rPr>
          <w:rFonts w:ascii="Arial" w:hAnsi="Arial" w:cs="Arial"/>
        </w:rPr>
        <w:t xml:space="preserve">To reflect transfers between EDAM BAAs in support of the EDAM RSE, the market operator will </w:t>
      </w:r>
      <w:commentRangeStart w:id="260"/>
      <w:r w:rsidRPr="00746F54">
        <w:rPr>
          <w:rFonts w:ascii="Arial" w:hAnsi="Arial" w:cs="Arial"/>
        </w:rPr>
        <w:t>automatically</w:t>
      </w:r>
      <w:commentRangeEnd w:id="260"/>
      <w:r w:rsidRPr="00746F54">
        <w:rPr>
          <w:rStyle w:val="CommentReference"/>
          <w:rFonts w:ascii="Arial" w:hAnsi="Arial" w:cs="Arial"/>
        </w:rPr>
        <w:commentReference w:id="260"/>
      </w:r>
      <w:r w:rsidRPr="00746F54">
        <w:rPr>
          <w:rFonts w:ascii="Arial" w:hAnsi="Arial" w:cs="Arial"/>
        </w:rPr>
        <w:t xml:space="preserve"> reflect the corresponding adjustments in each advisory run of the </w:t>
      </w:r>
      <w:r w:rsidR="002E1230" w:rsidRPr="00746F54">
        <w:rPr>
          <w:rFonts w:ascii="Arial" w:hAnsi="Arial" w:cs="Arial"/>
        </w:rPr>
        <w:t>EDAM RSE</w:t>
      </w:r>
      <w:r w:rsidRPr="00746F54">
        <w:rPr>
          <w:rFonts w:ascii="Arial" w:hAnsi="Arial" w:cs="Arial"/>
        </w:rPr>
        <w:t xml:space="preserve">.  The EDAM transfer adjustment to the applicable BAA Demand Forecast utilized by the market operator in the 9 a.m. advisory run of the day-ahead resource sufficiency evaluation will be utilized in the 10 a.m. binding run of the day-ahead resource sufficiency evaluation unless it is feasible and consistent with good utility practice and judgement of the market operator to utilize an alternative forecast in the binding run of the day-ahead resource sufficiency </w:t>
      </w:r>
      <w:commentRangeStart w:id="261"/>
      <w:commentRangeStart w:id="262"/>
      <w:r w:rsidRPr="00746F54">
        <w:rPr>
          <w:rFonts w:ascii="Arial" w:hAnsi="Arial" w:cs="Arial"/>
        </w:rPr>
        <w:t>evaluation</w:t>
      </w:r>
      <w:commentRangeEnd w:id="261"/>
      <w:r w:rsidRPr="00746F54">
        <w:rPr>
          <w:rStyle w:val="CommentReference"/>
          <w:rFonts w:ascii="Arial" w:hAnsi="Arial" w:cs="Arial"/>
        </w:rPr>
        <w:commentReference w:id="261"/>
      </w:r>
      <w:commentRangeEnd w:id="262"/>
      <w:r w:rsidRPr="00746F54">
        <w:rPr>
          <w:rStyle w:val="CommentReference"/>
          <w:rFonts w:ascii="Arial" w:hAnsi="Arial" w:cs="Arial"/>
        </w:rPr>
        <w:commentReference w:id="262"/>
      </w:r>
      <w:r w:rsidRPr="00746F54">
        <w:rPr>
          <w:rFonts w:ascii="Arial" w:hAnsi="Arial" w:cs="Arial"/>
        </w:rPr>
        <w:t>.  Release of transfer capacity to EDAM must be completed prior to the 9 a.m. advisory run of the day-ahead resource sufficiency evaluation.</w:t>
      </w:r>
    </w:p>
    <w:p w14:paraId="23AAC660" w14:textId="388A3B15" w:rsidR="00691D5E" w:rsidRPr="00746F54" w:rsidRDefault="00691D5E" w:rsidP="00691D5E">
      <w:pPr>
        <w:pStyle w:val="Heading3"/>
        <w:rPr>
          <w:rFonts w:ascii="Arial" w:hAnsi="Arial" w:cs="Arial"/>
        </w:rPr>
      </w:pPr>
      <w:bookmarkStart w:id="263" w:name="_Toc211337955"/>
      <w:r w:rsidRPr="00746F54">
        <w:rPr>
          <w:rFonts w:ascii="Arial" w:hAnsi="Arial" w:cs="Arial"/>
        </w:rPr>
        <w:t>Conducting the EDAM RSE</w:t>
      </w:r>
      <w:bookmarkEnd w:id="263"/>
      <w:r w:rsidRPr="00746F54">
        <w:rPr>
          <w:rFonts w:ascii="Arial" w:hAnsi="Arial" w:cs="Arial"/>
        </w:rPr>
        <w:t xml:space="preserve"> </w:t>
      </w:r>
    </w:p>
    <w:p w14:paraId="01371C17" w14:textId="6C9435AD" w:rsidR="006E21B3" w:rsidRPr="00746F54" w:rsidRDefault="006E21B3" w:rsidP="006E21B3">
      <w:pPr>
        <w:rPr>
          <w:rFonts w:ascii="Arial" w:hAnsi="Arial" w:cs="Arial"/>
          <w:u w:val="single"/>
        </w:rPr>
      </w:pPr>
      <w:r w:rsidRPr="00746F54">
        <w:rPr>
          <w:rFonts w:ascii="Arial" w:hAnsi="Arial" w:cs="Arial"/>
          <w:u w:val="single"/>
        </w:rPr>
        <w:t>Reference tariff sections 33.31.1.3, 33.31.1.4, and 33.31.1.6</w:t>
      </w:r>
    </w:p>
    <w:p w14:paraId="698917D4" w14:textId="10AE13B7" w:rsidR="00691D5E" w:rsidRPr="00746F54" w:rsidRDefault="00691D5E" w:rsidP="006E21B3">
      <w:pPr>
        <w:rPr>
          <w:rFonts w:ascii="Arial" w:hAnsi="Arial" w:cs="Arial"/>
        </w:rPr>
      </w:pPr>
      <w:r w:rsidRPr="00746F54">
        <w:rPr>
          <w:rFonts w:ascii="Arial" w:hAnsi="Arial" w:cs="Arial"/>
        </w:rPr>
        <w:t xml:space="preserve">Immediately in advance of the day-ahead market, at approximately 10 a.m., </w:t>
      </w:r>
      <w:commentRangeStart w:id="264"/>
      <w:r w:rsidRPr="00746F54">
        <w:rPr>
          <w:rFonts w:ascii="Arial" w:hAnsi="Arial" w:cs="Arial"/>
        </w:rPr>
        <w:t xml:space="preserve">the market operator will manually execute </w:t>
      </w:r>
      <w:commentRangeEnd w:id="264"/>
      <w:r w:rsidRPr="00746F54">
        <w:rPr>
          <w:rStyle w:val="CommentReference"/>
          <w:rFonts w:ascii="Arial" w:hAnsi="Arial" w:cs="Arial"/>
        </w:rPr>
        <w:commentReference w:id="264"/>
      </w:r>
      <w:r w:rsidRPr="00746F54">
        <w:rPr>
          <w:rFonts w:ascii="Arial" w:hAnsi="Arial" w:cs="Arial"/>
        </w:rPr>
        <w:t xml:space="preserve">the binding run of the day-ahead resource sufficiency evaluation.  This binding run will evaluate the RSE-eligible supply options against the demand obligations established for each balancing area to determine whether each balancing area has shown sufficient supply to satisfy its forecasted demand obligations in both the upward and downward directions, forecasted imbalance reserve requirements, and forecasted ancillary service obligations. Failure to satisfy the obligations of the binding run of the day-ahead resource sufficiency evaluation may cause a balancing authority to incur financial surcharges.  </w:t>
      </w:r>
    </w:p>
    <w:p w14:paraId="4B6420BE" w14:textId="65530081" w:rsidR="00691D5E" w:rsidRPr="00746F54" w:rsidRDefault="006E21B3" w:rsidP="00691D5E">
      <w:pPr>
        <w:pStyle w:val="Heading4"/>
        <w:rPr>
          <w:rFonts w:ascii="Arial" w:hAnsi="Arial" w:cs="Arial"/>
        </w:rPr>
      </w:pPr>
      <w:r w:rsidRPr="00746F54">
        <w:rPr>
          <w:rFonts w:ascii="Arial" w:hAnsi="Arial" w:cs="Arial"/>
        </w:rPr>
        <w:t>Inclusion in the EDAM Pool</w:t>
      </w:r>
    </w:p>
    <w:p w14:paraId="5B48F51C" w14:textId="77777777" w:rsidR="00691D5E" w:rsidRPr="00746F54" w:rsidRDefault="00691D5E" w:rsidP="006E21B3">
      <w:pPr>
        <w:rPr>
          <w:rFonts w:ascii="Arial" w:hAnsi="Arial" w:cs="Arial"/>
        </w:rPr>
      </w:pPr>
      <w:r w:rsidRPr="00746F54">
        <w:rPr>
          <w:rFonts w:ascii="Arial" w:hAnsi="Arial" w:cs="Arial"/>
        </w:rPr>
        <w:t xml:space="preserve">Balancing areas that satisfy the upward requirements of the binding day-ahead sufficiency evaluation in each hour will be placed in the EDAM Upward Pool for purposes of evaluation in the WEIM RSE.  </w:t>
      </w:r>
    </w:p>
    <w:p w14:paraId="18F01614" w14:textId="7CB87B40" w:rsidR="00691D5E" w:rsidRPr="00746F54" w:rsidRDefault="00691D5E" w:rsidP="006E21B3">
      <w:pPr>
        <w:rPr>
          <w:rFonts w:ascii="Arial" w:hAnsi="Arial" w:cs="Arial"/>
        </w:rPr>
      </w:pPr>
      <w:r w:rsidRPr="00746F54">
        <w:rPr>
          <w:rFonts w:ascii="Arial" w:hAnsi="Arial" w:cs="Arial"/>
        </w:rPr>
        <w:t xml:space="preserve">Balancing areas that fail to satisfy the upward requirements of the binding day-ahead sufficiency evaluation in each hour, but who incur the applicable surcharge and satisfy their obligations through the </w:t>
      </w:r>
      <w:r w:rsidR="000D11B2" w:rsidRPr="00746F54">
        <w:rPr>
          <w:rFonts w:ascii="Arial" w:hAnsi="Arial" w:cs="Arial"/>
        </w:rPr>
        <w:t>IFM</w:t>
      </w:r>
      <w:r w:rsidRPr="00746F54">
        <w:rPr>
          <w:rFonts w:ascii="Arial" w:hAnsi="Arial" w:cs="Arial"/>
        </w:rPr>
        <w:t>, will be placed in the EDAM Upward Pool for purposes of evaluation in the WEIM RSE.</w:t>
      </w:r>
    </w:p>
    <w:p w14:paraId="4D8BCE1D" w14:textId="77777777" w:rsidR="00691D5E" w:rsidRPr="00746F54" w:rsidRDefault="00691D5E" w:rsidP="006E21B3">
      <w:pPr>
        <w:rPr>
          <w:rFonts w:ascii="Arial" w:hAnsi="Arial" w:cs="Arial"/>
        </w:rPr>
      </w:pPr>
      <w:r w:rsidRPr="00746F54">
        <w:rPr>
          <w:rFonts w:ascii="Arial" w:hAnsi="Arial" w:cs="Arial"/>
        </w:rPr>
        <w:t xml:space="preserve">Balancing areas that satisfy the downward requirements of the binding day-ahead sufficiency evaluation in each hour will be placed in the EDAM Downward Pool for purposes of evaluation in the WEIM RSE.  </w:t>
      </w:r>
    </w:p>
    <w:p w14:paraId="076F0801" w14:textId="4C5D33DF" w:rsidR="00691D5E" w:rsidRPr="00746F54" w:rsidRDefault="00691D5E" w:rsidP="006E21B3">
      <w:pPr>
        <w:rPr>
          <w:rFonts w:ascii="Arial" w:hAnsi="Arial" w:cs="Arial"/>
        </w:rPr>
      </w:pPr>
      <w:r w:rsidRPr="00746F54">
        <w:rPr>
          <w:rFonts w:ascii="Arial" w:hAnsi="Arial" w:cs="Arial"/>
        </w:rPr>
        <w:lastRenderedPageBreak/>
        <w:t xml:space="preserve">Balancing areas that fail to satisfy the downward requirements of the binding day-ahead sufficiency evaluation in each hour, but who incur the applicable surcharge and satisfy their obligations through the </w:t>
      </w:r>
      <w:r w:rsidR="000D11B2" w:rsidRPr="00746F54">
        <w:rPr>
          <w:rFonts w:ascii="Arial" w:hAnsi="Arial" w:cs="Arial"/>
        </w:rPr>
        <w:t>IFM</w:t>
      </w:r>
      <w:r w:rsidRPr="00746F54">
        <w:rPr>
          <w:rFonts w:ascii="Arial" w:hAnsi="Arial" w:cs="Arial"/>
        </w:rPr>
        <w:t>, will be placed in the EDAM Downward Pool for purposes of evaluation in the WEIM RSE.</w:t>
      </w:r>
    </w:p>
    <w:p w14:paraId="4992BD31" w14:textId="77777777" w:rsidR="00691D5E" w:rsidRPr="00746F54" w:rsidRDefault="00691D5E" w:rsidP="006E21B3">
      <w:pPr>
        <w:rPr>
          <w:rFonts w:ascii="Arial" w:hAnsi="Arial" w:cs="Arial"/>
        </w:rPr>
      </w:pPr>
      <w:r w:rsidRPr="00746F54">
        <w:rPr>
          <w:rFonts w:ascii="Arial" w:hAnsi="Arial" w:cs="Arial"/>
        </w:rPr>
        <w:t xml:space="preserve">The WEIM RSE’s evaluation of the pools of EDAM Entities, including the entities that opt-in to receive assistance energy transfers through the WEIM, is addressed in the Business Practice Manual for the Energy Imbalance Market.  </w:t>
      </w:r>
    </w:p>
    <w:p w14:paraId="1D70EECC" w14:textId="718F403E" w:rsidR="00691D5E" w:rsidRPr="00746F54" w:rsidRDefault="00691D5E" w:rsidP="00691D5E">
      <w:pPr>
        <w:pStyle w:val="Heading4"/>
        <w:rPr>
          <w:rFonts w:ascii="Arial" w:hAnsi="Arial" w:cs="Arial"/>
        </w:rPr>
      </w:pPr>
      <w:r w:rsidRPr="00746F54">
        <w:rPr>
          <w:rFonts w:ascii="Arial" w:hAnsi="Arial" w:cs="Arial"/>
        </w:rPr>
        <w:t>Tagging</w:t>
      </w:r>
      <w:r w:rsidR="006E21B3" w:rsidRPr="00746F54">
        <w:rPr>
          <w:rFonts w:ascii="Arial" w:hAnsi="Arial" w:cs="Arial"/>
        </w:rPr>
        <w:t xml:space="preserve"> Requirements</w:t>
      </w:r>
      <w:r w:rsidRPr="00746F54">
        <w:rPr>
          <w:rFonts w:ascii="Arial" w:hAnsi="Arial" w:cs="Arial"/>
        </w:rPr>
        <w:t xml:space="preserve"> to Remain in EDAM Pool</w:t>
      </w:r>
    </w:p>
    <w:p w14:paraId="1085D477" w14:textId="77777777" w:rsidR="00691D5E" w:rsidRPr="00746F54" w:rsidRDefault="00691D5E" w:rsidP="003109F1">
      <w:pPr>
        <w:rPr>
          <w:rFonts w:ascii="Arial" w:hAnsi="Arial" w:cs="Arial"/>
        </w:rPr>
      </w:pPr>
      <w:r w:rsidRPr="00746F54">
        <w:rPr>
          <w:rFonts w:ascii="Arial" w:hAnsi="Arial" w:cs="Arial"/>
        </w:rPr>
        <w:t xml:space="preserve">Balancing authorities in the EDAM area must comply with the e-tagging protocols in Section 33.30.8.3 of the CAISO tariff and Section 8 of the Market Operations BPM.  To remain in the applicable EDAM pools, each balancing authority in the EDAM area, or its applicable scheduling coordinator, must submit E-Tags prior to the deadline of five hours before the start of the operating hour.  </w:t>
      </w:r>
    </w:p>
    <w:p w14:paraId="7934903A" w14:textId="77777777" w:rsidR="00691D5E" w:rsidRPr="00746F54" w:rsidRDefault="00691D5E" w:rsidP="003109F1">
      <w:pPr>
        <w:rPr>
          <w:rFonts w:ascii="Arial" w:hAnsi="Arial" w:cs="Arial"/>
        </w:rPr>
      </w:pPr>
      <w:r w:rsidRPr="00746F54">
        <w:rPr>
          <w:rFonts w:ascii="Arial" w:hAnsi="Arial" w:cs="Arial"/>
        </w:rPr>
        <w:t xml:space="preserve">The market operator will not remove from the EDAM pools balancing areas with tagging deficiency where that deficiency is fulfilled through re-supply.  The Market operator will consider as re-supply the additional incremental energy bids from resources internal to the applicable EDAM balancing area above the resource’s day-ahead schedule and not encumbered by day-ahead capacity awards.  </w:t>
      </w:r>
    </w:p>
    <w:p w14:paraId="708DE758" w14:textId="77777777" w:rsidR="00691D5E" w:rsidRPr="00746F54" w:rsidRDefault="00691D5E" w:rsidP="003109F1">
      <w:pPr>
        <w:rPr>
          <w:rFonts w:ascii="Arial" w:hAnsi="Arial" w:cs="Arial"/>
        </w:rPr>
      </w:pPr>
      <w:r w:rsidRPr="00746F54">
        <w:rPr>
          <w:rFonts w:ascii="Arial" w:hAnsi="Arial" w:cs="Arial"/>
        </w:rPr>
        <w:t xml:space="preserve">The market operator will remove a balancing authority from the applicable EDAM pool for the deficient trading hour(s) where such balancing authority has failed to tag sufficient RSE-eligible supply and failed to provide re-supply sufficient to cover the tagging deficiency.  </w:t>
      </w:r>
    </w:p>
    <w:p w14:paraId="0EF118ED" w14:textId="77777777" w:rsidR="00691D5E" w:rsidRPr="00746F54" w:rsidRDefault="00691D5E" w:rsidP="003109F1">
      <w:pPr>
        <w:rPr>
          <w:rFonts w:ascii="Arial" w:hAnsi="Arial" w:cs="Arial"/>
        </w:rPr>
      </w:pPr>
      <w:r w:rsidRPr="00746F54">
        <w:rPr>
          <w:rFonts w:ascii="Arial" w:hAnsi="Arial" w:cs="Arial"/>
        </w:rPr>
        <w:t xml:space="preserve">EDAM entities may utilize their interchange tracking systems to determine the specific RSE eligible supply not fully tagging prior to T-5h.  The SIBR system will display results of the T-5H evaluation including a MW-level summation of RSE Capacity fully tagged for each trade hour.  The EDAM participant may also utilize results of the advisory T-75 execution in BAAOP and take action to before the next advisory RSE at T-55 and the binding RSE at T-40.  </w:t>
      </w:r>
    </w:p>
    <w:p w14:paraId="1027C491" w14:textId="3E2FF42D" w:rsidR="00392CCF" w:rsidRPr="00746F54" w:rsidRDefault="00392CCF" w:rsidP="00392CCF">
      <w:pPr>
        <w:pStyle w:val="Heading3"/>
        <w:rPr>
          <w:rFonts w:ascii="Arial" w:hAnsi="Arial" w:cs="Arial"/>
        </w:rPr>
      </w:pPr>
      <w:bookmarkStart w:id="265" w:name="_Toc211337956"/>
      <w:r w:rsidRPr="00746F54">
        <w:rPr>
          <w:rFonts w:ascii="Arial" w:hAnsi="Arial" w:cs="Arial"/>
        </w:rPr>
        <w:t>Surcharges Upon Failure of the EDAM RSE</w:t>
      </w:r>
      <w:bookmarkEnd w:id="265"/>
    </w:p>
    <w:p w14:paraId="52418631" w14:textId="200720F3" w:rsidR="00392CCF" w:rsidRPr="00746F54" w:rsidRDefault="00392CCF" w:rsidP="00392CCF">
      <w:pPr>
        <w:pStyle w:val="ParaText"/>
        <w:rPr>
          <w:rFonts w:ascii="Arial" w:hAnsi="Arial" w:cs="Arial"/>
        </w:rPr>
      </w:pPr>
      <w:r w:rsidRPr="00746F54">
        <w:rPr>
          <w:rFonts w:ascii="Arial" w:hAnsi="Arial" w:cs="Arial"/>
        </w:rPr>
        <w:t>Reference tariff section</w:t>
      </w:r>
      <w:r w:rsidR="005A3118" w:rsidRPr="00746F54">
        <w:rPr>
          <w:rFonts w:ascii="Arial" w:hAnsi="Arial" w:cs="Arial"/>
        </w:rPr>
        <w:t>s 33.11.2 and</w:t>
      </w:r>
      <w:r w:rsidRPr="00746F54">
        <w:rPr>
          <w:rFonts w:ascii="Arial" w:hAnsi="Arial" w:cs="Arial"/>
        </w:rPr>
        <w:t xml:space="preserve"> 33.31.1.5</w:t>
      </w:r>
    </w:p>
    <w:p w14:paraId="038A9D17" w14:textId="5A982A03" w:rsidR="00392CCF" w:rsidRPr="00746F54" w:rsidRDefault="00436AFE" w:rsidP="00392CCF">
      <w:pPr>
        <w:pStyle w:val="ParaText"/>
        <w:rPr>
          <w:rFonts w:ascii="Arial" w:hAnsi="Arial" w:cs="Arial"/>
        </w:rPr>
      </w:pPr>
      <w:r w:rsidRPr="00746F54">
        <w:rPr>
          <w:rFonts w:ascii="Arial" w:hAnsi="Arial" w:cs="Arial"/>
        </w:rPr>
        <w:t>An EDAM balancing authority area that fails the EDAM RSE in any hour of the day across the 24-hour horizon, in upward or downward direction, may be subject to</w:t>
      </w:r>
      <w:r w:rsidR="002314BE" w:rsidRPr="00746F54">
        <w:rPr>
          <w:rFonts w:ascii="Arial" w:hAnsi="Arial" w:cs="Arial"/>
        </w:rPr>
        <w:t xml:space="preserve"> on-peak or off-peak</w:t>
      </w:r>
      <w:r w:rsidRPr="00746F54">
        <w:rPr>
          <w:rFonts w:ascii="Arial" w:hAnsi="Arial" w:cs="Arial"/>
        </w:rPr>
        <w:t xml:space="preserve"> failure surcharges.</w:t>
      </w:r>
    </w:p>
    <w:p w14:paraId="64628DF8" w14:textId="408E3B3A" w:rsidR="00436AFE" w:rsidRPr="00746F54" w:rsidRDefault="00436AFE" w:rsidP="00392CCF">
      <w:pPr>
        <w:pStyle w:val="ParaText"/>
        <w:rPr>
          <w:rFonts w:ascii="Arial" w:hAnsi="Arial" w:cs="Arial"/>
        </w:rPr>
      </w:pPr>
      <w:r w:rsidRPr="00746F54">
        <w:rPr>
          <w:rFonts w:ascii="Arial" w:hAnsi="Arial" w:cs="Arial"/>
        </w:rPr>
        <w:t xml:space="preserve">The EDAM RSE </w:t>
      </w:r>
      <w:r w:rsidR="000D11B2" w:rsidRPr="00746F54">
        <w:rPr>
          <w:rFonts w:ascii="Arial" w:hAnsi="Arial" w:cs="Arial"/>
        </w:rPr>
        <w:t>Upward</w:t>
      </w:r>
      <w:r w:rsidRPr="00746F54">
        <w:rPr>
          <w:rFonts w:ascii="Arial" w:hAnsi="Arial" w:cs="Arial"/>
        </w:rPr>
        <w:t xml:space="preserve"> failure surcharges are established across three tier structure:</w:t>
      </w:r>
    </w:p>
    <w:p w14:paraId="1EE2C1EA" w14:textId="4D3A38C7" w:rsidR="00436AFE" w:rsidRPr="00746F54" w:rsidRDefault="00436AFE" w:rsidP="00436AFE">
      <w:pPr>
        <w:pStyle w:val="ParaText"/>
        <w:numPr>
          <w:ilvl w:val="0"/>
          <w:numId w:val="136"/>
        </w:numPr>
        <w:rPr>
          <w:rFonts w:ascii="Arial" w:hAnsi="Arial" w:cs="Arial"/>
        </w:rPr>
      </w:pPr>
      <w:r w:rsidRPr="00746F54">
        <w:rPr>
          <w:rFonts w:ascii="Arial" w:hAnsi="Arial" w:cs="Arial"/>
        </w:rPr>
        <w:t xml:space="preserve">Tier 1: The failure of the RSE by the EDAM balancing authority area is </w:t>
      </w:r>
      <w:r w:rsidRPr="00746F54">
        <w:rPr>
          <w:rFonts w:ascii="Arial" w:hAnsi="Arial" w:cs="Arial"/>
          <w:i/>
          <w:iCs/>
        </w:rPr>
        <w:t>de minimis</w:t>
      </w:r>
      <w:r w:rsidRPr="00746F54">
        <w:rPr>
          <w:rFonts w:ascii="Arial" w:hAnsi="Arial" w:cs="Arial"/>
        </w:rPr>
        <w:t xml:space="preserve"> defined as the higher of 10 MW or an amount that is less than or equal to one percent of the balancing authority area’s upward imbalance reserve requirement for the hour.</w:t>
      </w:r>
    </w:p>
    <w:p w14:paraId="47E56D6A" w14:textId="0C7B277E" w:rsidR="00436AFE" w:rsidRPr="00746F54" w:rsidRDefault="00436AFE" w:rsidP="00436AFE">
      <w:pPr>
        <w:pStyle w:val="ParaText"/>
        <w:numPr>
          <w:ilvl w:val="0"/>
          <w:numId w:val="136"/>
        </w:numPr>
        <w:rPr>
          <w:rFonts w:ascii="Arial" w:hAnsi="Arial" w:cs="Arial"/>
        </w:rPr>
      </w:pPr>
      <w:r w:rsidRPr="00746F54">
        <w:rPr>
          <w:rFonts w:ascii="Arial" w:hAnsi="Arial" w:cs="Arial"/>
        </w:rPr>
        <w:lastRenderedPageBreak/>
        <w:t xml:space="preserve">Tier 2: The failure of the RSE by the EDAM balancing authority area is above the </w:t>
      </w:r>
      <w:r w:rsidRPr="00746F54">
        <w:rPr>
          <w:rFonts w:ascii="Arial" w:hAnsi="Arial" w:cs="Arial"/>
          <w:i/>
          <w:iCs/>
        </w:rPr>
        <w:t>de minimis</w:t>
      </w:r>
      <w:r w:rsidRPr="00746F54">
        <w:rPr>
          <w:rFonts w:ascii="Arial" w:hAnsi="Arial" w:cs="Arial"/>
        </w:rPr>
        <w:t xml:space="preserve"> failure amount and is less than or equal to fifty percent of the balancing authority area’s upward Imbalance Reserve requirement.</w:t>
      </w:r>
    </w:p>
    <w:p w14:paraId="2D622A3A" w14:textId="2C5C0637" w:rsidR="00436AFE" w:rsidRPr="00746F54" w:rsidRDefault="00436AFE" w:rsidP="00636D40">
      <w:pPr>
        <w:pStyle w:val="ParaText"/>
        <w:numPr>
          <w:ilvl w:val="0"/>
          <w:numId w:val="136"/>
        </w:numPr>
        <w:rPr>
          <w:rFonts w:ascii="Arial" w:hAnsi="Arial" w:cs="Arial"/>
        </w:rPr>
      </w:pPr>
      <w:r w:rsidRPr="00746F54">
        <w:rPr>
          <w:rFonts w:ascii="Arial" w:hAnsi="Arial" w:cs="Arial"/>
        </w:rPr>
        <w:t xml:space="preserve">Tier 3: </w:t>
      </w:r>
      <w:r w:rsidR="002314BE" w:rsidRPr="00746F54">
        <w:rPr>
          <w:rFonts w:ascii="Arial" w:hAnsi="Arial" w:cs="Arial"/>
        </w:rPr>
        <w:t>The failure of the RSE by the EDAM balancing authority area is greater than fifty percent of the balancing authority area’s upward Imbalance Reserve requirement.</w:t>
      </w:r>
    </w:p>
    <w:p w14:paraId="43E197DF" w14:textId="13DD5BED" w:rsidR="00392CCF" w:rsidRPr="00746F54" w:rsidRDefault="000D11B2" w:rsidP="00392CCF">
      <w:pPr>
        <w:pStyle w:val="ParaText"/>
        <w:rPr>
          <w:rFonts w:ascii="Arial" w:hAnsi="Arial" w:cs="Arial"/>
        </w:rPr>
      </w:pPr>
      <w:r w:rsidRPr="00746F54">
        <w:rPr>
          <w:rFonts w:ascii="Arial" w:hAnsi="Arial" w:cs="Arial"/>
        </w:rPr>
        <w:t xml:space="preserve">The EDAM RSE Downward failure surcharge is not tiered.  </w:t>
      </w:r>
      <w:r w:rsidR="002314BE" w:rsidRPr="00746F54">
        <w:rPr>
          <w:rFonts w:ascii="Arial" w:hAnsi="Arial" w:cs="Arial"/>
        </w:rPr>
        <w:t xml:space="preserve">For further information on the on-peak and off-peak, upward and downward, RSE failure surcharges, please refer to the </w:t>
      </w:r>
      <w:r w:rsidR="002314BE" w:rsidRPr="00746F54">
        <w:rPr>
          <w:rFonts w:ascii="Arial" w:hAnsi="Arial" w:cs="Arial"/>
          <w:i/>
          <w:iCs/>
        </w:rPr>
        <w:t xml:space="preserve">Settlements and Billing </w:t>
      </w:r>
      <w:r w:rsidR="002314BE" w:rsidRPr="00746F54">
        <w:rPr>
          <w:rFonts w:ascii="Arial" w:hAnsi="Arial" w:cs="Arial"/>
        </w:rPr>
        <w:t xml:space="preserve">Business Practice Manual.  </w:t>
      </w:r>
    </w:p>
    <w:p w14:paraId="47C8D592" w14:textId="7657E24B" w:rsidR="00691D5E" w:rsidRPr="00746F54" w:rsidRDefault="00691D5E" w:rsidP="003109F1">
      <w:pPr>
        <w:rPr>
          <w:rFonts w:ascii="Arial" w:hAnsi="Arial" w:cs="Arial"/>
        </w:rPr>
      </w:pPr>
      <w:r w:rsidRPr="00746F54">
        <w:rPr>
          <w:rFonts w:ascii="Arial" w:hAnsi="Arial" w:cs="Arial"/>
        </w:rPr>
        <w:t xml:space="preserve">The market </w:t>
      </w:r>
      <w:r w:rsidRPr="00746F54" w:rsidDel="00B63999">
        <w:rPr>
          <w:rFonts w:ascii="Arial" w:hAnsi="Arial" w:cs="Arial"/>
        </w:rPr>
        <w:t>operator</w:t>
      </w:r>
      <w:r w:rsidRPr="00746F54">
        <w:rPr>
          <w:rFonts w:ascii="Arial" w:hAnsi="Arial" w:cs="Arial"/>
        </w:rPr>
        <w:t xml:space="preserve"> will distribute EDAM RSE Failure Surcharges and the associated revenue</w:t>
      </w:r>
      <w:r w:rsidR="002314BE" w:rsidRPr="00746F54">
        <w:rPr>
          <w:rFonts w:ascii="Arial" w:hAnsi="Arial" w:cs="Arial"/>
        </w:rPr>
        <w:t xml:space="preserve"> among EDAM balancing authority areas in accordance with tariff section 33.11.2 and as further described in the </w:t>
      </w:r>
      <w:r w:rsidR="002314BE" w:rsidRPr="00746F54">
        <w:rPr>
          <w:rFonts w:ascii="Arial" w:hAnsi="Arial" w:cs="Arial"/>
          <w:i/>
          <w:iCs/>
        </w:rPr>
        <w:t xml:space="preserve">Settlements and Billing </w:t>
      </w:r>
      <w:r w:rsidR="002314BE" w:rsidRPr="00746F54">
        <w:rPr>
          <w:rFonts w:ascii="Arial" w:hAnsi="Arial" w:cs="Arial"/>
        </w:rPr>
        <w:t>Business Practice Manual.</w:t>
      </w:r>
    </w:p>
    <w:p w14:paraId="13863FBC" w14:textId="7E327FCA" w:rsidR="00BA239B" w:rsidRPr="00746F54" w:rsidRDefault="00BA239B" w:rsidP="00BA239B">
      <w:pPr>
        <w:pStyle w:val="Heading1"/>
        <w:rPr>
          <w:rFonts w:ascii="Arial" w:hAnsi="Arial" w:cs="Arial"/>
        </w:rPr>
      </w:pPr>
      <w:bookmarkStart w:id="266" w:name="_Toc211337958"/>
      <w:bookmarkStart w:id="267" w:name="_Toc212733088"/>
      <w:r w:rsidRPr="00746F54">
        <w:rPr>
          <w:rFonts w:ascii="Arial" w:hAnsi="Arial" w:cs="Arial"/>
        </w:rPr>
        <w:t>Operation of the Day-Ahead Market in the EDAM Area</w:t>
      </w:r>
      <w:bookmarkEnd w:id="266"/>
      <w:bookmarkEnd w:id="267"/>
    </w:p>
    <w:p w14:paraId="2047DDD3" w14:textId="4BB53F98" w:rsidR="00BA239B" w:rsidRPr="00746F54" w:rsidRDefault="00BA239B" w:rsidP="00BA239B">
      <w:pPr>
        <w:pStyle w:val="ParaText"/>
        <w:rPr>
          <w:rFonts w:ascii="Arial" w:hAnsi="Arial" w:cs="Arial"/>
          <w:u w:val="single"/>
        </w:rPr>
      </w:pPr>
      <w:r w:rsidRPr="00746F54">
        <w:rPr>
          <w:rFonts w:ascii="Arial" w:hAnsi="Arial" w:cs="Arial"/>
          <w:u w:val="single"/>
        </w:rPr>
        <w:t>Reference tariff section 33.31.2</w:t>
      </w:r>
    </w:p>
    <w:p w14:paraId="7B44DAF8" w14:textId="119EA4EF" w:rsidR="00BA239B" w:rsidRPr="00746F54" w:rsidRDefault="00BA239B" w:rsidP="00BA239B">
      <w:pPr>
        <w:pStyle w:val="Heading2"/>
        <w:rPr>
          <w:rFonts w:ascii="Arial" w:hAnsi="Arial" w:cs="Arial"/>
        </w:rPr>
      </w:pPr>
      <w:bookmarkStart w:id="268" w:name="_Toc211337959"/>
      <w:bookmarkStart w:id="269" w:name="_Toc212733089"/>
      <w:r w:rsidRPr="00746F54">
        <w:rPr>
          <w:rFonts w:ascii="Arial" w:hAnsi="Arial" w:cs="Arial"/>
        </w:rPr>
        <w:t>Integrated Forward Market (IFM) Market Power Mitigation (MPM) in the EDAM Area</w:t>
      </w:r>
      <w:bookmarkEnd w:id="268"/>
      <w:bookmarkEnd w:id="269"/>
    </w:p>
    <w:p w14:paraId="403D1754" w14:textId="7189E561" w:rsidR="00B324A3" w:rsidRPr="00746F54" w:rsidRDefault="00BA239B" w:rsidP="00BA239B">
      <w:pPr>
        <w:pStyle w:val="ParaText"/>
        <w:rPr>
          <w:rFonts w:ascii="Arial" w:hAnsi="Arial" w:cs="Arial"/>
          <w:u w:val="single"/>
        </w:rPr>
      </w:pPr>
      <w:r w:rsidRPr="00746F54">
        <w:rPr>
          <w:rFonts w:ascii="Arial" w:hAnsi="Arial" w:cs="Arial"/>
          <w:u w:val="single"/>
        </w:rPr>
        <w:t>Reference tariff section</w:t>
      </w:r>
      <w:r w:rsidR="00686321" w:rsidRPr="00746F54">
        <w:rPr>
          <w:rFonts w:ascii="Arial" w:hAnsi="Arial" w:cs="Arial"/>
          <w:u w:val="single"/>
        </w:rPr>
        <w:t>s</w:t>
      </w:r>
      <w:r w:rsidRPr="00746F54">
        <w:rPr>
          <w:rFonts w:ascii="Arial" w:hAnsi="Arial" w:cs="Arial"/>
          <w:u w:val="single"/>
        </w:rPr>
        <w:t xml:space="preserve"> 33.31.2.1</w:t>
      </w:r>
      <w:r w:rsidR="00686321" w:rsidRPr="00746F54">
        <w:rPr>
          <w:rFonts w:ascii="Arial" w:hAnsi="Arial" w:cs="Arial"/>
          <w:u w:val="single"/>
        </w:rPr>
        <w:t>, 33.39</w:t>
      </w:r>
    </w:p>
    <w:p w14:paraId="35A83026" w14:textId="0808CA4D" w:rsidR="00BA239B" w:rsidRPr="00746F54" w:rsidRDefault="00BA239B" w:rsidP="00BA239B">
      <w:pPr>
        <w:pStyle w:val="ParaText"/>
        <w:rPr>
          <w:rFonts w:ascii="Arial" w:hAnsi="Arial" w:cs="Arial"/>
        </w:rPr>
      </w:pPr>
      <w:r w:rsidRPr="00746F54">
        <w:rPr>
          <w:rFonts w:ascii="Arial" w:hAnsi="Arial" w:cs="Arial"/>
        </w:rPr>
        <w:t xml:space="preserve">Market power mitigation processes apply in the day-ahead market for each EDAM balancing authority area.  Market power mitigation processes will apply in both IFM and RUC.  In the day-ahead market, the market power mitigation process uses a competitive path assessment for binding </w:t>
      </w:r>
      <w:r w:rsidR="004E1625" w:rsidRPr="00746F54">
        <w:rPr>
          <w:rFonts w:ascii="Arial" w:hAnsi="Arial" w:cs="Arial"/>
        </w:rPr>
        <w:t>transmission</w:t>
      </w:r>
      <w:r w:rsidRPr="00746F54">
        <w:rPr>
          <w:rFonts w:ascii="Arial" w:hAnsi="Arial" w:cs="Arial"/>
        </w:rPr>
        <w:t xml:space="preserve"> constraints to determine whether a path is competitive or non-competitive. If a path is non-competitive, market power mitigation procedures will apply within an EDAM balancing authority area to determine any non-competitive contribution of those binding transmission constraints to locational marginal prices for energy and reliability capacity up prices.  Bids from resources within that EDAM balancing authority area will be subject to applicable mitigation procedures if the net contribution from non-competitive binding transmission constraints for these prices is positive.</w:t>
      </w:r>
    </w:p>
    <w:p w14:paraId="104BED43" w14:textId="1B17501A" w:rsidR="00BA239B" w:rsidRPr="00746F54" w:rsidRDefault="00BA239B" w:rsidP="00BA239B">
      <w:pPr>
        <w:pStyle w:val="ParaText"/>
        <w:rPr>
          <w:rFonts w:ascii="Arial" w:hAnsi="Arial" w:cs="Arial"/>
        </w:rPr>
      </w:pPr>
      <w:r w:rsidRPr="00746F54">
        <w:rPr>
          <w:rFonts w:ascii="Arial" w:hAnsi="Arial" w:cs="Arial"/>
        </w:rPr>
        <w:t xml:space="preserve">For the purposes of market power mitigation for EDAM balancing authority areas, the marginal energy price in the CAISO BAA reflects a competitive component of LMP.  The market power mitigation process applies a competitive path assessment when an EDAM balancing authority area’s marginal energy cost is greater than the CAISO’s marginal energy cost. If the assessment identifies non-competitive conditions, the market power mitigation process treats </w:t>
      </w:r>
      <w:r w:rsidRPr="00746F54">
        <w:rPr>
          <w:rFonts w:ascii="Arial" w:hAnsi="Arial" w:cs="Arial"/>
        </w:rPr>
        <w:lastRenderedPageBreak/>
        <w:t xml:space="preserve">the marginal energy cost differential similar to the non-competitive component of the marginal cost of congestion in the CAISO’s local market power mitigation process described in the BPM for Market Operations to determine which resources have market power. If the assessment identifies noncompetitive conditions within an EDAM balancing authority area, all bids in that EDAM balancing authority area are subject to market power mitigation procedures.  </w:t>
      </w:r>
      <w:bookmarkStart w:id="270" w:name="_Hlk204863211"/>
    </w:p>
    <w:bookmarkEnd w:id="270"/>
    <w:p w14:paraId="7E91876A" w14:textId="0C674192" w:rsidR="00BA239B" w:rsidRPr="00746F54" w:rsidRDefault="00BA239B" w:rsidP="00BA239B">
      <w:pPr>
        <w:pStyle w:val="ParaText"/>
        <w:rPr>
          <w:rFonts w:ascii="Arial" w:hAnsi="Arial" w:cs="Arial"/>
        </w:rPr>
      </w:pPr>
      <w:r w:rsidRPr="00746F54">
        <w:rPr>
          <w:rFonts w:ascii="Arial" w:hAnsi="Arial" w:cs="Arial"/>
        </w:rPr>
        <w:t xml:space="preserve">For purposes of market power mitigation for EDAM balancing authority areas, the marginal reliability capacity cost in the CAISO BAA will reflect a competitive RUC price. The market power mitigation process applies a competitive path assessment when an EDAM balancing authority area’s marginal reliability capacity cost is greater than CAISO balancing authority area’s marginal reliability capacity cost. If the assessment identifies non-competitive conditions, the RUC MPM process treats the differential between the marginal reliability capacity cost in the CAISO balancing authority area and the marginal reliability capacity cost in the EDAM balancing authority area similar to the non-competitive component of the marginal cost of congestion in CAISO’s local market power mitigation process.  If the assessment identifies noncompetitive conditions within an EDAM balancing authority area, all bids in that EDAM balancing authority area are subject to market power mitigation procedures. </w:t>
      </w:r>
    </w:p>
    <w:p w14:paraId="62F4EAB8" w14:textId="77777777" w:rsidR="00BA239B" w:rsidRPr="00746F54" w:rsidRDefault="00BA239B" w:rsidP="00636D40">
      <w:pPr>
        <w:pStyle w:val="Heading3"/>
        <w:rPr>
          <w:rFonts w:ascii="Arial" w:hAnsi="Arial" w:cs="Arial"/>
        </w:rPr>
      </w:pPr>
      <w:bookmarkStart w:id="271" w:name="_Toc209781167"/>
      <w:bookmarkStart w:id="272" w:name="_Toc209781168"/>
      <w:bookmarkStart w:id="273" w:name="_Toc211337960"/>
      <w:bookmarkEnd w:id="271"/>
      <w:bookmarkEnd w:id="272"/>
      <w:r w:rsidRPr="00746F54">
        <w:rPr>
          <w:rFonts w:ascii="Arial" w:hAnsi="Arial" w:cs="Arial"/>
        </w:rPr>
        <w:t>Dynamic Competitive Path Assessment (DCPA)</w:t>
      </w:r>
      <w:bookmarkEnd w:id="273"/>
    </w:p>
    <w:p w14:paraId="68DD8DB3" w14:textId="715E243D" w:rsidR="00BA239B" w:rsidRPr="00746F54" w:rsidRDefault="00BA239B" w:rsidP="00BA239B">
      <w:pPr>
        <w:pStyle w:val="ParaText"/>
        <w:rPr>
          <w:rFonts w:ascii="Arial" w:hAnsi="Arial" w:cs="Arial"/>
        </w:rPr>
      </w:pPr>
      <w:r w:rsidRPr="00746F54">
        <w:rPr>
          <w:rFonts w:ascii="Arial" w:hAnsi="Arial" w:cs="Arial"/>
        </w:rPr>
        <w:t>As part of each MPM run, an in-line DCPA determines whether a transmission constraint is competitive or non-competitive. A transmission constraint is competitive by default unless it is determined to be non-competitive as part of this calculation.</w:t>
      </w:r>
    </w:p>
    <w:p w14:paraId="16920BB5" w14:textId="77777777" w:rsidR="00BA239B" w:rsidRPr="00746F54" w:rsidRDefault="00BA239B" w:rsidP="00BA239B">
      <w:pPr>
        <w:pStyle w:val="ParaText"/>
        <w:rPr>
          <w:rFonts w:ascii="Arial" w:hAnsi="Arial" w:cs="Arial"/>
        </w:rPr>
      </w:pPr>
      <w:r w:rsidRPr="00746F54">
        <w:rPr>
          <w:rFonts w:ascii="Arial" w:hAnsi="Arial" w:cs="Arial"/>
        </w:rPr>
        <w:t>The DCPA tests if three or fewer generators can provide pivotal supply (counter-flow) to a binding transmission constraint. The binding constraint is considered non-competitive if supply counter-flow from the three largest pivotal suppliers is required to relieve it.</w:t>
      </w:r>
    </w:p>
    <w:p w14:paraId="7BD7E602" w14:textId="77777777" w:rsidR="00BA239B" w:rsidRPr="00746F54" w:rsidRDefault="00BA239B" w:rsidP="00BA239B">
      <w:pPr>
        <w:pStyle w:val="ParaText"/>
        <w:rPr>
          <w:rFonts w:ascii="Arial" w:hAnsi="Arial" w:cs="Arial"/>
        </w:rPr>
      </w:pPr>
      <w:r w:rsidRPr="00746F54">
        <w:rPr>
          <w:rFonts w:ascii="Arial" w:hAnsi="Arial" w:cs="Arial"/>
        </w:rPr>
        <w:t>If the DCPA is unable to function, the MPM will rely on a default competitive path list that is compiled based on historical analysis of congestion and previous DCPA results on each Transmission Constraint.</w:t>
      </w:r>
    </w:p>
    <w:p w14:paraId="249FD0F7" w14:textId="77777777" w:rsidR="00BA239B" w:rsidRPr="00746F54" w:rsidRDefault="00BA239B" w:rsidP="00BA239B">
      <w:pPr>
        <w:pStyle w:val="ParaText"/>
        <w:rPr>
          <w:rFonts w:ascii="Arial" w:hAnsi="Arial" w:cs="Arial"/>
        </w:rPr>
      </w:pPr>
      <w:bookmarkStart w:id="274" w:name="_Hlk209432145"/>
      <w:r w:rsidRPr="00746F54">
        <w:rPr>
          <w:rFonts w:ascii="Arial" w:hAnsi="Arial" w:cs="Arial"/>
        </w:rPr>
        <w:t>For a detailed description of the DCPA process and the methodology for compiling the default list, refer to the BPM for Market Operations, Attachment B: Competitive Path Assessment.</w:t>
      </w:r>
    </w:p>
    <w:bookmarkEnd w:id="274"/>
    <w:p w14:paraId="22205F7C" w14:textId="0320F658" w:rsidR="00BA239B" w:rsidRPr="00746F54" w:rsidRDefault="00BA239B" w:rsidP="00BA239B">
      <w:pPr>
        <w:pStyle w:val="ParaText"/>
        <w:rPr>
          <w:rFonts w:ascii="Arial" w:hAnsi="Arial" w:cs="Arial"/>
        </w:rPr>
      </w:pPr>
      <w:r w:rsidRPr="00746F54">
        <w:rPr>
          <w:rFonts w:ascii="Arial" w:hAnsi="Arial" w:cs="Arial"/>
        </w:rPr>
        <w:t xml:space="preserve">A DCPA evaluation for potential BAA-level mitigation is triggered when that BAA’s MEC (shadow price of its power balance constraint) exceeds the CAISO BAA MEC. This price separation indicates that the EDAM BAA is import constrained, meaning that binding transfer constraints are restricting economic EDAM transfers into that BAA. This condition triggers a DCPA test on that BAA’s power balance constraint to determine if the internal generation is competitive (treating the PBC as a binding constraint and applying the RSI test). If the BAA’s </w:t>
      </w:r>
      <w:r w:rsidRPr="00746F54">
        <w:rPr>
          <w:rFonts w:ascii="Arial" w:hAnsi="Arial" w:cs="Arial"/>
        </w:rPr>
        <w:lastRenderedPageBreak/>
        <w:t>power balance constraint is found to be uncompetitive, bids from all applicable supply resources within that BAA are subject to market power mitigation procedures.</w:t>
      </w:r>
    </w:p>
    <w:p w14:paraId="4EFBE406" w14:textId="77777777" w:rsidR="00BA239B" w:rsidRPr="00746F54" w:rsidRDefault="00BA239B" w:rsidP="00BA239B">
      <w:pPr>
        <w:pStyle w:val="Heading3"/>
        <w:rPr>
          <w:rFonts w:ascii="Arial" w:hAnsi="Arial" w:cs="Arial"/>
        </w:rPr>
      </w:pPr>
      <w:bookmarkStart w:id="275" w:name="_Toc211337961"/>
      <w:r w:rsidRPr="00746F54">
        <w:rPr>
          <w:rFonts w:ascii="Arial" w:hAnsi="Arial" w:cs="Arial"/>
        </w:rPr>
        <w:t>Locational Marginal Price (LMP) Decomposition</w:t>
      </w:r>
      <w:bookmarkEnd w:id="275"/>
    </w:p>
    <w:p w14:paraId="30679B10" w14:textId="060EFA82" w:rsidR="00BA239B" w:rsidRPr="00746F54" w:rsidRDefault="00BA239B" w:rsidP="00BA239B">
      <w:pPr>
        <w:pStyle w:val="ParaText"/>
        <w:rPr>
          <w:rFonts w:ascii="Arial" w:hAnsi="Arial" w:cs="Arial"/>
        </w:rPr>
      </w:pPr>
      <w:r w:rsidRPr="00746F54">
        <w:rPr>
          <w:rFonts w:ascii="Arial" w:hAnsi="Arial" w:cs="Arial"/>
        </w:rPr>
        <w:t>Under the LMP decomposition method, when a transmission constraint is deemed non-competitive by the DCPA, the LMP is decomposed into four components:</w:t>
      </w:r>
    </w:p>
    <w:p w14:paraId="11B48956" w14:textId="77777777" w:rsidR="00BA239B" w:rsidRPr="00746F54" w:rsidRDefault="00BA239B" w:rsidP="00BA239B">
      <w:pPr>
        <w:pStyle w:val="ParaText"/>
        <w:numPr>
          <w:ilvl w:val="0"/>
          <w:numId w:val="99"/>
        </w:numPr>
        <w:rPr>
          <w:rFonts w:ascii="Arial" w:hAnsi="Arial" w:cs="Arial"/>
        </w:rPr>
      </w:pPr>
      <w:r w:rsidRPr="00746F54">
        <w:rPr>
          <w:rFonts w:ascii="Arial" w:hAnsi="Arial" w:cs="Arial"/>
        </w:rPr>
        <w:t>The energy component;</w:t>
      </w:r>
    </w:p>
    <w:p w14:paraId="56055785" w14:textId="77777777" w:rsidR="00BA239B" w:rsidRPr="00746F54" w:rsidRDefault="00BA239B" w:rsidP="00BA239B">
      <w:pPr>
        <w:pStyle w:val="ParaText"/>
        <w:numPr>
          <w:ilvl w:val="0"/>
          <w:numId w:val="99"/>
        </w:numPr>
        <w:rPr>
          <w:rFonts w:ascii="Arial" w:hAnsi="Arial" w:cs="Arial"/>
        </w:rPr>
      </w:pPr>
      <w:r w:rsidRPr="00746F54">
        <w:rPr>
          <w:rFonts w:ascii="Arial" w:hAnsi="Arial" w:cs="Arial"/>
        </w:rPr>
        <w:t>The loss component;</w:t>
      </w:r>
    </w:p>
    <w:p w14:paraId="25FB7AC2" w14:textId="77777777" w:rsidR="00BA239B" w:rsidRPr="00746F54" w:rsidRDefault="00BA239B" w:rsidP="00BA239B">
      <w:pPr>
        <w:pStyle w:val="ParaText"/>
        <w:numPr>
          <w:ilvl w:val="0"/>
          <w:numId w:val="99"/>
        </w:numPr>
        <w:rPr>
          <w:rFonts w:ascii="Arial" w:hAnsi="Arial" w:cs="Arial"/>
        </w:rPr>
      </w:pPr>
      <w:r w:rsidRPr="00746F54">
        <w:rPr>
          <w:rFonts w:ascii="Arial" w:hAnsi="Arial" w:cs="Arial"/>
        </w:rPr>
        <w:t>The competitive congestion component; and</w:t>
      </w:r>
    </w:p>
    <w:p w14:paraId="3BA13E77" w14:textId="77777777" w:rsidR="00BA239B" w:rsidRPr="00746F54" w:rsidRDefault="00BA239B" w:rsidP="00BA239B">
      <w:pPr>
        <w:pStyle w:val="ParaText"/>
        <w:numPr>
          <w:ilvl w:val="0"/>
          <w:numId w:val="99"/>
        </w:numPr>
        <w:rPr>
          <w:rFonts w:ascii="Arial" w:hAnsi="Arial" w:cs="Arial"/>
        </w:rPr>
      </w:pPr>
      <w:r w:rsidRPr="00746F54">
        <w:rPr>
          <w:rFonts w:ascii="Arial" w:hAnsi="Arial" w:cs="Arial"/>
        </w:rPr>
        <w:t>The non-competitive congestion component.</w:t>
      </w:r>
    </w:p>
    <w:p w14:paraId="33E63AD7" w14:textId="07AD00A2" w:rsidR="00BA239B" w:rsidRPr="00746F54" w:rsidRDefault="00BA239B" w:rsidP="00BA239B">
      <w:pPr>
        <w:pStyle w:val="ParaText"/>
        <w:rPr>
          <w:rFonts w:ascii="Arial" w:hAnsi="Arial" w:cs="Arial"/>
        </w:rPr>
      </w:pPr>
      <w:r w:rsidRPr="00746F54">
        <w:rPr>
          <w:rFonts w:ascii="Arial" w:hAnsi="Arial" w:cs="Arial"/>
        </w:rPr>
        <w:t xml:space="preserve">A positive non-competitive congestion component indicates the potential for the exercise of local market power. </w:t>
      </w:r>
      <w:commentRangeStart w:id="276"/>
      <w:r w:rsidRPr="00746F54">
        <w:rPr>
          <w:rFonts w:ascii="Arial" w:hAnsi="Arial" w:cs="Arial"/>
        </w:rPr>
        <w:t xml:space="preserve">The non-competitive congestion component is calculated </w:t>
      </w:r>
      <w:commentRangeStart w:id="277"/>
      <w:r w:rsidRPr="00746F54">
        <w:rPr>
          <w:rFonts w:ascii="Arial" w:hAnsi="Arial" w:cs="Arial"/>
        </w:rPr>
        <w:t xml:space="preserve">to a Reference </w:t>
      </w:r>
      <w:commentRangeEnd w:id="277"/>
      <w:r w:rsidRPr="00746F54">
        <w:rPr>
          <w:rStyle w:val="CommentReference"/>
          <w:rFonts w:ascii="Arial" w:hAnsi="Arial" w:cs="Arial"/>
        </w:rPr>
        <w:commentReference w:id="277"/>
      </w:r>
      <w:r w:rsidRPr="00746F54">
        <w:rPr>
          <w:rFonts w:ascii="Arial" w:hAnsi="Arial" w:cs="Arial"/>
        </w:rPr>
        <w:t>Bus selected by the CAISO that is determined to be at a location least susceptible to the exercise of local market power.</w:t>
      </w:r>
      <w:commentRangeEnd w:id="276"/>
      <w:r w:rsidRPr="00746F54">
        <w:rPr>
          <w:rStyle w:val="CommentReference"/>
          <w:rFonts w:ascii="Arial" w:hAnsi="Arial" w:cs="Arial"/>
        </w:rPr>
        <w:commentReference w:id="276"/>
      </w:r>
    </w:p>
    <w:p w14:paraId="226C1B41" w14:textId="12FDEB32" w:rsidR="00BA239B" w:rsidRPr="00746F54" w:rsidRDefault="00BA239B" w:rsidP="00BA239B">
      <w:pPr>
        <w:pStyle w:val="ParaText"/>
        <w:rPr>
          <w:rFonts w:ascii="Arial" w:hAnsi="Arial" w:cs="Arial"/>
        </w:rPr>
      </w:pPr>
      <w:r w:rsidRPr="00746F54">
        <w:rPr>
          <w:rFonts w:ascii="Arial" w:hAnsi="Arial" w:cs="Arial"/>
        </w:rPr>
        <w:t>EDAM Transfer constraints that are subject to mitigation are represented in the LMP decomposition by the EDAM BAA-specific power balance constraint. The shadow price on this constraint will be included in the LMP decomposition as either a competitive or non-competitive energy cost depending on the outcome of the DCPA.</w:t>
      </w:r>
    </w:p>
    <w:p w14:paraId="285E5B97" w14:textId="32349450" w:rsidR="00BA239B" w:rsidRPr="00746F54" w:rsidRDefault="00BA239B" w:rsidP="00BA239B">
      <w:pPr>
        <w:pStyle w:val="ParaText"/>
        <w:rPr>
          <w:rFonts w:ascii="Arial" w:hAnsi="Arial" w:cs="Arial"/>
        </w:rPr>
      </w:pPr>
      <w:r w:rsidRPr="00746F54">
        <w:rPr>
          <w:rFonts w:ascii="Arial" w:hAnsi="Arial" w:cs="Arial"/>
        </w:rPr>
        <w:t>Bids from any resource that are effective in relieving a non-competitive constraint are subject to mitigation. A submitted bid is mitigated downward if it exceeds both its Default Energy Bid (DEB) and the "competitive LMP" at its location, in which case it is mitigated to the higher of those two values. The competitive LMP is the LMP established in the MPM run minus the non-competitive energy and congestion components thereof.</w:t>
      </w:r>
    </w:p>
    <w:p w14:paraId="46EC7491" w14:textId="4A44619A" w:rsidR="00BA239B" w:rsidRPr="00746F54" w:rsidRDefault="00BA239B" w:rsidP="00BA239B">
      <w:pPr>
        <w:pStyle w:val="Heading3"/>
        <w:rPr>
          <w:rFonts w:ascii="Arial" w:hAnsi="Arial" w:cs="Arial"/>
        </w:rPr>
      </w:pPr>
      <w:bookmarkStart w:id="278" w:name="_Toc211337962"/>
      <w:r w:rsidRPr="00746F54">
        <w:rPr>
          <w:rFonts w:ascii="Arial" w:hAnsi="Arial" w:cs="Arial"/>
        </w:rPr>
        <w:t>Default Energy Bids</w:t>
      </w:r>
      <w:bookmarkEnd w:id="278"/>
      <w:r w:rsidRPr="00746F54">
        <w:rPr>
          <w:rFonts w:ascii="Arial" w:hAnsi="Arial" w:cs="Arial"/>
        </w:rPr>
        <w:t xml:space="preserve"> </w:t>
      </w:r>
    </w:p>
    <w:p w14:paraId="7840A7CD" w14:textId="30D98EB8" w:rsidR="00BA239B" w:rsidRPr="00746F54" w:rsidRDefault="00BA239B" w:rsidP="00BA239B">
      <w:pPr>
        <w:pStyle w:val="ParaText"/>
        <w:rPr>
          <w:rFonts w:ascii="Arial" w:hAnsi="Arial" w:cs="Arial"/>
        </w:rPr>
      </w:pPr>
      <w:r w:rsidRPr="00746F54">
        <w:rPr>
          <w:rFonts w:ascii="Arial" w:hAnsi="Arial" w:cs="Arial"/>
        </w:rPr>
        <w:t>The Default Energy Bid (DEB) is a resource's cost-based bid that is used as the floor for bid mitigation in the event that the market operator determines the resource has market power. DEBs are calculated daily for the Day-Ahead Market.</w:t>
      </w:r>
    </w:p>
    <w:p w14:paraId="7B07DC54" w14:textId="32BF0384" w:rsidR="00BA239B" w:rsidRPr="00746F54" w:rsidRDefault="00BA239B" w:rsidP="00BA239B">
      <w:pPr>
        <w:pStyle w:val="ParaText"/>
        <w:rPr>
          <w:rFonts w:ascii="Arial" w:hAnsi="Arial" w:cs="Arial"/>
        </w:rPr>
      </w:pPr>
      <w:r w:rsidRPr="00746F54">
        <w:rPr>
          <w:rFonts w:ascii="Arial" w:hAnsi="Arial" w:cs="Arial"/>
        </w:rPr>
        <w:t xml:space="preserve">For additional details on DEB calculation methodologies, please refer to the </w:t>
      </w:r>
      <w:r w:rsidRPr="00746F54">
        <w:rPr>
          <w:rFonts w:ascii="Arial" w:hAnsi="Arial" w:cs="Arial"/>
          <w:i/>
          <w:iCs/>
        </w:rPr>
        <w:t>Market Instruments</w:t>
      </w:r>
      <w:r w:rsidRPr="00746F54">
        <w:rPr>
          <w:rFonts w:ascii="Arial" w:hAnsi="Arial" w:cs="Arial"/>
        </w:rPr>
        <w:t xml:space="preserve"> Business Practice Manual, Attachment D.</w:t>
      </w:r>
    </w:p>
    <w:p w14:paraId="3BBD72FD" w14:textId="3C819211" w:rsidR="005C7EAA" w:rsidRPr="00746F54" w:rsidRDefault="005C7EAA" w:rsidP="005C7EAA">
      <w:pPr>
        <w:pStyle w:val="Heading2"/>
        <w:rPr>
          <w:rFonts w:ascii="Arial" w:hAnsi="Arial" w:cs="Arial"/>
        </w:rPr>
      </w:pPr>
      <w:bookmarkStart w:id="279" w:name="_Toc211337963"/>
      <w:bookmarkStart w:id="280" w:name="_Toc212733090"/>
      <w:r w:rsidRPr="00746F54">
        <w:rPr>
          <w:rFonts w:ascii="Arial" w:hAnsi="Arial" w:cs="Arial"/>
        </w:rPr>
        <w:lastRenderedPageBreak/>
        <w:t>IFM in the EDAM Area</w:t>
      </w:r>
      <w:bookmarkEnd w:id="279"/>
      <w:bookmarkEnd w:id="280"/>
    </w:p>
    <w:p w14:paraId="504135EB" w14:textId="2BA5A746" w:rsidR="00671B08" w:rsidRPr="00746F54" w:rsidRDefault="005C7EAA" w:rsidP="00671B08">
      <w:pPr>
        <w:pStyle w:val="ParaText"/>
        <w:rPr>
          <w:rFonts w:ascii="Arial" w:hAnsi="Arial" w:cs="Arial"/>
          <w:u w:val="single"/>
        </w:rPr>
      </w:pPr>
      <w:r w:rsidRPr="00746F54">
        <w:rPr>
          <w:rFonts w:ascii="Arial" w:hAnsi="Arial" w:cs="Arial"/>
          <w:u w:val="single"/>
        </w:rPr>
        <w:t>Reference tariff section</w:t>
      </w:r>
      <w:r w:rsidR="00A46826" w:rsidRPr="00746F54">
        <w:rPr>
          <w:rFonts w:ascii="Arial" w:hAnsi="Arial" w:cs="Arial"/>
          <w:u w:val="single"/>
        </w:rPr>
        <w:t>s 31.3.1 and</w:t>
      </w:r>
      <w:r w:rsidRPr="00746F54">
        <w:rPr>
          <w:rFonts w:ascii="Arial" w:hAnsi="Arial" w:cs="Arial"/>
          <w:u w:val="single"/>
        </w:rPr>
        <w:t xml:space="preserve"> 33.31.2.2</w:t>
      </w:r>
    </w:p>
    <w:p w14:paraId="398239B4" w14:textId="637E834E" w:rsidR="002F6E03" w:rsidRPr="00746F54" w:rsidRDefault="002F6E03" w:rsidP="002F6E03">
      <w:pPr>
        <w:pStyle w:val="ParaText"/>
        <w:rPr>
          <w:rFonts w:ascii="Arial" w:hAnsi="Arial" w:cs="Arial"/>
        </w:rPr>
      </w:pPr>
      <w:commentRangeStart w:id="281"/>
      <w:r w:rsidRPr="00746F54">
        <w:rPr>
          <w:rFonts w:ascii="Arial" w:hAnsi="Arial" w:cs="Arial"/>
        </w:rPr>
        <w:t>The Integrated Forward Market (IFM) is the primary day-ahead function for co-optimizing and procuring resources across the entire EDAM footprint. For each trading hour, the IFM economically trades Energy, Imbalance Reserves Up (IRU), and Imbalance Reserves Down (IRD) for all participating Balancing Authority Areas (BAAs). Ancillary Services (AS), however, are procured only for the CAISO BAA; other EDAM BAAs self-provide their AS requirements.</w:t>
      </w:r>
    </w:p>
    <w:p w14:paraId="49321E3E" w14:textId="7D371F81" w:rsidR="002F6E03" w:rsidRPr="00746F54" w:rsidRDefault="002F6E03" w:rsidP="002F6E03">
      <w:pPr>
        <w:pStyle w:val="ParaText"/>
        <w:rPr>
          <w:rFonts w:ascii="Arial" w:hAnsi="Arial" w:cs="Arial"/>
        </w:rPr>
      </w:pPr>
      <w:r w:rsidRPr="00746F54">
        <w:rPr>
          <w:rFonts w:ascii="Arial" w:hAnsi="Arial" w:cs="Arial"/>
        </w:rPr>
        <w:t>The IFM optimization minimizes total bid costs to produce a set of financially binding hourly Day-Ahead Schedules and Imbalance Reserve Awards, respecting all resource and transmission constraints. To support settlement, it also produces hourly Locational Marginal Prices (LMPs) for Energy and for each Imbalance Reserve product at every pricing node in the market.</w:t>
      </w:r>
      <w:commentRangeEnd w:id="281"/>
      <w:r w:rsidRPr="00746F54">
        <w:rPr>
          <w:rStyle w:val="CommentReference"/>
          <w:rFonts w:ascii="Arial" w:hAnsi="Arial" w:cs="Arial"/>
        </w:rPr>
        <w:commentReference w:id="281"/>
      </w:r>
      <w:r w:rsidR="004E1625" w:rsidRPr="00746F54">
        <w:rPr>
          <w:rFonts w:ascii="Arial" w:hAnsi="Arial" w:cs="Arial"/>
        </w:rPr>
        <w:t xml:space="preserve"> For additional information on the IFM processes and co-optimization of Energy Bids and Imbalance Reserves, please refer to section 31.3 of the ISO tariff and the </w:t>
      </w:r>
      <w:r w:rsidR="004E1625" w:rsidRPr="00746F54">
        <w:rPr>
          <w:rFonts w:ascii="Arial" w:hAnsi="Arial" w:cs="Arial"/>
          <w:i/>
          <w:iCs/>
        </w:rPr>
        <w:t>Market Operations</w:t>
      </w:r>
      <w:r w:rsidR="004E1625" w:rsidRPr="00746F54">
        <w:rPr>
          <w:rFonts w:ascii="Arial" w:hAnsi="Arial" w:cs="Arial"/>
        </w:rPr>
        <w:t xml:space="preserve"> Business Practice Manual.  </w:t>
      </w:r>
    </w:p>
    <w:p w14:paraId="70BE4C5D" w14:textId="7B72A493" w:rsidR="00671B08" w:rsidRPr="00746F54" w:rsidRDefault="00671B08" w:rsidP="00671B08">
      <w:pPr>
        <w:pStyle w:val="Heading3"/>
        <w:rPr>
          <w:rFonts w:ascii="Arial" w:hAnsi="Arial" w:cs="Arial"/>
        </w:rPr>
      </w:pPr>
      <w:bookmarkStart w:id="282" w:name="_Toc211337964"/>
      <w:r w:rsidRPr="00746F54">
        <w:rPr>
          <w:rFonts w:ascii="Arial" w:hAnsi="Arial" w:cs="Arial"/>
        </w:rPr>
        <w:t>IFM Outputs</w:t>
      </w:r>
      <w:bookmarkEnd w:id="282"/>
    </w:p>
    <w:p w14:paraId="4F847D60" w14:textId="77777777" w:rsidR="00671B08" w:rsidRPr="00746F54" w:rsidRDefault="00671B08" w:rsidP="00671B08">
      <w:pPr>
        <w:pStyle w:val="ParaText"/>
        <w:rPr>
          <w:rFonts w:ascii="Arial" w:hAnsi="Arial" w:cs="Arial"/>
        </w:rPr>
      </w:pPr>
      <w:r w:rsidRPr="00746F54">
        <w:rPr>
          <w:rFonts w:ascii="Arial" w:hAnsi="Arial" w:cs="Arial"/>
        </w:rPr>
        <w:t>The following IFM output information is produced and is financially and operationally binding:</w:t>
      </w:r>
    </w:p>
    <w:p w14:paraId="28CAB3CD" w14:textId="77777777" w:rsidR="00671B08" w:rsidRPr="00746F54" w:rsidRDefault="00671B08" w:rsidP="00671B08">
      <w:pPr>
        <w:pStyle w:val="Bullet1HRt"/>
        <w:rPr>
          <w:rFonts w:ascii="Arial" w:hAnsi="Arial" w:cs="Arial"/>
        </w:rPr>
      </w:pPr>
      <w:r w:rsidRPr="00746F54">
        <w:rPr>
          <w:rFonts w:ascii="Arial" w:hAnsi="Arial" w:cs="Arial"/>
        </w:rPr>
        <w:t>Optimal Unit Commitment status (on/off) over the Time Horizon</w:t>
      </w:r>
    </w:p>
    <w:p w14:paraId="036096D8" w14:textId="77777777" w:rsidR="00671B08" w:rsidRPr="00746F54" w:rsidRDefault="00671B08" w:rsidP="00671B08">
      <w:pPr>
        <w:pStyle w:val="Bullet1HRt"/>
        <w:rPr>
          <w:rFonts w:ascii="Arial" w:hAnsi="Arial" w:cs="Arial"/>
        </w:rPr>
      </w:pPr>
      <w:r w:rsidRPr="00746F54">
        <w:rPr>
          <w:rFonts w:ascii="Arial" w:hAnsi="Arial" w:cs="Arial"/>
        </w:rPr>
        <w:t xml:space="preserve">Type of Unit Commitment status (self-commitment and CAISO-commitment) </w:t>
      </w:r>
    </w:p>
    <w:p w14:paraId="2B878801" w14:textId="77777777" w:rsidR="00671B08" w:rsidRPr="00746F54" w:rsidRDefault="00671B08" w:rsidP="00671B08">
      <w:pPr>
        <w:pStyle w:val="Bullet1HRt"/>
        <w:rPr>
          <w:rFonts w:ascii="Arial" w:hAnsi="Arial" w:cs="Arial"/>
        </w:rPr>
      </w:pPr>
      <w:r w:rsidRPr="00746F54">
        <w:rPr>
          <w:rFonts w:ascii="Arial" w:hAnsi="Arial" w:cs="Arial"/>
        </w:rPr>
        <w:t>Optimal Energy Schedule for all resources over the Time Horizon</w:t>
      </w:r>
    </w:p>
    <w:p w14:paraId="0979564C" w14:textId="77777777" w:rsidR="00671B08" w:rsidRPr="00746F54" w:rsidRDefault="00671B08" w:rsidP="00671B08">
      <w:pPr>
        <w:pStyle w:val="Bullet1HRt"/>
        <w:rPr>
          <w:rFonts w:ascii="Arial" w:hAnsi="Arial" w:cs="Arial"/>
        </w:rPr>
      </w:pPr>
      <w:r w:rsidRPr="00746F54">
        <w:rPr>
          <w:rFonts w:ascii="Arial" w:hAnsi="Arial" w:cs="Arial"/>
        </w:rPr>
        <w:t>Virtual Supply and Virtual Demand Awards</w:t>
      </w:r>
    </w:p>
    <w:p w14:paraId="0EF0637A" w14:textId="77777777" w:rsidR="00671B08" w:rsidRPr="00746F54" w:rsidRDefault="00671B08" w:rsidP="00671B08">
      <w:pPr>
        <w:pStyle w:val="Bullet1HRt"/>
        <w:rPr>
          <w:rFonts w:ascii="Arial" w:hAnsi="Arial" w:cs="Arial"/>
        </w:rPr>
      </w:pPr>
      <w:r w:rsidRPr="00746F54">
        <w:rPr>
          <w:rFonts w:ascii="Arial" w:hAnsi="Arial" w:cs="Arial"/>
        </w:rPr>
        <w:t>Optimal AS Award for all resources over the Time Horizon</w:t>
      </w:r>
    </w:p>
    <w:p w14:paraId="3724E5D6" w14:textId="77777777" w:rsidR="00671B08" w:rsidRPr="00746F54" w:rsidRDefault="00671B08" w:rsidP="00671B08">
      <w:pPr>
        <w:pStyle w:val="Bullet1HRt"/>
        <w:rPr>
          <w:rFonts w:ascii="Arial" w:hAnsi="Arial" w:cs="Arial"/>
        </w:rPr>
      </w:pPr>
      <w:r w:rsidRPr="00746F54">
        <w:rPr>
          <w:rFonts w:ascii="Arial" w:hAnsi="Arial" w:cs="Arial"/>
        </w:rPr>
        <w:t>The total Energy and AS Bid Cost over the Time Horizon</w:t>
      </w:r>
    </w:p>
    <w:p w14:paraId="1D920428" w14:textId="77777777" w:rsidR="00671B08" w:rsidRPr="00746F54" w:rsidRDefault="00671B08" w:rsidP="00671B08">
      <w:pPr>
        <w:pStyle w:val="Bullet1HRt"/>
        <w:rPr>
          <w:rFonts w:ascii="Arial" w:hAnsi="Arial" w:cs="Arial"/>
        </w:rPr>
      </w:pPr>
      <w:r w:rsidRPr="00746F54">
        <w:rPr>
          <w:rFonts w:ascii="Arial" w:hAnsi="Arial" w:cs="Arial"/>
        </w:rPr>
        <w:t>The Start-Up Cost ($) for each Generation resource or minimum curtailment payment ($) for each dispatchable Demand/Curtailable Demand resource during each CAISO-commitment period</w:t>
      </w:r>
    </w:p>
    <w:p w14:paraId="05B63BF7" w14:textId="77777777" w:rsidR="00671B08" w:rsidRPr="00746F54" w:rsidRDefault="00671B08" w:rsidP="00671B08">
      <w:pPr>
        <w:pStyle w:val="Bullet1HRt"/>
        <w:rPr>
          <w:rFonts w:ascii="Arial" w:hAnsi="Arial" w:cs="Arial"/>
        </w:rPr>
      </w:pPr>
      <w:r w:rsidRPr="00746F54">
        <w:rPr>
          <w:rFonts w:ascii="Arial" w:hAnsi="Arial" w:cs="Arial"/>
        </w:rPr>
        <w:t>The Minimum Load Cost ($) for each Generation resource or minimum hourly payment ($) in each hour during each CAISO-commitment period</w:t>
      </w:r>
    </w:p>
    <w:p w14:paraId="3B272682" w14:textId="77777777" w:rsidR="00671B08" w:rsidRPr="00746F54" w:rsidRDefault="00671B08" w:rsidP="00671B08">
      <w:pPr>
        <w:pStyle w:val="Bullet1HRt"/>
        <w:rPr>
          <w:rFonts w:ascii="Arial" w:hAnsi="Arial" w:cs="Arial"/>
        </w:rPr>
      </w:pPr>
      <w:r w:rsidRPr="00746F54">
        <w:rPr>
          <w:rFonts w:ascii="Arial" w:hAnsi="Arial" w:cs="Arial"/>
        </w:rPr>
        <w:lastRenderedPageBreak/>
        <w:t xml:space="preserve">The Start-Up Cost/Bid function ($, Minute) or minimum curtailment payment ($) used for each resource in each CAISO-Commitment Period. </w:t>
      </w:r>
    </w:p>
    <w:p w14:paraId="67FD1068" w14:textId="77777777" w:rsidR="00671B08" w:rsidRPr="00746F54" w:rsidRDefault="00671B08" w:rsidP="00671B08">
      <w:pPr>
        <w:pStyle w:val="Bullet1HRt"/>
        <w:rPr>
          <w:rFonts w:ascii="Arial" w:hAnsi="Arial" w:cs="Arial"/>
        </w:rPr>
      </w:pPr>
      <w:r w:rsidRPr="00746F54">
        <w:rPr>
          <w:rFonts w:ascii="Arial" w:hAnsi="Arial" w:cs="Arial"/>
        </w:rPr>
        <w:t xml:space="preserve">LMPs for each price Location including all resources; also LMP components (Energy, Marginal Loss, and Congestion components) </w:t>
      </w:r>
    </w:p>
    <w:p w14:paraId="726B550C" w14:textId="77777777" w:rsidR="00671B08" w:rsidRPr="00746F54" w:rsidRDefault="00671B08" w:rsidP="00671B08">
      <w:pPr>
        <w:pStyle w:val="Bullet1HRt"/>
        <w:rPr>
          <w:rFonts w:ascii="Arial" w:hAnsi="Arial" w:cs="Arial"/>
        </w:rPr>
      </w:pPr>
      <w:r w:rsidRPr="00746F54">
        <w:rPr>
          <w:rFonts w:ascii="Arial" w:hAnsi="Arial" w:cs="Arial"/>
        </w:rPr>
        <w:t xml:space="preserve">RASMP for each AS Region </w:t>
      </w:r>
    </w:p>
    <w:p w14:paraId="1AAAA373" w14:textId="77777777" w:rsidR="00671B08" w:rsidRPr="00746F54" w:rsidRDefault="00671B08" w:rsidP="00671B08">
      <w:pPr>
        <w:pStyle w:val="Bullet1HRt"/>
        <w:rPr>
          <w:rFonts w:ascii="Arial" w:hAnsi="Arial" w:cs="Arial"/>
        </w:rPr>
      </w:pPr>
      <w:r w:rsidRPr="00746F54">
        <w:rPr>
          <w:rFonts w:ascii="Arial" w:hAnsi="Arial" w:cs="Arial"/>
        </w:rPr>
        <w:t>ASMP for all resources providing Ancillary Services.</w:t>
      </w:r>
    </w:p>
    <w:p w14:paraId="1F4D3072" w14:textId="77777777" w:rsidR="00671B08" w:rsidRPr="00746F54" w:rsidRDefault="00671B08" w:rsidP="00671B08">
      <w:pPr>
        <w:pStyle w:val="Bullet1HRt"/>
        <w:rPr>
          <w:rFonts w:ascii="Arial" w:hAnsi="Arial" w:cs="Arial"/>
        </w:rPr>
      </w:pPr>
      <w:r w:rsidRPr="00746F54">
        <w:rPr>
          <w:rFonts w:ascii="Arial" w:hAnsi="Arial" w:cs="Arial"/>
        </w:rPr>
        <w:t xml:space="preserve">Resources at their effective minimum or maximum MW in each time interval </w:t>
      </w:r>
    </w:p>
    <w:p w14:paraId="6F484BB2" w14:textId="77777777" w:rsidR="00671B08" w:rsidRPr="00746F54" w:rsidRDefault="00671B08" w:rsidP="00671B08">
      <w:pPr>
        <w:pStyle w:val="Bullet1HRt"/>
        <w:rPr>
          <w:rFonts w:ascii="Arial" w:hAnsi="Arial" w:cs="Arial"/>
        </w:rPr>
      </w:pPr>
      <w:r w:rsidRPr="00746F54">
        <w:rPr>
          <w:rFonts w:ascii="Arial" w:hAnsi="Arial" w:cs="Arial"/>
        </w:rPr>
        <w:t>The level of control and Constraint priority used in obtaining the solution. This informs the CAISO's operator as to how much of uneconomic Bid segments and/or Constraint violations were necessary to solve the optimization.</w:t>
      </w:r>
    </w:p>
    <w:p w14:paraId="438CD40A" w14:textId="77777777" w:rsidR="00671B08" w:rsidRPr="00746F54" w:rsidRDefault="00671B08" w:rsidP="00671B08">
      <w:pPr>
        <w:pStyle w:val="Bullet1HRt"/>
        <w:rPr>
          <w:rFonts w:ascii="Arial" w:hAnsi="Arial" w:cs="Arial"/>
        </w:rPr>
      </w:pPr>
      <w:r w:rsidRPr="00746F54">
        <w:rPr>
          <w:rFonts w:ascii="Arial" w:hAnsi="Arial" w:cs="Arial"/>
        </w:rPr>
        <w:t>Amount of any relaxed constraint violations, i.e., the extent to which any constraint was relaxed (in MW) in order to solve the optimization.</w:t>
      </w:r>
    </w:p>
    <w:p w14:paraId="5E7BD814" w14:textId="3C61BB3B" w:rsidR="00B158EC" w:rsidRPr="00746F54" w:rsidRDefault="00671B08" w:rsidP="00671B08">
      <w:pPr>
        <w:pStyle w:val="Bullet1HRt"/>
        <w:numPr>
          <w:ilvl w:val="0"/>
          <w:numId w:val="0"/>
        </w:numPr>
        <w:rPr>
          <w:rFonts w:ascii="Arial" w:hAnsi="Arial" w:cs="Arial"/>
        </w:rPr>
      </w:pPr>
      <w:r w:rsidRPr="00746F54">
        <w:rPr>
          <w:rFonts w:ascii="Arial" w:hAnsi="Arial" w:cs="Arial"/>
        </w:rPr>
        <w:t>Both schedules and prices are derived from the pricing run of the IFM market to ensure consistency between schedules and prices. This consistency is important for prices that are financially binding to settle energy schedules.</w:t>
      </w:r>
    </w:p>
    <w:p w14:paraId="77759A04" w14:textId="4D768FE4" w:rsidR="005C7EAA" w:rsidRPr="00746F54" w:rsidRDefault="005C7EAA" w:rsidP="005C7EAA">
      <w:pPr>
        <w:pStyle w:val="Heading2"/>
        <w:rPr>
          <w:rFonts w:ascii="Arial" w:hAnsi="Arial" w:cs="Arial"/>
        </w:rPr>
      </w:pPr>
      <w:bookmarkStart w:id="283" w:name="_Toc211337965"/>
      <w:bookmarkStart w:id="284" w:name="_Toc212733091"/>
      <w:r w:rsidRPr="00746F54">
        <w:rPr>
          <w:rFonts w:ascii="Arial" w:hAnsi="Arial" w:cs="Arial"/>
        </w:rPr>
        <w:t>Residual Unit Commitment (RUC) MPM in the EDAM Area</w:t>
      </w:r>
      <w:bookmarkEnd w:id="283"/>
      <w:bookmarkEnd w:id="284"/>
    </w:p>
    <w:p w14:paraId="0115EB6B" w14:textId="11A6A327" w:rsidR="005C7EAA" w:rsidRPr="00746F54" w:rsidRDefault="005C7EAA" w:rsidP="005C7EAA">
      <w:pPr>
        <w:pStyle w:val="ParaText"/>
        <w:rPr>
          <w:rFonts w:ascii="Arial" w:hAnsi="Arial" w:cs="Arial"/>
          <w:u w:val="single"/>
        </w:rPr>
      </w:pPr>
      <w:r w:rsidRPr="00746F54">
        <w:rPr>
          <w:rFonts w:ascii="Arial" w:hAnsi="Arial" w:cs="Arial"/>
          <w:u w:val="single"/>
        </w:rPr>
        <w:t>Reference tariff section 33.31.2.3</w:t>
      </w:r>
    </w:p>
    <w:p w14:paraId="33EE926A" w14:textId="066500D2" w:rsidR="000F7506" w:rsidRPr="00746F54" w:rsidRDefault="000F7506" w:rsidP="005C7EAA">
      <w:pPr>
        <w:pStyle w:val="ParaText"/>
        <w:rPr>
          <w:rFonts w:ascii="Arial" w:hAnsi="Arial" w:cs="Arial"/>
        </w:rPr>
      </w:pPr>
      <w:r w:rsidRPr="00746F54">
        <w:rPr>
          <w:rFonts w:ascii="Arial" w:hAnsi="Arial" w:cs="Arial"/>
        </w:rPr>
        <w:t>Following the IFM and prior to the RUC, a separate market power mitigation pass is run to assess bids for Reliability Capacity Up (RCU)</w:t>
      </w:r>
      <w:r w:rsidR="003D4EA5" w:rsidRPr="00746F54">
        <w:rPr>
          <w:rFonts w:ascii="Arial" w:hAnsi="Arial" w:cs="Arial"/>
        </w:rPr>
        <w:t xml:space="preserve">.  </w:t>
      </w:r>
      <w:r w:rsidRPr="00746F54">
        <w:rPr>
          <w:rFonts w:ascii="Arial" w:hAnsi="Arial" w:cs="Arial"/>
        </w:rPr>
        <w:t xml:space="preserve">The process </w:t>
      </w:r>
      <w:r w:rsidR="003D4EA5" w:rsidRPr="00746F54">
        <w:rPr>
          <w:rFonts w:ascii="Arial" w:hAnsi="Arial" w:cs="Arial"/>
        </w:rPr>
        <w:t>identifies and mitigates potentially uncompetitive bids for RCU to ensure that the procurement of this capacity is not subject to the exercise of market power.  To the extent that any RCU bids are mitigated through the MPM process, these bids are then used as inputs into the RUC process.</w:t>
      </w:r>
    </w:p>
    <w:p w14:paraId="0F9FCAE0" w14:textId="7925B4E6" w:rsidR="003D4EA5" w:rsidRPr="00746F54" w:rsidRDefault="003D4EA5" w:rsidP="005C7EAA">
      <w:pPr>
        <w:pStyle w:val="ParaText"/>
        <w:rPr>
          <w:rFonts w:ascii="Arial" w:hAnsi="Arial" w:cs="Arial"/>
        </w:rPr>
      </w:pPr>
      <w:r w:rsidRPr="00746F54">
        <w:rPr>
          <w:rFonts w:ascii="Arial" w:hAnsi="Arial" w:cs="Arial"/>
        </w:rPr>
        <w:t xml:space="preserve">For additional information on MPM for RUC, please refer to the </w:t>
      </w:r>
      <w:r w:rsidRPr="00746F54">
        <w:rPr>
          <w:rFonts w:ascii="Arial" w:hAnsi="Arial" w:cs="Arial"/>
          <w:i/>
          <w:iCs/>
        </w:rPr>
        <w:t xml:space="preserve">Market </w:t>
      </w:r>
      <w:r w:rsidR="00700FDE" w:rsidRPr="00746F54">
        <w:rPr>
          <w:rFonts w:ascii="Arial" w:hAnsi="Arial" w:cs="Arial"/>
          <w:i/>
          <w:iCs/>
        </w:rPr>
        <w:t>Operations</w:t>
      </w:r>
      <w:r w:rsidRPr="00746F54">
        <w:rPr>
          <w:rFonts w:ascii="Arial" w:hAnsi="Arial" w:cs="Arial"/>
        </w:rPr>
        <w:t xml:space="preserve"> Business Practice Manual.</w:t>
      </w:r>
    </w:p>
    <w:p w14:paraId="681897AC" w14:textId="4813E4DC" w:rsidR="005C7EAA" w:rsidRPr="00746F54" w:rsidRDefault="000F7506" w:rsidP="005C7EAA">
      <w:pPr>
        <w:pStyle w:val="Heading2"/>
        <w:rPr>
          <w:rFonts w:ascii="Arial" w:hAnsi="Arial" w:cs="Arial"/>
        </w:rPr>
      </w:pPr>
      <w:bookmarkStart w:id="285" w:name="_Toc211337966"/>
      <w:bookmarkStart w:id="286" w:name="_Toc212733092"/>
      <w:r w:rsidRPr="00746F54">
        <w:rPr>
          <w:rFonts w:ascii="Arial" w:hAnsi="Arial" w:cs="Arial"/>
        </w:rPr>
        <w:t>RU</w:t>
      </w:r>
      <w:r w:rsidR="00A32549" w:rsidRPr="00746F54">
        <w:rPr>
          <w:rFonts w:ascii="Arial" w:hAnsi="Arial" w:cs="Arial"/>
        </w:rPr>
        <w:t>C</w:t>
      </w:r>
      <w:r w:rsidR="005C7EAA" w:rsidRPr="00746F54">
        <w:rPr>
          <w:rFonts w:ascii="Arial" w:hAnsi="Arial" w:cs="Arial"/>
        </w:rPr>
        <w:t xml:space="preserve"> in the EDAM Area</w:t>
      </w:r>
      <w:bookmarkEnd w:id="285"/>
      <w:bookmarkEnd w:id="286"/>
    </w:p>
    <w:p w14:paraId="6B981F66" w14:textId="79ABFABA" w:rsidR="005C7EAA" w:rsidRPr="00746F54" w:rsidRDefault="005C7EAA">
      <w:pPr>
        <w:pStyle w:val="ParaText"/>
        <w:rPr>
          <w:rFonts w:ascii="Arial" w:hAnsi="Arial" w:cs="Arial"/>
          <w:u w:val="single"/>
        </w:rPr>
      </w:pPr>
      <w:r w:rsidRPr="00746F54">
        <w:rPr>
          <w:rFonts w:ascii="Arial" w:hAnsi="Arial" w:cs="Arial"/>
          <w:u w:val="single"/>
        </w:rPr>
        <w:t>Reference tariff section</w:t>
      </w:r>
      <w:r w:rsidR="00A47B0E" w:rsidRPr="00746F54">
        <w:rPr>
          <w:rFonts w:ascii="Arial" w:hAnsi="Arial" w:cs="Arial"/>
          <w:u w:val="single"/>
        </w:rPr>
        <w:t>s 31.5.3 and</w:t>
      </w:r>
      <w:r w:rsidRPr="00746F54">
        <w:rPr>
          <w:rFonts w:ascii="Arial" w:hAnsi="Arial" w:cs="Arial"/>
          <w:u w:val="single"/>
        </w:rPr>
        <w:t xml:space="preserve"> 33.31.2.4</w:t>
      </w:r>
    </w:p>
    <w:p w14:paraId="47BE1B17" w14:textId="1AAD36B9" w:rsidR="00FC5A62" w:rsidRPr="00746F54" w:rsidRDefault="00FC5A62" w:rsidP="00A32549">
      <w:pPr>
        <w:pStyle w:val="ParaText"/>
        <w:rPr>
          <w:rFonts w:ascii="Arial" w:hAnsi="Arial" w:cs="Arial"/>
        </w:rPr>
      </w:pPr>
      <w:commentRangeStart w:id="287"/>
      <w:r w:rsidRPr="00746F54">
        <w:rPr>
          <w:rFonts w:ascii="Arial" w:hAnsi="Arial" w:cs="Arial"/>
        </w:rPr>
        <w:t xml:space="preserve">The RUC process occurs in the Day-Ahead Market after the IFM and serves as a key reliability function. For each Balancing Authority Area (BAA) in the EDAM, the RUC procures Reliability </w:t>
      </w:r>
      <w:r w:rsidRPr="00746F54">
        <w:rPr>
          <w:rFonts w:ascii="Arial" w:hAnsi="Arial" w:cs="Arial"/>
        </w:rPr>
        <w:lastRenderedPageBreak/>
        <w:t xml:space="preserve">Capacity Up (RCU) when the BAA's demand forecast exceeds its physical supply scheduled in the IFM. Conversely, it procures Reliability Capacity Down (RCD) to provide downward dispatch capability when the scheduled physical supply exceeds the demand forecast. This process ensures that sufficient physical capacity is available across the entire EDAM footprint to meet the </w:t>
      </w:r>
      <w:commentRangeStart w:id="288"/>
      <w:r w:rsidR="00AB48F2" w:rsidRPr="00746F54">
        <w:rPr>
          <w:rFonts w:ascii="Arial" w:hAnsi="Arial" w:cs="Arial"/>
        </w:rPr>
        <w:t>BAA Demand forecast</w:t>
      </w:r>
      <w:r w:rsidRPr="00746F54">
        <w:rPr>
          <w:rFonts w:ascii="Arial" w:hAnsi="Arial" w:cs="Arial"/>
        </w:rPr>
        <w:t xml:space="preserve"> </w:t>
      </w:r>
      <w:commentRangeEnd w:id="288"/>
      <w:r w:rsidR="008B170E" w:rsidRPr="00746F54">
        <w:rPr>
          <w:rStyle w:val="CommentReference"/>
          <w:rFonts w:ascii="Arial" w:hAnsi="Arial" w:cs="Arial"/>
        </w:rPr>
        <w:commentReference w:id="288"/>
      </w:r>
      <w:r w:rsidRPr="00746F54">
        <w:rPr>
          <w:rFonts w:ascii="Arial" w:hAnsi="Arial" w:cs="Arial"/>
        </w:rPr>
        <w:t>of each participating BAA.</w:t>
      </w:r>
      <w:commentRangeEnd w:id="287"/>
      <w:r w:rsidRPr="00746F54">
        <w:rPr>
          <w:rStyle w:val="CommentReference"/>
          <w:rFonts w:ascii="Arial" w:hAnsi="Arial" w:cs="Arial"/>
        </w:rPr>
        <w:commentReference w:id="287"/>
      </w:r>
    </w:p>
    <w:p w14:paraId="2F3FA61F" w14:textId="02191CD2" w:rsidR="00321DF4" w:rsidRPr="00746F54" w:rsidRDefault="00321DF4" w:rsidP="00A32549">
      <w:pPr>
        <w:pStyle w:val="ParaText"/>
        <w:rPr>
          <w:rFonts w:ascii="Arial" w:hAnsi="Arial" w:cs="Arial"/>
        </w:rPr>
      </w:pPr>
      <w:r w:rsidRPr="00746F54">
        <w:rPr>
          <w:rFonts w:ascii="Arial" w:hAnsi="Arial" w:cs="Arial"/>
        </w:rPr>
        <w:t xml:space="preserve">For additional information and procedures on the RUC processes, including RCU and RCD procurement, please refer to the </w:t>
      </w:r>
      <w:r w:rsidRPr="00746F54">
        <w:rPr>
          <w:rFonts w:ascii="Arial" w:hAnsi="Arial" w:cs="Arial"/>
          <w:i/>
          <w:iCs/>
        </w:rPr>
        <w:t xml:space="preserve">Market </w:t>
      </w:r>
      <w:r w:rsidR="00700FDE" w:rsidRPr="00746F54">
        <w:rPr>
          <w:rFonts w:ascii="Arial" w:hAnsi="Arial" w:cs="Arial"/>
          <w:i/>
          <w:iCs/>
        </w:rPr>
        <w:t>Operations</w:t>
      </w:r>
      <w:r w:rsidRPr="00746F54">
        <w:rPr>
          <w:rFonts w:ascii="Arial" w:hAnsi="Arial" w:cs="Arial"/>
        </w:rPr>
        <w:t xml:space="preserve"> Business Practice Manual.</w:t>
      </w:r>
    </w:p>
    <w:p w14:paraId="728282B0" w14:textId="18734DF4" w:rsidR="0053013C" w:rsidRPr="00746F54" w:rsidRDefault="0053013C" w:rsidP="0053013C">
      <w:pPr>
        <w:pStyle w:val="Heading3"/>
        <w:rPr>
          <w:rFonts w:ascii="Arial" w:hAnsi="Arial" w:cs="Arial"/>
        </w:rPr>
      </w:pPr>
      <w:bookmarkStart w:id="289" w:name="_Toc211337967"/>
      <w:commentRangeStart w:id="290"/>
      <w:r w:rsidRPr="00746F54">
        <w:rPr>
          <w:rFonts w:ascii="Arial" w:hAnsi="Arial" w:cs="Arial"/>
        </w:rPr>
        <w:t xml:space="preserve">RUC </w:t>
      </w:r>
      <w:r w:rsidR="00B818DE" w:rsidRPr="00746F54">
        <w:rPr>
          <w:rFonts w:ascii="Arial" w:hAnsi="Arial" w:cs="Arial"/>
        </w:rPr>
        <w:t>Load Adjustments</w:t>
      </w:r>
      <w:r w:rsidRPr="00746F54">
        <w:rPr>
          <w:rFonts w:ascii="Arial" w:hAnsi="Arial" w:cs="Arial"/>
        </w:rPr>
        <w:t xml:space="preserve"> for EDAM Participants</w:t>
      </w:r>
      <w:commentRangeEnd w:id="290"/>
      <w:r w:rsidRPr="00746F54">
        <w:rPr>
          <w:rStyle w:val="CommentReference"/>
          <w:rFonts w:ascii="Arial" w:hAnsi="Arial" w:cs="Arial"/>
          <w:b w:val="0"/>
        </w:rPr>
        <w:commentReference w:id="290"/>
      </w:r>
      <w:bookmarkEnd w:id="289"/>
    </w:p>
    <w:p w14:paraId="65FB53D6" w14:textId="0DCC3771" w:rsidR="0053013C" w:rsidRPr="00746F54" w:rsidRDefault="0053013C" w:rsidP="0053013C">
      <w:pPr>
        <w:spacing w:after="0" w:line="360" w:lineRule="auto"/>
        <w:textAlignment w:val="center"/>
        <w:rPr>
          <w:rFonts w:ascii="Arial" w:hAnsi="Arial" w:cs="Arial"/>
        </w:rPr>
      </w:pPr>
      <w:r w:rsidRPr="00746F54">
        <w:rPr>
          <w:rFonts w:ascii="Arial" w:hAnsi="Arial" w:cs="Arial"/>
        </w:rPr>
        <w:t xml:space="preserve">The </w:t>
      </w:r>
      <w:commentRangeStart w:id="291"/>
      <w:commentRangeStart w:id="292"/>
      <w:r w:rsidRPr="00746F54">
        <w:rPr>
          <w:rFonts w:ascii="Arial" w:hAnsi="Arial" w:cs="Arial"/>
        </w:rPr>
        <w:t xml:space="preserve">RUC </w:t>
      </w:r>
      <w:r w:rsidR="00B818DE" w:rsidRPr="00746F54">
        <w:rPr>
          <w:rFonts w:ascii="Arial" w:hAnsi="Arial" w:cs="Arial"/>
        </w:rPr>
        <w:t>load adjustment</w:t>
      </w:r>
      <w:r w:rsidRPr="00746F54">
        <w:rPr>
          <w:rFonts w:ascii="Arial" w:hAnsi="Arial" w:cs="Arial"/>
        </w:rPr>
        <w:t xml:space="preserve"> </w:t>
      </w:r>
      <w:commentRangeEnd w:id="291"/>
      <w:r w:rsidR="005B0A77" w:rsidRPr="00746F54">
        <w:rPr>
          <w:rStyle w:val="CommentReference"/>
          <w:rFonts w:ascii="Arial" w:hAnsi="Arial" w:cs="Arial"/>
        </w:rPr>
        <w:commentReference w:id="291"/>
      </w:r>
      <w:commentRangeEnd w:id="292"/>
      <w:r w:rsidR="008B170E" w:rsidRPr="00746F54">
        <w:rPr>
          <w:rStyle w:val="CommentReference"/>
          <w:rFonts w:ascii="Arial" w:hAnsi="Arial" w:cs="Arial"/>
        </w:rPr>
        <w:commentReference w:id="292"/>
      </w:r>
      <w:r w:rsidRPr="00746F54">
        <w:rPr>
          <w:rFonts w:ascii="Arial" w:hAnsi="Arial" w:cs="Arial"/>
        </w:rPr>
        <w:t xml:space="preserve">is an hourly MW value that is added to the forecasted load in the RUC process of the Day-Ahead Market, allowing a manual adjustment to load forecast in RUC.  The primary use of the RUC </w:t>
      </w:r>
      <w:r w:rsidR="00C103BB" w:rsidRPr="00746F54">
        <w:rPr>
          <w:rFonts w:ascii="Arial" w:hAnsi="Arial" w:cs="Arial"/>
        </w:rPr>
        <w:t>load adjustment</w:t>
      </w:r>
      <w:r w:rsidRPr="00746F54">
        <w:rPr>
          <w:rFonts w:ascii="Arial" w:hAnsi="Arial" w:cs="Arial"/>
        </w:rPr>
        <w:t xml:space="preserve"> feature is to provide extra capacity to a BA for reasons that may not be properly represented in the Day-Ahead Market.  These could include rare events such as a solar eclipse, wildfires causing non-credible multiple contingencies, or any other risks that a BA may be aware of yet cannot be adequately modeled in the market.  </w:t>
      </w:r>
    </w:p>
    <w:p w14:paraId="35257423" w14:textId="7475C1D3" w:rsidR="0053013C" w:rsidRPr="00746F54" w:rsidRDefault="0053013C" w:rsidP="0053013C">
      <w:pPr>
        <w:spacing w:after="0" w:line="360" w:lineRule="auto"/>
        <w:textAlignment w:val="center"/>
        <w:rPr>
          <w:rFonts w:ascii="Arial" w:hAnsi="Arial" w:cs="Arial"/>
        </w:rPr>
      </w:pPr>
      <w:r w:rsidRPr="00746F54">
        <w:rPr>
          <w:rFonts w:ascii="Arial" w:hAnsi="Arial" w:cs="Arial"/>
        </w:rPr>
        <w:t xml:space="preserve">To use this functionality, the EDAM entity is required to submit a spreadsheet to the secure file sharing site with 24 intervals of RUC </w:t>
      </w:r>
      <w:r w:rsidR="00C103BB" w:rsidRPr="00746F54">
        <w:rPr>
          <w:rFonts w:ascii="Arial" w:hAnsi="Arial" w:cs="Arial"/>
        </w:rPr>
        <w:t>load adjustment</w:t>
      </w:r>
      <w:r w:rsidRPr="00746F54">
        <w:rPr>
          <w:rFonts w:ascii="Arial" w:hAnsi="Arial" w:cs="Arial"/>
        </w:rPr>
        <w:t xml:space="preserve"> values to be added to the BAA load forecast for RUC only.  If no spreadsheet is provided by 10:00, the market operator shall input 0 MW values for the RUC </w:t>
      </w:r>
      <w:r w:rsidR="00C103BB" w:rsidRPr="00746F54">
        <w:rPr>
          <w:rFonts w:ascii="Arial" w:hAnsi="Arial" w:cs="Arial"/>
        </w:rPr>
        <w:t>load adjustment</w:t>
      </w:r>
      <w:r w:rsidRPr="00746F54">
        <w:rPr>
          <w:rFonts w:ascii="Arial" w:hAnsi="Arial" w:cs="Arial"/>
        </w:rPr>
        <w:t xml:space="preserve"> for the applicable DAM trade date.  If the EDAM entity has a condition requiring a non-zero RUC </w:t>
      </w:r>
      <w:r w:rsidR="00C103BB" w:rsidRPr="00746F54">
        <w:rPr>
          <w:rFonts w:ascii="Arial" w:hAnsi="Arial" w:cs="Arial"/>
        </w:rPr>
        <w:t>load adjustment</w:t>
      </w:r>
      <w:r w:rsidRPr="00746F54">
        <w:rPr>
          <w:rFonts w:ascii="Arial" w:hAnsi="Arial" w:cs="Arial"/>
        </w:rPr>
        <w:t xml:space="preserve"> and cannot access the secure file site, then they shall notify the market operator by phone prior to 10:00 to communicate values.  </w:t>
      </w:r>
    </w:p>
    <w:p w14:paraId="78E541DF" w14:textId="753C3B2B" w:rsidR="0053013C" w:rsidRPr="00746F54" w:rsidRDefault="0053013C" w:rsidP="0053013C">
      <w:pPr>
        <w:spacing w:after="0" w:line="360" w:lineRule="auto"/>
        <w:textAlignment w:val="center"/>
        <w:rPr>
          <w:rFonts w:ascii="Arial" w:hAnsi="Arial" w:cs="Arial"/>
        </w:rPr>
      </w:pPr>
      <w:r w:rsidRPr="00746F54">
        <w:rPr>
          <w:rFonts w:ascii="Arial" w:hAnsi="Arial" w:cs="Arial"/>
        </w:rPr>
        <w:t xml:space="preserve">In addition to the circumstances listed above for an operational adder RUC Net Short, there may be a need to use a RUC adjustment to procure for any deficiency of Imbalance Reserve that did not clear in IFM.  Since Imbalance Reserves requirements are cleared on the price defined in a demand curve, IFM may economically procure less than the full requirement.  Because this deficiency can be known only after the DAM IFM runs, the EDAM entity shall submit criteria to the market operator in advance of 7 days via CIDI ticket for an ongoing automatic RUC </w:t>
      </w:r>
      <w:r w:rsidR="00C103BB" w:rsidRPr="00746F54">
        <w:rPr>
          <w:rFonts w:ascii="Arial" w:hAnsi="Arial" w:cs="Arial"/>
        </w:rPr>
        <w:t>load adjustment</w:t>
      </w:r>
      <w:r w:rsidRPr="00746F54">
        <w:rPr>
          <w:rFonts w:ascii="Arial" w:hAnsi="Arial" w:cs="Arial"/>
        </w:rPr>
        <w:t xml:space="preserve"> process. The inputs are the percentage of Imbalance Reserve</w:t>
      </w:r>
      <w:commentRangeStart w:id="293"/>
      <w:r w:rsidRPr="00746F54">
        <w:rPr>
          <w:rFonts w:ascii="Arial" w:hAnsi="Arial" w:cs="Arial"/>
        </w:rPr>
        <w:t xml:space="preserve"> </w:t>
      </w:r>
      <w:commentRangeEnd w:id="293"/>
      <w:r w:rsidRPr="00746F54">
        <w:rPr>
          <w:rStyle w:val="CommentReference"/>
          <w:rFonts w:ascii="Arial" w:hAnsi="Arial" w:cs="Arial"/>
        </w:rPr>
        <w:commentReference w:id="293"/>
      </w:r>
      <w:r w:rsidRPr="00746F54">
        <w:rPr>
          <w:rFonts w:ascii="Arial" w:hAnsi="Arial" w:cs="Arial"/>
        </w:rPr>
        <w:t xml:space="preserve">that will be added to the RUC </w:t>
      </w:r>
      <w:r w:rsidR="00C103BB" w:rsidRPr="00746F54">
        <w:rPr>
          <w:rFonts w:ascii="Arial" w:hAnsi="Arial" w:cs="Arial"/>
        </w:rPr>
        <w:t>load adjustment</w:t>
      </w:r>
      <w:r w:rsidRPr="00746F54">
        <w:rPr>
          <w:rFonts w:ascii="Arial" w:hAnsi="Arial" w:cs="Arial"/>
        </w:rPr>
        <w:t xml:space="preserve"> based on load level bands less the Imbalance Reserves procured in IFM.</w:t>
      </w:r>
      <w:commentRangeStart w:id="294"/>
      <w:commentRangeStart w:id="295"/>
      <w:commentRangeStart w:id="296"/>
      <w:r w:rsidRPr="00746F54">
        <w:rPr>
          <w:rFonts w:ascii="Arial" w:hAnsi="Arial" w:cs="Arial"/>
        </w:rPr>
        <w:t xml:space="preserve">  This table is shared with each EDAM participant securely.</w:t>
      </w:r>
      <w:commentRangeEnd w:id="294"/>
      <w:r w:rsidRPr="00746F54">
        <w:rPr>
          <w:rStyle w:val="CommentReference"/>
          <w:rFonts w:ascii="Arial" w:hAnsi="Arial" w:cs="Arial"/>
        </w:rPr>
        <w:commentReference w:id="294"/>
      </w:r>
      <w:commentRangeEnd w:id="295"/>
      <w:r w:rsidRPr="00746F54">
        <w:rPr>
          <w:rStyle w:val="CommentReference"/>
          <w:rFonts w:ascii="Arial" w:hAnsi="Arial" w:cs="Arial"/>
        </w:rPr>
        <w:commentReference w:id="295"/>
      </w:r>
      <w:commentRangeEnd w:id="296"/>
      <w:r w:rsidRPr="00746F54">
        <w:rPr>
          <w:rStyle w:val="CommentReference"/>
          <w:rFonts w:ascii="Arial" w:hAnsi="Arial" w:cs="Arial"/>
        </w:rPr>
        <w:commentReference w:id="296"/>
      </w:r>
    </w:p>
    <w:p w14:paraId="0E1CFC14" w14:textId="77777777" w:rsidR="0053013C" w:rsidRPr="00746F54" w:rsidRDefault="0053013C" w:rsidP="0053013C">
      <w:pPr>
        <w:spacing w:after="0"/>
        <w:textAlignment w:val="center"/>
        <w:rPr>
          <w:rFonts w:ascii="Arial" w:hAnsi="Arial" w:cs="Arial"/>
        </w:rPr>
      </w:pPr>
    </w:p>
    <w:p w14:paraId="08FF4CAF" w14:textId="77777777" w:rsidR="0053013C" w:rsidRPr="00746F54" w:rsidRDefault="0053013C" w:rsidP="0053013C">
      <w:pPr>
        <w:spacing w:after="0"/>
        <w:jc w:val="center"/>
        <w:textAlignment w:val="center"/>
        <w:rPr>
          <w:rFonts w:ascii="Arial" w:hAnsi="Arial" w:cs="Arial"/>
        </w:rPr>
      </w:pPr>
      <w:r w:rsidRPr="00746F54">
        <w:rPr>
          <w:rFonts w:ascii="Arial" w:hAnsi="Arial" w:cs="Arial"/>
        </w:rPr>
        <w:t>Example of the table of Peak Load Forecast to Imbalance Reserve procurement percentage:</w:t>
      </w:r>
    </w:p>
    <w:p w14:paraId="452D78A4" w14:textId="77777777" w:rsidR="0053013C" w:rsidRPr="00746F54" w:rsidRDefault="0053013C" w:rsidP="0053013C">
      <w:pPr>
        <w:spacing w:after="0"/>
        <w:jc w:val="center"/>
        <w:textAlignment w:val="center"/>
        <w:rPr>
          <w:rFonts w:ascii="Arial" w:hAnsi="Arial" w:cs="Arial"/>
        </w:rPr>
      </w:pPr>
    </w:p>
    <w:tbl>
      <w:tblPr>
        <w:tblStyle w:val="TableGrid"/>
        <w:tblW w:w="0" w:type="auto"/>
        <w:tblInd w:w="265" w:type="dxa"/>
        <w:tblLook w:val="04A0" w:firstRow="1" w:lastRow="0" w:firstColumn="1" w:lastColumn="0" w:noHBand="0" w:noVBand="1"/>
      </w:tblPr>
      <w:tblGrid>
        <w:gridCol w:w="3850"/>
        <w:gridCol w:w="2440"/>
        <w:gridCol w:w="2440"/>
      </w:tblGrid>
      <w:tr w:rsidR="002C0A1B" w:rsidRPr="00746F54" w14:paraId="0291749A" w14:textId="77777777" w:rsidTr="0039402E">
        <w:tc>
          <w:tcPr>
            <w:tcW w:w="3850" w:type="dxa"/>
            <w:shd w:val="clear" w:color="auto" w:fill="000000" w:themeFill="text1"/>
          </w:tcPr>
          <w:p w14:paraId="7C7A05B7" w14:textId="77777777" w:rsidR="002C0A1B" w:rsidRPr="00746F54" w:rsidRDefault="002C0A1B" w:rsidP="005477B0">
            <w:pPr>
              <w:spacing w:after="0"/>
              <w:jc w:val="center"/>
              <w:textAlignment w:val="center"/>
              <w:rPr>
                <w:rFonts w:ascii="Arial" w:hAnsi="Arial" w:cs="Arial"/>
                <w:b/>
                <w:color w:val="FFFFFF" w:themeColor="background1"/>
                <w:sz w:val="22"/>
                <w:szCs w:val="22"/>
              </w:rPr>
            </w:pPr>
            <w:r w:rsidRPr="00746F54">
              <w:rPr>
                <w:rFonts w:ascii="Arial" w:hAnsi="Arial" w:cs="Arial"/>
                <w:b/>
                <w:color w:val="FFFFFF" w:themeColor="background1"/>
              </w:rPr>
              <w:lastRenderedPageBreak/>
              <w:t>Daily Peak BAA Load Forecast</w:t>
            </w:r>
          </w:p>
        </w:tc>
        <w:tc>
          <w:tcPr>
            <w:tcW w:w="2440" w:type="dxa"/>
            <w:shd w:val="clear" w:color="auto" w:fill="000000" w:themeFill="text1"/>
          </w:tcPr>
          <w:p w14:paraId="77FAF5A5" w14:textId="77777777" w:rsidR="002C0A1B" w:rsidRPr="00746F54" w:rsidRDefault="002C0A1B" w:rsidP="005477B0">
            <w:pPr>
              <w:spacing w:after="0"/>
              <w:jc w:val="center"/>
              <w:textAlignment w:val="center"/>
              <w:rPr>
                <w:rFonts w:ascii="Arial" w:hAnsi="Arial" w:cs="Arial"/>
                <w:b/>
                <w:color w:val="FFFFFF" w:themeColor="background1"/>
              </w:rPr>
            </w:pPr>
            <w:r w:rsidRPr="00746F54">
              <w:rPr>
                <w:rFonts w:ascii="Arial" w:hAnsi="Arial" w:cs="Arial"/>
                <w:b/>
                <w:color w:val="FFFFFF" w:themeColor="background1"/>
              </w:rPr>
              <w:t xml:space="preserve">Imbalance Reserve </w:t>
            </w:r>
            <w:r w:rsidRPr="00746F54">
              <w:rPr>
                <w:rFonts w:ascii="Arial" w:hAnsi="Arial" w:cs="Arial"/>
                <w:b/>
                <w:bCs/>
                <w:color w:val="FFFFFF" w:themeColor="background1"/>
                <w:sz w:val="22"/>
                <w:szCs w:val="22"/>
              </w:rPr>
              <w:t>P</w:t>
            </w:r>
            <w:r w:rsidRPr="00746F54">
              <w:rPr>
                <w:rFonts w:ascii="Arial" w:hAnsi="Arial" w:cs="Arial"/>
                <w:b/>
                <w:bCs/>
                <w:color w:val="FFFFFF" w:themeColor="background1"/>
              </w:rPr>
              <w:t xml:space="preserve">rocurement </w:t>
            </w:r>
            <w:r w:rsidRPr="00746F54">
              <w:rPr>
                <w:rFonts w:ascii="Arial" w:hAnsi="Arial" w:cs="Arial"/>
                <w:b/>
                <w:bCs/>
                <w:color w:val="FFFFFF" w:themeColor="background1"/>
                <w:sz w:val="22"/>
                <w:szCs w:val="22"/>
              </w:rPr>
              <w:t>P</w:t>
            </w:r>
            <w:r w:rsidRPr="00746F54">
              <w:rPr>
                <w:rFonts w:ascii="Arial" w:hAnsi="Arial" w:cs="Arial"/>
                <w:b/>
                <w:bCs/>
                <w:color w:val="FFFFFF" w:themeColor="background1"/>
              </w:rPr>
              <w:t>ercentage</w:t>
            </w:r>
          </w:p>
        </w:tc>
        <w:tc>
          <w:tcPr>
            <w:tcW w:w="2440" w:type="dxa"/>
            <w:shd w:val="clear" w:color="auto" w:fill="000000" w:themeFill="text1"/>
          </w:tcPr>
          <w:p w14:paraId="075BE5DB" w14:textId="77777777" w:rsidR="0063670B" w:rsidRPr="00746F54" w:rsidRDefault="002C0A1B" w:rsidP="005477B0">
            <w:pPr>
              <w:spacing w:after="0"/>
              <w:jc w:val="center"/>
              <w:textAlignment w:val="center"/>
              <w:rPr>
                <w:rFonts w:ascii="Arial" w:hAnsi="Arial" w:cs="Arial"/>
                <w:b/>
                <w:color w:val="FFFFFF" w:themeColor="background1"/>
                <w:sz w:val="18"/>
                <w:szCs w:val="18"/>
              </w:rPr>
            </w:pPr>
            <w:r w:rsidRPr="00746F54">
              <w:rPr>
                <w:rFonts w:ascii="Arial" w:hAnsi="Arial" w:cs="Arial"/>
                <w:b/>
                <w:color w:val="FFFFFF" w:themeColor="background1"/>
                <w:sz w:val="18"/>
                <w:szCs w:val="18"/>
              </w:rPr>
              <w:t>Hours</w:t>
            </w:r>
            <w:r w:rsidR="0063670B" w:rsidRPr="00746F54">
              <w:rPr>
                <w:rFonts w:ascii="Arial" w:hAnsi="Arial" w:cs="Arial"/>
                <w:b/>
                <w:color w:val="FFFFFF" w:themeColor="background1"/>
                <w:sz w:val="18"/>
                <w:szCs w:val="18"/>
              </w:rPr>
              <w:t xml:space="preserve"> </w:t>
            </w:r>
          </w:p>
          <w:p w14:paraId="703A2B06" w14:textId="66DEAB3B" w:rsidR="002C0A1B" w:rsidRPr="00746F54" w:rsidRDefault="0063670B" w:rsidP="005477B0">
            <w:pPr>
              <w:spacing w:after="0"/>
              <w:jc w:val="center"/>
              <w:textAlignment w:val="center"/>
              <w:rPr>
                <w:rFonts w:ascii="Arial" w:hAnsi="Arial" w:cs="Arial"/>
                <w:b/>
                <w:color w:val="FFFFFF" w:themeColor="background1"/>
                <w:sz w:val="18"/>
                <w:szCs w:val="18"/>
              </w:rPr>
            </w:pPr>
            <w:r w:rsidRPr="00746F54">
              <w:rPr>
                <w:rFonts w:ascii="Arial" w:hAnsi="Arial" w:cs="Arial"/>
                <w:b/>
                <w:color w:val="FFFFFF" w:themeColor="background1"/>
                <w:sz w:val="18"/>
                <w:szCs w:val="18"/>
              </w:rPr>
              <w:t>(same for all levels)</w:t>
            </w:r>
          </w:p>
        </w:tc>
      </w:tr>
      <w:tr w:rsidR="002C0A1B" w:rsidRPr="00746F54" w14:paraId="267FB9FD" w14:textId="77777777" w:rsidTr="00EC24BB">
        <w:tc>
          <w:tcPr>
            <w:tcW w:w="3850" w:type="dxa"/>
          </w:tcPr>
          <w:p w14:paraId="2132EF52" w14:textId="77777777" w:rsidR="002C0A1B" w:rsidRPr="00746F54" w:rsidRDefault="002C0A1B" w:rsidP="005477B0">
            <w:pPr>
              <w:spacing w:after="0"/>
              <w:jc w:val="right"/>
              <w:textAlignment w:val="center"/>
              <w:rPr>
                <w:rFonts w:ascii="Arial" w:hAnsi="Arial" w:cs="Arial"/>
                <w:sz w:val="22"/>
                <w:szCs w:val="22"/>
              </w:rPr>
            </w:pPr>
            <w:r w:rsidRPr="00746F54">
              <w:rPr>
                <w:rFonts w:ascii="Arial" w:hAnsi="Arial" w:cs="Arial"/>
              </w:rPr>
              <w:t>0-5,000 MW</w:t>
            </w:r>
          </w:p>
        </w:tc>
        <w:tc>
          <w:tcPr>
            <w:tcW w:w="2440" w:type="dxa"/>
          </w:tcPr>
          <w:p w14:paraId="29542D56" w14:textId="77777777" w:rsidR="002C0A1B" w:rsidRPr="00746F54" w:rsidRDefault="002C0A1B" w:rsidP="005477B0">
            <w:pPr>
              <w:spacing w:after="0"/>
              <w:jc w:val="right"/>
              <w:textAlignment w:val="center"/>
              <w:rPr>
                <w:rFonts w:ascii="Arial" w:hAnsi="Arial" w:cs="Arial"/>
              </w:rPr>
            </w:pPr>
            <w:r w:rsidRPr="00746F54">
              <w:rPr>
                <w:rFonts w:ascii="Arial" w:hAnsi="Arial" w:cs="Arial"/>
              </w:rPr>
              <w:t>0%</w:t>
            </w:r>
          </w:p>
        </w:tc>
        <w:tc>
          <w:tcPr>
            <w:tcW w:w="2440" w:type="dxa"/>
          </w:tcPr>
          <w:p w14:paraId="3A13D92F" w14:textId="2F8C0F6A" w:rsidR="002C0A1B" w:rsidRPr="00746F54" w:rsidRDefault="002C0A1B" w:rsidP="00636D40">
            <w:pPr>
              <w:spacing w:after="0"/>
              <w:jc w:val="center"/>
              <w:textAlignment w:val="center"/>
              <w:rPr>
                <w:rFonts w:ascii="Arial" w:hAnsi="Arial" w:cs="Arial"/>
                <w:sz w:val="22"/>
                <w:szCs w:val="22"/>
              </w:rPr>
            </w:pPr>
            <w:r w:rsidRPr="00746F54">
              <w:rPr>
                <w:rFonts w:ascii="Arial" w:hAnsi="Arial" w:cs="Arial"/>
                <w:sz w:val="22"/>
                <w:szCs w:val="22"/>
              </w:rPr>
              <w:t>HE 15- HE22</w:t>
            </w:r>
          </w:p>
        </w:tc>
      </w:tr>
      <w:tr w:rsidR="002C0A1B" w:rsidRPr="00746F54" w14:paraId="1714FD60" w14:textId="77777777" w:rsidTr="00AB1829">
        <w:tc>
          <w:tcPr>
            <w:tcW w:w="3850" w:type="dxa"/>
          </w:tcPr>
          <w:p w14:paraId="0D0EF78E" w14:textId="77777777" w:rsidR="002C0A1B" w:rsidRPr="00746F54" w:rsidRDefault="002C0A1B" w:rsidP="005477B0">
            <w:pPr>
              <w:spacing w:after="0"/>
              <w:jc w:val="right"/>
              <w:textAlignment w:val="center"/>
              <w:rPr>
                <w:rFonts w:ascii="Arial" w:hAnsi="Arial" w:cs="Arial"/>
                <w:sz w:val="22"/>
                <w:szCs w:val="22"/>
              </w:rPr>
            </w:pPr>
            <w:r w:rsidRPr="00746F54">
              <w:rPr>
                <w:rFonts w:ascii="Arial" w:hAnsi="Arial" w:cs="Arial"/>
              </w:rPr>
              <w:t>5,000-8,000 MW</w:t>
            </w:r>
          </w:p>
        </w:tc>
        <w:tc>
          <w:tcPr>
            <w:tcW w:w="2440" w:type="dxa"/>
          </w:tcPr>
          <w:p w14:paraId="275E46D9" w14:textId="77777777" w:rsidR="002C0A1B" w:rsidRPr="00746F54" w:rsidRDefault="002C0A1B" w:rsidP="005477B0">
            <w:pPr>
              <w:spacing w:after="0"/>
              <w:jc w:val="right"/>
              <w:textAlignment w:val="center"/>
              <w:rPr>
                <w:rFonts w:ascii="Arial" w:hAnsi="Arial" w:cs="Arial"/>
              </w:rPr>
            </w:pPr>
            <w:r w:rsidRPr="00746F54">
              <w:rPr>
                <w:rFonts w:ascii="Arial" w:hAnsi="Arial" w:cs="Arial"/>
              </w:rPr>
              <w:t>50%</w:t>
            </w:r>
          </w:p>
        </w:tc>
        <w:tc>
          <w:tcPr>
            <w:tcW w:w="2440" w:type="dxa"/>
          </w:tcPr>
          <w:p w14:paraId="123BB17F" w14:textId="5C4AD131" w:rsidR="002C0A1B" w:rsidRPr="00746F54" w:rsidRDefault="002C0A1B" w:rsidP="00636D40">
            <w:pPr>
              <w:spacing w:after="0"/>
              <w:jc w:val="center"/>
              <w:textAlignment w:val="center"/>
              <w:rPr>
                <w:rFonts w:ascii="Arial" w:hAnsi="Arial" w:cs="Arial"/>
                <w:sz w:val="22"/>
                <w:szCs w:val="22"/>
              </w:rPr>
            </w:pPr>
            <w:r w:rsidRPr="00746F54">
              <w:rPr>
                <w:rFonts w:ascii="Arial" w:hAnsi="Arial" w:cs="Arial"/>
                <w:sz w:val="22"/>
                <w:szCs w:val="22"/>
              </w:rPr>
              <w:t>HE 15- HE22</w:t>
            </w:r>
          </w:p>
        </w:tc>
      </w:tr>
      <w:tr w:rsidR="002C0A1B" w:rsidRPr="00746F54" w14:paraId="3F011041" w14:textId="77777777" w:rsidTr="00C370F3">
        <w:tc>
          <w:tcPr>
            <w:tcW w:w="3850" w:type="dxa"/>
          </w:tcPr>
          <w:p w14:paraId="1B49141C" w14:textId="77777777" w:rsidR="002C0A1B" w:rsidRPr="00746F54" w:rsidRDefault="002C0A1B" w:rsidP="005477B0">
            <w:pPr>
              <w:spacing w:after="0"/>
              <w:jc w:val="right"/>
              <w:textAlignment w:val="center"/>
              <w:rPr>
                <w:rFonts w:ascii="Arial" w:hAnsi="Arial" w:cs="Arial"/>
                <w:sz w:val="22"/>
                <w:szCs w:val="22"/>
              </w:rPr>
            </w:pPr>
            <w:r w:rsidRPr="00746F54">
              <w:rPr>
                <w:rFonts w:ascii="Arial" w:hAnsi="Arial" w:cs="Arial"/>
              </w:rPr>
              <w:t>8,000-12,000 MW</w:t>
            </w:r>
          </w:p>
        </w:tc>
        <w:tc>
          <w:tcPr>
            <w:tcW w:w="2440" w:type="dxa"/>
          </w:tcPr>
          <w:p w14:paraId="3B382659" w14:textId="77777777" w:rsidR="002C0A1B" w:rsidRPr="00746F54" w:rsidRDefault="002C0A1B" w:rsidP="005477B0">
            <w:pPr>
              <w:spacing w:after="0"/>
              <w:jc w:val="right"/>
              <w:textAlignment w:val="center"/>
              <w:rPr>
                <w:rFonts w:ascii="Arial" w:hAnsi="Arial" w:cs="Arial"/>
              </w:rPr>
            </w:pPr>
            <w:r w:rsidRPr="00746F54" w:rsidDel="00995C1C">
              <w:rPr>
                <w:rFonts w:ascii="Arial" w:hAnsi="Arial" w:cs="Arial"/>
              </w:rPr>
              <w:t>80</w:t>
            </w:r>
            <w:r w:rsidRPr="00746F54">
              <w:rPr>
                <w:rFonts w:ascii="Arial" w:hAnsi="Arial" w:cs="Arial"/>
              </w:rPr>
              <w:t>%</w:t>
            </w:r>
          </w:p>
        </w:tc>
        <w:tc>
          <w:tcPr>
            <w:tcW w:w="2440" w:type="dxa"/>
          </w:tcPr>
          <w:p w14:paraId="5D952D8B" w14:textId="787F6987" w:rsidR="002C0A1B" w:rsidRPr="00746F54" w:rsidRDefault="002C0A1B" w:rsidP="00636D40">
            <w:pPr>
              <w:spacing w:after="0"/>
              <w:jc w:val="center"/>
              <w:textAlignment w:val="center"/>
              <w:rPr>
                <w:rFonts w:ascii="Arial" w:hAnsi="Arial" w:cs="Arial"/>
                <w:sz w:val="22"/>
                <w:szCs w:val="22"/>
              </w:rPr>
            </w:pPr>
            <w:r w:rsidRPr="00746F54">
              <w:rPr>
                <w:rFonts w:ascii="Arial" w:hAnsi="Arial" w:cs="Arial"/>
                <w:sz w:val="22"/>
                <w:szCs w:val="22"/>
              </w:rPr>
              <w:t>HE 15- HE22</w:t>
            </w:r>
          </w:p>
        </w:tc>
      </w:tr>
      <w:tr w:rsidR="002C0A1B" w:rsidRPr="00746F54" w14:paraId="7B48D868" w14:textId="77777777" w:rsidTr="001E6F2A">
        <w:tc>
          <w:tcPr>
            <w:tcW w:w="3850" w:type="dxa"/>
          </w:tcPr>
          <w:p w14:paraId="26D95087" w14:textId="77777777" w:rsidR="002C0A1B" w:rsidRPr="00746F54" w:rsidRDefault="002C0A1B" w:rsidP="005477B0">
            <w:pPr>
              <w:spacing w:after="0"/>
              <w:jc w:val="right"/>
              <w:textAlignment w:val="center"/>
              <w:rPr>
                <w:rFonts w:ascii="Arial" w:hAnsi="Arial" w:cs="Arial"/>
                <w:sz w:val="22"/>
                <w:szCs w:val="22"/>
              </w:rPr>
            </w:pPr>
            <w:r w:rsidRPr="00746F54">
              <w:rPr>
                <w:rFonts w:ascii="Arial" w:hAnsi="Arial" w:cs="Arial"/>
              </w:rPr>
              <w:t>12,001 MW or greater</w:t>
            </w:r>
          </w:p>
        </w:tc>
        <w:tc>
          <w:tcPr>
            <w:tcW w:w="2440" w:type="dxa"/>
          </w:tcPr>
          <w:p w14:paraId="44B6D909" w14:textId="77777777" w:rsidR="002C0A1B" w:rsidRPr="00746F54" w:rsidRDefault="002C0A1B" w:rsidP="005477B0">
            <w:pPr>
              <w:spacing w:after="0"/>
              <w:jc w:val="right"/>
              <w:textAlignment w:val="center"/>
              <w:rPr>
                <w:rFonts w:ascii="Arial" w:hAnsi="Arial" w:cs="Arial"/>
              </w:rPr>
            </w:pPr>
            <w:r w:rsidRPr="00746F54">
              <w:rPr>
                <w:rFonts w:ascii="Arial" w:hAnsi="Arial" w:cs="Arial"/>
              </w:rPr>
              <w:t>100%</w:t>
            </w:r>
          </w:p>
        </w:tc>
        <w:tc>
          <w:tcPr>
            <w:tcW w:w="2440" w:type="dxa"/>
          </w:tcPr>
          <w:p w14:paraId="79F30662" w14:textId="7D56B1EB" w:rsidR="002C0A1B" w:rsidRPr="00746F54" w:rsidRDefault="002C0A1B" w:rsidP="00636D40">
            <w:pPr>
              <w:spacing w:after="0"/>
              <w:jc w:val="center"/>
              <w:textAlignment w:val="center"/>
              <w:rPr>
                <w:rFonts w:ascii="Arial" w:hAnsi="Arial" w:cs="Arial"/>
                <w:sz w:val="22"/>
                <w:szCs w:val="22"/>
              </w:rPr>
            </w:pPr>
            <w:r w:rsidRPr="00746F54">
              <w:rPr>
                <w:rFonts w:ascii="Arial" w:hAnsi="Arial" w:cs="Arial"/>
                <w:sz w:val="22"/>
                <w:szCs w:val="22"/>
              </w:rPr>
              <w:t>HE 15- HE22</w:t>
            </w:r>
          </w:p>
        </w:tc>
      </w:tr>
    </w:tbl>
    <w:p w14:paraId="34A302E5" w14:textId="77777777" w:rsidR="0053013C" w:rsidRPr="00746F54" w:rsidRDefault="0053013C" w:rsidP="0053013C">
      <w:pPr>
        <w:spacing w:after="0"/>
        <w:textAlignment w:val="center"/>
        <w:rPr>
          <w:rFonts w:ascii="Arial" w:hAnsi="Arial" w:cs="Arial"/>
        </w:rPr>
      </w:pPr>
    </w:p>
    <w:p w14:paraId="1D256D8E" w14:textId="74A920E6" w:rsidR="0053013C" w:rsidRPr="00746F54" w:rsidRDefault="0053013C" w:rsidP="0053013C">
      <w:pPr>
        <w:spacing w:after="0" w:line="360" w:lineRule="auto"/>
        <w:textAlignment w:val="center"/>
        <w:rPr>
          <w:rFonts w:ascii="Arial" w:hAnsi="Arial" w:cs="Arial"/>
        </w:rPr>
      </w:pPr>
      <w:r w:rsidRPr="00746F54">
        <w:rPr>
          <w:rFonts w:ascii="Arial" w:hAnsi="Arial" w:cs="Arial"/>
        </w:rPr>
        <w:t>Based on the table criteria and the level of imbalance reserves cleared in IFM, the market operator will calculate the RUC adjustment value needed for an operating date. An illustration of this assessment is provided in the following table.</w:t>
      </w:r>
    </w:p>
    <w:p w14:paraId="3FE8AAC4" w14:textId="22B6E53F" w:rsidR="0053013C" w:rsidRPr="00746F54" w:rsidRDefault="0053013C" w:rsidP="0053013C">
      <w:pPr>
        <w:spacing w:after="0"/>
        <w:textAlignment w:val="center"/>
        <w:rPr>
          <w:rFonts w:ascii="Arial" w:hAnsi="Arial" w:cs="Arial"/>
        </w:rPr>
      </w:pPr>
      <w:r w:rsidRPr="00746F54">
        <w:rPr>
          <w:rFonts w:ascii="Arial" w:hAnsi="Arial" w:cs="Arial"/>
        </w:rPr>
        <w:t xml:space="preserve">Example of the RUC </w:t>
      </w:r>
      <w:r w:rsidR="00C103BB" w:rsidRPr="00746F54">
        <w:rPr>
          <w:rFonts w:ascii="Arial" w:hAnsi="Arial" w:cs="Arial"/>
        </w:rPr>
        <w:t>load adjustment</w:t>
      </w:r>
      <w:r w:rsidRPr="00746F54">
        <w:rPr>
          <w:rFonts w:ascii="Arial" w:hAnsi="Arial" w:cs="Arial"/>
        </w:rPr>
        <w:t xml:space="preserve"> calculation for a single hourly interval for DAM for a high-load stressed day:</w:t>
      </w:r>
    </w:p>
    <w:p w14:paraId="5BEBF44C" w14:textId="77777777" w:rsidR="0053013C" w:rsidRPr="00746F54" w:rsidRDefault="0053013C" w:rsidP="0053013C">
      <w:pPr>
        <w:spacing w:after="0"/>
        <w:textAlignment w:val="center"/>
        <w:rPr>
          <w:rFonts w:ascii="Arial" w:hAnsi="Arial" w:cs="Arial"/>
        </w:rPr>
      </w:pPr>
    </w:p>
    <w:tbl>
      <w:tblPr>
        <w:tblStyle w:val="TableGrid"/>
        <w:tblW w:w="0" w:type="auto"/>
        <w:jc w:val="center"/>
        <w:tblLook w:val="04A0" w:firstRow="1" w:lastRow="0" w:firstColumn="1" w:lastColumn="0" w:noHBand="0" w:noVBand="1"/>
      </w:tblPr>
      <w:tblGrid>
        <w:gridCol w:w="6853"/>
        <w:gridCol w:w="1792"/>
      </w:tblGrid>
      <w:tr w:rsidR="0053013C" w:rsidRPr="00746F54" w14:paraId="43268891" w14:textId="77777777" w:rsidTr="0053013C">
        <w:trPr>
          <w:jc w:val="center"/>
        </w:trPr>
        <w:tc>
          <w:tcPr>
            <w:tcW w:w="6853" w:type="dxa"/>
            <w:shd w:val="clear" w:color="auto" w:fill="000000" w:themeFill="text1"/>
          </w:tcPr>
          <w:p w14:paraId="0607F250" w14:textId="77777777" w:rsidR="0053013C" w:rsidRPr="00746F54" w:rsidRDefault="0053013C" w:rsidP="005477B0">
            <w:pPr>
              <w:spacing w:after="0"/>
              <w:textAlignment w:val="center"/>
              <w:rPr>
                <w:rFonts w:ascii="Arial" w:hAnsi="Arial" w:cs="Arial"/>
                <w:b/>
                <w:bCs/>
                <w:sz w:val="22"/>
                <w:szCs w:val="22"/>
              </w:rPr>
            </w:pPr>
            <w:r w:rsidRPr="00746F54">
              <w:rPr>
                <w:rFonts w:ascii="Arial" w:hAnsi="Arial" w:cs="Arial"/>
                <w:b/>
                <w:bCs/>
              </w:rPr>
              <w:t>Item</w:t>
            </w:r>
          </w:p>
        </w:tc>
        <w:tc>
          <w:tcPr>
            <w:tcW w:w="1792" w:type="dxa"/>
            <w:shd w:val="clear" w:color="auto" w:fill="000000" w:themeFill="text1"/>
          </w:tcPr>
          <w:p w14:paraId="79E78D59" w14:textId="77777777" w:rsidR="0053013C" w:rsidRPr="00746F54" w:rsidRDefault="0053013C" w:rsidP="005477B0">
            <w:pPr>
              <w:spacing w:after="0"/>
              <w:jc w:val="right"/>
              <w:textAlignment w:val="center"/>
              <w:rPr>
                <w:rFonts w:ascii="Arial" w:hAnsi="Arial" w:cs="Arial"/>
                <w:b/>
                <w:bCs/>
                <w:sz w:val="22"/>
                <w:szCs w:val="22"/>
              </w:rPr>
            </w:pPr>
            <w:r w:rsidRPr="00746F54">
              <w:rPr>
                <w:rFonts w:ascii="Arial" w:hAnsi="Arial" w:cs="Arial"/>
                <w:b/>
                <w:bCs/>
              </w:rPr>
              <w:t>MWs</w:t>
            </w:r>
          </w:p>
        </w:tc>
      </w:tr>
      <w:tr w:rsidR="0053013C" w:rsidRPr="00746F54" w14:paraId="29CFC234" w14:textId="77777777" w:rsidTr="0053013C">
        <w:trPr>
          <w:jc w:val="center"/>
        </w:trPr>
        <w:tc>
          <w:tcPr>
            <w:tcW w:w="6853" w:type="dxa"/>
          </w:tcPr>
          <w:p w14:paraId="3851F89F" w14:textId="2DDE31D4" w:rsidR="0053013C" w:rsidRPr="00746F54" w:rsidRDefault="0053013C" w:rsidP="005477B0">
            <w:pPr>
              <w:spacing w:after="0"/>
              <w:textAlignment w:val="center"/>
              <w:rPr>
                <w:rFonts w:ascii="Arial" w:hAnsi="Arial" w:cs="Arial"/>
                <w:sz w:val="22"/>
                <w:szCs w:val="22"/>
              </w:rPr>
            </w:pPr>
            <w:r w:rsidRPr="00746F54">
              <w:rPr>
                <w:rFonts w:ascii="Arial" w:hAnsi="Arial" w:cs="Arial"/>
              </w:rPr>
              <w:t xml:space="preserve">EDAM BAA Submitted RUC </w:t>
            </w:r>
            <w:r w:rsidRPr="00746F54">
              <w:rPr>
                <w:rFonts w:ascii="Arial" w:hAnsi="Arial" w:cs="Arial"/>
                <w:sz w:val="22"/>
                <w:szCs w:val="22"/>
              </w:rPr>
              <w:t>N</w:t>
            </w:r>
            <w:r w:rsidRPr="00746F54">
              <w:rPr>
                <w:rFonts w:ascii="Arial" w:hAnsi="Arial" w:cs="Arial"/>
              </w:rPr>
              <w:t xml:space="preserve">et </w:t>
            </w:r>
            <w:r w:rsidRPr="00746F54">
              <w:rPr>
                <w:rFonts w:ascii="Arial" w:hAnsi="Arial" w:cs="Arial"/>
                <w:sz w:val="22"/>
                <w:szCs w:val="22"/>
              </w:rPr>
              <w:t>S</w:t>
            </w:r>
            <w:r w:rsidRPr="00746F54">
              <w:rPr>
                <w:rFonts w:ascii="Arial" w:hAnsi="Arial" w:cs="Arial"/>
              </w:rPr>
              <w:t xml:space="preserve">hort </w:t>
            </w:r>
            <w:r w:rsidRPr="00746F54">
              <w:rPr>
                <w:rFonts w:ascii="Arial" w:hAnsi="Arial" w:cs="Arial"/>
                <w:sz w:val="22"/>
                <w:szCs w:val="22"/>
              </w:rPr>
              <w:t>Operational Adder</w:t>
            </w:r>
            <w:r w:rsidRPr="00746F54">
              <w:rPr>
                <w:rFonts w:ascii="Arial" w:hAnsi="Arial" w:cs="Arial"/>
              </w:rPr>
              <w:t xml:space="preserve"> (prior to 1000)</w:t>
            </w:r>
          </w:p>
        </w:tc>
        <w:tc>
          <w:tcPr>
            <w:tcW w:w="1792" w:type="dxa"/>
          </w:tcPr>
          <w:p w14:paraId="3BBBAC5A" w14:textId="77777777" w:rsidR="0053013C" w:rsidRPr="00746F54" w:rsidRDefault="0053013C" w:rsidP="005477B0">
            <w:pPr>
              <w:spacing w:after="0"/>
              <w:jc w:val="right"/>
              <w:textAlignment w:val="center"/>
              <w:rPr>
                <w:rFonts w:ascii="Arial" w:hAnsi="Arial" w:cs="Arial"/>
                <w:sz w:val="22"/>
                <w:szCs w:val="22"/>
              </w:rPr>
            </w:pPr>
            <w:r w:rsidRPr="00746F54">
              <w:rPr>
                <w:rFonts w:ascii="Arial" w:hAnsi="Arial" w:cs="Arial"/>
              </w:rPr>
              <w:t>0 MW</w:t>
            </w:r>
          </w:p>
        </w:tc>
      </w:tr>
      <w:tr w:rsidR="0053013C" w:rsidRPr="00746F54" w14:paraId="27A61413" w14:textId="77777777" w:rsidTr="0053013C">
        <w:trPr>
          <w:jc w:val="center"/>
        </w:trPr>
        <w:tc>
          <w:tcPr>
            <w:tcW w:w="6853" w:type="dxa"/>
          </w:tcPr>
          <w:p w14:paraId="2259FFA3" w14:textId="77777777" w:rsidR="0053013C" w:rsidRPr="00746F54" w:rsidRDefault="0053013C" w:rsidP="005477B0">
            <w:pPr>
              <w:spacing w:after="0"/>
              <w:textAlignment w:val="center"/>
              <w:rPr>
                <w:rFonts w:ascii="Arial" w:hAnsi="Arial" w:cs="Arial"/>
                <w:sz w:val="22"/>
                <w:szCs w:val="22"/>
              </w:rPr>
            </w:pPr>
            <w:r w:rsidRPr="00746F54">
              <w:rPr>
                <w:rFonts w:ascii="Arial" w:hAnsi="Arial" w:cs="Arial"/>
              </w:rPr>
              <w:t>EDAM BAA Peak Load Forecast</w:t>
            </w:r>
          </w:p>
        </w:tc>
        <w:tc>
          <w:tcPr>
            <w:tcW w:w="1792" w:type="dxa"/>
          </w:tcPr>
          <w:p w14:paraId="71B0D346" w14:textId="77777777" w:rsidR="0053013C" w:rsidRPr="00746F54" w:rsidRDefault="0053013C" w:rsidP="005477B0">
            <w:pPr>
              <w:spacing w:after="0"/>
              <w:jc w:val="right"/>
              <w:textAlignment w:val="center"/>
              <w:rPr>
                <w:rFonts w:ascii="Arial" w:hAnsi="Arial" w:cs="Arial"/>
                <w:sz w:val="22"/>
                <w:szCs w:val="22"/>
              </w:rPr>
            </w:pPr>
            <w:r w:rsidRPr="00746F54">
              <w:rPr>
                <w:rFonts w:ascii="Arial" w:hAnsi="Arial" w:cs="Arial"/>
              </w:rPr>
              <w:t>11,500 MW</w:t>
            </w:r>
          </w:p>
        </w:tc>
      </w:tr>
      <w:tr w:rsidR="0053013C" w:rsidRPr="00746F54" w14:paraId="363C19BC" w14:textId="77777777" w:rsidTr="0053013C">
        <w:trPr>
          <w:jc w:val="center"/>
        </w:trPr>
        <w:tc>
          <w:tcPr>
            <w:tcW w:w="6853" w:type="dxa"/>
          </w:tcPr>
          <w:p w14:paraId="295CE942" w14:textId="77777777" w:rsidR="0053013C" w:rsidRPr="00746F54" w:rsidRDefault="0053013C" w:rsidP="005477B0">
            <w:pPr>
              <w:spacing w:after="0"/>
              <w:textAlignment w:val="center"/>
              <w:rPr>
                <w:rFonts w:ascii="Arial" w:hAnsi="Arial" w:cs="Arial"/>
                <w:sz w:val="22"/>
                <w:szCs w:val="22"/>
              </w:rPr>
            </w:pPr>
            <w:r w:rsidRPr="00746F54">
              <w:rPr>
                <w:rFonts w:ascii="Arial" w:hAnsi="Arial" w:cs="Arial"/>
              </w:rPr>
              <w:t>EDAM BAA Imbalance Reserve Requirement (locked at 0900)</w:t>
            </w:r>
          </w:p>
        </w:tc>
        <w:tc>
          <w:tcPr>
            <w:tcW w:w="1792" w:type="dxa"/>
          </w:tcPr>
          <w:p w14:paraId="6C6D3FF9" w14:textId="77777777" w:rsidR="0053013C" w:rsidRPr="00746F54" w:rsidRDefault="0053013C" w:rsidP="005477B0">
            <w:pPr>
              <w:spacing w:after="0"/>
              <w:jc w:val="right"/>
              <w:textAlignment w:val="center"/>
              <w:rPr>
                <w:rFonts w:ascii="Arial" w:hAnsi="Arial" w:cs="Arial"/>
                <w:sz w:val="22"/>
                <w:szCs w:val="22"/>
              </w:rPr>
            </w:pPr>
            <w:r w:rsidRPr="00746F54">
              <w:rPr>
                <w:rFonts w:ascii="Arial" w:hAnsi="Arial" w:cs="Arial"/>
              </w:rPr>
              <w:t>1000 MW</w:t>
            </w:r>
          </w:p>
        </w:tc>
      </w:tr>
      <w:tr w:rsidR="0053013C" w:rsidRPr="00746F54" w14:paraId="672349A2" w14:textId="77777777" w:rsidTr="0053013C">
        <w:trPr>
          <w:jc w:val="center"/>
        </w:trPr>
        <w:tc>
          <w:tcPr>
            <w:tcW w:w="6853" w:type="dxa"/>
          </w:tcPr>
          <w:p w14:paraId="3AB418E4" w14:textId="77777777" w:rsidR="0053013C" w:rsidRPr="00746F54" w:rsidRDefault="0053013C" w:rsidP="005477B0">
            <w:pPr>
              <w:spacing w:after="0"/>
              <w:textAlignment w:val="center"/>
              <w:rPr>
                <w:rFonts w:ascii="Arial" w:hAnsi="Arial" w:cs="Arial"/>
                <w:sz w:val="22"/>
                <w:szCs w:val="22"/>
              </w:rPr>
            </w:pPr>
            <w:r w:rsidRPr="00746F54">
              <w:rPr>
                <w:rFonts w:ascii="Arial" w:hAnsi="Arial" w:cs="Arial"/>
              </w:rPr>
              <w:t>Imbalance Reserves Procured in IFM</w:t>
            </w:r>
          </w:p>
        </w:tc>
        <w:tc>
          <w:tcPr>
            <w:tcW w:w="1792" w:type="dxa"/>
          </w:tcPr>
          <w:p w14:paraId="2A2BA345" w14:textId="77777777" w:rsidR="0053013C" w:rsidRPr="00746F54" w:rsidRDefault="0053013C" w:rsidP="005477B0">
            <w:pPr>
              <w:spacing w:after="0"/>
              <w:jc w:val="right"/>
              <w:textAlignment w:val="center"/>
              <w:rPr>
                <w:rFonts w:ascii="Arial" w:hAnsi="Arial" w:cs="Arial"/>
                <w:sz w:val="22"/>
                <w:szCs w:val="22"/>
              </w:rPr>
            </w:pPr>
            <w:r w:rsidRPr="00746F54">
              <w:rPr>
                <w:rFonts w:ascii="Arial" w:hAnsi="Arial" w:cs="Arial"/>
              </w:rPr>
              <w:t>650 MW</w:t>
            </w:r>
          </w:p>
        </w:tc>
      </w:tr>
      <w:tr w:rsidR="0053013C" w:rsidRPr="00746F54" w14:paraId="52D4F137" w14:textId="77777777" w:rsidTr="0053013C">
        <w:trPr>
          <w:jc w:val="center"/>
        </w:trPr>
        <w:tc>
          <w:tcPr>
            <w:tcW w:w="6853" w:type="dxa"/>
          </w:tcPr>
          <w:p w14:paraId="4FCCB533" w14:textId="77777777" w:rsidR="0053013C" w:rsidRPr="00746F54" w:rsidRDefault="0053013C" w:rsidP="005477B0">
            <w:pPr>
              <w:spacing w:after="0"/>
              <w:textAlignment w:val="center"/>
              <w:rPr>
                <w:rFonts w:ascii="Arial" w:hAnsi="Arial" w:cs="Arial"/>
                <w:sz w:val="22"/>
                <w:szCs w:val="22"/>
              </w:rPr>
            </w:pPr>
            <w:r w:rsidRPr="00746F54">
              <w:rPr>
                <w:rFonts w:ascii="Arial" w:hAnsi="Arial" w:cs="Arial"/>
              </w:rPr>
              <w:t>Imbalance Reserve Deficiency</w:t>
            </w:r>
          </w:p>
        </w:tc>
        <w:tc>
          <w:tcPr>
            <w:tcW w:w="1792" w:type="dxa"/>
          </w:tcPr>
          <w:p w14:paraId="7B504E33" w14:textId="77777777" w:rsidR="0053013C" w:rsidRPr="00746F54" w:rsidRDefault="0053013C" w:rsidP="005477B0">
            <w:pPr>
              <w:spacing w:after="0"/>
              <w:jc w:val="right"/>
              <w:textAlignment w:val="center"/>
              <w:rPr>
                <w:rFonts w:ascii="Arial" w:hAnsi="Arial" w:cs="Arial"/>
                <w:sz w:val="22"/>
                <w:szCs w:val="22"/>
              </w:rPr>
            </w:pPr>
            <w:r w:rsidRPr="00746F54">
              <w:rPr>
                <w:rFonts w:ascii="Arial" w:hAnsi="Arial" w:cs="Arial"/>
              </w:rPr>
              <w:t>350 MW</w:t>
            </w:r>
          </w:p>
        </w:tc>
      </w:tr>
      <w:tr w:rsidR="0053013C" w:rsidRPr="00746F54" w14:paraId="217D6F81" w14:textId="77777777" w:rsidTr="0053013C">
        <w:trPr>
          <w:jc w:val="center"/>
        </w:trPr>
        <w:tc>
          <w:tcPr>
            <w:tcW w:w="6853" w:type="dxa"/>
          </w:tcPr>
          <w:p w14:paraId="4E369A07" w14:textId="77777777" w:rsidR="0053013C" w:rsidRPr="00746F54" w:rsidRDefault="0053013C" w:rsidP="005477B0">
            <w:pPr>
              <w:spacing w:after="0"/>
              <w:textAlignment w:val="center"/>
              <w:rPr>
                <w:rFonts w:ascii="Arial" w:hAnsi="Arial" w:cs="Arial"/>
                <w:sz w:val="22"/>
                <w:szCs w:val="22"/>
              </w:rPr>
            </w:pPr>
            <w:r w:rsidRPr="00746F54">
              <w:rPr>
                <w:rFonts w:ascii="Arial" w:hAnsi="Arial" w:cs="Arial"/>
              </w:rPr>
              <w:t>EDAM BAA IR Procurement Percentage</w:t>
            </w:r>
          </w:p>
        </w:tc>
        <w:tc>
          <w:tcPr>
            <w:tcW w:w="1792" w:type="dxa"/>
          </w:tcPr>
          <w:p w14:paraId="1FBFF096" w14:textId="77777777" w:rsidR="0053013C" w:rsidRPr="00746F54" w:rsidRDefault="0053013C" w:rsidP="005477B0">
            <w:pPr>
              <w:spacing w:after="0"/>
              <w:jc w:val="right"/>
              <w:textAlignment w:val="center"/>
              <w:rPr>
                <w:rFonts w:ascii="Arial" w:hAnsi="Arial" w:cs="Arial"/>
                <w:sz w:val="22"/>
                <w:szCs w:val="22"/>
              </w:rPr>
            </w:pPr>
            <w:r w:rsidRPr="00746F54">
              <w:rPr>
                <w:rFonts w:ascii="Arial" w:hAnsi="Arial" w:cs="Arial"/>
              </w:rPr>
              <w:t>80% (800 MW)</w:t>
            </w:r>
          </w:p>
        </w:tc>
      </w:tr>
      <w:tr w:rsidR="0053013C" w:rsidRPr="00746F54" w14:paraId="063320E5" w14:textId="77777777" w:rsidTr="0053013C">
        <w:trPr>
          <w:jc w:val="center"/>
        </w:trPr>
        <w:tc>
          <w:tcPr>
            <w:tcW w:w="6853" w:type="dxa"/>
          </w:tcPr>
          <w:p w14:paraId="642B6680" w14:textId="77777777" w:rsidR="0053013C" w:rsidRPr="00746F54" w:rsidRDefault="0053013C" w:rsidP="005477B0">
            <w:pPr>
              <w:spacing w:after="0"/>
              <w:textAlignment w:val="center"/>
              <w:rPr>
                <w:rFonts w:ascii="Arial" w:hAnsi="Arial" w:cs="Arial"/>
                <w:sz w:val="22"/>
                <w:szCs w:val="22"/>
              </w:rPr>
            </w:pPr>
            <w:r w:rsidRPr="00746F54">
              <w:rPr>
                <w:rFonts w:ascii="Arial" w:hAnsi="Arial" w:cs="Arial"/>
              </w:rPr>
              <w:t>EDAM BAA IR RUC Adder</w:t>
            </w:r>
          </w:p>
        </w:tc>
        <w:tc>
          <w:tcPr>
            <w:tcW w:w="1792" w:type="dxa"/>
          </w:tcPr>
          <w:p w14:paraId="70083701" w14:textId="77777777" w:rsidR="0053013C" w:rsidRPr="00746F54" w:rsidRDefault="0053013C" w:rsidP="005477B0">
            <w:pPr>
              <w:spacing w:after="0"/>
              <w:jc w:val="right"/>
              <w:textAlignment w:val="center"/>
              <w:rPr>
                <w:rFonts w:ascii="Arial" w:hAnsi="Arial" w:cs="Arial"/>
                <w:sz w:val="22"/>
                <w:szCs w:val="22"/>
              </w:rPr>
            </w:pPr>
            <w:r w:rsidRPr="00746F54">
              <w:rPr>
                <w:rFonts w:ascii="Arial" w:hAnsi="Arial" w:cs="Arial"/>
              </w:rPr>
              <w:t>150 MW</w:t>
            </w:r>
          </w:p>
        </w:tc>
      </w:tr>
    </w:tbl>
    <w:p w14:paraId="7281AAA9" w14:textId="77777777" w:rsidR="0053013C" w:rsidRPr="00746F54" w:rsidRDefault="0053013C" w:rsidP="0053013C">
      <w:pPr>
        <w:spacing w:after="0"/>
        <w:textAlignment w:val="center"/>
        <w:rPr>
          <w:rFonts w:ascii="Arial" w:hAnsi="Arial" w:cs="Arial"/>
        </w:rPr>
      </w:pPr>
    </w:p>
    <w:p w14:paraId="1CC72D8A" w14:textId="068E3BC8" w:rsidR="0053013C" w:rsidRPr="00746F54" w:rsidRDefault="0053013C" w:rsidP="0053013C">
      <w:pPr>
        <w:spacing w:after="0" w:line="360" w:lineRule="auto"/>
        <w:textAlignment w:val="center"/>
        <w:rPr>
          <w:rFonts w:ascii="Arial" w:hAnsi="Arial" w:cs="Arial"/>
        </w:rPr>
      </w:pPr>
      <w:r w:rsidRPr="00746F54">
        <w:rPr>
          <w:rFonts w:ascii="Arial" w:hAnsi="Arial" w:cs="Arial"/>
        </w:rPr>
        <w:t xml:space="preserve">The IR deficiency and corresponding adder to the RUC </w:t>
      </w:r>
      <w:r w:rsidR="00C103BB" w:rsidRPr="00746F54">
        <w:rPr>
          <w:rFonts w:ascii="Arial" w:hAnsi="Arial" w:cs="Arial"/>
        </w:rPr>
        <w:t>load adjustment</w:t>
      </w:r>
      <w:r w:rsidRPr="00746F54">
        <w:rPr>
          <w:rFonts w:ascii="Arial" w:hAnsi="Arial" w:cs="Arial"/>
        </w:rPr>
        <w:t xml:space="preserve"> will be calculated for each hourly interval after IFM and before RUC. The table mapping peak load forecast to the IR procurement percentage is considered by the market operator to be a standing request for a RUC </w:t>
      </w:r>
      <w:r w:rsidR="00C103BB" w:rsidRPr="00746F54">
        <w:rPr>
          <w:rFonts w:ascii="Arial" w:hAnsi="Arial" w:cs="Arial"/>
        </w:rPr>
        <w:t>load adjustment</w:t>
      </w:r>
      <w:r w:rsidRPr="00746F54">
        <w:rPr>
          <w:rFonts w:ascii="Arial" w:hAnsi="Arial" w:cs="Arial"/>
        </w:rPr>
        <w:t xml:space="preserve"> in the case that the EDAM entity is IR deficient after the IFM run.  The market operator shall update the RUC </w:t>
      </w:r>
      <w:r w:rsidR="00C103BB" w:rsidRPr="00746F54">
        <w:rPr>
          <w:rFonts w:ascii="Arial" w:hAnsi="Arial" w:cs="Arial"/>
        </w:rPr>
        <w:t>load adjustment</w:t>
      </w:r>
      <w:r w:rsidRPr="00746F54">
        <w:rPr>
          <w:rFonts w:ascii="Arial" w:hAnsi="Arial" w:cs="Arial"/>
        </w:rPr>
        <w:t xml:space="preserve"> values for each EDAM entity based on their desired Imbalance Reserve Procurement Percentage regardless of whether that entity submitted a RUC </w:t>
      </w:r>
      <w:r w:rsidR="00C103BB" w:rsidRPr="00746F54">
        <w:rPr>
          <w:rFonts w:ascii="Arial" w:hAnsi="Arial" w:cs="Arial"/>
        </w:rPr>
        <w:t>load adjustment</w:t>
      </w:r>
      <w:r w:rsidRPr="00746F54">
        <w:rPr>
          <w:rFonts w:ascii="Arial" w:hAnsi="Arial" w:cs="Arial"/>
        </w:rPr>
        <w:t xml:space="preserve"> for that Trade Date.  If the EDAM entity has submitted a file with a manual RUC </w:t>
      </w:r>
      <w:r w:rsidR="00C103BB" w:rsidRPr="00746F54">
        <w:rPr>
          <w:rFonts w:ascii="Arial" w:hAnsi="Arial" w:cs="Arial"/>
        </w:rPr>
        <w:t>load adjustment</w:t>
      </w:r>
      <w:r w:rsidRPr="00746F54">
        <w:rPr>
          <w:rFonts w:ascii="Arial" w:hAnsi="Arial" w:cs="Arial"/>
        </w:rPr>
        <w:t xml:space="preserve">, then the market operator shall add the calculated IR RUC adder to the submitted RUC </w:t>
      </w:r>
      <w:r w:rsidR="00C103BB" w:rsidRPr="00746F54">
        <w:rPr>
          <w:rFonts w:ascii="Arial" w:hAnsi="Arial" w:cs="Arial"/>
        </w:rPr>
        <w:t>load adjustment</w:t>
      </w:r>
      <w:r w:rsidRPr="00746F54">
        <w:rPr>
          <w:rFonts w:ascii="Arial" w:hAnsi="Arial" w:cs="Arial"/>
        </w:rPr>
        <w:t xml:space="preserve"> for each hourly interval as shown in the example above.  </w:t>
      </w:r>
    </w:p>
    <w:p w14:paraId="271F8C7A" w14:textId="199816A4" w:rsidR="0053013C" w:rsidRPr="00746F54" w:rsidRDefault="0053013C" w:rsidP="0053013C">
      <w:pPr>
        <w:spacing w:after="0" w:line="360" w:lineRule="auto"/>
        <w:textAlignment w:val="center"/>
        <w:rPr>
          <w:rFonts w:ascii="Arial" w:hAnsi="Arial" w:cs="Arial"/>
        </w:rPr>
      </w:pPr>
      <w:r w:rsidRPr="00746F54">
        <w:rPr>
          <w:rFonts w:ascii="Arial" w:hAnsi="Arial" w:cs="Arial"/>
        </w:rPr>
        <w:t xml:space="preserve">The final RUC </w:t>
      </w:r>
      <w:r w:rsidR="00C103BB" w:rsidRPr="00746F54">
        <w:rPr>
          <w:rFonts w:ascii="Arial" w:hAnsi="Arial" w:cs="Arial"/>
        </w:rPr>
        <w:t>load adjustments</w:t>
      </w:r>
      <w:r w:rsidRPr="00746F54">
        <w:rPr>
          <w:rFonts w:ascii="Arial" w:hAnsi="Arial" w:cs="Arial"/>
        </w:rPr>
        <w:t xml:space="preserve"> value that is implemented for each interval will be posted on OASIS along with a reason code provided by the EDAM entity.  </w:t>
      </w:r>
      <w:r w:rsidR="006D537C" w:rsidRPr="00746F54">
        <w:rPr>
          <w:rFonts w:ascii="Arial" w:hAnsi="Arial" w:cs="Arial"/>
        </w:rPr>
        <w:t>R</w:t>
      </w:r>
      <w:r w:rsidRPr="00746F54">
        <w:rPr>
          <w:rFonts w:ascii="Arial" w:hAnsi="Arial" w:cs="Arial"/>
        </w:rPr>
        <w:t xml:space="preserve">eason codes include: Load Uncertainty, VER Uncertainty, Transmission Risk, </w:t>
      </w:r>
      <w:r w:rsidR="002C0A1B" w:rsidRPr="00746F54">
        <w:rPr>
          <w:rFonts w:ascii="Arial" w:hAnsi="Arial" w:cs="Arial"/>
        </w:rPr>
        <w:t xml:space="preserve">and </w:t>
      </w:r>
      <w:r w:rsidRPr="00746F54">
        <w:rPr>
          <w:rFonts w:ascii="Arial" w:hAnsi="Arial" w:cs="Arial"/>
        </w:rPr>
        <w:t>Gas Supply Risk</w:t>
      </w:r>
      <w:r w:rsidR="002C0A1B" w:rsidRPr="00746F54">
        <w:rPr>
          <w:rFonts w:ascii="Arial" w:hAnsi="Arial" w:cs="Arial"/>
        </w:rPr>
        <w:t>, IRU Deficiency and RDRR Capacity in RSE.</w:t>
      </w:r>
    </w:p>
    <w:p w14:paraId="0C0C1BE1" w14:textId="7AA940C8" w:rsidR="0053013C" w:rsidRPr="00746F54" w:rsidRDefault="0053013C" w:rsidP="00A848A7">
      <w:pPr>
        <w:spacing w:after="0" w:line="360" w:lineRule="auto"/>
        <w:textAlignment w:val="center"/>
        <w:rPr>
          <w:rFonts w:ascii="Arial" w:hAnsi="Arial" w:cs="Arial"/>
        </w:rPr>
      </w:pPr>
      <w:r w:rsidRPr="00746F54">
        <w:rPr>
          <w:rFonts w:ascii="Arial" w:hAnsi="Arial" w:cs="Arial"/>
        </w:rPr>
        <w:t xml:space="preserve">The adjustments associated with Eligible Intermittent Resources and forecasted Self-Schedules to be submitted in the Real-Time Market can result in either positive demand side adjustments </w:t>
      </w:r>
      <w:r w:rsidRPr="00746F54">
        <w:rPr>
          <w:rFonts w:ascii="Arial" w:hAnsi="Arial" w:cs="Arial"/>
        </w:rPr>
        <w:lastRenderedPageBreak/>
        <w:t xml:space="preserve">or positive supply side adjustments. Positive demand side adjustments are reflected as adjustment to the load forecast and positive Supply side adjustments are represented as an adjustment to the expected output of individual resources or imports.  Refer to CAISO Tariff Section 31.5.3 and </w:t>
      </w:r>
      <w:r w:rsidRPr="00746F54">
        <w:rPr>
          <w:rFonts w:ascii="Arial" w:hAnsi="Arial" w:cs="Arial"/>
          <w:i/>
        </w:rPr>
        <w:t xml:space="preserve">Market </w:t>
      </w:r>
      <w:r w:rsidRPr="00746F54">
        <w:rPr>
          <w:rFonts w:ascii="Arial" w:hAnsi="Arial" w:cs="Arial"/>
          <w:i/>
          <w:iCs/>
        </w:rPr>
        <w:t>Op</w:t>
      </w:r>
      <w:r w:rsidR="00C103BB" w:rsidRPr="00746F54">
        <w:rPr>
          <w:rFonts w:ascii="Arial" w:hAnsi="Arial" w:cs="Arial"/>
          <w:i/>
          <w:iCs/>
        </w:rPr>
        <w:t>erations</w:t>
      </w:r>
      <w:r w:rsidRPr="00746F54">
        <w:rPr>
          <w:rFonts w:ascii="Arial" w:hAnsi="Arial" w:cs="Arial"/>
        </w:rPr>
        <w:t xml:space="preserve"> BPM 6.7.2.5.1.  </w:t>
      </w:r>
    </w:p>
    <w:p w14:paraId="5737A190" w14:textId="3F9ACAEF" w:rsidR="000F1FFE" w:rsidRPr="00746F54" w:rsidRDefault="000F1FFE" w:rsidP="000F1FFE">
      <w:pPr>
        <w:pStyle w:val="Heading2"/>
        <w:rPr>
          <w:rFonts w:ascii="Arial" w:hAnsi="Arial" w:cs="Arial"/>
        </w:rPr>
      </w:pPr>
      <w:bookmarkStart w:id="297" w:name="_Toc211337968"/>
      <w:bookmarkStart w:id="298" w:name="_Toc212733093"/>
      <w:r w:rsidRPr="00746F54">
        <w:rPr>
          <w:rFonts w:ascii="Arial" w:hAnsi="Arial" w:cs="Arial"/>
        </w:rPr>
        <w:t>Net Export EDAM Transfer Constraint</w:t>
      </w:r>
      <w:bookmarkEnd w:id="297"/>
      <w:bookmarkEnd w:id="298"/>
    </w:p>
    <w:p w14:paraId="2E7AD741" w14:textId="11B4880B" w:rsidR="000F1FFE" w:rsidRPr="00746F54" w:rsidRDefault="000F1FFE" w:rsidP="000F1FFE">
      <w:pPr>
        <w:pStyle w:val="ParaText"/>
        <w:rPr>
          <w:rFonts w:ascii="Arial" w:hAnsi="Arial" w:cs="Arial"/>
          <w:u w:val="single"/>
        </w:rPr>
      </w:pPr>
      <w:r w:rsidRPr="00746F54">
        <w:rPr>
          <w:rFonts w:ascii="Arial" w:hAnsi="Arial" w:cs="Arial"/>
          <w:u w:val="single"/>
        </w:rPr>
        <w:t>Reference tariff section 33.31.3</w:t>
      </w:r>
    </w:p>
    <w:p w14:paraId="214D0815" w14:textId="0DA0BC83" w:rsidR="00721A81" w:rsidRPr="00746F54" w:rsidRDefault="00721A81" w:rsidP="00721A81">
      <w:pPr>
        <w:pStyle w:val="ParaText"/>
        <w:rPr>
          <w:rFonts w:ascii="Arial" w:hAnsi="Arial" w:cs="Arial"/>
        </w:rPr>
      </w:pPr>
      <w:r w:rsidRPr="00746F54">
        <w:rPr>
          <w:rFonts w:ascii="Arial" w:hAnsi="Arial" w:cs="Arial"/>
        </w:rPr>
        <w:t xml:space="preserve">Required Submission Time: Prior to 10 a.m., the EDAM entity can notify the market operator of the parameters of the net export EDAM transfer constraint for use in the binding day-ahead resource sufficiency evaluation and day-ahead market execution.  </w:t>
      </w:r>
    </w:p>
    <w:p w14:paraId="233BD8DC" w14:textId="4EE105A5" w:rsidR="00721A81" w:rsidRPr="00746F54" w:rsidRDefault="00721A81" w:rsidP="00721A81">
      <w:pPr>
        <w:spacing w:after="0"/>
        <w:rPr>
          <w:rFonts w:ascii="Arial" w:eastAsia="Calibri" w:hAnsi="Arial" w:cs="Arial"/>
        </w:rPr>
      </w:pPr>
      <w:r w:rsidRPr="00746F54">
        <w:rPr>
          <w:rFonts w:ascii="Arial" w:hAnsi="Arial" w:cs="Arial"/>
        </w:rPr>
        <w:t xml:space="preserve">The EDAM Net Export Transfer Constraint is a configurable input controlled by each Balancing Authority Area in the EDAM Area via SIBR input.  The EDAM Net Export Transfer Constraint is used to constrain the amount of resources that can be optimized in support of transfers from one EDAM Balancing Authority Area to another EDAM Balancing Authority.  </w:t>
      </w:r>
      <w:bookmarkStart w:id="299" w:name="_Hlk210046411"/>
      <w:r w:rsidRPr="00746F54">
        <w:rPr>
          <w:rFonts w:ascii="Arial" w:hAnsi="Arial" w:cs="Arial"/>
        </w:rPr>
        <w:t>Each Balancing Authority Area in the EDAM Area, including EDAM entities and the CISO BAA, may configure the constraint to establish the Balancing Authority Area’s hourly limit on the amount of net EDAM Transfer exports</w:t>
      </w:r>
      <w:bookmarkEnd w:id="299"/>
      <w:r w:rsidRPr="00746F54">
        <w:rPr>
          <w:rFonts w:ascii="Arial" w:hAnsi="Arial" w:cs="Arial"/>
        </w:rPr>
        <w:t xml:space="preserve">.  </w:t>
      </w:r>
      <w:r w:rsidRPr="00746F54">
        <w:rPr>
          <w:rFonts w:ascii="Arial" w:eastAsia="Calibri" w:hAnsi="Arial" w:cs="Arial"/>
        </w:rPr>
        <w:t>If an entity elects to enable the EDAM Net Export Transfer Constraint, then the market operator will apply the constraint across all IFM market processes, including but not limited to, deployment scenarios for IRU/IRD and the RUC.</w:t>
      </w:r>
    </w:p>
    <w:p w14:paraId="49FB317C" w14:textId="77777777" w:rsidR="00721A81" w:rsidRPr="00746F54" w:rsidRDefault="00721A81" w:rsidP="00721A81">
      <w:pPr>
        <w:spacing w:after="0"/>
        <w:rPr>
          <w:rFonts w:ascii="Arial" w:eastAsia="Calibri" w:hAnsi="Arial" w:cs="Arial"/>
        </w:rPr>
      </w:pPr>
    </w:p>
    <w:p w14:paraId="37F56968" w14:textId="1A347202" w:rsidR="00721A81" w:rsidRPr="00746F54" w:rsidRDefault="00721A81" w:rsidP="00721A81">
      <w:pPr>
        <w:pStyle w:val="ParaText"/>
        <w:rPr>
          <w:rFonts w:ascii="Arial" w:hAnsi="Arial" w:cs="Arial"/>
        </w:rPr>
      </w:pPr>
      <w:r w:rsidRPr="00746F54">
        <w:rPr>
          <w:rFonts w:ascii="Arial" w:hAnsi="Arial" w:cs="Arial"/>
        </w:rPr>
        <w:t xml:space="preserve">A Net Export Transfer Constraint cannot be submitted or manually requested after the 10:00 RSE results or Day-Ahead execution commences, even if the EDAM unexpectedly fails the 10:00 RSE.  EDAM entities will submit the required information via the market operator SIBR system UI.  The default setting for all hours is 0 Reliability Margin MWs and 0% Confidence Factor.  After each Day-Ahead execution, all values shall return to the value default of zero.      </w:t>
      </w:r>
    </w:p>
    <w:p w14:paraId="1F786858" w14:textId="1B73D142" w:rsidR="00721A81" w:rsidRPr="00746F54" w:rsidRDefault="00721A81" w:rsidP="00721A81">
      <w:pPr>
        <w:pStyle w:val="ParaText"/>
        <w:rPr>
          <w:rFonts w:ascii="Arial" w:hAnsi="Arial" w:cs="Arial"/>
        </w:rPr>
      </w:pPr>
      <w:r w:rsidRPr="00746F54">
        <w:rPr>
          <w:rFonts w:ascii="Arial" w:hAnsi="Arial" w:cs="Arial"/>
        </w:rPr>
        <w:t xml:space="preserve">For each entity that chooses to elect to utilize the voluntary constraint prior to the Day-Ahead market, including both EDAM entities including the CAISO BA operator, the EDAM Net Export Transfer Constraint will be computed utilizing two configurable parameters communicated to the market operator in the manner described below.  </w:t>
      </w:r>
    </w:p>
    <w:p w14:paraId="6947C4D8" w14:textId="77777777" w:rsidR="00721A81" w:rsidRPr="00746F54" w:rsidRDefault="00721A81" w:rsidP="00721A81">
      <w:pPr>
        <w:pStyle w:val="ParaText"/>
        <w:numPr>
          <w:ilvl w:val="0"/>
          <w:numId w:val="68"/>
        </w:numPr>
        <w:rPr>
          <w:rFonts w:ascii="Arial" w:hAnsi="Arial" w:cs="Arial"/>
        </w:rPr>
      </w:pPr>
      <w:r w:rsidRPr="00746F54">
        <w:rPr>
          <w:rFonts w:ascii="Arial" w:hAnsi="Arial" w:cs="Arial"/>
        </w:rPr>
        <w:t xml:space="preserve">The entity will specify a configurable confidence factor to account for the delivery risk associated with the portion of offered supply that is not eligible for the RSE, but may be used to facilitate EDAM export transfers, and </w:t>
      </w:r>
    </w:p>
    <w:p w14:paraId="01577A40" w14:textId="77777777" w:rsidR="00721A81" w:rsidRPr="00746F54" w:rsidRDefault="00721A81" w:rsidP="00721A81">
      <w:pPr>
        <w:pStyle w:val="ParaText"/>
        <w:numPr>
          <w:ilvl w:val="0"/>
          <w:numId w:val="68"/>
        </w:numPr>
        <w:rPr>
          <w:rFonts w:ascii="Arial" w:hAnsi="Arial" w:cs="Arial"/>
        </w:rPr>
      </w:pPr>
      <w:r w:rsidRPr="00746F54">
        <w:rPr>
          <w:rFonts w:ascii="Arial" w:hAnsi="Arial" w:cs="Arial"/>
        </w:rPr>
        <w:t>The entity will specify a configurable EDAM Reliability Margin (also referred to as a configurable “non-exportable capacity margin”) to establish an additional limit on the amount of capacity held within the balancing area.</w:t>
      </w:r>
    </w:p>
    <w:p w14:paraId="13F98C52" w14:textId="2D838E23" w:rsidR="00721A81" w:rsidRPr="00746F54" w:rsidRDefault="00721A81" w:rsidP="00721A81">
      <w:pPr>
        <w:pStyle w:val="ParaText"/>
        <w:rPr>
          <w:rFonts w:ascii="Arial" w:hAnsi="Arial" w:cs="Arial"/>
        </w:rPr>
      </w:pPr>
      <w:r w:rsidRPr="00746F54">
        <w:rPr>
          <w:rFonts w:ascii="Arial" w:hAnsi="Arial" w:cs="Arial"/>
        </w:rPr>
        <w:lastRenderedPageBreak/>
        <w:t xml:space="preserve">To compute the hourly limit on net EDAM Transfer exports from the electing balancing area, the market operator will utilize the configurable inputs provided by the electing entity and will compute the EDAM Net Export Transfer Constraint in accordance with the following formulas: </w:t>
      </w:r>
    </w:p>
    <w:p w14:paraId="6788D990" w14:textId="77777777" w:rsidR="00721A81" w:rsidRPr="00746F54" w:rsidRDefault="00721A81" w:rsidP="00721A81">
      <w:pPr>
        <w:pStyle w:val="ParaText"/>
        <w:ind w:firstLine="360"/>
        <w:rPr>
          <w:rFonts w:ascii="Arial" w:hAnsi="Arial" w:cs="Arial"/>
        </w:rPr>
      </w:pPr>
      <w:r w:rsidRPr="00746F54">
        <w:rPr>
          <w:rFonts w:ascii="Arial" w:hAnsi="Arial" w:cs="Arial"/>
        </w:rPr>
        <w:t>IFM Formula:</w:t>
      </w:r>
    </w:p>
    <w:p w14:paraId="080F625D" w14:textId="77777777" w:rsidR="00721A81" w:rsidRPr="00746F54" w:rsidRDefault="00721A81" w:rsidP="00721A81">
      <w:pPr>
        <w:spacing w:after="0"/>
        <w:ind w:left="360"/>
        <w:rPr>
          <w:rFonts w:ascii="Arial" w:hAnsi="Arial" w:cs="Arial"/>
        </w:rPr>
      </w:pPr>
      <w:r w:rsidRPr="00746F54">
        <w:rPr>
          <w:rFonts w:ascii="Arial" w:hAnsi="Arial" w:cs="Arial"/>
          <w:noProof/>
        </w:rPr>
        <w:drawing>
          <wp:inline distT="0" distB="0" distL="0" distR="0" wp14:anchorId="5C57C8F5" wp14:editId="2EC53DA4">
            <wp:extent cx="4800600" cy="2124075"/>
            <wp:effectExtent l="0" t="0" r="0" b="9525"/>
            <wp:docPr id="143677493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9" r:link="rId30">
                      <a:extLst>
                        <a:ext uri="{28A0092B-C50C-407E-A947-70E740481C1C}">
                          <a14:useLocalDpi xmlns:a14="http://schemas.microsoft.com/office/drawing/2010/main" val="0"/>
                        </a:ext>
                      </a:extLst>
                    </a:blip>
                    <a:srcRect/>
                    <a:stretch>
                      <a:fillRect/>
                    </a:stretch>
                  </pic:blipFill>
                  <pic:spPr bwMode="auto">
                    <a:xfrm>
                      <a:off x="0" y="0"/>
                      <a:ext cx="4800600" cy="2124075"/>
                    </a:xfrm>
                    <a:prstGeom prst="rect">
                      <a:avLst/>
                    </a:prstGeom>
                    <a:noFill/>
                    <a:ln>
                      <a:noFill/>
                    </a:ln>
                  </pic:spPr>
                </pic:pic>
              </a:graphicData>
            </a:graphic>
          </wp:inline>
        </w:drawing>
      </w:r>
    </w:p>
    <w:p w14:paraId="513D3AF0" w14:textId="77777777" w:rsidR="00721A81" w:rsidRPr="00746F54" w:rsidRDefault="00721A81" w:rsidP="00721A81">
      <w:pPr>
        <w:spacing w:after="0"/>
        <w:ind w:left="360"/>
        <w:rPr>
          <w:rFonts w:ascii="Arial" w:hAnsi="Arial" w:cs="Arial"/>
        </w:rPr>
      </w:pPr>
    </w:p>
    <w:p w14:paraId="350AE906" w14:textId="77777777" w:rsidR="00721A81" w:rsidRPr="00746F54" w:rsidRDefault="00721A81" w:rsidP="00721A81">
      <w:pPr>
        <w:spacing w:after="0"/>
        <w:ind w:left="360"/>
        <w:rPr>
          <w:rFonts w:ascii="Arial" w:hAnsi="Arial" w:cs="Arial"/>
        </w:rPr>
      </w:pPr>
      <w:r w:rsidRPr="00746F54">
        <w:rPr>
          <w:rFonts w:ascii="Arial" w:hAnsi="Arial" w:cs="Arial"/>
        </w:rPr>
        <w:tab/>
        <w:t>RUC Formula:</w:t>
      </w:r>
    </w:p>
    <w:p w14:paraId="7E9A4ADE" w14:textId="77777777" w:rsidR="00721A81" w:rsidRPr="00746F54" w:rsidRDefault="00721A81" w:rsidP="00721A81">
      <w:pPr>
        <w:spacing w:after="0"/>
        <w:ind w:left="360"/>
        <w:rPr>
          <w:rFonts w:ascii="Arial" w:hAnsi="Arial" w:cs="Arial"/>
        </w:rPr>
      </w:pPr>
    </w:p>
    <w:p w14:paraId="00370FA1" w14:textId="77777777" w:rsidR="00721A81" w:rsidRPr="00746F54" w:rsidRDefault="00721A81" w:rsidP="00721A81">
      <w:pPr>
        <w:spacing w:after="0"/>
        <w:ind w:left="360"/>
        <w:rPr>
          <w:rFonts w:ascii="Arial" w:hAnsi="Arial" w:cs="Arial"/>
        </w:rPr>
      </w:pPr>
      <w:r w:rsidRPr="00746F54">
        <w:rPr>
          <w:rFonts w:ascii="Arial" w:hAnsi="Arial" w:cs="Arial"/>
          <w:noProof/>
        </w:rPr>
        <w:drawing>
          <wp:inline distT="0" distB="0" distL="0" distR="0" wp14:anchorId="5FDA7FDD" wp14:editId="5C681F78">
            <wp:extent cx="4810125" cy="2257425"/>
            <wp:effectExtent l="0" t="0" r="9525" b="9525"/>
            <wp:docPr id="193034971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1" r:link="rId32">
                      <a:extLst>
                        <a:ext uri="{28A0092B-C50C-407E-A947-70E740481C1C}">
                          <a14:useLocalDpi xmlns:a14="http://schemas.microsoft.com/office/drawing/2010/main" val="0"/>
                        </a:ext>
                      </a:extLst>
                    </a:blip>
                    <a:srcRect/>
                    <a:stretch>
                      <a:fillRect/>
                    </a:stretch>
                  </pic:blipFill>
                  <pic:spPr bwMode="auto">
                    <a:xfrm>
                      <a:off x="0" y="0"/>
                      <a:ext cx="4810125" cy="2257425"/>
                    </a:xfrm>
                    <a:prstGeom prst="rect">
                      <a:avLst/>
                    </a:prstGeom>
                    <a:noFill/>
                    <a:ln>
                      <a:noFill/>
                    </a:ln>
                  </pic:spPr>
                </pic:pic>
              </a:graphicData>
            </a:graphic>
          </wp:inline>
        </w:drawing>
      </w:r>
    </w:p>
    <w:p w14:paraId="5B5F3308" w14:textId="77777777" w:rsidR="00721A81" w:rsidRPr="00746F54" w:rsidRDefault="00721A81" w:rsidP="00721A81">
      <w:pPr>
        <w:spacing w:after="0"/>
        <w:ind w:left="360"/>
        <w:rPr>
          <w:rFonts w:ascii="Arial" w:hAnsi="Arial" w:cs="Arial"/>
        </w:rPr>
      </w:pPr>
    </w:p>
    <w:p w14:paraId="6E35A5CD" w14:textId="77777777" w:rsidR="00721A81" w:rsidRPr="00746F54" w:rsidRDefault="00721A81" w:rsidP="00721A81">
      <w:pPr>
        <w:spacing w:after="0"/>
        <w:ind w:left="360"/>
        <w:rPr>
          <w:rFonts w:ascii="Arial" w:hAnsi="Arial" w:cs="Arial"/>
        </w:rPr>
      </w:pPr>
      <w:r w:rsidRPr="00746F54">
        <w:rPr>
          <w:rFonts w:ascii="Arial" w:hAnsi="Arial" w:cs="Arial"/>
        </w:rPr>
        <w:t>Where:</w:t>
      </w:r>
    </w:p>
    <w:p w14:paraId="1B26A748" w14:textId="77777777" w:rsidR="00721A81" w:rsidRPr="00746F54" w:rsidRDefault="00721A81" w:rsidP="00721A81">
      <w:pPr>
        <w:spacing w:after="0"/>
        <w:ind w:left="360"/>
        <w:rPr>
          <w:rFonts w:ascii="Arial" w:hAnsi="Arial" w:cs="Arial"/>
        </w:rPr>
      </w:pPr>
    </w:p>
    <w:p w14:paraId="34EC27BC" w14:textId="77777777" w:rsidR="00721A81" w:rsidRPr="00746F54" w:rsidRDefault="00721A81" w:rsidP="00721A81">
      <w:pPr>
        <w:pStyle w:val="ListParagraph"/>
        <w:numPr>
          <w:ilvl w:val="0"/>
          <w:numId w:val="8"/>
        </w:numPr>
        <w:spacing w:after="0"/>
        <w:contextualSpacing/>
        <w:rPr>
          <w:rFonts w:ascii="Arial" w:hAnsi="Arial" w:cs="Arial"/>
        </w:rPr>
      </w:pPr>
      <w:r w:rsidRPr="00746F54">
        <w:rPr>
          <w:rFonts w:ascii="Arial" w:hAnsi="Arial" w:cs="Arial"/>
          <w:i/>
        </w:rPr>
        <w:t>RSE Eligible Supply</w:t>
      </w:r>
      <w:r w:rsidRPr="00746F54">
        <w:rPr>
          <w:rFonts w:ascii="Arial" w:hAnsi="Arial" w:cs="Arial"/>
        </w:rPr>
        <w:t xml:space="preserve"> = supply that is eligible to satisfy the EDAM RSE.</w:t>
      </w:r>
      <w:r w:rsidRPr="00746F54" w:rsidDel="00E37E5B">
        <w:rPr>
          <w:rFonts w:ascii="Arial" w:hAnsi="Arial" w:cs="Arial"/>
        </w:rPr>
        <w:t xml:space="preserve"> </w:t>
      </w:r>
    </w:p>
    <w:p w14:paraId="62BD2213" w14:textId="77777777" w:rsidR="00721A81" w:rsidRPr="00746F54" w:rsidRDefault="00721A81" w:rsidP="00721A81">
      <w:pPr>
        <w:pStyle w:val="ListParagraph"/>
        <w:numPr>
          <w:ilvl w:val="0"/>
          <w:numId w:val="8"/>
        </w:numPr>
        <w:spacing w:after="0"/>
        <w:contextualSpacing/>
        <w:rPr>
          <w:rFonts w:ascii="Arial" w:hAnsi="Arial" w:cs="Arial"/>
        </w:rPr>
      </w:pPr>
      <w:r w:rsidRPr="00746F54">
        <w:rPr>
          <w:rFonts w:ascii="Arial" w:hAnsi="Arial" w:cs="Arial"/>
          <w:i/>
        </w:rPr>
        <w:t>Non RSE Eligible Supply</w:t>
      </w:r>
      <w:r w:rsidRPr="00746F54">
        <w:rPr>
          <w:rFonts w:ascii="Arial" w:hAnsi="Arial" w:cs="Arial"/>
        </w:rPr>
        <w:t xml:space="preserve"> = supply that is ineligible to count toward the EDAM RSE. </w:t>
      </w:r>
    </w:p>
    <w:p w14:paraId="0CD11762" w14:textId="2AF09CDF" w:rsidR="00721A81" w:rsidRPr="00746F54" w:rsidRDefault="00721A81" w:rsidP="00721A81">
      <w:pPr>
        <w:pStyle w:val="ListParagraph"/>
        <w:numPr>
          <w:ilvl w:val="0"/>
          <w:numId w:val="8"/>
        </w:numPr>
        <w:spacing w:after="0"/>
        <w:contextualSpacing/>
        <w:rPr>
          <w:rFonts w:ascii="Arial" w:hAnsi="Arial" w:cs="Arial"/>
        </w:rPr>
      </w:pPr>
      <w:r w:rsidRPr="00746F54">
        <w:rPr>
          <w:rFonts w:ascii="Arial" w:hAnsi="Arial" w:cs="Arial"/>
          <w:i/>
        </w:rPr>
        <w:t>Confidence Factor</w:t>
      </w:r>
      <w:r w:rsidRPr="00746F54">
        <w:rPr>
          <w:rFonts w:ascii="Arial" w:hAnsi="Arial" w:cs="Arial"/>
        </w:rPr>
        <w:t xml:space="preserve"> = an optional factor that accounts for confidence in delivery associated with a portion of the Non-RSE Eligible Supply. </w:t>
      </w:r>
    </w:p>
    <w:p w14:paraId="4C7AD455" w14:textId="77777777" w:rsidR="00721A81" w:rsidRPr="00746F54" w:rsidRDefault="00721A81" w:rsidP="00721A81">
      <w:pPr>
        <w:pStyle w:val="ListParagraph"/>
        <w:numPr>
          <w:ilvl w:val="0"/>
          <w:numId w:val="8"/>
        </w:numPr>
        <w:spacing w:after="0"/>
        <w:contextualSpacing/>
        <w:rPr>
          <w:rFonts w:ascii="Arial" w:hAnsi="Arial" w:cs="Arial"/>
        </w:rPr>
      </w:pPr>
      <w:r w:rsidRPr="00746F54">
        <w:rPr>
          <w:rFonts w:ascii="Arial" w:hAnsi="Arial" w:cs="Arial"/>
          <w:i/>
        </w:rPr>
        <w:t xml:space="preserve">RSE Obligation = </w:t>
      </w:r>
      <w:r w:rsidRPr="00746F54">
        <w:rPr>
          <w:rFonts w:ascii="Arial" w:hAnsi="Arial" w:cs="Arial"/>
        </w:rPr>
        <w:t xml:space="preserve">the EDAM RSE obligations set forth in Section 33.31.1, including the demand forecast, imbalance reserve requirements, and the ancillary services requirements. </w:t>
      </w:r>
    </w:p>
    <w:p w14:paraId="2525681B" w14:textId="6398E747" w:rsidR="00721A81" w:rsidRPr="00746F54" w:rsidRDefault="00721A81" w:rsidP="00721A81">
      <w:pPr>
        <w:pStyle w:val="ListParagraph"/>
        <w:numPr>
          <w:ilvl w:val="0"/>
          <w:numId w:val="8"/>
        </w:numPr>
        <w:spacing w:after="0"/>
        <w:contextualSpacing/>
        <w:rPr>
          <w:rFonts w:ascii="Arial" w:hAnsi="Arial" w:cs="Arial"/>
        </w:rPr>
      </w:pPr>
      <w:r w:rsidRPr="00746F54">
        <w:rPr>
          <w:rFonts w:ascii="Arial" w:hAnsi="Arial" w:cs="Arial"/>
          <w:i/>
        </w:rPr>
        <w:lastRenderedPageBreak/>
        <w:t xml:space="preserve">EDAM Reliability Margin = </w:t>
      </w:r>
      <w:r w:rsidRPr="00746F54">
        <w:rPr>
          <w:rFonts w:ascii="Arial" w:hAnsi="Arial" w:cs="Arial"/>
        </w:rPr>
        <w:t>represents an additional amount of capacity established by the EDAM BAA to tighten the limit on the BAA’s net export transfer, if necessary, in limited conditions.</w:t>
      </w:r>
    </w:p>
    <w:p w14:paraId="394A40D5" w14:textId="77777777" w:rsidR="00721A81" w:rsidRPr="00746F54" w:rsidRDefault="00721A81" w:rsidP="00721A81">
      <w:pPr>
        <w:pStyle w:val="ListParagraph"/>
        <w:spacing w:after="0"/>
        <w:contextualSpacing/>
        <w:rPr>
          <w:rFonts w:ascii="Arial" w:hAnsi="Arial" w:cs="Arial"/>
        </w:rPr>
      </w:pPr>
    </w:p>
    <w:p w14:paraId="7933CE9E" w14:textId="457DE0D9" w:rsidR="00721A81" w:rsidRPr="00746F54" w:rsidRDefault="00721A81" w:rsidP="00721A81">
      <w:pPr>
        <w:spacing w:after="0" w:line="360" w:lineRule="auto"/>
        <w:rPr>
          <w:rFonts w:ascii="Arial" w:hAnsi="Arial" w:cs="Arial"/>
        </w:rPr>
      </w:pPr>
      <w:commentRangeStart w:id="300"/>
      <w:r w:rsidRPr="00746F54">
        <w:rPr>
          <w:rFonts w:ascii="Arial" w:hAnsi="Arial" w:cs="Arial"/>
        </w:rPr>
        <w:t>Use of the EDAM Net Export Transfer Constraint is voluntary and market operator will only apply the constraint when elected by the EDAM entity following the procedures specified herein.  The configurable confidence factors and reliability margins for each entity will be published on OASIS. For additional details on the reporting, see the market instruments BPM.</w:t>
      </w:r>
      <w:commentRangeEnd w:id="300"/>
      <w:r w:rsidRPr="00746F54">
        <w:rPr>
          <w:rStyle w:val="CommentReference"/>
          <w:rFonts w:ascii="Arial" w:hAnsi="Arial" w:cs="Arial"/>
        </w:rPr>
        <w:commentReference w:id="300"/>
      </w:r>
    </w:p>
    <w:p w14:paraId="475E2AD1" w14:textId="77777777" w:rsidR="0078756A" w:rsidRPr="00746F54" w:rsidRDefault="0078756A" w:rsidP="00721A81">
      <w:pPr>
        <w:spacing w:after="0" w:line="360" w:lineRule="auto"/>
        <w:rPr>
          <w:rFonts w:ascii="Arial" w:hAnsi="Arial" w:cs="Arial"/>
        </w:rPr>
      </w:pPr>
    </w:p>
    <w:p w14:paraId="7F9379D7" w14:textId="7AAFA606" w:rsidR="0078756A" w:rsidRPr="00746F54" w:rsidRDefault="0004571C" w:rsidP="0078756A">
      <w:pPr>
        <w:pStyle w:val="Heading2"/>
        <w:rPr>
          <w:rFonts w:ascii="Arial" w:hAnsi="Arial" w:cs="Arial"/>
        </w:rPr>
      </w:pPr>
      <w:r w:rsidRPr="00746F54">
        <w:rPr>
          <w:rFonts w:ascii="Arial" w:hAnsi="Arial" w:cs="Arial"/>
        </w:rPr>
        <w:t xml:space="preserve"> </w:t>
      </w:r>
      <w:bookmarkStart w:id="301" w:name="_Toc211337969"/>
      <w:bookmarkStart w:id="302" w:name="_Toc212733094"/>
      <w:r w:rsidRPr="00746F54">
        <w:rPr>
          <w:rFonts w:ascii="Arial" w:hAnsi="Arial" w:cs="Arial"/>
        </w:rPr>
        <w:t>CAISO Forecast of BAA Demand and Variable Energy Resource Forecast for EDAM Entities</w:t>
      </w:r>
      <w:bookmarkEnd w:id="301"/>
      <w:bookmarkEnd w:id="302"/>
    </w:p>
    <w:p w14:paraId="144BCE42" w14:textId="4C4F9A0D" w:rsidR="0004571C" w:rsidRPr="00746F54" w:rsidRDefault="0004571C" w:rsidP="0078756A">
      <w:pPr>
        <w:pStyle w:val="BPM"/>
        <w:spacing w:after="0"/>
        <w:rPr>
          <w:rFonts w:ascii="Arial" w:hAnsi="Arial"/>
          <w:u w:val="single"/>
        </w:rPr>
      </w:pPr>
      <w:r w:rsidRPr="00746F54">
        <w:rPr>
          <w:rFonts w:ascii="Arial" w:hAnsi="Arial"/>
          <w:u w:val="single"/>
        </w:rPr>
        <w:t>Reference tariff section 33.31.4</w:t>
      </w:r>
    </w:p>
    <w:p w14:paraId="122C691B" w14:textId="77777777" w:rsidR="0004571C" w:rsidRPr="00746F54" w:rsidRDefault="0004571C" w:rsidP="0078756A">
      <w:pPr>
        <w:pStyle w:val="BPM"/>
        <w:spacing w:after="0"/>
        <w:rPr>
          <w:rFonts w:ascii="Arial" w:hAnsi="Arial"/>
          <w:u w:val="single"/>
        </w:rPr>
      </w:pPr>
    </w:p>
    <w:p w14:paraId="0076DE29" w14:textId="6A728900" w:rsidR="0078756A" w:rsidRPr="00746F54" w:rsidRDefault="0078756A" w:rsidP="00636D40">
      <w:pPr>
        <w:pStyle w:val="BPM"/>
        <w:spacing w:after="0"/>
        <w:rPr>
          <w:rFonts w:ascii="Arial" w:hAnsi="Arial"/>
        </w:rPr>
      </w:pPr>
      <w:r w:rsidRPr="00746F54">
        <w:rPr>
          <w:rFonts w:ascii="Arial" w:hAnsi="Arial"/>
        </w:rPr>
        <w:t>The market operator will publish the BAA Demand Forecast and Variable Energy Resources Forecast for each EDAM entity at 06:00 and 09:00 with additional publishing, if necessary.  Should additional time being required to ensure a complete and accurate forecasting, the market operator may manually hold the 09:00 advisory DA RSE execution and send an MNS message.</w:t>
      </w:r>
      <w:commentRangeStart w:id="303"/>
      <w:commentRangeStart w:id="304"/>
    </w:p>
    <w:p w14:paraId="6B357F0B" w14:textId="46FEC5BA" w:rsidR="0078756A" w:rsidRPr="00746F54" w:rsidRDefault="000D11B2" w:rsidP="0078756A">
      <w:pPr>
        <w:pStyle w:val="Heading3"/>
        <w:rPr>
          <w:rFonts w:ascii="Arial" w:hAnsi="Arial" w:cs="Arial"/>
        </w:rPr>
      </w:pPr>
      <w:bookmarkStart w:id="305" w:name="_Toc211337970"/>
      <w:r w:rsidRPr="00746F54">
        <w:rPr>
          <w:rFonts w:ascii="Arial" w:hAnsi="Arial" w:cs="Arial"/>
        </w:rPr>
        <w:t xml:space="preserve">Demand </w:t>
      </w:r>
      <w:r w:rsidR="0078756A" w:rsidRPr="00746F54">
        <w:rPr>
          <w:rFonts w:ascii="Arial" w:hAnsi="Arial" w:cs="Arial"/>
        </w:rPr>
        <w:t>Forecast</w:t>
      </w:r>
      <w:bookmarkEnd w:id="305"/>
      <w:r w:rsidR="0078756A" w:rsidRPr="00746F54">
        <w:rPr>
          <w:rFonts w:ascii="Arial" w:hAnsi="Arial" w:cs="Arial"/>
        </w:rPr>
        <w:t xml:space="preserve"> </w:t>
      </w:r>
    </w:p>
    <w:p w14:paraId="7E57B304" w14:textId="77777777" w:rsidR="0078756A" w:rsidRPr="00746F54" w:rsidRDefault="0078756A" w:rsidP="0078756A">
      <w:pPr>
        <w:pStyle w:val="ParaText"/>
        <w:rPr>
          <w:rFonts w:ascii="Arial" w:hAnsi="Arial" w:cs="Arial"/>
        </w:rPr>
      </w:pPr>
      <w:r w:rsidRPr="00746F54">
        <w:rPr>
          <w:rFonts w:ascii="Arial" w:hAnsi="Arial" w:cs="Arial"/>
        </w:rPr>
        <w:t xml:space="preserve">The </w:t>
      </w:r>
      <w:commentRangeStart w:id="306"/>
      <w:commentRangeStart w:id="307"/>
      <w:r w:rsidRPr="00746F54">
        <w:rPr>
          <w:rFonts w:ascii="Arial" w:hAnsi="Arial" w:cs="Arial"/>
        </w:rPr>
        <w:t>CAISO</w:t>
      </w:r>
      <w:commentRangeEnd w:id="306"/>
      <w:r w:rsidRPr="00746F54">
        <w:rPr>
          <w:rStyle w:val="CommentReference"/>
          <w:rFonts w:ascii="Arial" w:hAnsi="Arial" w:cs="Arial"/>
        </w:rPr>
        <w:commentReference w:id="306"/>
      </w:r>
      <w:commentRangeEnd w:id="307"/>
      <w:r w:rsidRPr="00746F54">
        <w:rPr>
          <w:rStyle w:val="CommentReference"/>
          <w:rFonts w:ascii="Arial" w:hAnsi="Arial" w:cs="Arial"/>
        </w:rPr>
        <w:commentReference w:id="307"/>
      </w:r>
      <w:r w:rsidRPr="00746F54">
        <w:rPr>
          <w:rFonts w:ascii="Arial" w:hAnsi="Arial" w:cs="Arial"/>
        </w:rPr>
        <w:t xml:space="preserve"> provides a demand forecast for each EDAM entity unless the EDAM entity elects to submit its own demand forecast.  Please refer to section 11.6 in the Energy Imbalance Market BPM for detail on the CAISO Forecast of BAA Demand. The forecast option selected by the EDAM entity will be the same forecast option that is utilized in the WEIM per Section 33 of the CAISO Tariff. </w:t>
      </w:r>
    </w:p>
    <w:p w14:paraId="057BAD19" w14:textId="77777777" w:rsidR="0078756A" w:rsidRPr="00746F54" w:rsidRDefault="0078756A" w:rsidP="0078756A">
      <w:pPr>
        <w:pStyle w:val="ParaText"/>
        <w:rPr>
          <w:rFonts w:ascii="Arial" w:hAnsi="Arial" w:cs="Arial"/>
        </w:rPr>
      </w:pPr>
      <w:r w:rsidRPr="00746F54">
        <w:rPr>
          <w:rFonts w:ascii="Arial" w:hAnsi="Arial" w:cs="Arial"/>
        </w:rPr>
        <w:t xml:space="preserve">If an EDAM entity elects to submit its own demand forecast, the forecast granularity must be produced in five minute intervals for the current day through the 7 Day-Ahead horizon, and be updated every five </w:t>
      </w:r>
      <w:commentRangeStart w:id="308"/>
      <w:r w:rsidRPr="00746F54">
        <w:rPr>
          <w:rFonts w:ascii="Arial" w:hAnsi="Arial" w:cs="Arial"/>
        </w:rPr>
        <w:t>minutes</w:t>
      </w:r>
      <w:commentRangeEnd w:id="308"/>
      <w:r w:rsidRPr="00746F54">
        <w:rPr>
          <w:rStyle w:val="CommentReference"/>
          <w:rFonts w:ascii="Arial" w:hAnsi="Arial" w:cs="Arial"/>
        </w:rPr>
        <w:commentReference w:id="308"/>
      </w:r>
      <w:r w:rsidRPr="00746F54">
        <w:rPr>
          <w:rFonts w:ascii="Arial" w:hAnsi="Arial" w:cs="Arial"/>
        </w:rPr>
        <w:t xml:space="preserve">. The entity’s forecast of BAA demand must be automatically submitted to the CAISO forecast system. </w:t>
      </w:r>
    </w:p>
    <w:p w14:paraId="74AC494F" w14:textId="552DABF0" w:rsidR="0078756A" w:rsidRPr="00746F54" w:rsidRDefault="0078756A" w:rsidP="0078756A">
      <w:pPr>
        <w:pStyle w:val="ParaText"/>
        <w:rPr>
          <w:rFonts w:ascii="Arial" w:hAnsi="Arial" w:cs="Arial"/>
        </w:rPr>
      </w:pPr>
      <w:r w:rsidRPr="00746F54">
        <w:rPr>
          <w:rFonts w:ascii="Arial" w:hAnsi="Arial" w:cs="Arial"/>
        </w:rPr>
        <w:t xml:space="preserve">Non-participating Demand Response (DR) (e.g., Demand Response in an EDAM entity BAA that are not represented by </w:t>
      </w:r>
      <w:r w:rsidR="000D11B2" w:rsidRPr="00746F54">
        <w:rPr>
          <w:rFonts w:ascii="Arial" w:hAnsi="Arial" w:cs="Arial"/>
        </w:rPr>
        <w:t xml:space="preserve">supply-side </w:t>
      </w:r>
      <w:r w:rsidRPr="00746F54">
        <w:rPr>
          <w:rFonts w:ascii="Arial" w:hAnsi="Arial" w:cs="Arial"/>
        </w:rPr>
        <w:t xml:space="preserve">PDR or RDRR models) may be accounted for in the formation of the CAISO Forecast of BAA Demand as a load reduction if received prior to submission deadline, as further explained in </w:t>
      </w:r>
      <w:commentRangeStart w:id="309"/>
      <w:r w:rsidR="0004571C" w:rsidRPr="00746F54">
        <w:rPr>
          <w:rFonts w:ascii="Arial" w:hAnsi="Arial" w:cs="Arial"/>
        </w:rPr>
        <w:t>s</w:t>
      </w:r>
      <w:r w:rsidRPr="00746F54">
        <w:rPr>
          <w:rFonts w:ascii="Arial" w:hAnsi="Arial" w:cs="Arial"/>
        </w:rPr>
        <w:t xml:space="preserve">ection </w:t>
      </w:r>
      <w:r w:rsidR="00632B9D" w:rsidRPr="00746F54">
        <w:rPr>
          <w:rFonts w:ascii="Arial" w:hAnsi="Arial" w:cs="Arial"/>
        </w:rPr>
        <w:t>22.6.3</w:t>
      </w:r>
      <w:r w:rsidRPr="00746F54">
        <w:rPr>
          <w:rFonts w:ascii="Arial" w:hAnsi="Arial" w:cs="Arial"/>
        </w:rPr>
        <w:t>.</w:t>
      </w:r>
      <w:r w:rsidR="0004571C" w:rsidRPr="00746F54">
        <w:rPr>
          <w:rFonts w:ascii="Arial" w:hAnsi="Arial" w:cs="Arial"/>
        </w:rPr>
        <w:t xml:space="preserve"> of this BPM.</w:t>
      </w:r>
      <w:commentRangeEnd w:id="309"/>
      <w:r w:rsidR="0004571C" w:rsidRPr="00746F54">
        <w:rPr>
          <w:rStyle w:val="CommentReference"/>
          <w:rFonts w:ascii="Arial" w:hAnsi="Arial" w:cs="Arial"/>
        </w:rPr>
        <w:commentReference w:id="309"/>
      </w:r>
    </w:p>
    <w:p w14:paraId="10854281" w14:textId="77777777" w:rsidR="0078756A" w:rsidRPr="00746F54" w:rsidRDefault="0078756A" w:rsidP="0078756A">
      <w:pPr>
        <w:pStyle w:val="Heading3"/>
        <w:rPr>
          <w:rFonts w:ascii="Arial" w:hAnsi="Arial" w:cs="Arial"/>
        </w:rPr>
      </w:pPr>
      <w:bookmarkStart w:id="310" w:name="_Toc211337971"/>
      <w:r w:rsidRPr="00746F54">
        <w:rPr>
          <w:rFonts w:ascii="Arial" w:hAnsi="Arial" w:cs="Arial"/>
        </w:rPr>
        <w:lastRenderedPageBreak/>
        <w:t>VER Forecast</w:t>
      </w:r>
      <w:commentRangeEnd w:id="303"/>
      <w:r w:rsidRPr="00746F54">
        <w:rPr>
          <w:rStyle w:val="CommentReference"/>
          <w:rFonts w:ascii="Arial" w:hAnsi="Arial" w:cs="Arial"/>
          <w:b w:val="0"/>
        </w:rPr>
        <w:commentReference w:id="303"/>
      </w:r>
      <w:commentRangeEnd w:id="304"/>
      <w:r w:rsidRPr="00746F54">
        <w:rPr>
          <w:rStyle w:val="CommentReference"/>
          <w:rFonts w:ascii="Arial" w:hAnsi="Arial" w:cs="Arial"/>
          <w:b w:val="0"/>
        </w:rPr>
        <w:commentReference w:id="304"/>
      </w:r>
      <w:bookmarkEnd w:id="310"/>
    </w:p>
    <w:p w14:paraId="63550A6E" w14:textId="77777777" w:rsidR="0078756A" w:rsidRPr="00746F54" w:rsidRDefault="0078756A" w:rsidP="0078756A">
      <w:pPr>
        <w:pStyle w:val="ParaText"/>
        <w:rPr>
          <w:rFonts w:ascii="Arial" w:hAnsi="Arial" w:cs="Arial"/>
        </w:rPr>
      </w:pPr>
      <w:r w:rsidRPr="00746F54">
        <w:rPr>
          <w:rFonts w:ascii="Arial" w:hAnsi="Arial" w:cs="Arial"/>
        </w:rPr>
        <w:t>EDAM Variable Energy Resources, both participating and non-participating, may provide the market operator with an independent third-party forecast of energy output or utilize the CAISO forecasting service. Please refer to section 11.7 in the Energy Imbalance Market BPM for detail on VER Forecasting. The forecast option selected by the EDAM entity will be the same forecast option that is utilized in the WEIM.</w:t>
      </w:r>
    </w:p>
    <w:p w14:paraId="507E074F" w14:textId="77777777" w:rsidR="0078756A" w:rsidRPr="00746F54" w:rsidRDefault="0078756A" w:rsidP="0078756A">
      <w:pPr>
        <w:pStyle w:val="ParaText"/>
        <w:spacing w:line="360" w:lineRule="auto"/>
        <w:rPr>
          <w:rFonts w:ascii="Arial" w:hAnsi="Arial" w:cs="Arial"/>
        </w:rPr>
      </w:pPr>
      <w:r w:rsidRPr="00746F54">
        <w:rPr>
          <w:rFonts w:ascii="Arial" w:hAnsi="Arial" w:cs="Arial"/>
        </w:rPr>
        <w:t xml:space="preserve">The EDAM Variable Energy Resource forecast granularity must be produced in hourly intervals for the Day-Ahead through 7 Day-Ahead horizon and be updated by 06:00 and 09:00. The forecast of EDAM Variable Energy Resources must be automatically submitted to the CAISO forecast system. </w:t>
      </w:r>
    </w:p>
    <w:p w14:paraId="2485F94C" w14:textId="77777777" w:rsidR="008F7E1E" w:rsidRPr="00746F54" w:rsidRDefault="008F7E1E" w:rsidP="008F7E1E">
      <w:pPr>
        <w:pStyle w:val="Heading3"/>
        <w:rPr>
          <w:rFonts w:ascii="Arial" w:hAnsi="Arial" w:cs="Arial"/>
        </w:rPr>
      </w:pPr>
      <w:bookmarkStart w:id="311" w:name="_Toc211337972"/>
      <w:commentRangeStart w:id="312"/>
      <w:r w:rsidRPr="00746F54">
        <w:rPr>
          <w:rFonts w:ascii="Arial" w:hAnsi="Arial" w:cs="Arial"/>
        </w:rPr>
        <w:t xml:space="preserve">Adjustments to CAISO Forecast of BAA Demand for Load Modification and Demand Response </w:t>
      </w:r>
      <w:commentRangeStart w:id="313"/>
      <w:r w:rsidRPr="00746F54">
        <w:rPr>
          <w:rFonts w:ascii="Arial" w:hAnsi="Arial" w:cs="Arial"/>
        </w:rPr>
        <w:t>Programs</w:t>
      </w:r>
      <w:commentRangeEnd w:id="312"/>
      <w:r w:rsidRPr="00746F54">
        <w:rPr>
          <w:rStyle w:val="CommentReference"/>
          <w:rFonts w:ascii="Arial" w:hAnsi="Arial" w:cs="Arial"/>
          <w:b w:val="0"/>
        </w:rPr>
        <w:commentReference w:id="312"/>
      </w:r>
      <w:commentRangeEnd w:id="313"/>
      <w:r w:rsidRPr="00746F54">
        <w:rPr>
          <w:rStyle w:val="CommentReference"/>
          <w:rFonts w:ascii="Arial" w:hAnsi="Arial" w:cs="Arial"/>
          <w:b w:val="0"/>
        </w:rPr>
        <w:commentReference w:id="313"/>
      </w:r>
      <w:bookmarkEnd w:id="311"/>
    </w:p>
    <w:p w14:paraId="42B9B166" w14:textId="77777777" w:rsidR="008F7E1E" w:rsidRPr="00746F54" w:rsidRDefault="008F7E1E" w:rsidP="008F7E1E">
      <w:pPr>
        <w:pStyle w:val="ParaText"/>
        <w:rPr>
          <w:rFonts w:ascii="Arial" w:hAnsi="Arial" w:cs="Arial"/>
          <w:u w:val="single"/>
        </w:rPr>
      </w:pPr>
      <w:r w:rsidRPr="00746F54">
        <w:rPr>
          <w:rFonts w:ascii="Arial" w:hAnsi="Arial" w:cs="Arial"/>
          <w:u w:val="single"/>
        </w:rPr>
        <w:t>Reference Section 33.31.4.</w:t>
      </w:r>
    </w:p>
    <w:p w14:paraId="68D77942" w14:textId="2DC5ECB6" w:rsidR="008F7E1E" w:rsidRPr="00746F54" w:rsidRDefault="008F7E1E" w:rsidP="008F7E1E">
      <w:pPr>
        <w:pStyle w:val="ParaText"/>
        <w:rPr>
          <w:rFonts w:ascii="Arial" w:hAnsi="Arial" w:cs="Arial"/>
        </w:rPr>
      </w:pPr>
      <w:r w:rsidRPr="00746F54">
        <w:rPr>
          <w:rFonts w:ascii="Arial" w:hAnsi="Arial" w:cs="Arial"/>
        </w:rPr>
        <w:t xml:space="preserve">To utilize the adjustment process, each EDAM entity must first submit the </w:t>
      </w:r>
      <w:commentRangeStart w:id="314"/>
      <w:r w:rsidRPr="00746F54">
        <w:rPr>
          <w:rFonts w:ascii="Arial" w:hAnsi="Arial" w:cs="Arial"/>
        </w:rPr>
        <w:t xml:space="preserve">required attestation </w:t>
      </w:r>
      <w:commentRangeEnd w:id="314"/>
      <w:r w:rsidRPr="00746F54">
        <w:rPr>
          <w:rStyle w:val="CommentReference"/>
          <w:rFonts w:ascii="Arial" w:hAnsi="Arial" w:cs="Arial"/>
        </w:rPr>
        <w:commentReference w:id="314"/>
      </w:r>
      <w:r w:rsidRPr="00746F54">
        <w:rPr>
          <w:rFonts w:ascii="Arial" w:hAnsi="Arial" w:cs="Arial"/>
        </w:rPr>
        <w:t>(further details forthcoming)</w:t>
      </w:r>
      <w:r w:rsidR="0072123C" w:rsidRPr="00746F54">
        <w:rPr>
          <w:rFonts w:ascii="Arial" w:hAnsi="Arial" w:cs="Arial"/>
        </w:rPr>
        <w:t xml:space="preserve"> </w:t>
      </w:r>
      <w:r w:rsidRPr="00746F54">
        <w:rPr>
          <w:rFonts w:ascii="Arial" w:hAnsi="Arial" w:cs="Arial"/>
        </w:rPr>
        <w:t xml:space="preserve">certifying that the entity is adjusting for quantities that correspond to the increases/decreases in demand provided by the demand response and/or load modification </w:t>
      </w:r>
      <w:commentRangeStart w:id="315"/>
      <w:commentRangeStart w:id="316"/>
      <w:commentRangeStart w:id="317"/>
      <w:commentRangeStart w:id="318"/>
      <w:commentRangeStart w:id="319"/>
      <w:r w:rsidRPr="00746F54">
        <w:rPr>
          <w:rFonts w:ascii="Arial" w:hAnsi="Arial" w:cs="Arial"/>
        </w:rPr>
        <w:t>programs</w:t>
      </w:r>
      <w:commentRangeEnd w:id="315"/>
      <w:r w:rsidRPr="00746F54">
        <w:rPr>
          <w:rStyle w:val="CommentReference"/>
          <w:rFonts w:ascii="Arial" w:hAnsi="Arial" w:cs="Arial"/>
        </w:rPr>
        <w:commentReference w:id="315"/>
      </w:r>
      <w:commentRangeEnd w:id="316"/>
      <w:r w:rsidRPr="00746F54">
        <w:rPr>
          <w:rStyle w:val="CommentReference"/>
          <w:rFonts w:ascii="Arial" w:hAnsi="Arial" w:cs="Arial"/>
        </w:rPr>
        <w:commentReference w:id="316"/>
      </w:r>
      <w:commentRangeEnd w:id="317"/>
      <w:r w:rsidRPr="00746F54">
        <w:rPr>
          <w:rStyle w:val="CommentReference"/>
          <w:rFonts w:ascii="Arial" w:hAnsi="Arial" w:cs="Arial"/>
        </w:rPr>
        <w:commentReference w:id="317"/>
      </w:r>
      <w:commentRangeEnd w:id="318"/>
      <w:r w:rsidRPr="00746F54">
        <w:rPr>
          <w:rStyle w:val="CommentReference"/>
          <w:rFonts w:ascii="Arial" w:hAnsi="Arial" w:cs="Arial"/>
        </w:rPr>
        <w:commentReference w:id="318"/>
      </w:r>
      <w:commentRangeEnd w:id="319"/>
      <w:r w:rsidRPr="00746F54">
        <w:rPr>
          <w:rStyle w:val="CommentReference"/>
          <w:rFonts w:ascii="Arial" w:hAnsi="Arial" w:cs="Arial"/>
        </w:rPr>
        <w:commentReference w:id="319"/>
      </w:r>
      <w:r w:rsidRPr="00746F54">
        <w:rPr>
          <w:rFonts w:ascii="Arial" w:hAnsi="Arial" w:cs="Arial"/>
        </w:rPr>
        <w:t>.  Upon receipt of the executed attestation, the market</w:t>
      </w:r>
      <w:r w:rsidRPr="00746F54" w:rsidDel="00185AA7">
        <w:rPr>
          <w:rFonts w:ascii="Arial" w:hAnsi="Arial" w:cs="Arial"/>
        </w:rPr>
        <w:t xml:space="preserve"> operator</w:t>
      </w:r>
      <w:r w:rsidRPr="00746F54">
        <w:rPr>
          <w:rFonts w:ascii="Arial" w:hAnsi="Arial" w:cs="Arial"/>
        </w:rPr>
        <w:t xml:space="preserve"> will enable the DR inclusion flag to allow the entity to submit non-participating demand response and/or load modification schedules. </w:t>
      </w:r>
    </w:p>
    <w:p w14:paraId="2D53C5B3" w14:textId="298CB5E5" w:rsidR="008F7E1E" w:rsidRPr="00746F54" w:rsidRDefault="008F7E1E" w:rsidP="008F7E1E">
      <w:pPr>
        <w:pStyle w:val="ParaText"/>
        <w:rPr>
          <w:rFonts w:ascii="Arial" w:hAnsi="Arial" w:cs="Arial"/>
        </w:rPr>
      </w:pPr>
      <w:r w:rsidRPr="00746F54">
        <w:rPr>
          <w:rFonts w:ascii="Arial" w:hAnsi="Arial" w:cs="Arial"/>
        </w:rPr>
        <w:t>EDAM entities can submit DR schedules via an API interface for planned non-participating load modification and/or demand-response events (DR schedules). The DR schedule should be submitted prior to 07:00 to facilitate automated inclusion into the day-ahead CAISO Forecast of BAA demand. DR schedules submitted after 07:00 but prior to 09:00 will be included where feasible, with adjustments of the day-ahead CAISO Forecast of BAA demand performed on a case-by-case basis. DR schedules received after 09:00 will not be included in the published day-ahead CAISO Forecast of BAA demand.</w:t>
      </w:r>
    </w:p>
    <w:p w14:paraId="01D42D03" w14:textId="26F22E5E" w:rsidR="008F7E1E" w:rsidRPr="00746F54" w:rsidRDefault="008F7E1E" w:rsidP="008F7E1E">
      <w:pPr>
        <w:pStyle w:val="ParaText"/>
        <w:rPr>
          <w:rFonts w:ascii="Arial" w:hAnsi="Arial" w:cs="Arial"/>
        </w:rPr>
      </w:pPr>
      <w:r w:rsidRPr="00746F54">
        <w:rPr>
          <w:rFonts w:ascii="Arial" w:hAnsi="Arial" w:cs="Arial"/>
        </w:rPr>
        <w:t>DR schedules should not include RDRR (see Section 4.1.1) but may include schedules reflective of both increases in load that capture expected demand response program actions (</w:t>
      </w:r>
      <w:r w:rsidRPr="00746F54">
        <w:rPr>
          <w:rFonts w:ascii="Arial" w:hAnsi="Arial" w:cs="Arial"/>
          <w:i/>
          <w:iCs/>
        </w:rPr>
        <w:t xml:space="preserve">e.g., </w:t>
      </w:r>
      <w:r w:rsidRPr="00746F54">
        <w:rPr>
          <w:rFonts w:ascii="Arial" w:hAnsi="Arial" w:cs="Arial"/>
        </w:rPr>
        <w:t>“pre-cooling”) as well as decreases that reflect the event itself (</w:t>
      </w:r>
      <w:r w:rsidRPr="00746F54">
        <w:rPr>
          <w:rFonts w:ascii="Arial" w:hAnsi="Arial" w:cs="Arial"/>
          <w:i/>
          <w:iCs/>
        </w:rPr>
        <w:t xml:space="preserve">e.g., </w:t>
      </w:r>
      <w:r w:rsidRPr="00746F54">
        <w:rPr>
          <w:rFonts w:ascii="Arial" w:hAnsi="Arial" w:cs="Arial"/>
        </w:rPr>
        <w:t>“thermostat increases”). Increases in demand should be reported as positive values and decreases in demand as negative values in the DR schedule.  DR</w:t>
      </w:r>
      <w:commentRangeStart w:id="320"/>
      <w:r w:rsidRPr="00746F54">
        <w:rPr>
          <w:rFonts w:ascii="Arial" w:hAnsi="Arial" w:cs="Arial"/>
        </w:rPr>
        <w:t xml:space="preserve"> schedules must be submitted by the EDAM entity at a 5-minute resolution</w:t>
      </w:r>
      <w:commentRangeEnd w:id="320"/>
      <w:r w:rsidRPr="00746F54">
        <w:rPr>
          <w:rFonts w:ascii="Arial" w:hAnsi="Arial" w:cs="Arial"/>
        </w:rPr>
        <w:commentReference w:id="320"/>
      </w:r>
      <w:r w:rsidRPr="00746F54">
        <w:rPr>
          <w:rFonts w:ascii="Arial" w:hAnsi="Arial" w:cs="Arial"/>
        </w:rPr>
        <w:t xml:space="preserve">. If a 15-minute schedule is desired, participants shall enter the same schedule for each 5-minutes within the corresponding 15-minute interval. If an hourly </w:t>
      </w:r>
      <w:r w:rsidRPr="00746F54">
        <w:rPr>
          <w:rFonts w:ascii="Arial" w:hAnsi="Arial" w:cs="Arial"/>
        </w:rPr>
        <w:lastRenderedPageBreak/>
        <w:t xml:space="preserve">schedule is desired, participants shall enter same schedule for each 5-minutes within the corresponding hour. </w:t>
      </w:r>
    </w:p>
    <w:p w14:paraId="43CF7C6B" w14:textId="77777777" w:rsidR="008F7E1E" w:rsidRPr="00746F54" w:rsidRDefault="008F7E1E" w:rsidP="008F7E1E">
      <w:pPr>
        <w:pStyle w:val="ParaText"/>
        <w:rPr>
          <w:rFonts w:ascii="Arial" w:hAnsi="Arial" w:cs="Arial"/>
        </w:rPr>
      </w:pPr>
      <w:r w:rsidRPr="00746F54">
        <w:rPr>
          <w:rFonts w:ascii="Arial" w:hAnsi="Arial" w:cs="Arial"/>
        </w:rPr>
        <w:t xml:space="preserve">Entities will be notified of either successful, partially successful, or failed submission of DR payloads. Successful and partially successful submissions of DR schedules will automatically be incorporated into the EDAM entity’s day-ahead CAISO Forecast of BAA Demand in accordance with their DR schedule. For failed and partially successful submissions, entities will receive an error code describing the validation issue of the DR schedule. </w:t>
      </w:r>
    </w:p>
    <w:p w14:paraId="09E4F4C9" w14:textId="397AD364" w:rsidR="008F7E1E" w:rsidRPr="00746F54" w:rsidRDefault="008F7E1E" w:rsidP="008F7E1E">
      <w:pPr>
        <w:pStyle w:val="ParaText"/>
        <w:rPr>
          <w:rFonts w:ascii="Arial" w:hAnsi="Arial" w:cs="Arial"/>
        </w:rPr>
      </w:pPr>
      <w:r w:rsidRPr="00746F54">
        <w:rPr>
          <w:rFonts w:ascii="Arial" w:hAnsi="Arial" w:cs="Arial"/>
        </w:rPr>
        <w:t xml:space="preserve">Upon successful DR schedule submission, market operator </w:t>
      </w:r>
      <w:commentRangeStart w:id="321"/>
      <w:commentRangeStart w:id="322"/>
      <w:commentRangeStart w:id="323"/>
      <w:commentRangeStart w:id="324"/>
      <w:commentRangeEnd w:id="321"/>
      <w:r w:rsidRPr="00746F54">
        <w:rPr>
          <w:rStyle w:val="CommentReference"/>
          <w:rFonts w:ascii="Arial" w:hAnsi="Arial" w:cs="Arial"/>
        </w:rPr>
        <w:commentReference w:id="321"/>
      </w:r>
      <w:commentRangeEnd w:id="322"/>
      <w:r w:rsidRPr="00746F54">
        <w:rPr>
          <w:rStyle w:val="CommentReference"/>
          <w:rFonts w:ascii="Arial" w:hAnsi="Arial" w:cs="Arial"/>
        </w:rPr>
        <w:commentReference w:id="322"/>
      </w:r>
      <w:commentRangeEnd w:id="323"/>
      <w:r w:rsidRPr="00746F54">
        <w:rPr>
          <w:rStyle w:val="CommentReference"/>
          <w:rFonts w:ascii="Arial" w:hAnsi="Arial" w:cs="Arial"/>
        </w:rPr>
        <w:commentReference w:id="323"/>
      </w:r>
      <w:commentRangeEnd w:id="324"/>
      <w:r w:rsidRPr="00746F54">
        <w:rPr>
          <w:rStyle w:val="CommentReference"/>
          <w:rFonts w:ascii="Arial" w:hAnsi="Arial" w:cs="Arial"/>
        </w:rPr>
        <w:commentReference w:id="324"/>
      </w:r>
      <w:r w:rsidRPr="00746F54">
        <w:rPr>
          <w:rFonts w:ascii="Arial" w:hAnsi="Arial" w:cs="Arial"/>
        </w:rPr>
        <w:t xml:space="preserve">will be notified of the DR event and will verify that the schedule was received by </w:t>
      </w:r>
      <w:commentRangeStart w:id="325"/>
      <w:r w:rsidRPr="00746F54">
        <w:rPr>
          <w:rFonts w:ascii="Arial" w:hAnsi="Arial" w:cs="Arial"/>
        </w:rPr>
        <w:t>ALFS</w:t>
      </w:r>
      <w:commentRangeEnd w:id="325"/>
      <w:r w:rsidRPr="00746F54">
        <w:rPr>
          <w:rStyle w:val="CommentReference"/>
          <w:rFonts w:ascii="Arial" w:hAnsi="Arial" w:cs="Arial"/>
        </w:rPr>
        <w:commentReference w:id="325"/>
      </w:r>
      <w:r w:rsidRPr="00746F54">
        <w:rPr>
          <w:rFonts w:ascii="Arial" w:hAnsi="Arial" w:cs="Arial"/>
        </w:rPr>
        <w:t>. If the market operator</w:t>
      </w:r>
      <w:commentRangeStart w:id="326"/>
      <w:commentRangeStart w:id="327"/>
      <w:r w:rsidRPr="00746F54">
        <w:rPr>
          <w:rFonts w:ascii="Arial" w:hAnsi="Arial" w:cs="Arial"/>
        </w:rPr>
        <w:t xml:space="preserve"> </w:t>
      </w:r>
      <w:commentRangeEnd w:id="326"/>
      <w:r w:rsidRPr="00746F54">
        <w:rPr>
          <w:rStyle w:val="CommentReference"/>
          <w:rFonts w:ascii="Arial" w:hAnsi="Arial" w:cs="Arial"/>
        </w:rPr>
        <w:commentReference w:id="326"/>
      </w:r>
      <w:commentRangeEnd w:id="327"/>
      <w:r w:rsidRPr="00746F54">
        <w:rPr>
          <w:rStyle w:val="CommentReference"/>
          <w:rFonts w:ascii="Arial" w:hAnsi="Arial" w:cs="Arial"/>
        </w:rPr>
        <w:commentReference w:id="327"/>
      </w:r>
      <w:r w:rsidRPr="00746F54">
        <w:rPr>
          <w:rFonts w:ascii="Arial" w:hAnsi="Arial" w:cs="Arial"/>
        </w:rPr>
        <w:t xml:space="preserve">identifies an issue with the processed DR schedule in ALFS, the market operator may override the schedule to zero (0) and may request a resubmittal from the EDAM entity. </w:t>
      </w:r>
      <w:commentRangeStart w:id="328"/>
      <w:r w:rsidRPr="00746F54">
        <w:rPr>
          <w:rFonts w:ascii="Arial" w:hAnsi="Arial" w:cs="Arial"/>
        </w:rPr>
        <w:t xml:space="preserve"> Once verified, the day-ahead CAISO Forecast of BAA Demand will reflect the inclusion of the DR schedule in the Day-Ahead RSE UI.</w:t>
      </w:r>
      <w:commentRangeEnd w:id="328"/>
      <w:r w:rsidRPr="00746F54">
        <w:rPr>
          <w:rFonts w:ascii="Arial" w:hAnsi="Arial" w:cs="Arial"/>
        </w:rPr>
        <w:commentReference w:id="328"/>
      </w:r>
    </w:p>
    <w:p w14:paraId="128AB283" w14:textId="4089345D" w:rsidR="008F7E1E" w:rsidRPr="00746F54" w:rsidRDefault="008F7E1E" w:rsidP="008F7E1E">
      <w:pPr>
        <w:pStyle w:val="ParaText"/>
        <w:rPr>
          <w:rFonts w:ascii="Arial" w:hAnsi="Arial" w:cs="Arial"/>
        </w:rPr>
      </w:pPr>
      <w:r w:rsidRPr="00746F54">
        <w:rPr>
          <w:rFonts w:ascii="Arial" w:hAnsi="Arial" w:cs="Arial"/>
        </w:rPr>
        <w:t xml:space="preserve">If an entity elects to self-provide demand forecast, demand response adjustments should be accounted for within the EDAM entity demand forecast submission. </w:t>
      </w:r>
    </w:p>
    <w:p w14:paraId="52054CFE" w14:textId="01882457" w:rsidR="008749BD" w:rsidRPr="00746F54" w:rsidRDefault="008749BD" w:rsidP="008749BD">
      <w:pPr>
        <w:pStyle w:val="Heading2"/>
        <w:rPr>
          <w:rFonts w:ascii="Arial" w:hAnsi="Arial" w:cs="Arial"/>
        </w:rPr>
      </w:pPr>
      <w:bookmarkStart w:id="329" w:name="_Toc211337973"/>
      <w:bookmarkStart w:id="330" w:name="_Toc212733095"/>
      <w:r w:rsidRPr="00746F54">
        <w:rPr>
          <w:rFonts w:ascii="Arial" w:hAnsi="Arial" w:cs="Arial"/>
        </w:rPr>
        <w:t>Reserve Sharing Groups</w:t>
      </w:r>
      <w:bookmarkEnd w:id="329"/>
      <w:bookmarkEnd w:id="330"/>
    </w:p>
    <w:p w14:paraId="77F48490" w14:textId="0A861EA7" w:rsidR="008749BD" w:rsidRPr="00746F54" w:rsidRDefault="00417E1C" w:rsidP="008749BD">
      <w:pPr>
        <w:pStyle w:val="ParaText"/>
        <w:rPr>
          <w:rFonts w:ascii="Arial" w:hAnsi="Arial" w:cs="Arial"/>
          <w:u w:val="single"/>
        </w:rPr>
      </w:pPr>
      <w:r w:rsidRPr="00746F54">
        <w:rPr>
          <w:rFonts w:ascii="Arial" w:hAnsi="Arial" w:cs="Arial"/>
          <w:u w:val="single"/>
        </w:rPr>
        <w:t>Reference tariff section 33.31.5</w:t>
      </w:r>
    </w:p>
    <w:p w14:paraId="1CDBB3C8" w14:textId="3389B108" w:rsidR="00417E1C" w:rsidRPr="00746F54" w:rsidRDefault="00E4601F" w:rsidP="008749BD">
      <w:pPr>
        <w:pStyle w:val="ParaText"/>
        <w:rPr>
          <w:rFonts w:ascii="Arial" w:hAnsi="Arial" w:cs="Arial"/>
        </w:rPr>
      </w:pPr>
      <w:r w:rsidRPr="00746F54">
        <w:rPr>
          <w:rFonts w:ascii="Arial" w:hAnsi="Arial" w:cs="Arial"/>
        </w:rPr>
        <w:t xml:space="preserve">EDAM will accommodate ancillary service requirements satisfied through participation in the reserve sharing groups.  Consistent with existing practices that may be in place for delivery of reserves under applicable tariffs or reserve sharing groups, EDAM entity balancing authorities that participate in a reserve sharing group must identify the transmission that will be utilized to ensure delivery of the shown reserve capacity.  </w:t>
      </w:r>
    </w:p>
    <w:p w14:paraId="34EB0117" w14:textId="605F5C41" w:rsidR="00E4601F" w:rsidRPr="00746F54" w:rsidRDefault="00E4601F" w:rsidP="00636D40">
      <w:pPr>
        <w:pStyle w:val="ParaText"/>
        <w:rPr>
          <w:rFonts w:ascii="Arial" w:hAnsi="Arial" w:cs="Arial"/>
        </w:rPr>
      </w:pPr>
      <w:r w:rsidRPr="00746F54">
        <w:rPr>
          <w:rFonts w:ascii="Arial" w:hAnsi="Arial" w:cs="Arial"/>
        </w:rPr>
        <w:t>The transmission capacity identified as supporting reserve sharing groups will not be available to support EDAM transfers to ensure that the reserve obligations are deliverable in real-time.</w:t>
      </w:r>
    </w:p>
    <w:p w14:paraId="398BF558" w14:textId="631838C9" w:rsidR="00E4601F" w:rsidRPr="00746F54" w:rsidRDefault="00E4601F" w:rsidP="00E4601F">
      <w:pPr>
        <w:pStyle w:val="Heading2"/>
        <w:rPr>
          <w:rFonts w:ascii="Arial" w:hAnsi="Arial" w:cs="Arial"/>
        </w:rPr>
      </w:pPr>
      <w:bookmarkStart w:id="331" w:name="_Toc211337974"/>
      <w:bookmarkStart w:id="332" w:name="_Toc212733096"/>
      <w:commentRangeStart w:id="333"/>
      <w:r w:rsidRPr="00746F54">
        <w:rPr>
          <w:rFonts w:ascii="Arial" w:hAnsi="Arial" w:cs="Arial"/>
        </w:rPr>
        <w:t>Interchange Schedules</w:t>
      </w:r>
      <w:commentRangeEnd w:id="333"/>
      <w:r w:rsidRPr="00746F54">
        <w:rPr>
          <w:rStyle w:val="CommentReference"/>
          <w:rFonts w:ascii="Arial" w:hAnsi="Arial" w:cs="Arial"/>
          <w:b w:val="0"/>
        </w:rPr>
        <w:commentReference w:id="333"/>
      </w:r>
      <w:bookmarkEnd w:id="331"/>
      <w:bookmarkEnd w:id="332"/>
    </w:p>
    <w:p w14:paraId="2A67A7AE" w14:textId="692C1FB8" w:rsidR="00DC45F5" w:rsidRPr="00746F54" w:rsidRDefault="00915104" w:rsidP="00DC45F5">
      <w:pPr>
        <w:spacing w:after="0" w:line="360" w:lineRule="auto"/>
        <w:rPr>
          <w:rFonts w:ascii="Arial" w:hAnsi="Arial" w:cs="Arial"/>
          <w:u w:val="single"/>
        </w:rPr>
      </w:pPr>
      <w:r w:rsidRPr="00746F54">
        <w:rPr>
          <w:rFonts w:ascii="Arial" w:hAnsi="Arial" w:cs="Arial"/>
          <w:u w:val="single"/>
        </w:rPr>
        <w:t>Reference tariff section 33.31.6</w:t>
      </w:r>
    </w:p>
    <w:p w14:paraId="111B59A7" w14:textId="77777777" w:rsidR="00915104" w:rsidRPr="00746F54" w:rsidRDefault="00991088" w:rsidP="005468C3">
      <w:pPr>
        <w:spacing w:after="0" w:line="360" w:lineRule="auto"/>
        <w:rPr>
          <w:rFonts w:ascii="Arial" w:hAnsi="Arial" w:cs="Arial"/>
        </w:rPr>
      </w:pPr>
      <w:r w:rsidRPr="00746F54">
        <w:rPr>
          <w:rFonts w:ascii="Arial" w:hAnsi="Arial" w:cs="Arial"/>
        </w:rPr>
        <w:t xml:space="preserve">Interchange Schedules are Energy Schedules where electric power is transferred between Balancing Authority Areas and </w:t>
      </w:r>
      <w:r w:rsidR="00E5260D" w:rsidRPr="00746F54">
        <w:rPr>
          <w:rFonts w:ascii="Arial" w:hAnsi="Arial" w:cs="Arial"/>
        </w:rPr>
        <w:t>is</w:t>
      </w:r>
      <w:r w:rsidR="001D228B" w:rsidRPr="00746F54">
        <w:rPr>
          <w:rFonts w:ascii="Arial" w:hAnsi="Arial" w:cs="Arial"/>
        </w:rPr>
        <w:t xml:space="preserve"> </w:t>
      </w:r>
      <w:r w:rsidRPr="00746F54">
        <w:rPr>
          <w:rFonts w:ascii="Arial" w:hAnsi="Arial" w:cs="Arial"/>
        </w:rPr>
        <w:t>coordinat</w:t>
      </w:r>
      <w:r w:rsidR="005468C3" w:rsidRPr="00746F54">
        <w:rPr>
          <w:rFonts w:ascii="Arial" w:hAnsi="Arial" w:cs="Arial"/>
        </w:rPr>
        <w:t xml:space="preserve">ed </w:t>
      </w:r>
      <w:r w:rsidR="00C23DC9" w:rsidRPr="00746F54">
        <w:rPr>
          <w:rFonts w:ascii="Arial" w:hAnsi="Arial" w:cs="Arial"/>
        </w:rPr>
        <w:t xml:space="preserve">between </w:t>
      </w:r>
      <w:r w:rsidR="006071D2" w:rsidRPr="00746F54">
        <w:rPr>
          <w:rFonts w:ascii="Arial" w:hAnsi="Arial" w:cs="Arial"/>
        </w:rPr>
        <w:t xml:space="preserve">two or more </w:t>
      </w:r>
      <w:r w:rsidRPr="00746F54">
        <w:rPr>
          <w:rFonts w:ascii="Arial" w:hAnsi="Arial" w:cs="Arial"/>
        </w:rPr>
        <w:t>entities</w:t>
      </w:r>
      <w:r w:rsidR="005468C3" w:rsidRPr="00746F54">
        <w:rPr>
          <w:rFonts w:ascii="Arial" w:hAnsi="Arial" w:cs="Arial"/>
        </w:rPr>
        <w:t xml:space="preserve"> in Real Time.</w:t>
      </w:r>
      <w:r w:rsidRPr="00746F54">
        <w:rPr>
          <w:rFonts w:ascii="Arial" w:hAnsi="Arial" w:cs="Arial"/>
        </w:rPr>
        <w:t xml:space="preserve">  </w:t>
      </w:r>
      <w:r w:rsidR="005468C3" w:rsidRPr="00746F54">
        <w:rPr>
          <w:rFonts w:ascii="Arial" w:hAnsi="Arial" w:cs="Arial"/>
        </w:rPr>
        <w:t>EDAM entities communicate information pertaining to each Interchange transaction via E-Tag specifications maintained by the NAESB.</w:t>
      </w:r>
    </w:p>
    <w:p w14:paraId="22A6FB78" w14:textId="32B2B277" w:rsidR="00915104" w:rsidRPr="00746F54" w:rsidRDefault="00915104" w:rsidP="005468C3">
      <w:pPr>
        <w:spacing w:after="0" w:line="360" w:lineRule="auto"/>
        <w:rPr>
          <w:rFonts w:ascii="Arial" w:hAnsi="Arial" w:cs="Arial"/>
        </w:rPr>
      </w:pPr>
      <w:r w:rsidRPr="00746F54">
        <w:rPr>
          <w:rFonts w:ascii="Arial" w:hAnsi="Arial" w:cs="Arial"/>
        </w:rPr>
        <w:lastRenderedPageBreak/>
        <w:t xml:space="preserve">After the Day-Ahead Market results are published, EDAM Entity Scheduling Coordinators must submit interchange schedules with other balancing authority areas at the respective EDAM intertie and must update the interchange schedules with any adjustments as applicable.  </w:t>
      </w:r>
    </w:p>
    <w:p w14:paraId="1D2C3282" w14:textId="77777777" w:rsidR="008114DA" w:rsidRPr="00746F54" w:rsidRDefault="008114DA" w:rsidP="005468C3">
      <w:pPr>
        <w:spacing w:after="0" w:line="360" w:lineRule="auto"/>
        <w:rPr>
          <w:rFonts w:ascii="Arial" w:hAnsi="Arial" w:cs="Arial"/>
        </w:rPr>
      </w:pPr>
      <w:r w:rsidRPr="00746F54">
        <w:rPr>
          <w:rFonts w:ascii="Arial" w:hAnsi="Arial" w:cs="Arial"/>
        </w:rPr>
        <w:t xml:space="preserve">For each EDAM intertie bid that clears the IFM and results in a 15-minute intertie schedule, the EDAM entity scheduling coordinator must submit an e-tag with corresponding hourly transmission profile and 15-minute energy profile.  These e-tags must reflect the point of receipt and point of delivery and must be submitted by 20 minutes prior to the start of the operating hour.  </w:t>
      </w:r>
    </w:p>
    <w:p w14:paraId="6A595F24" w14:textId="679012C0" w:rsidR="008114DA" w:rsidRPr="00746F54" w:rsidRDefault="008114DA" w:rsidP="005468C3">
      <w:pPr>
        <w:spacing w:after="0" w:line="360" w:lineRule="auto"/>
        <w:rPr>
          <w:rFonts w:ascii="Arial" w:hAnsi="Arial" w:cs="Arial"/>
        </w:rPr>
      </w:pPr>
      <w:r w:rsidRPr="00746F54">
        <w:rPr>
          <w:rFonts w:ascii="Arial" w:hAnsi="Arial" w:cs="Arial"/>
        </w:rPr>
        <w:t xml:space="preserve">For additional information please refer to tariff section 33.31.6 and the </w:t>
      </w:r>
      <w:r w:rsidRPr="00746F54">
        <w:rPr>
          <w:rFonts w:ascii="Arial" w:hAnsi="Arial" w:cs="Arial"/>
          <w:i/>
          <w:iCs/>
        </w:rPr>
        <w:t xml:space="preserve">Market Operations </w:t>
      </w:r>
      <w:r w:rsidRPr="00746F54">
        <w:rPr>
          <w:rFonts w:ascii="Arial" w:hAnsi="Arial" w:cs="Arial"/>
        </w:rPr>
        <w:t>Business Practice Manual on e-tagging requirements.</w:t>
      </w:r>
    </w:p>
    <w:p w14:paraId="61E35183" w14:textId="5CC9C9AE" w:rsidR="00721A81" w:rsidRPr="00746F54" w:rsidRDefault="00721A81" w:rsidP="00721A81">
      <w:pPr>
        <w:spacing w:after="0" w:line="360" w:lineRule="auto"/>
        <w:rPr>
          <w:rFonts w:ascii="Arial" w:hAnsi="Arial" w:cs="Arial"/>
          <w:u w:val="single"/>
        </w:rPr>
      </w:pPr>
    </w:p>
    <w:p w14:paraId="41F3E971" w14:textId="6A8297B2" w:rsidR="00E4601F" w:rsidRPr="00746F54" w:rsidRDefault="00E4601F" w:rsidP="00921E65">
      <w:pPr>
        <w:pStyle w:val="Heading1"/>
        <w:rPr>
          <w:rFonts w:ascii="Arial" w:hAnsi="Arial" w:cs="Arial"/>
        </w:rPr>
      </w:pPr>
      <w:bookmarkStart w:id="334" w:name="_Toc211337975"/>
      <w:bookmarkStart w:id="335" w:name="_Toc212733097"/>
      <w:r w:rsidRPr="00746F54">
        <w:rPr>
          <w:rFonts w:ascii="Arial" w:hAnsi="Arial" w:cs="Arial"/>
        </w:rPr>
        <w:t>Greenhouse Gas (GHG) Accounting</w:t>
      </w:r>
      <w:bookmarkEnd w:id="334"/>
      <w:bookmarkEnd w:id="335"/>
    </w:p>
    <w:p w14:paraId="454F6B1E" w14:textId="77777777" w:rsidR="00E4601F" w:rsidRPr="00746F54" w:rsidRDefault="00E4601F" w:rsidP="00E4601F">
      <w:pPr>
        <w:spacing w:line="300" w:lineRule="auto"/>
        <w:rPr>
          <w:rFonts w:ascii="Arial" w:hAnsi="Arial" w:cs="Arial"/>
          <w:u w:val="single"/>
        </w:rPr>
      </w:pPr>
      <w:r w:rsidRPr="00746F54">
        <w:rPr>
          <w:rFonts w:ascii="Arial" w:hAnsi="Arial" w:cs="Arial"/>
          <w:u w:val="single"/>
        </w:rPr>
        <w:t>Reference Tariff Section 33.32</w:t>
      </w:r>
    </w:p>
    <w:p w14:paraId="12CD3A4A" w14:textId="77777777" w:rsidR="00E4601F" w:rsidRPr="00746F54" w:rsidRDefault="00E4601F" w:rsidP="00636D40">
      <w:pPr>
        <w:spacing w:line="300" w:lineRule="auto"/>
        <w:rPr>
          <w:rFonts w:ascii="Arial" w:eastAsia="Calibri" w:hAnsi="Arial" w:cs="Arial"/>
        </w:rPr>
      </w:pPr>
      <w:r w:rsidRPr="00746F54">
        <w:rPr>
          <w:rFonts w:ascii="Arial" w:eastAsia="Calibri" w:hAnsi="Arial" w:cs="Arial"/>
        </w:rPr>
        <w:t xml:space="preserve">This BPM provides an overview of the GHG design for EDAM entities in the day-ahead time frame. The EIM BPM provides an overview of GHG rules that apply for EDAM entities in the real-time market as well as how some rules may differ for entities that only participate in the EIM.  </w:t>
      </w:r>
    </w:p>
    <w:p w14:paraId="6641DAEF" w14:textId="77777777" w:rsidR="00E4601F" w:rsidRPr="00746F54" w:rsidRDefault="00E4601F" w:rsidP="00636D40">
      <w:pPr>
        <w:spacing w:line="300" w:lineRule="auto"/>
        <w:rPr>
          <w:rFonts w:ascii="Arial" w:eastAsia="Calibri" w:hAnsi="Arial" w:cs="Arial"/>
        </w:rPr>
      </w:pPr>
      <w:r w:rsidRPr="00746F54">
        <w:rPr>
          <w:rFonts w:ascii="Arial" w:eastAsia="Calibri" w:hAnsi="Arial" w:cs="Arial"/>
        </w:rPr>
        <w:t>The EDAM greenhouse gas (GHG) design is resource specific.  It identifies which resources receive an attribution to support a transfer serving demand in a GHG regulation area (</w:t>
      </w:r>
      <w:r w:rsidRPr="00746F54">
        <w:rPr>
          <w:rFonts w:ascii="Arial" w:eastAsia="Calibri" w:hAnsi="Arial" w:cs="Arial"/>
          <w:i/>
        </w:rPr>
        <w:t>i.e</w:t>
      </w:r>
      <w:r w:rsidRPr="00746F54">
        <w:rPr>
          <w:rFonts w:ascii="Arial" w:eastAsia="Calibri" w:hAnsi="Arial" w:cs="Arial"/>
        </w:rPr>
        <w:t xml:space="preserve">., GHG transfer) based on resource-specific bids. This approach allows scheduling coordinators for resources located outside of a specific GHG regulation area to elect to serve demand in that GHG regulation area and recover their cost of compliance with a state’s carbon pricing policy.  This method also provides a mechanism to identify which scheduling coordinators are electricity importers into a GHG regulation area.  </w:t>
      </w:r>
    </w:p>
    <w:p w14:paraId="44A4A130" w14:textId="61F62FAA" w:rsidR="00E4601F" w:rsidRPr="00746F54" w:rsidRDefault="00E4601F" w:rsidP="00E4601F">
      <w:pPr>
        <w:spacing w:line="300" w:lineRule="auto"/>
        <w:rPr>
          <w:rFonts w:ascii="Arial" w:eastAsia="Calibri" w:hAnsi="Arial" w:cs="Arial"/>
        </w:rPr>
      </w:pPr>
      <w:r w:rsidRPr="00746F54">
        <w:rPr>
          <w:rFonts w:ascii="Arial" w:eastAsia="Calibri" w:hAnsi="Arial" w:cs="Arial"/>
        </w:rPr>
        <w:t>EDAM includes the GHG reference pass, which creates a reference schedule to inform the MW value for which a resource may receive an attribution to serve demand in a GHG regulation area.  EDAM also includes a constraint to prevent the attribution of GHG transfers to resources in balancing authority areas that are net importers or in excess of total transfers in the applicable operating interval.  This feature supports the objective of reducing the potential for secondary dispatch or the potential for lower emitting resources serving a GHG regulation area, while not accounting for higher emitting resources serving demand in non-GHG Regulation Area</w:t>
      </w:r>
      <w:r w:rsidRPr="00746F54">
        <w:rPr>
          <w:rFonts w:ascii="Arial" w:hAnsi="Arial" w:cs="Arial"/>
        </w:rPr>
        <w:t>.</w:t>
      </w:r>
    </w:p>
    <w:p w14:paraId="7AC8758B" w14:textId="793B710F" w:rsidR="00E4601F" w:rsidRPr="00746F54" w:rsidRDefault="00E4601F" w:rsidP="00776EBF">
      <w:pPr>
        <w:pStyle w:val="Heading2"/>
        <w:rPr>
          <w:rFonts w:ascii="Arial" w:hAnsi="Arial" w:cs="Arial"/>
        </w:rPr>
      </w:pPr>
      <w:bookmarkStart w:id="336" w:name="_Toc211337976"/>
      <w:bookmarkStart w:id="337" w:name="_Toc212733098"/>
      <w:r w:rsidRPr="00746F54">
        <w:rPr>
          <w:rFonts w:ascii="Arial" w:hAnsi="Arial" w:cs="Arial"/>
        </w:rPr>
        <w:lastRenderedPageBreak/>
        <w:t>Accounting for Greenhouse Gas Regulations in EDAM</w:t>
      </w:r>
      <w:bookmarkEnd w:id="336"/>
      <w:bookmarkEnd w:id="337"/>
      <w:r w:rsidRPr="00746F54">
        <w:rPr>
          <w:rFonts w:ascii="Arial" w:hAnsi="Arial" w:cs="Arial"/>
        </w:rPr>
        <w:t xml:space="preserve"> </w:t>
      </w:r>
    </w:p>
    <w:p w14:paraId="629E4752" w14:textId="16EA74AA" w:rsidR="00E4601F" w:rsidRPr="00746F54" w:rsidRDefault="00E4601F" w:rsidP="00E4601F">
      <w:pPr>
        <w:spacing w:after="240" w:line="300" w:lineRule="auto"/>
        <w:rPr>
          <w:rFonts w:ascii="Arial" w:eastAsia="Calibri" w:hAnsi="Arial" w:cs="Arial"/>
          <w:u w:val="single"/>
        </w:rPr>
      </w:pPr>
      <w:r w:rsidRPr="00746F54">
        <w:rPr>
          <w:rFonts w:ascii="Arial" w:eastAsia="Calibri" w:hAnsi="Arial" w:cs="Arial"/>
          <w:u w:val="single"/>
        </w:rPr>
        <w:t>Reference tariff sections 33.32.1.1 and 33.32.1.2</w:t>
      </w:r>
    </w:p>
    <w:p w14:paraId="77523DCB" w14:textId="262488BB" w:rsidR="00E4601F" w:rsidRPr="00746F54" w:rsidRDefault="00E4601F" w:rsidP="00E4601F">
      <w:pPr>
        <w:spacing w:after="240" w:line="300" w:lineRule="auto"/>
        <w:rPr>
          <w:rFonts w:ascii="Arial" w:eastAsia="Calibri" w:hAnsi="Arial" w:cs="Arial"/>
        </w:rPr>
      </w:pPr>
      <w:r w:rsidRPr="00746F54">
        <w:rPr>
          <w:rFonts w:ascii="Arial" w:eastAsia="Calibri" w:hAnsi="Arial" w:cs="Arial"/>
        </w:rPr>
        <w:t xml:space="preserve">Transfers of energy into GHG regulation areas are subject to GHG pricing programs administered by state agencies such as the California Air Resources Board (CARB) or the Washington Department of Ecology (ECY) as electricity imports.  Consistent with CARB’s cap-and-trade program and ECY’s cap-and-invest program, the day-ahead market and real-time markets attribute transfers of energy into each GHG regulation areas to specific resources located outside of that GHG regulation area. </w:t>
      </w:r>
    </w:p>
    <w:p w14:paraId="29198EF5" w14:textId="77777777" w:rsidR="00E4601F" w:rsidRPr="00746F54" w:rsidRDefault="00E4601F" w:rsidP="00E4601F">
      <w:pPr>
        <w:spacing w:after="240" w:line="300" w:lineRule="auto"/>
        <w:rPr>
          <w:rFonts w:ascii="Arial" w:eastAsia="Calibri" w:hAnsi="Arial" w:cs="Arial"/>
        </w:rPr>
      </w:pPr>
      <w:r w:rsidRPr="00746F54">
        <w:rPr>
          <w:rFonts w:ascii="Arial" w:eastAsia="Calibri" w:hAnsi="Arial" w:cs="Arial"/>
        </w:rPr>
        <w:t>In general, GHG attribution occurs through a three-step process:</w:t>
      </w:r>
    </w:p>
    <w:p w14:paraId="548E0A5F" w14:textId="77777777" w:rsidR="00E4601F" w:rsidRPr="00746F54" w:rsidRDefault="00E4601F" w:rsidP="00E4601F">
      <w:pPr>
        <w:pStyle w:val="ListParagraph"/>
        <w:numPr>
          <w:ilvl w:val="0"/>
          <w:numId w:val="47"/>
        </w:numPr>
        <w:spacing w:after="240" w:line="300" w:lineRule="auto"/>
        <w:rPr>
          <w:rFonts w:ascii="Arial" w:eastAsia="Calibri" w:hAnsi="Arial" w:cs="Arial"/>
        </w:rPr>
      </w:pPr>
      <w:r w:rsidRPr="00746F54">
        <w:rPr>
          <w:rFonts w:ascii="Arial" w:eastAsia="Calibri" w:hAnsi="Arial" w:cs="Arial"/>
        </w:rPr>
        <w:t>A scheduling coordinator for a resource located outside of a GHG regulation area submits a two-part adder consisting of a GHG bid capacity (MW) quantity and a GHG price ($/MWh) that reflects the scheduling coordinator’s willingness to make output from a resource available to serve California, Washington, or both.  The GHG bid adder reflects a resource’s GHG compliance costs for importing electricity into a GHG regulation area. The submission of GHG bid adders is voluntary; the market does not require scheduling coordinators to submit GHG bid adders.</w:t>
      </w:r>
    </w:p>
    <w:p w14:paraId="6830AF48" w14:textId="77777777" w:rsidR="00E4601F" w:rsidRPr="00746F54" w:rsidRDefault="00E4601F" w:rsidP="00E4601F">
      <w:pPr>
        <w:pStyle w:val="ListParagraph"/>
        <w:numPr>
          <w:ilvl w:val="0"/>
          <w:numId w:val="47"/>
        </w:numPr>
        <w:spacing w:after="240" w:line="300" w:lineRule="auto"/>
        <w:rPr>
          <w:rFonts w:ascii="Arial" w:eastAsia="Calibri" w:hAnsi="Arial" w:cs="Arial"/>
        </w:rPr>
      </w:pPr>
      <w:r w:rsidRPr="00746F54">
        <w:rPr>
          <w:rFonts w:ascii="Arial" w:eastAsia="Calibri" w:hAnsi="Arial" w:cs="Arial"/>
        </w:rPr>
        <w:t xml:space="preserve">The market determines how much of the resource’s capacity is eligible to serve load in a GHG regulation area.  This determination occurs through what is called a GHG reference pass that identifies a MW value eligible to support energy transfers into one or more GHG regulation areas. </w:t>
      </w:r>
    </w:p>
    <w:p w14:paraId="2EC15604" w14:textId="77777777" w:rsidR="00E4601F" w:rsidRPr="00746F54" w:rsidRDefault="00E4601F" w:rsidP="00E4601F">
      <w:pPr>
        <w:pStyle w:val="ListParagraph"/>
        <w:numPr>
          <w:ilvl w:val="0"/>
          <w:numId w:val="47"/>
        </w:numPr>
        <w:spacing w:after="240" w:line="300" w:lineRule="auto"/>
        <w:rPr>
          <w:rFonts w:ascii="Arial" w:eastAsia="Calibri" w:hAnsi="Arial" w:cs="Arial"/>
        </w:rPr>
      </w:pPr>
      <w:r w:rsidRPr="00746F54">
        <w:rPr>
          <w:rFonts w:ascii="Arial" w:eastAsia="Calibri" w:hAnsi="Arial" w:cs="Arial"/>
        </w:rPr>
        <w:t xml:space="preserve">The market co-optimizes dispatch for the GHG regulation and non-GHG regulation areas. Based on the submitted GHG bid adders, the market optimization derives a GHG marginal clearing price. This GHG marginal clearing price becomes a component of the locational marginal price (LMP) that is then used in market settlements. The GHG component of the LMP is a positive component to the LMP, thereby increasing the price paid by load-serving entities in GHG regulation areas. </w:t>
      </w:r>
    </w:p>
    <w:p w14:paraId="4A0DB0C4" w14:textId="6D44F7D5" w:rsidR="00E4601F" w:rsidRPr="00746F54" w:rsidRDefault="00E4601F" w:rsidP="00E4601F">
      <w:pPr>
        <w:spacing w:after="240" w:line="300" w:lineRule="auto"/>
        <w:rPr>
          <w:rFonts w:ascii="Arial" w:eastAsia="Calibri" w:hAnsi="Arial" w:cs="Arial"/>
        </w:rPr>
      </w:pPr>
      <w:r w:rsidRPr="00746F54">
        <w:rPr>
          <w:rFonts w:ascii="Arial" w:eastAsia="Calibri" w:hAnsi="Arial" w:cs="Arial"/>
        </w:rPr>
        <w:t xml:space="preserve">Resources that receive an attribution to serve load in a GHG regulation area will receive this higher LMP.  For balancing authority areas outside  a GHG regulation area, the GHG component of the LMP is always zero, reflecting that imports into their areas are not subject to GHG pricing programs. When there are net transfers from balancing authority areas within a specific GHG regulation area to balancing authority areas outside of that GHG regulation area, resources outside of the specific GHG regulation will not receive an attribution to serve load in </w:t>
      </w:r>
      <w:r w:rsidRPr="00746F54">
        <w:rPr>
          <w:rFonts w:ascii="Arial" w:eastAsia="Calibri" w:hAnsi="Arial" w:cs="Arial"/>
        </w:rPr>
        <w:lastRenderedPageBreak/>
        <w:t xml:space="preserve">that GHG regulation area.  In these intervals, the GHG component of the LMP is zero for that GHG regulation area. </w:t>
      </w:r>
    </w:p>
    <w:p w14:paraId="0A433CD4" w14:textId="4E20D37C" w:rsidR="00E4601F" w:rsidRPr="00746F54" w:rsidRDefault="00E4601F" w:rsidP="00E4601F">
      <w:pPr>
        <w:spacing w:after="240" w:line="300" w:lineRule="auto"/>
        <w:rPr>
          <w:rFonts w:ascii="Arial" w:hAnsi="Arial" w:cs="Arial"/>
        </w:rPr>
      </w:pPr>
      <w:r w:rsidRPr="00746F54">
        <w:rPr>
          <w:rFonts w:ascii="Arial" w:hAnsi="Arial" w:cs="Arial"/>
        </w:rPr>
        <w:t xml:space="preserve">The steps identified above apply to both the day-ahead market and real-time market but some differences exist between the two. For example, there is a different process used for EDAM resources entities versus EIM participating resources to determine eligible MW quantities to serve load in a GHG regulation area. The day-ahead market utilizes a separate, optimized market pass to determine a resource’s baseline “counterfactual” schedule, which rolls over to real time. For entities only participating in the EIM, the market uses a scheduling coordinator’s self-submitted base schedule. These differences are explained in the sections below, and in the EIM BPM. If no difference is noted, the day-ahead market and real-time market operate the same way.  </w:t>
      </w:r>
    </w:p>
    <w:p w14:paraId="50813A86" w14:textId="5C0FDC6E" w:rsidR="00E4601F" w:rsidRPr="00746F54" w:rsidRDefault="00E4601F" w:rsidP="00776EBF">
      <w:pPr>
        <w:pStyle w:val="Heading2"/>
        <w:rPr>
          <w:rFonts w:ascii="Arial" w:hAnsi="Arial" w:cs="Arial"/>
        </w:rPr>
      </w:pPr>
      <w:r w:rsidRPr="00746F54">
        <w:rPr>
          <w:rFonts w:ascii="Arial" w:hAnsi="Arial" w:cs="Arial"/>
        </w:rPr>
        <w:t xml:space="preserve"> </w:t>
      </w:r>
      <w:bookmarkStart w:id="338" w:name="_Toc211337977"/>
      <w:bookmarkStart w:id="339" w:name="_Toc212733099"/>
      <w:r w:rsidRPr="00746F54">
        <w:rPr>
          <w:rFonts w:ascii="Arial" w:hAnsi="Arial" w:cs="Arial"/>
        </w:rPr>
        <w:t>GHG Accounting Market Design</w:t>
      </w:r>
      <w:bookmarkEnd w:id="338"/>
      <w:bookmarkEnd w:id="339"/>
    </w:p>
    <w:p w14:paraId="08AF18A6" w14:textId="77777777" w:rsidR="00E4601F" w:rsidRPr="00746F54" w:rsidRDefault="00E4601F" w:rsidP="00E4601F">
      <w:pPr>
        <w:pStyle w:val="ParaText"/>
        <w:rPr>
          <w:rFonts w:ascii="Arial" w:hAnsi="Arial" w:cs="Arial"/>
        </w:rPr>
      </w:pPr>
      <w:r w:rsidRPr="00746F54">
        <w:rPr>
          <w:rFonts w:ascii="Arial" w:hAnsi="Arial" w:cs="Arial"/>
        </w:rPr>
        <w:t>The GHG accounting market design has several elements.  The following sub-sections generally track provisions of the CAISO tariff section 33.32 and include cross-references to tariff sections for ease of reference.</w:t>
      </w:r>
    </w:p>
    <w:p w14:paraId="40515658" w14:textId="4A32AB98" w:rsidR="00E4601F" w:rsidRPr="00746F54" w:rsidRDefault="00E4601F" w:rsidP="00FA407A">
      <w:pPr>
        <w:pStyle w:val="Heading3"/>
        <w:rPr>
          <w:rFonts w:ascii="Arial" w:hAnsi="Arial" w:cs="Arial"/>
        </w:rPr>
      </w:pPr>
      <w:bookmarkStart w:id="340" w:name="_Toc211337978"/>
      <w:r w:rsidRPr="00746F54">
        <w:rPr>
          <w:rFonts w:ascii="Arial" w:hAnsi="Arial" w:cs="Arial"/>
        </w:rPr>
        <w:t>GHG Regulation Areas</w:t>
      </w:r>
      <w:bookmarkEnd w:id="340"/>
      <w:r w:rsidRPr="00746F54">
        <w:rPr>
          <w:rFonts w:ascii="Arial" w:hAnsi="Arial" w:cs="Arial"/>
        </w:rPr>
        <w:t xml:space="preserve"> </w:t>
      </w:r>
    </w:p>
    <w:p w14:paraId="0B6A5719" w14:textId="29BBC86D" w:rsidR="00E4601F" w:rsidRPr="00746F54" w:rsidRDefault="00E4601F" w:rsidP="00E4601F">
      <w:pPr>
        <w:contextualSpacing/>
        <w:rPr>
          <w:rFonts w:ascii="Arial" w:eastAsia="Calibri" w:hAnsi="Arial" w:cs="Arial"/>
          <w:bCs/>
          <w:u w:val="single"/>
        </w:rPr>
      </w:pPr>
      <w:r w:rsidRPr="00746F54">
        <w:rPr>
          <w:rFonts w:ascii="Arial" w:eastAsia="Calibri" w:hAnsi="Arial" w:cs="Arial"/>
          <w:bCs/>
          <w:u w:val="single"/>
        </w:rPr>
        <w:t>Reference tariff sections 33.32.1 and Appendix A</w:t>
      </w:r>
    </w:p>
    <w:p w14:paraId="0B5B8480" w14:textId="77777777" w:rsidR="00E4601F" w:rsidRPr="00746F54" w:rsidRDefault="00E4601F" w:rsidP="00E4601F">
      <w:pPr>
        <w:contextualSpacing/>
        <w:rPr>
          <w:rFonts w:ascii="Arial" w:eastAsia="Calibri" w:hAnsi="Arial" w:cs="Arial"/>
          <w:b/>
        </w:rPr>
      </w:pPr>
    </w:p>
    <w:p w14:paraId="099C077E" w14:textId="77777777" w:rsidR="00E4601F" w:rsidRPr="00746F54" w:rsidRDefault="00E4601F" w:rsidP="00E4601F">
      <w:pPr>
        <w:spacing w:after="240" w:line="300" w:lineRule="auto"/>
        <w:rPr>
          <w:rFonts w:ascii="Arial" w:eastAsia="Calibri" w:hAnsi="Arial" w:cs="Arial"/>
        </w:rPr>
      </w:pPr>
      <w:r w:rsidRPr="00746F54">
        <w:rPr>
          <w:rFonts w:ascii="Arial" w:eastAsia="Calibri" w:hAnsi="Arial" w:cs="Arial"/>
        </w:rPr>
        <w:t>GHG regulation areas are comprised of pricing nodes that are geographically located within a jurisdiction that has a GHG pricing program.</w:t>
      </w:r>
      <w:r w:rsidRPr="00746F54">
        <w:rPr>
          <w:rStyle w:val="FootnoteReference"/>
          <w:rFonts w:ascii="Arial" w:eastAsia="Calibri" w:hAnsi="Arial" w:cs="Arial"/>
        </w:rPr>
        <w:footnoteReference w:id="7"/>
      </w:r>
      <w:r w:rsidRPr="00746F54">
        <w:rPr>
          <w:rFonts w:ascii="Arial" w:eastAsia="Calibri" w:hAnsi="Arial" w:cs="Arial"/>
        </w:rPr>
        <w:t xml:space="preserve">  This definition allows a state jurisdiction to define the boundaries of its GHG regulation area for purposes of GHG accounting through EDAM and EIM.  These areas will not always correspond to balancing authority area boundaries.</w:t>
      </w:r>
    </w:p>
    <w:p w14:paraId="41D82319" w14:textId="77777777" w:rsidR="00E4601F" w:rsidRPr="00746F54" w:rsidRDefault="00E4601F" w:rsidP="00E4601F">
      <w:pPr>
        <w:spacing w:after="240" w:line="300" w:lineRule="auto"/>
        <w:rPr>
          <w:rFonts w:ascii="Arial" w:eastAsia="Calibri" w:hAnsi="Arial" w:cs="Arial"/>
        </w:rPr>
      </w:pPr>
      <w:r w:rsidRPr="00746F54">
        <w:rPr>
          <w:rFonts w:ascii="Arial" w:eastAsia="Calibri" w:hAnsi="Arial" w:cs="Arial"/>
        </w:rPr>
        <w:t>In cases where an entity has special state provisions in which either generation or load are not associated with the state for GHG accounting purposes, or the state tracks emissions through special provisions, the market can model these unique circumstances. In collaboration with these entities and state authorities, the market will model these footprints to ensure</w:t>
      </w:r>
      <w:r w:rsidRPr="00746F54">
        <w:rPr>
          <w:rFonts w:ascii="Arial" w:hAnsi="Arial" w:cs="Arial"/>
        </w:rPr>
        <w:t xml:space="preserve"> </w:t>
      </w:r>
      <w:r w:rsidRPr="00746F54">
        <w:rPr>
          <w:rFonts w:ascii="Arial" w:eastAsia="Calibri" w:hAnsi="Arial" w:cs="Arial"/>
        </w:rPr>
        <w:t xml:space="preserve">the optimization correctly accounts for the price of carbon.  For example, the CAISO can exclude the pricing nodes of PacifiCorp’s service territory in the state of California from California’s GHG regulation area because California has adopted a separate mechanism to account for GHG emissions associated with electricity load in that service territory that relies on PacifiCorp’s </w:t>
      </w:r>
      <w:r w:rsidRPr="00746F54">
        <w:rPr>
          <w:rFonts w:ascii="Arial" w:eastAsia="Calibri" w:hAnsi="Arial" w:cs="Arial"/>
        </w:rPr>
        <w:lastRenderedPageBreak/>
        <w:t>status as a multi-jurisdictional retail provider. In this instance, even though PacifiCorp serves electric load within the state of California the market will model that load as if it is outside the state of California’s GHG regulation area.</w:t>
      </w:r>
    </w:p>
    <w:p w14:paraId="1BC74403" w14:textId="77777777" w:rsidR="00E4601F" w:rsidRPr="00746F54" w:rsidRDefault="00E4601F" w:rsidP="00E4601F">
      <w:pPr>
        <w:spacing w:after="240" w:line="300" w:lineRule="auto"/>
        <w:rPr>
          <w:rFonts w:ascii="Arial" w:eastAsia="Calibri" w:hAnsi="Arial" w:cs="Arial"/>
        </w:rPr>
      </w:pPr>
      <w:r w:rsidRPr="00746F54">
        <w:rPr>
          <w:rFonts w:ascii="Arial" w:eastAsia="Calibri" w:hAnsi="Arial" w:cs="Arial"/>
        </w:rPr>
        <w:t xml:space="preserve">Additionally, state geographic borders do not coincide with balancing authority area boundaries. This means that when the market optimization determines how much energy is imported into a GHG regulation area, the import may not match transfers between balancing authority areas.  Accordingly, the tariff and BPM refer to transfers into GHG regulation areas as GHG transfers. </w:t>
      </w:r>
    </w:p>
    <w:p w14:paraId="4688D6F8" w14:textId="77777777" w:rsidR="00E4601F" w:rsidRPr="00746F54" w:rsidRDefault="00E4601F" w:rsidP="00E4601F">
      <w:pPr>
        <w:spacing w:after="240" w:line="300" w:lineRule="auto"/>
        <w:rPr>
          <w:rFonts w:ascii="Arial" w:eastAsia="Calibri" w:hAnsi="Arial" w:cs="Arial"/>
        </w:rPr>
      </w:pPr>
      <w:bookmarkStart w:id="341" w:name="_Hlk210294694"/>
      <w:r w:rsidRPr="00746F54">
        <w:rPr>
          <w:rFonts w:ascii="Arial" w:eastAsia="Calibri" w:hAnsi="Arial" w:cs="Arial"/>
        </w:rPr>
        <w:t xml:space="preserve">As a part of GHG implementation, EDAM and EIM entities will need to submit their mapping of supply resources and load nodes in and out of the GHG regulation areas to the ISO using the template published on the ISO’s website. </w:t>
      </w:r>
      <w:bookmarkEnd w:id="341"/>
    </w:p>
    <w:p w14:paraId="0AABC48F" w14:textId="77777777" w:rsidR="00E4601F" w:rsidRPr="00746F54" w:rsidRDefault="00E4601F" w:rsidP="00E4601F">
      <w:pPr>
        <w:spacing w:after="240" w:line="300" w:lineRule="auto"/>
        <w:rPr>
          <w:rFonts w:ascii="Arial" w:eastAsia="Calibri" w:hAnsi="Arial" w:cs="Arial"/>
        </w:rPr>
      </w:pPr>
      <w:r w:rsidRPr="00746F54">
        <w:rPr>
          <w:rFonts w:ascii="Arial" w:eastAsia="Calibri" w:hAnsi="Arial" w:cs="Arial"/>
        </w:rPr>
        <w:t>For resources with pseudo-tie agreements to balancing authorities that have load within a GHG regulation area and load outside of GHG regulation area, the scheduling coordinator for the resource will need to designate whether that resource is serving load in or outside of a GHG regulation area.</w:t>
      </w:r>
      <w:r w:rsidRPr="00746F54" w:rsidDel="003C5682">
        <w:rPr>
          <w:rFonts w:ascii="Arial" w:eastAsia="Calibri" w:hAnsi="Arial" w:cs="Arial"/>
        </w:rPr>
        <w:t xml:space="preserve"> </w:t>
      </w:r>
      <w:r w:rsidRPr="00746F54">
        <w:rPr>
          <w:rFonts w:ascii="Arial" w:eastAsia="Calibri" w:hAnsi="Arial" w:cs="Arial"/>
        </w:rPr>
        <w:t xml:space="preserve">This information would be specified on the Generator Resource Data Template (GDRT). </w:t>
      </w:r>
    </w:p>
    <w:p w14:paraId="7AA05AF7" w14:textId="55B8F6EE" w:rsidR="00E4601F" w:rsidRPr="00746F54" w:rsidRDefault="00E4601F" w:rsidP="00FA407A">
      <w:pPr>
        <w:pStyle w:val="Heading3"/>
        <w:rPr>
          <w:rFonts w:ascii="Arial" w:hAnsi="Arial" w:cs="Arial"/>
        </w:rPr>
      </w:pPr>
      <w:bookmarkStart w:id="342" w:name="_Toc211337979"/>
      <w:r w:rsidRPr="00746F54">
        <w:rPr>
          <w:rFonts w:ascii="Arial" w:hAnsi="Arial" w:cs="Arial"/>
        </w:rPr>
        <w:t>Bid Adders and GHG Regulation Areas</w:t>
      </w:r>
      <w:bookmarkEnd w:id="342"/>
    </w:p>
    <w:p w14:paraId="0E4D3DE7" w14:textId="5368DEB2" w:rsidR="00365710" w:rsidRPr="00746F54" w:rsidRDefault="00365710" w:rsidP="00E4601F">
      <w:pPr>
        <w:spacing w:after="240" w:line="300" w:lineRule="auto"/>
        <w:rPr>
          <w:rFonts w:ascii="Arial" w:eastAsia="Calibri" w:hAnsi="Arial" w:cs="Arial"/>
          <w:u w:val="single"/>
        </w:rPr>
      </w:pPr>
      <w:r w:rsidRPr="00746F54">
        <w:rPr>
          <w:rFonts w:ascii="Arial" w:eastAsia="Calibri" w:hAnsi="Arial" w:cs="Arial"/>
          <w:u w:val="single"/>
        </w:rPr>
        <w:t>Reference tariff section 33.32.1.2</w:t>
      </w:r>
    </w:p>
    <w:p w14:paraId="74CEBEB2" w14:textId="59DCFFC6" w:rsidR="00E4601F" w:rsidRPr="00746F54" w:rsidRDefault="00E4601F" w:rsidP="00E4601F">
      <w:pPr>
        <w:spacing w:after="240" w:line="300" w:lineRule="auto"/>
        <w:rPr>
          <w:rFonts w:ascii="Arial" w:eastAsia="Calibri" w:hAnsi="Arial" w:cs="Arial"/>
        </w:rPr>
      </w:pPr>
      <w:r w:rsidRPr="00746F54">
        <w:rPr>
          <w:rFonts w:ascii="Arial" w:eastAsia="Calibri" w:hAnsi="Arial" w:cs="Arial"/>
        </w:rPr>
        <w:t xml:space="preserve">The EDAM GHG design allows for bid adders that reflect the costs of compliance with a GHG pricing program. Through the bids submitted by scheduling coordinators, the market optimization considers certain information based on resources’ location and which GHG regulation area they offer to serve. This information takes three forms: (1) to serve load outside a GHG regulation area the optimization only considers the resources’ energy bids because they are not subject to any GHG regulation, (2) to serve load inside a GHG regulation area (imported in the GHG regulation area) the optimization considers the resources’ energy bids + GHG bid adders, and (3) to serve load inside a GHG regulation area (from resources inside the GHG regulation area), the optimization considers only the resources’ energy bids, which include the cost of GHG compliance. </w:t>
      </w:r>
    </w:p>
    <w:p w14:paraId="3A76B45E" w14:textId="77777777" w:rsidR="00E4601F" w:rsidRPr="00746F54" w:rsidRDefault="00E4601F" w:rsidP="00E4601F">
      <w:pPr>
        <w:spacing w:after="240" w:line="300" w:lineRule="auto"/>
        <w:rPr>
          <w:rFonts w:ascii="Arial" w:eastAsia="Calibri" w:hAnsi="Arial" w:cs="Arial"/>
        </w:rPr>
      </w:pPr>
      <w:r w:rsidRPr="00746F54">
        <w:rPr>
          <w:rFonts w:ascii="Arial" w:eastAsia="Calibri" w:hAnsi="Arial" w:cs="Arial"/>
        </w:rPr>
        <w:t xml:space="preserve">Scheduling coordinators for resources located outside of a specific GHG regulation area may submit a GHG bid adder expressing a willingness for energy from the resource to receive an attribution to serve load in the particular GHG regulation area. The submission of GHG bid adders is voluntary; scheduling coordinators have the option to submit GHG bid adders to serve one GHG area or two. They may also choose not to submit any GHG bid adders at all, in which </w:t>
      </w:r>
      <w:r w:rsidRPr="00746F54">
        <w:rPr>
          <w:rFonts w:ascii="Arial" w:eastAsia="Calibri" w:hAnsi="Arial" w:cs="Arial"/>
        </w:rPr>
        <w:lastRenderedPageBreak/>
        <w:t>case they will not receive an attribution to serve demand in a GHG regulation area.</w:t>
      </w:r>
      <w:r w:rsidRPr="00746F54">
        <w:rPr>
          <w:rStyle w:val="FootnoteReference"/>
          <w:rFonts w:ascii="Arial" w:eastAsia="Calibri" w:hAnsi="Arial" w:cs="Arial"/>
        </w:rPr>
        <w:footnoteReference w:id="8"/>
      </w:r>
      <w:r w:rsidRPr="00746F54">
        <w:rPr>
          <w:rFonts w:ascii="Arial" w:eastAsia="Calibri" w:hAnsi="Arial" w:cs="Arial"/>
        </w:rPr>
        <w:t xml:space="preserve"> If a</w:t>
      </w:r>
      <w:r w:rsidRPr="00746F54" w:rsidDel="0024780F">
        <w:rPr>
          <w:rFonts w:ascii="Arial" w:eastAsia="Calibri" w:hAnsi="Arial" w:cs="Arial"/>
        </w:rPr>
        <w:t xml:space="preserve"> </w:t>
      </w:r>
      <w:r w:rsidRPr="00746F54">
        <w:rPr>
          <w:rFonts w:ascii="Arial" w:eastAsia="Calibri" w:hAnsi="Arial" w:cs="Arial"/>
        </w:rPr>
        <w:t xml:space="preserve">scheduling coordinator submit a GHG bid adder with a 0 MW quantity, they will not receive an attribution to serve demand in a GHG regulation area.  If a new GHG regulation area develops, the market will allow a scheduling coordinator for a resource outside of that GHG regulation area to submit GHG bid adders to that GHG regulation area or any combination of GHG regulation areas to which it might support a transfer. If there is linkage between different GHG pricing programs, the market will allow scheduling coordinators for resources located outside individual GHG regulation areas to offer bid adders to serve load in the individual linked GHG regulation areas.  However, linkage would involve a single compliance instrument or GHG price, so resources would have only one maximum GHG cost for the linked GHG regulation areas. </w:t>
      </w:r>
    </w:p>
    <w:p w14:paraId="76F23DCE" w14:textId="77777777" w:rsidR="00E4601F" w:rsidRPr="00746F54" w:rsidRDefault="00E4601F" w:rsidP="00E4601F">
      <w:pPr>
        <w:spacing w:after="240" w:line="300" w:lineRule="auto"/>
        <w:rPr>
          <w:rFonts w:ascii="Arial" w:eastAsia="Calibri" w:hAnsi="Arial" w:cs="Arial"/>
        </w:rPr>
      </w:pPr>
      <w:r w:rsidRPr="00746F54">
        <w:rPr>
          <w:rFonts w:ascii="Arial" w:eastAsia="Calibri" w:hAnsi="Arial" w:cs="Arial"/>
        </w:rPr>
        <w:t>Scheduling coordinators may not submit a GHG bid adder to serve load in a specific GHG regulation area if the resource is located in that same GHG area. This is because the market considers the resource’s output to have a GHG compliance obligation in the resource’s native GHG regulation area. Again, this cost is reflected in the resource’s energy bid. A resource located in a GHG regulation area may still submit a GHG bid adder to serve load in a different GHG area.</w:t>
      </w:r>
    </w:p>
    <w:p w14:paraId="463A08DD" w14:textId="75110827" w:rsidR="00E4601F" w:rsidRPr="00746F54" w:rsidRDefault="00E4601F" w:rsidP="00FA407A">
      <w:pPr>
        <w:pStyle w:val="Heading3"/>
        <w:rPr>
          <w:rFonts w:ascii="Arial" w:hAnsi="Arial" w:cs="Arial"/>
        </w:rPr>
      </w:pPr>
      <w:bookmarkStart w:id="343" w:name="_Toc211337980"/>
      <w:r w:rsidRPr="00746F54">
        <w:rPr>
          <w:rFonts w:ascii="Arial" w:hAnsi="Arial" w:cs="Arial"/>
        </w:rPr>
        <w:t>GHG bid adder submission</w:t>
      </w:r>
      <w:bookmarkEnd w:id="343"/>
    </w:p>
    <w:p w14:paraId="0B2078CC" w14:textId="70DC8B87" w:rsidR="00365710" w:rsidRPr="00746F54" w:rsidRDefault="00365710" w:rsidP="00E4601F">
      <w:pPr>
        <w:spacing w:after="240" w:line="300" w:lineRule="auto"/>
        <w:rPr>
          <w:rFonts w:ascii="Arial" w:eastAsia="Calibri" w:hAnsi="Arial" w:cs="Arial"/>
          <w:u w:val="single"/>
        </w:rPr>
      </w:pPr>
      <w:r w:rsidRPr="00746F54">
        <w:rPr>
          <w:rFonts w:ascii="Arial" w:eastAsia="Calibri" w:hAnsi="Arial" w:cs="Arial"/>
          <w:u w:val="single"/>
        </w:rPr>
        <w:t>Reference tariff section 33.32.1.3</w:t>
      </w:r>
    </w:p>
    <w:p w14:paraId="3B72D808" w14:textId="480F3992" w:rsidR="00E4601F" w:rsidRPr="00746F54" w:rsidRDefault="00E4601F" w:rsidP="00E4601F">
      <w:pPr>
        <w:spacing w:after="240" w:line="300" w:lineRule="auto"/>
        <w:rPr>
          <w:rFonts w:ascii="Arial" w:eastAsia="Calibri" w:hAnsi="Arial" w:cs="Arial"/>
        </w:rPr>
      </w:pPr>
      <w:r w:rsidRPr="00746F54">
        <w:rPr>
          <w:rFonts w:ascii="Arial" w:eastAsia="Calibri" w:hAnsi="Arial" w:cs="Arial"/>
        </w:rPr>
        <w:t>The GHG bid adder is a two-part bid with a GHG bid capacity (MW) quantity and a GHG bid price ($/MWh) that is submitted on an hourly basis for either or both GHG regulation areas. Different MW quantities and different prices may be submitted for different GHG regulation areas. For multi-stage generators (MSGs), the GHG bid capacity and price are the same value for the entire resource; separate values are not submitted for each MSG configuration. The GHG bid capacity is independent of the submitted energy bid curve but is limited by the maximum MW quantity represented in the submitted energy bid curve.</w:t>
      </w:r>
    </w:p>
    <w:p w14:paraId="3FD68B44" w14:textId="43247254" w:rsidR="00E4601F" w:rsidRPr="00746F54" w:rsidRDefault="00E4601F" w:rsidP="00FA407A">
      <w:pPr>
        <w:pStyle w:val="Heading3"/>
        <w:rPr>
          <w:rFonts w:ascii="Arial" w:hAnsi="Arial" w:cs="Arial"/>
        </w:rPr>
      </w:pPr>
      <w:bookmarkStart w:id="344" w:name="_Toc211337981"/>
      <w:r w:rsidRPr="00746F54">
        <w:rPr>
          <w:rFonts w:ascii="Arial" w:hAnsi="Arial" w:cs="Arial"/>
        </w:rPr>
        <w:t>Default Treatment</w:t>
      </w:r>
      <w:bookmarkEnd w:id="344"/>
      <w:r w:rsidRPr="00746F54">
        <w:rPr>
          <w:rFonts w:ascii="Arial" w:hAnsi="Arial" w:cs="Arial"/>
        </w:rPr>
        <w:t xml:space="preserve"> </w:t>
      </w:r>
    </w:p>
    <w:p w14:paraId="22C8367B" w14:textId="2A744B31" w:rsidR="00365710" w:rsidRPr="00746F54" w:rsidRDefault="00365710" w:rsidP="00E4601F">
      <w:pPr>
        <w:spacing w:after="240" w:line="300" w:lineRule="auto"/>
        <w:rPr>
          <w:rFonts w:ascii="Arial" w:eastAsia="Calibri" w:hAnsi="Arial" w:cs="Arial"/>
          <w:u w:val="single"/>
        </w:rPr>
      </w:pPr>
      <w:r w:rsidRPr="00746F54">
        <w:rPr>
          <w:rFonts w:ascii="Arial" w:eastAsia="Calibri" w:hAnsi="Arial" w:cs="Arial"/>
          <w:u w:val="single"/>
        </w:rPr>
        <w:t>Reference tariff section 33.32.1.4</w:t>
      </w:r>
    </w:p>
    <w:p w14:paraId="24A979CF" w14:textId="3D9BF30E" w:rsidR="00E4601F" w:rsidRPr="00746F54" w:rsidRDefault="00E4601F" w:rsidP="00E4601F">
      <w:pPr>
        <w:spacing w:after="240" w:line="300" w:lineRule="auto"/>
        <w:rPr>
          <w:rFonts w:ascii="Arial" w:eastAsia="Calibri" w:hAnsi="Arial" w:cs="Arial"/>
        </w:rPr>
      </w:pPr>
      <w:r w:rsidRPr="00746F54">
        <w:rPr>
          <w:rFonts w:ascii="Arial" w:eastAsia="Calibri" w:hAnsi="Arial" w:cs="Arial"/>
        </w:rPr>
        <w:t xml:space="preserve">If a resource located outside a GHG Regulation Area does not have a GHG bid adder or includes 0 MW of capacity in a bid adder to serve load within a specific GHG regulation area, </w:t>
      </w:r>
      <w:r w:rsidRPr="00746F54">
        <w:rPr>
          <w:rFonts w:ascii="Arial" w:eastAsia="Calibri" w:hAnsi="Arial" w:cs="Arial"/>
        </w:rPr>
        <w:lastRenderedPageBreak/>
        <w:t>the market will not attribute the resource as supporting a GHG transfer into that specific GHG regulation area.</w:t>
      </w:r>
    </w:p>
    <w:p w14:paraId="14B2C654" w14:textId="5E6DBC91" w:rsidR="00E4601F" w:rsidRPr="00746F54" w:rsidRDefault="00E4601F" w:rsidP="00FA407A">
      <w:pPr>
        <w:pStyle w:val="Heading3"/>
        <w:rPr>
          <w:rFonts w:ascii="Arial" w:hAnsi="Arial" w:cs="Arial"/>
        </w:rPr>
      </w:pPr>
      <w:bookmarkStart w:id="345" w:name="_Toc211337982"/>
      <w:r w:rsidRPr="00746F54">
        <w:rPr>
          <w:rFonts w:ascii="Arial" w:hAnsi="Arial" w:cs="Arial"/>
        </w:rPr>
        <w:t>Maximum GHG Bid Adder</w:t>
      </w:r>
      <w:bookmarkEnd w:id="345"/>
      <w:r w:rsidRPr="00746F54">
        <w:rPr>
          <w:rFonts w:ascii="Arial" w:hAnsi="Arial" w:cs="Arial"/>
        </w:rPr>
        <w:t xml:space="preserve"> </w:t>
      </w:r>
    </w:p>
    <w:p w14:paraId="6CCDB1F5" w14:textId="31629B7B" w:rsidR="00365710" w:rsidRPr="00746F54" w:rsidRDefault="00365710" w:rsidP="00E4601F">
      <w:pPr>
        <w:spacing w:after="240" w:line="300" w:lineRule="auto"/>
        <w:rPr>
          <w:rFonts w:ascii="Arial" w:eastAsia="Calibri" w:hAnsi="Arial" w:cs="Arial"/>
          <w:u w:val="single"/>
        </w:rPr>
      </w:pPr>
      <w:r w:rsidRPr="00746F54">
        <w:rPr>
          <w:rFonts w:ascii="Arial" w:eastAsia="Calibri" w:hAnsi="Arial" w:cs="Arial"/>
          <w:u w:val="single"/>
        </w:rPr>
        <w:t>Reference tariff section 33.32.1.5</w:t>
      </w:r>
    </w:p>
    <w:p w14:paraId="296F4CF9" w14:textId="22247C9F" w:rsidR="00E4601F" w:rsidRPr="00746F54" w:rsidRDefault="00E4601F" w:rsidP="00E4601F">
      <w:pPr>
        <w:spacing w:after="240" w:line="300" w:lineRule="auto"/>
        <w:rPr>
          <w:rFonts w:ascii="Arial" w:eastAsia="Calibri" w:hAnsi="Arial" w:cs="Arial"/>
        </w:rPr>
      </w:pPr>
      <w:r w:rsidRPr="00746F54">
        <w:rPr>
          <w:rFonts w:ascii="Arial" w:eastAsia="Calibri" w:hAnsi="Arial" w:cs="Arial"/>
        </w:rPr>
        <w:t>To provide reasonable assurance that GHG bid adders are cost-based bids, their prices are limited by a value called the Greenhouse Gas Maximum Compliance Cost (hereafter called the GHG bid cap). The GHG bid cap is based on the GHG allowance price for the relevant GHG regulation area.  The GHG allowance index price is calculated separately for each GHG regulation area. The GHG allowance index price is derived as the average of the most recently available GHG allowance index prices from Argus and the Intercontinental Exchange (ICE). The ISO reports GHG allowance index prices daily on OASIS. The CAISO will update the greenhouse gas allowance price by approximately 22:00 Pacific Time each day (T). The daily greenhouse gas allowance price will be used in the next day’s Real-Time Market (T+1) and in the Day-Ahead Market for the following trading day (T+2). The CAISO will calculate each GHG allowance price during a year using prices for greenhouse gas allowances from that same year.</w:t>
      </w:r>
    </w:p>
    <w:p w14:paraId="2DE8B8BC" w14:textId="77777777" w:rsidR="00E4601F" w:rsidRPr="00746F54" w:rsidRDefault="00E4601F" w:rsidP="00E4601F">
      <w:pPr>
        <w:spacing w:after="240" w:line="300" w:lineRule="auto"/>
        <w:rPr>
          <w:rFonts w:ascii="Arial" w:eastAsia="Calibri" w:hAnsi="Arial" w:cs="Arial"/>
        </w:rPr>
      </w:pPr>
      <w:r w:rsidRPr="00746F54">
        <w:rPr>
          <w:rFonts w:ascii="Arial" w:eastAsia="Calibri" w:hAnsi="Arial" w:cs="Arial"/>
        </w:rPr>
        <w:t>A scheduling coordinator must submit a GHG bid adder price equal to or less than its GHG bid cap, but not less than $0/MWh.</w:t>
      </w:r>
      <w:r w:rsidRPr="00746F54">
        <w:rPr>
          <w:rFonts w:ascii="Arial" w:hAnsi="Arial" w:cs="Arial"/>
        </w:rPr>
        <w:t xml:space="preserve"> </w:t>
      </w:r>
      <w:r w:rsidRPr="00746F54">
        <w:rPr>
          <w:rFonts w:ascii="Arial" w:eastAsia="Calibri" w:hAnsi="Arial" w:cs="Arial"/>
        </w:rPr>
        <w:t xml:space="preserve"> If a scheduling coordinator submits a GHG bid price above the GHG bid cap, the GHG bid price will be set to the calculated GHG bid </w:t>
      </w:r>
      <w:commentRangeStart w:id="346"/>
      <w:commentRangeStart w:id="347"/>
      <w:r w:rsidRPr="00746F54">
        <w:rPr>
          <w:rFonts w:ascii="Arial" w:eastAsia="Calibri" w:hAnsi="Arial" w:cs="Arial"/>
        </w:rPr>
        <w:t>cap</w:t>
      </w:r>
      <w:commentRangeEnd w:id="346"/>
      <w:r w:rsidRPr="00746F54">
        <w:rPr>
          <w:rStyle w:val="CommentReference"/>
          <w:rFonts w:ascii="Arial" w:hAnsi="Arial" w:cs="Arial"/>
          <w:sz w:val="22"/>
          <w:szCs w:val="22"/>
        </w:rPr>
        <w:commentReference w:id="346"/>
      </w:r>
      <w:commentRangeEnd w:id="347"/>
      <w:r w:rsidRPr="00746F54">
        <w:rPr>
          <w:rStyle w:val="CommentReference"/>
          <w:rFonts w:ascii="Arial" w:hAnsi="Arial" w:cs="Arial"/>
          <w:sz w:val="22"/>
          <w:szCs w:val="22"/>
        </w:rPr>
        <w:commentReference w:id="347"/>
      </w:r>
      <w:r w:rsidRPr="00746F54">
        <w:rPr>
          <w:rFonts w:ascii="Arial" w:eastAsia="Calibri" w:hAnsi="Arial" w:cs="Arial"/>
        </w:rPr>
        <w:t xml:space="preserve">. If a resource submits a MW quantity, but fails to submit a GHG bid price, the default will be the calculated GHG bid </w:t>
      </w:r>
      <w:commentRangeStart w:id="348"/>
      <w:commentRangeStart w:id="349"/>
      <w:r w:rsidRPr="00746F54">
        <w:rPr>
          <w:rFonts w:ascii="Arial" w:eastAsia="Calibri" w:hAnsi="Arial" w:cs="Arial"/>
        </w:rPr>
        <w:t>cap</w:t>
      </w:r>
      <w:commentRangeEnd w:id="348"/>
      <w:r w:rsidRPr="00746F54">
        <w:rPr>
          <w:rStyle w:val="CommentReference"/>
          <w:rFonts w:ascii="Arial" w:hAnsi="Arial" w:cs="Arial"/>
          <w:sz w:val="22"/>
          <w:szCs w:val="22"/>
        </w:rPr>
        <w:commentReference w:id="348"/>
      </w:r>
      <w:commentRangeEnd w:id="349"/>
      <w:r w:rsidRPr="00746F54">
        <w:rPr>
          <w:rStyle w:val="CommentReference"/>
          <w:rFonts w:ascii="Arial" w:hAnsi="Arial" w:cs="Arial"/>
        </w:rPr>
        <w:commentReference w:id="349"/>
      </w:r>
      <w:r w:rsidRPr="00746F54">
        <w:rPr>
          <w:rFonts w:ascii="Arial" w:eastAsia="Calibri" w:hAnsi="Arial" w:cs="Arial"/>
        </w:rPr>
        <w:t>.</w:t>
      </w:r>
    </w:p>
    <w:p w14:paraId="5403DAB0" w14:textId="77777777" w:rsidR="00E4601F" w:rsidRPr="00746F54" w:rsidRDefault="00E4601F" w:rsidP="00E4601F">
      <w:pPr>
        <w:spacing w:after="240" w:line="300" w:lineRule="auto"/>
        <w:rPr>
          <w:rFonts w:ascii="Arial" w:eastAsia="Calibri" w:hAnsi="Arial" w:cs="Arial"/>
        </w:rPr>
      </w:pPr>
      <w:r w:rsidRPr="00746F54">
        <w:rPr>
          <w:rFonts w:ascii="Arial" w:eastAsia="Calibri" w:hAnsi="Arial" w:cs="Arial"/>
        </w:rPr>
        <w:t>For resources internal to a GHG regulation area, the CAISO may include a GHG cost adder in reference level calculations for resources using the variable cost option or negotiated rate option. The GHG cost adder in reference levels is similarly based on the GHG allowance index price.</w:t>
      </w:r>
    </w:p>
    <w:p w14:paraId="32E97C56" w14:textId="77777777" w:rsidR="00E4601F" w:rsidRPr="00746F54" w:rsidRDefault="00E4601F" w:rsidP="00E4601F">
      <w:pPr>
        <w:spacing w:after="240" w:line="300" w:lineRule="auto"/>
        <w:rPr>
          <w:rFonts w:ascii="Arial" w:eastAsia="Calibri" w:hAnsi="Arial" w:cs="Arial"/>
          <w:u w:val="single"/>
        </w:rPr>
      </w:pPr>
      <w:r w:rsidRPr="00746F54">
        <w:rPr>
          <w:rFonts w:ascii="Arial" w:eastAsia="Calibri" w:hAnsi="Arial" w:cs="Arial"/>
          <w:u w:val="single"/>
        </w:rPr>
        <w:t xml:space="preserve">GHG Bid Cap - Variable Cost Option: </w:t>
      </w:r>
    </w:p>
    <w:p w14:paraId="4253C662" w14:textId="77777777" w:rsidR="00E4601F" w:rsidRPr="00746F54" w:rsidRDefault="00E4601F" w:rsidP="00E4601F">
      <w:pPr>
        <w:spacing w:after="240" w:line="300" w:lineRule="auto"/>
        <w:rPr>
          <w:rFonts w:ascii="Arial" w:eastAsia="Calibri" w:hAnsi="Arial" w:cs="Arial"/>
        </w:rPr>
      </w:pPr>
      <w:r w:rsidRPr="00746F54">
        <w:rPr>
          <w:rFonts w:ascii="Arial" w:eastAsia="Calibri" w:hAnsi="Arial" w:cs="Arial"/>
        </w:rPr>
        <w:t>Under the variable cost option,  the CAISO</w:t>
      </w:r>
      <w:r w:rsidRPr="00746F54" w:rsidDel="001705D8">
        <w:rPr>
          <w:rFonts w:ascii="Arial" w:eastAsia="Calibri" w:hAnsi="Arial" w:cs="Arial"/>
        </w:rPr>
        <w:t xml:space="preserve"> </w:t>
      </w:r>
      <w:r w:rsidRPr="00746F54">
        <w:rPr>
          <w:rFonts w:ascii="Arial" w:eastAsia="Calibri" w:hAnsi="Arial" w:cs="Arial"/>
        </w:rPr>
        <w:t>will daily calculate a resource-specific GHG bid cap for each GHG regulation area. The CAISO calculates the GHG bid cap using the resource’s highest registered average heat rate, the applicable GHG allowance index price, the resource’s emission rate, and a unit conversion factor. Similar to the default energy bids of CAISO resources, there will be a 10 percent adder to the calculated cost. The formula is as follows:</w:t>
      </w:r>
    </w:p>
    <w:p w14:paraId="22EE80F5" w14:textId="77777777" w:rsidR="00E4601F" w:rsidRPr="00746F54" w:rsidRDefault="00E4601F" w:rsidP="00E4601F">
      <w:pPr>
        <w:spacing w:after="240" w:line="300" w:lineRule="auto"/>
        <w:ind w:left="720"/>
        <w:rPr>
          <w:rFonts w:ascii="Arial" w:eastAsia="Calibri" w:hAnsi="Arial" w:cs="Arial"/>
        </w:rPr>
      </w:pPr>
      <w:r w:rsidRPr="00746F54">
        <w:rPr>
          <w:rFonts w:ascii="Arial" w:eastAsia="Calibri" w:hAnsi="Arial" w:cs="Arial"/>
        </w:rPr>
        <w:t>GHG bid cap ($/MWh) = 110% * Heat rate (Btu/kWh) * GHG emission rate (MTCO2e/MMBtu) * GHG allowance index price ($/MTCO2e) * Unit conversion factor (1/1,000,000 MMBtu/Btu * 1000 Kwh/MWh)</w:t>
      </w:r>
    </w:p>
    <w:p w14:paraId="32D60B4D" w14:textId="77777777" w:rsidR="00E4601F" w:rsidRPr="00746F54" w:rsidRDefault="00E4601F" w:rsidP="00E4601F">
      <w:pPr>
        <w:spacing w:after="240" w:line="300" w:lineRule="auto"/>
        <w:rPr>
          <w:rFonts w:ascii="Arial" w:eastAsia="Calibri" w:hAnsi="Arial" w:cs="Arial"/>
        </w:rPr>
      </w:pPr>
      <w:r w:rsidRPr="00746F54">
        <w:rPr>
          <w:rFonts w:ascii="Arial" w:eastAsia="Calibri" w:hAnsi="Arial" w:cs="Arial"/>
        </w:rPr>
        <w:lastRenderedPageBreak/>
        <w:t xml:space="preserve">For purposes of this calculation, the market will use the resource’s highest registered average heat rate. For MSG resources, the market will use the highest average heat rate of any of the MSG configurations at the resource. </w:t>
      </w:r>
    </w:p>
    <w:p w14:paraId="587C49B6" w14:textId="77777777" w:rsidR="00E4601F" w:rsidRPr="00746F54" w:rsidRDefault="00E4601F" w:rsidP="00E4601F">
      <w:pPr>
        <w:spacing w:after="240" w:line="300" w:lineRule="auto"/>
        <w:rPr>
          <w:rFonts w:ascii="Arial" w:eastAsia="Calibri" w:hAnsi="Arial" w:cs="Arial"/>
        </w:rPr>
      </w:pPr>
      <w:r w:rsidRPr="00746F54">
        <w:rPr>
          <w:rFonts w:ascii="Arial" w:eastAsia="Calibri" w:hAnsi="Arial" w:cs="Arial"/>
        </w:rPr>
        <w:t>If an EDAM or WEIM entity allows economic participation in the FMM by imports on its external interties, the imports may also submit a GHG bid adder. If the import is registered as a resource-specific resource, the import resource’s GHG emissions rate will be used in the calculation of the GHG bid cap. If the import is registered as a system resource, the carbon dioxide equivalent emission rate of the resource with the highest such rate in the WECC region and the GHG allowance price will be used in the calculation of the GHG bid cap under the variable cost option.</w:t>
      </w:r>
    </w:p>
    <w:p w14:paraId="3324A28F" w14:textId="77777777" w:rsidR="00E4601F" w:rsidRPr="00746F54" w:rsidRDefault="00E4601F" w:rsidP="00E4601F">
      <w:pPr>
        <w:spacing w:after="240" w:line="300" w:lineRule="auto"/>
        <w:rPr>
          <w:rFonts w:ascii="Arial" w:eastAsia="Calibri" w:hAnsi="Arial" w:cs="Arial"/>
          <w:u w:val="single"/>
        </w:rPr>
      </w:pPr>
      <w:r w:rsidRPr="00746F54">
        <w:rPr>
          <w:rFonts w:ascii="Arial" w:eastAsia="Calibri" w:hAnsi="Arial" w:cs="Arial"/>
          <w:u w:val="single"/>
        </w:rPr>
        <w:t xml:space="preserve">GHG Bid Cap - Negotiated Cost Option: </w:t>
      </w:r>
    </w:p>
    <w:p w14:paraId="1F7D20D1" w14:textId="77777777" w:rsidR="00E4601F" w:rsidRPr="00746F54" w:rsidRDefault="00E4601F" w:rsidP="00E4601F">
      <w:pPr>
        <w:spacing w:after="240" w:line="300" w:lineRule="auto"/>
        <w:rPr>
          <w:rFonts w:ascii="Arial" w:eastAsia="Calibri" w:hAnsi="Arial" w:cs="Arial"/>
        </w:rPr>
      </w:pPr>
      <w:r w:rsidRPr="00746F54">
        <w:rPr>
          <w:rFonts w:ascii="Arial" w:eastAsia="Calibri" w:hAnsi="Arial" w:cs="Arial"/>
        </w:rPr>
        <w:t>The negotiated rate option is a less commonly used option. It may be used for new participating resources that do not have an emission rate registered with the regulatory authority in assessing GHG compliance obligations or that otherwise find the variable option insufficient. Because of CAISO software limitations, the negotiated rate can only be structured as a variable value (i.e. one that is dynamic depending on the GHG allowance price) or a static value (i.e. a set $/MWh value that does not change on a daily basis). A scheduling coordinator wishing to negotiate a GHG bid cap may contact the CAISO by submitting a CIDI ticket with Case Record Type “Negotiated Rate Application” and Application Type “Other”.</w:t>
      </w:r>
    </w:p>
    <w:p w14:paraId="1E60B5BD" w14:textId="77777777" w:rsidR="00E4601F" w:rsidRPr="00746F54" w:rsidRDefault="00E4601F" w:rsidP="00E4601F">
      <w:pPr>
        <w:spacing w:after="240" w:line="300" w:lineRule="auto"/>
        <w:rPr>
          <w:rFonts w:ascii="Arial" w:eastAsia="Calibri" w:hAnsi="Arial" w:cs="Arial"/>
          <w:b/>
          <w:u w:val="single"/>
        </w:rPr>
      </w:pPr>
      <w:r w:rsidRPr="00746F54">
        <w:rPr>
          <w:rFonts w:ascii="Arial" w:eastAsia="Calibri" w:hAnsi="Arial" w:cs="Arial"/>
          <w:b/>
          <w:u w:val="single"/>
        </w:rPr>
        <w:t xml:space="preserve">Impact of GHG attribution process on default energy bids </w:t>
      </w:r>
    </w:p>
    <w:p w14:paraId="5CA2A1E8" w14:textId="72DC86BA" w:rsidR="00E4601F" w:rsidRPr="00746F54" w:rsidRDefault="00E4601F" w:rsidP="008A5DA0">
      <w:pPr>
        <w:spacing w:after="240" w:line="300" w:lineRule="auto"/>
        <w:rPr>
          <w:rFonts w:ascii="Arial" w:eastAsia="Calibri" w:hAnsi="Arial" w:cs="Arial"/>
        </w:rPr>
      </w:pPr>
      <w:r w:rsidRPr="00746F54">
        <w:rPr>
          <w:rFonts w:ascii="Arial" w:eastAsia="Calibri" w:hAnsi="Arial" w:cs="Arial"/>
        </w:rPr>
        <w:t xml:space="preserve">The GHG market design assumes that resources located within GHG areas include the compliance costs associated with their native GHG area in their energy bid. Because of this, a resource located within a GHG area has incorporated into its default energy bid the CAISO’s estimate of its GHG compliance cost,  if that resource is using the variable cost option. More about default energy bids can be found in the BPM for Market Instruments, Attachment D. As described above, any compliance costs associated with serving load in a different GHG area are assumed to be captured in the GHG bid adder. </w:t>
      </w:r>
    </w:p>
    <w:p w14:paraId="662A3AE3" w14:textId="03E082D6" w:rsidR="00E4601F" w:rsidRPr="00746F54" w:rsidRDefault="00E4601F" w:rsidP="007568E3">
      <w:pPr>
        <w:pStyle w:val="Heading2"/>
        <w:rPr>
          <w:rFonts w:ascii="Arial" w:hAnsi="Arial" w:cs="Arial"/>
        </w:rPr>
      </w:pPr>
      <w:bookmarkStart w:id="350" w:name="_Toc211337983"/>
      <w:bookmarkStart w:id="351" w:name="_Toc212733100"/>
      <w:r w:rsidRPr="00746F54">
        <w:rPr>
          <w:rFonts w:ascii="Arial" w:hAnsi="Arial" w:cs="Arial"/>
        </w:rPr>
        <w:t>Consideration of Eligible GHG Capacity in Market Clearing</w:t>
      </w:r>
      <w:bookmarkEnd w:id="350"/>
      <w:bookmarkEnd w:id="351"/>
    </w:p>
    <w:p w14:paraId="3C80D670" w14:textId="4B933D1F" w:rsidR="008A5DA0" w:rsidRPr="00746F54" w:rsidRDefault="008A5DA0" w:rsidP="00E4601F">
      <w:pPr>
        <w:spacing w:after="240" w:line="300" w:lineRule="auto"/>
        <w:rPr>
          <w:rFonts w:ascii="Arial" w:eastAsia="Calibri" w:hAnsi="Arial" w:cs="Arial"/>
          <w:u w:val="single"/>
        </w:rPr>
      </w:pPr>
      <w:r w:rsidRPr="00746F54">
        <w:rPr>
          <w:rFonts w:ascii="Arial" w:eastAsia="Calibri" w:hAnsi="Arial" w:cs="Arial"/>
          <w:u w:val="single"/>
        </w:rPr>
        <w:t>Reference tariff section 33.32.2</w:t>
      </w:r>
    </w:p>
    <w:p w14:paraId="1EAA1CDB" w14:textId="396A2E1F" w:rsidR="00E4601F" w:rsidRPr="00746F54" w:rsidRDefault="00E4601F" w:rsidP="00E4601F">
      <w:pPr>
        <w:spacing w:after="240" w:line="300" w:lineRule="auto"/>
        <w:rPr>
          <w:rFonts w:ascii="Arial" w:eastAsia="Calibri" w:hAnsi="Arial" w:cs="Arial"/>
        </w:rPr>
      </w:pPr>
      <w:r w:rsidRPr="00746F54">
        <w:rPr>
          <w:rFonts w:ascii="Arial" w:eastAsia="Calibri" w:hAnsi="Arial" w:cs="Arial"/>
        </w:rPr>
        <w:t xml:space="preserve">The market clearing process limits consideration of GHG bids to eligible GHG capacity. </w:t>
      </w:r>
      <w:r w:rsidRPr="00746F54">
        <w:rPr>
          <w:rFonts w:ascii="Arial" w:hAnsi="Arial" w:cs="Arial"/>
        </w:rPr>
        <w:t xml:space="preserve">Eligible GHG capacity is the portion of a resource’s bid-in capacity that can receive a GHG award. </w:t>
      </w:r>
      <w:r w:rsidRPr="00746F54">
        <w:rPr>
          <w:rFonts w:ascii="Arial" w:hAnsi="Arial" w:cs="Arial"/>
        </w:rPr>
        <w:lastRenderedPageBreak/>
        <w:t xml:space="preserve">Eligible GHG capacity can extend to the full capacity of a resource or may be limited to some portion based on the GHG bid capacity (MW) of the GHG bid adder, physical limitations, or limitations defined by the GHG market design. </w:t>
      </w:r>
    </w:p>
    <w:p w14:paraId="7F21D140" w14:textId="15C63DE0" w:rsidR="00E4601F" w:rsidRPr="00746F54" w:rsidRDefault="00E4601F" w:rsidP="00E4601F">
      <w:pPr>
        <w:pStyle w:val="Heading3"/>
        <w:rPr>
          <w:rFonts w:ascii="Arial" w:hAnsi="Arial" w:cs="Arial"/>
        </w:rPr>
      </w:pPr>
      <w:bookmarkStart w:id="352" w:name="_Toc211337984"/>
      <w:r w:rsidRPr="00746F54">
        <w:rPr>
          <w:rFonts w:ascii="Arial" w:hAnsi="Arial" w:cs="Arial"/>
        </w:rPr>
        <w:t>GHG bid capacity</w:t>
      </w:r>
      <w:bookmarkEnd w:id="352"/>
      <w:r w:rsidRPr="00746F54">
        <w:rPr>
          <w:rFonts w:ascii="Arial" w:hAnsi="Arial" w:cs="Arial"/>
        </w:rPr>
        <w:t xml:space="preserve"> </w:t>
      </w:r>
    </w:p>
    <w:p w14:paraId="25A086FB" w14:textId="1091B80F" w:rsidR="008A5DA0" w:rsidRPr="00746F54" w:rsidRDefault="008A5DA0" w:rsidP="00E4601F">
      <w:pPr>
        <w:spacing w:after="240" w:line="300" w:lineRule="auto"/>
        <w:rPr>
          <w:rFonts w:ascii="Arial" w:eastAsia="Calibri" w:hAnsi="Arial" w:cs="Arial"/>
          <w:u w:val="single"/>
        </w:rPr>
      </w:pPr>
      <w:r w:rsidRPr="00746F54">
        <w:rPr>
          <w:rFonts w:ascii="Arial" w:eastAsia="Calibri" w:hAnsi="Arial" w:cs="Arial"/>
          <w:u w:val="single"/>
        </w:rPr>
        <w:t>Reference tariff sections 33.32.2.1 and 33.32.2.4</w:t>
      </w:r>
    </w:p>
    <w:p w14:paraId="4F658055" w14:textId="086BAB8A" w:rsidR="00E4601F" w:rsidRPr="00746F54" w:rsidRDefault="00E4601F" w:rsidP="00E4601F">
      <w:pPr>
        <w:spacing w:after="240" w:line="300" w:lineRule="auto"/>
        <w:rPr>
          <w:rFonts w:ascii="Arial" w:eastAsia="Calibri" w:hAnsi="Arial" w:cs="Arial"/>
        </w:rPr>
      </w:pPr>
      <w:r w:rsidRPr="00746F54">
        <w:rPr>
          <w:rFonts w:ascii="Arial" w:eastAsia="Calibri" w:hAnsi="Arial" w:cs="Arial"/>
        </w:rPr>
        <w:t xml:space="preserve">The GHG bid adder is a two-part bid with a GHG bid capacity (MW) quantity and a GHG bid price ($/MWh) that is submitted on an hourly basis for either or both GHG regulation areas. </w:t>
      </w:r>
      <w:r w:rsidRPr="00746F54">
        <w:rPr>
          <w:rFonts w:ascii="Arial" w:hAnsi="Arial" w:cs="Arial"/>
        </w:rPr>
        <w:t xml:space="preserve">The market optimization uses </w:t>
      </w:r>
      <w:r w:rsidRPr="00746F54">
        <w:rPr>
          <w:rFonts w:ascii="Arial" w:eastAsia="Calibri" w:hAnsi="Arial" w:cs="Arial"/>
        </w:rPr>
        <w:t xml:space="preserve">these quantities and prices to determine the portion of the resource’s energy schedule that is deemed delivered to a GHG area (i.e. its GHG award). </w:t>
      </w:r>
    </w:p>
    <w:p w14:paraId="03F90EEE" w14:textId="77777777" w:rsidR="00E4601F" w:rsidRPr="00746F54" w:rsidRDefault="00E4601F" w:rsidP="00E4601F">
      <w:pPr>
        <w:spacing w:after="240" w:line="300" w:lineRule="auto"/>
        <w:rPr>
          <w:rFonts w:ascii="Arial" w:eastAsia="Calibri" w:hAnsi="Arial" w:cs="Arial"/>
        </w:rPr>
      </w:pPr>
      <w:r w:rsidRPr="00746F54">
        <w:rPr>
          <w:rFonts w:ascii="Arial" w:eastAsia="Calibri" w:hAnsi="Arial" w:cs="Arial"/>
        </w:rPr>
        <w:t xml:space="preserve">The GHG bid capacity component of the GHG bid adder serves as the flag to the market that the scheduling coordinator has opt-ed in the identified capacity for consideration to serve demand in a GHG regulation area. A resource can choose not to serve a GHG area, offer partial capacity, or full capacity to either or both GHG areas. Preferences expressed through the GHG bid adder are separate from, and do not limit, a resource’s energy offer into the market.   </w:t>
      </w:r>
    </w:p>
    <w:p w14:paraId="04BE6FF8" w14:textId="77777777" w:rsidR="00E4601F" w:rsidRPr="00746F54" w:rsidRDefault="00E4601F" w:rsidP="00E4601F">
      <w:pPr>
        <w:spacing w:after="240" w:line="300" w:lineRule="auto"/>
        <w:rPr>
          <w:rFonts w:ascii="Arial" w:eastAsia="Calibri" w:hAnsi="Arial" w:cs="Arial"/>
        </w:rPr>
      </w:pPr>
      <w:r w:rsidRPr="00746F54">
        <w:rPr>
          <w:rFonts w:ascii="Arial" w:eastAsia="Calibri" w:hAnsi="Arial" w:cs="Arial"/>
        </w:rPr>
        <w:t xml:space="preserve">This functionality supports the voluntary nature of the GHG design. A scheduling coordinator may choose not to offer GHG capacity for any reason.  </w:t>
      </w:r>
    </w:p>
    <w:p w14:paraId="18DA36B7" w14:textId="77777777" w:rsidR="00E4601F" w:rsidRPr="00746F54" w:rsidRDefault="00E4601F" w:rsidP="00E4601F">
      <w:pPr>
        <w:spacing w:after="240" w:line="300" w:lineRule="auto"/>
        <w:rPr>
          <w:rFonts w:ascii="Arial" w:eastAsia="Calibri" w:hAnsi="Arial" w:cs="Arial"/>
        </w:rPr>
      </w:pPr>
      <w:r w:rsidRPr="00746F54">
        <w:rPr>
          <w:rFonts w:ascii="Arial" w:eastAsia="Calibri" w:hAnsi="Arial" w:cs="Arial"/>
        </w:rPr>
        <w:t xml:space="preserve">In the examples below, a 200MW resource submits bid adders for Washington and California. </w:t>
      </w:r>
    </w:p>
    <w:p w14:paraId="0671D81C" w14:textId="77777777" w:rsidR="00E4601F" w:rsidRPr="00746F54" w:rsidRDefault="00E4601F" w:rsidP="00E4601F">
      <w:pPr>
        <w:spacing w:after="240" w:line="300" w:lineRule="auto"/>
        <w:rPr>
          <w:rFonts w:ascii="Arial" w:hAnsi="Arial" w:cs="Arial"/>
          <w:b/>
        </w:rPr>
      </w:pPr>
      <w:r w:rsidRPr="00746F54">
        <w:rPr>
          <w:rFonts w:ascii="Arial" w:eastAsia="Calibri" w:hAnsi="Arial" w:cs="Arial"/>
          <w:b/>
        </w:rPr>
        <w:t xml:space="preserve">Example 1: the resource opts out of serving demand in California, and offers partial capacity to Washington  </w:t>
      </w:r>
    </w:p>
    <w:tbl>
      <w:tblPr>
        <w:tblStyle w:val="TableGrid"/>
        <w:tblW w:w="0" w:type="auto"/>
        <w:tblLook w:val="04A0" w:firstRow="1" w:lastRow="0" w:firstColumn="1" w:lastColumn="0" w:noHBand="0" w:noVBand="1"/>
      </w:tblPr>
      <w:tblGrid>
        <w:gridCol w:w="3116"/>
        <w:gridCol w:w="3117"/>
        <w:gridCol w:w="3117"/>
      </w:tblGrid>
      <w:tr w:rsidR="00E4601F" w:rsidRPr="00746F54" w14:paraId="6103927F" w14:textId="77777777" w:rsidTr="00D62922">
        <w:tc>
          <w:tcPr>
            <w:tcW w:w="3116" w:type="dxa"/>
          </w:tcPr>
          <w:p w14:paraId="587C648A" w14:textId="77777777" w:rsidR="00E4601F" w:rsidRPr="00746F54" w:rsidRDefault="00E4601F" w:rsidP="00D62922">
            <w:pPr>
              <w:pStyle w:val="ParaText"/>
              <w:rPr>
                <w:rFonts w:ascii="Arial" w:eastAsiaTheme="minorHAnsi" w:hAnsi="Arial" w:cs="Arial"/>
                <w:sz w:val="22"/>
                <w:szCs w:val="22"/>
              </w:rPr>
            </w:pPr>
          </w:p>
        </w:tc>
        <w:tc>
          <w:tcPr>
            <w:tcW w:w="3117" w:type="dxa"/>
          </w:tcPr>
          <w:p w14:paraId="3729EF14" w14:textId="77777777" w:rsidR="00E4601F" w:rsidRPr="00746F54" w:rsidRDefault="00E4601F" w:rsidP="00D62922">
            <w:pPr>
              <w:pStyle w:val="ParaText"/>
              <w:rPr>
                <w:rFonts w:ascii="Arial" w:eastAsiaTheme="minorHAnsi" w:hAnsi="Arial" w:cs="Arial"/>
                <w:sz w:val="22"/>
                <w:szCs w:val="22"/>
              </w:rPr>
            </w:pPr>
            <w:r w:rsidRPr="00746F54">
              <w:rPr>
                <w:rFonts w:ascii="Arial" w:eastAsiaTheme="minorHAnsi" w:hAnsi="Arial" w:cs="Arial"/>
                <w:sz w:val="22"/>
                <w:szCs w:val="22"/>
              </w:rPr>
              <w:t>GHG bid capacity</w:t>
            </w:r>
          </w:p>
        </w:tc>
        <w:tc>
          <w:tcPr>
            <w:tcW w:w="3117" w:type="dxa"/>
          </w:tcPr>
          <w:p w14:paraId="5EC5B026" w14:textId="77777777" w:rsidR="00E4601F" w:rsidRPr="00746F54" w:rsidRDefault="00E4601F" w:rsidP="00D62922">
            <w:pPr>
              <w:pStyle w:val="ParaText"/>
              <w:rPr>
                <w:rFonts w:ascii="Arial" w:eastAsiaTheme="minorHAnsi" w:hAnsi="Arial" w:cs="Arial"/>
                <w:sz w:val="22"/>
                <w:szCs w:val="22"/>
              </w:rPr>
            </w:pPr>
            <w:r w:rsidRPr="00746F54">
              <w:rPr>
                <w:rFonts w:ascii="Arial" w:eastAsiaTheme="minorHAnsi" w:hAnsi="Arial" w:cs="Arial"/>
                <w:sz w:val="22"/>
                <w:szCs w:val="22"/>
              </w:rPr>
              <w:t xml:space="preserve">GHG bid price </w:t>
            </w:r>
          </w:p>
        </w:tc>
      </w:tr>
      <w:tr w:rsidR="00E4601F" w:rsidRPr="00746F54" w14:paraId="5FAC3B06" w14:textId="77777777" w:rsidTr="00D62922">
        <w:tc>
          <w:tcPr>
            <w:tcW w:w="3116" w:type="dxa"/>
          </w:tcPr>
          <w:p w14:paraId="6117F32B" w14:textId="77777777" w:rsidR="00E4601F" w:rsidRPr="00746F54" w:rsidRDefault="00E4601F" w:rsidP="00D62922">
            <w:pPr>
              <w:pStyle w:val="ParaText"/>
              <w:rPr>
                <w:rFonts w:ascii="Arial" w:eastAsiaTheme="minorHAnsi" w:hAnsi="Arial" w:cs="Arial"/>
                <w:sz w:val="22"/>
                <w:szCs w:val="22"/>
              </w:rPr>
            </w:pPr>
            <w:r w:rsidRPr="00746F54">
              <w:rPr>
                <w:rFonts w:ascii="Arial" w:eastAsiaTheme="minorHAnsi" w:hAnsi="Arial" w:cs="Arial"/>
                <w:sz w:val="22"/>
                <w:szCs w:val="22"/>
              </w:rPr>
              <w:t>California GHG area</w:t>
            </w:r>
          </w:p>
        </w:tc>
        <w:tc>
          <w:tcPr>
            <w:tcW w:w="3117" w:type="dxa"/>
          </w:tcPr>
          <w:p w14:paraId="6ED89B13" w14:textId="77777777" w:rsidR="00E4601F" w:rsidRPr="00746F54" w:rsidRDefault="00E4601F" w:rsidP="00D62922">
            <w:pPr>
              <w:pStyle w:val="ParaText"/>
              <w:rPr>
                <w:rFonts w:ascii="Arial" w:eastAsiaTheme="minorHAnsi" w:hAnsi="Arial" w:cs="Arial"/>
                <w:sz w:val="22"/>
                <w:szCs w:val="22"/>
              </w:rPr>
            </w:pPr>
            <w:r w:rsidRPr="00746F54">
              <w:rPr>
                <w:rFonts w:ascii="Arial" w:eastAsiaTheme="minorHAnsi" w:hAnsi="Arial" w:cs="Arial"/>
                <w:sz w:val="22"/>
                <w:szCs w:val="22"/>
              </w:rPr>
              <w:t>0 MW</w:t>
            </w:r>
          </w:p>
        </w:tc>
        <w:tc>
          <w:tcPr>
            <w:tcW w:w="3117" w:type="dxa"/>
          </w:tcPr>
          <w:p w14:paraId="06C21BAC" w14:textId="77777777" w:rsidR="00E4601F" w:rsidRPr="00746F54" w:rsidRDefault="00E4601F" w:rsidP="00D62922">
            <w:pPr>
              <w:pStyle w:val="ParaText"/>
              <w:rPr>
                <w:rFonts w:ascii="Arial" w:eastAsiaTheme="minorHAnsi" w:hAnsi="Arial" w:cs="Arial"/>
                <w:sz w:val="22"/>
                <w:szCs w:val="22"/>
              </w:rPr>
            </w:pPr>
            <w:r w:rsidRPr="00746F54">
              <w:rPr>
                <w:rFonts w:ascii="Arial" w:eastAsiaTheme="minorHAnsi" w:hAnsi="Arial" w:cs="Arial"/>
                <w:sz w:val="22"/>
                <w:szCs w:val="22"/>
              </w:rPr>
              <w:t>$0/MWh</w:t>
            </w:r>
          </w:p>
        </w:tc>
      </w:tr>
      <w:tr w:rsidR="00E4601F" w:rsidRPr="00746F54" w14:paraId="663D3EC5" w14:textId="77777777" w:rsidTr="00D62922">
        <w:tc>
          <w:tcPr>
            <w:tcW w:w="3116" w:type="dxa"/>
          </w:tcPr>
          <w:p w14:paraId="6D612F17" w14:textId="77777777" w:rsidR="00E4601F" w:rsidRPr="00746F54" w:rsidRDefault="00E4601F" w:rsidP="00D62922">
            <w:pPr>
              <w:pStyle w:val="ParaText"/>
              <w:rPr>
                <w:rFonts w:ascii="Arial" w:eastAsiaTheme="minorHAnsi" w:hAnsi="Arial" w:cs="Arial"/>
                <w:sz w:val="22"/>
                <w:szCs w:val="22"/>
              </w:rPr>
            </w:pPr>
            <w:r w:rsidRPr="00746F54">
              <w:rPr>
                <w:rFonts w:ascii="Arial" w:eastAsiaTheme="minorHAnsi" w:hAnsi="Arial" w:cs="Arial"/>
                <w:sz w:val="22"/>
                <w:szCs w:val="22"/>
              </w:rPr>
              <w:t>Washington GHG area</w:t>
            </w:r>
          </w:p>
        </w:tc>
        <w:tc>
          <w:tcPr>
            <w:tcW w:w="3117" w:type="dxa"/>
          </w:tcPr>
          <w:p w14:paraId="4458845C" w14:textId="77777777" w:rsidR="00E4601F" w:rsidRPr="00746F54" w:rsidRDefault="00E4601F" w:rsidP="00D62922">
            <w:pPr>
              <w:pStyle w:val="ParaText"/>
              <w:rPr>
                <w:rFonts w:ascii="Arial" w:eastAsiaTheme="minorHAnsi" w:hAnsi="Arial" w:cs="Arial"/>
                <w:sz w:val="22"/>
                <w:szCs w:val="22"/>
              </w:rPr>
            </w:pPr>
            <w:r w:rsidRPr="00746F54">
              <w:rPr>
                <w:rFonts w:ascii="Arial" w:eastAsiaTheme="minorHAnsi" w:hAnsi="Arial" w:cs="Arial"/>
                <w:sz w:val="22"/>
                <w:szCs w:val="22"/>
              </w:rPr>
              <w:t>100 MW</w:t>
            </w:r>
          </w:p>
        </w:tc>
        <w:tc>
          <w:tcPr>
            <w:tcW w:w="3117" w:type="dxa"/>
          </w:tcPr>
          <w:p w14:paraId="12DA92C5" w14:textId="77777777" w:rsidR="00E4601F" w:rsidRPr="00746F54" w:rsidRDefault="00E4601F" w:rsidP="00D62922">
            <w:pPr>
              <w:pStyle w:val="ParaText"/>
              <w:rPr>
                <w:rFonts w:ascii="Arial" w:eastAsiaTheme="minorHAnsi" w:hAnsi="Arial" w:cs="Arial"/>
                <w:sz w:val="22"/>
                <w:szCs w:val="22"/>
              </w:rPr>
            </w:pPr>
            <w:r w:rsidRPr="00746F54">
              <w:rPr>
                <w:rFonts w:ascii="Arial" w:eastAsiaTheme="minorHAnsi" w:hAnsi="Arial" w:cs="Arial"/>
                <w:sz w:val="22"/>
                <w:szCs w:val="22"/>
              </w:rPr>
              <w:t>$0/MWh</w:t>
            </w:r>
          </w:p>
        </w:tc>
      </w:tr>
    </w:tbl>
    <w:p w14:paraId="569DF60A" w14:textId="77777777" w:rsidR="00E4601F" w:rsidRPr="00746F54" w:rsidRDefault="00E4601F" w:rsidP="00E4601F">
      <w:pPr>
        <w:pStyle w:val="ParaText"/>
        <w:rPr>
          <w:rFonts w:ascii="Arial" w:hAnsi="Arial" w:cs="Arial"/>
        </w:rPr>
      </w:pPr>
    </w:p>
    <w:p w14:paraId="04F4BBBF" w14:textId="77777777" w:rsidR="00E4601F" w:rsidRPr="00746F54" w:rsidRDefault="00E4601F" w:rsidP="00E4601F">
      <w:pPr>
        <w:pStyle w:val="ParaText"/>
        <w:rPr>
          <w:rFonts w:ascii="Arial" w:hAnsi="Arial" w:cs="Arial"/>
        </w:rPr>
      </w:pPr>
      <w:r w:rsidRPr="00746F54">
        <w:rPr>
          <w:rFonts w:ascii="Arial" w:hAnsi="Arial" w:cs="Arial"/>
        </w:rPr>
        <w:t xml:space="preserve">The market will consider only non-zero GHG capacity for dispatch to serve a GHG area. The market will not consider a zero MW GHG capacity bid for dispatch to serve demand in a GHG regulation area. In example 1 above, the market would only consider the GHG bid to the Washington area for GHG attribution. The market will not consider this resource for dispatch to serve demand in the California GHG area.  </w:t>
      </w:r>
    </w:p>
    <w:p w14:paraId="3BD34742" w14:textId="77777777" w:rsidR="00E4601F" w:rsidRPr="00746F54" w:rsidRDefault="00E4601F" w:rsidP="00E4601F">
      <w:pPr>
        <w:pStyle w:val="ParaText"/>
        <w:rPr>
          <w:rFonts w:ascii="Arial" w:eastAsia="Calibri" w:hAnsi="Arial" w:cs="Arial"/>
          <w:b/>
        </w:rPr>
      </w:pPr>
      <w:r w:rsidRPr="00746F54">
        <w:rPr>
          <w:rFonts w:ascii="Arial" w:eastAsia="Calibri" w:hAnsi="Arial" w:cs="Arial"/>
          <w:b/>
        </w:rPr>
        <w:t xml:space="preserve">Example 2: Resource offers full capacity to both GHG areas </w:t>
      </w:r>
    </w:p>
    <w:tbl>
      <w:tblPr>
        <w:tblStyle w:val="TableGrid"/>
        <w:tblW w:w="0" w:type="auto"/>
        <w:tblLook w:val="04A0" w:firstRow="1" w:lastRow="0" w:firstColumn="1" w:lastColumn="0" w:noHBand="0" w:noVBand="1"/>
      </w:tblPr>
      <w:tblGrid>
        <w:gridCol w:w="3116"/>
        <w:gridCol w:w="3117"/>
        <w:gridCol w:w="3117"/>
      </w:tblGrid>
      <w:tr w:rsidR="00E4601F" w:rsidRPr="00746F54" w14:paraId="36A991B1" w14:textId="77777777" w:rsidTr="00D62922">
        <w:tc>
          <w:tcPr>
            <w:tcW w:w="3116" w:type="dxa"/>
          </w:tcPr>
          <w:p w14:paraId="336183A6" w14:textId="77777777" w:rsidR="00E4601F" w:rsidRPr="00746F54" w:rsidRDefault="00E4601F" w:rsidP="00D62922">
            <w:pPr>
              <w:pStyle w:val="ParaText"/>
              <w:rPr>
                <w:rFonts w:ascii="Arial" w:eastAsiaTheme="minorHAnsi" w:hAnsi="Arial" w:cs="Arial"/>
                <w:sz w:val="22"/>
                <w:szCs w:val="22"/>
              </w:rPr>
            </w:pPr>
          </w:p>
        </w:tc>
        <w:tc>
          <w:tcPr>
            <w:tcW w:w="3117" w:type="dxa"/>
          </w:tcPr>
          <w:p w14:paraId="3F043486" w14:textId="77777777" w:rsidR="00E4601F" w:rsidRPr="00746F54" w:rsidRDefault="00E4601F" w:rsidP="00D62922">
            <w:pPr>
              <w:pStyle w:val="ParaText"/>
              <w:rPr>
                <w:rFonts w:ascii="Arial" w:eastAsiaTheme="minorHAnsi" w:hAnsi="Arial" w:cs="Arial"/>
                <w:sz w:val="22"/>
                <w:szCs w:val="22"/>
              </w:rPr>
            </w:pPr>
            <w:r w:rsidRPr="00746F54">
              <w:rPr>
                <w:rFonts w:ascii="Arial" w:eastAsiaTheme="minorHAnsi" w:hAnsi="Arial" w:cs="Arial"/>
                <w:sz w:val="22"/>
                <w:szCs w:val="22"/>
              </w:rPr>
              <w:t>GHG bid capacity</w:t>
            </w:r>
          </w:p>
        </w:tc>
        <w:tc>
          <w:tcPr>
            <w:tcW w:w="3117" w:type="dxa"/>
          </w:tcPr>
          <w:p w14:paraId="1F5FBB85" w14:textId="77777777" w:rsidR="00E4601F" w:rsidRPr="00746F54" w:rsidRDefault="00E4601F" w:rsidP="00D62922">
            <w:pPr>
              <w:pStyle w:val="ParaText"/>
              <w:rPr>
                <w:rFonts w:ascii="Arial" w:eastAsiaTheme="minorHAnsi" w:hAnsi="Arial" w:cs="Arial"/>
                <w:sz w:val="22"/>
                <w:szCs w:val="22"/>
              </w:rPr>
            </w:pPr>
            <w:r w:rsidRPr="00746F54">
              <w:rPr>
                <w:rFonts w:ascii="Arial" w:eastAsiaTheme="minorHAnsi" w:hAnsi="Arial" w:cs="Arial"/>
                <w:sz w:val="22"/>
                <w:szCs w:val="22"/>
              </w:rPr>
              <w:t xml:space="preserve">GHG bid price </w:t>
            </w:r>
          </w:p>
        </w:tc>
      </w:tr>
      <w:tr w:rsidR="00E4601F" w:rsidRPr="00746F54" w14:paraId="506F49DB" w14:textId="77777777" w:rsidTr="00D62922">
        <w:tc>
          <w:tcPr>
            <w:tcW w:w="3116" w:type="dxa"/>
          </w:tcPr>
          <w:p w14:paraId="22470BDE" w14:textId="77777777" w:rsidR="00E4601F" w:rsidRPr="00746F54" w:rsidRDefault="00E4601F" w:rsidP="00D62922">
            <w:pPr>
              <w:pStyle w:val="ParaText"/>
              <w:rPr>
                <w:rFonts w:ascii="Arial" w:eastAsiaTheme="minorHAnsi" w:hAnsi="Arial" w:cs="Arial"/>
                <w:sz w:val="22"/>
                <w:szCs w:val="22"/>
              </w:rPr>
            </w:pPr>
            <w:r w:rsidRPr="00746F54">
              <w:rPr>
                <w:rFonts w:ascii="Arial" w:eastAsiaTheme="minorHAnsi" w:hAnsi="Arial" w:cs="Arial"/>
                <w:sz w:val="22"/>
                <w:szCs w:val="22"/>
              </w:rPr>
              <w:t>California GHG area</w:t>
            </w:r>
          </w:p>
        </w:tc>
        <w:tc>
          <w:tcPr>
            <w:tcW w:w="3117" w:type="dxa"/>
          </w:tcPr>
          <w:p w14:paraId="1A9F11F3" w14:textId="77777777" w:rsidR="00E4601F" w:rsidRPr="00746F54" w:rsidRDefault="00E4601F" w:rsidP="00D62922">
            <w:pPr>
              <w:pStyle w:val="ParaText"/>
              <w:rPr>
                <w:rFonts w:ascii="Arial" w:eastAsiaTheme="minorHAnsi" w:hAnsi="Arial" w:cs="Arial"/>
                <w:sz w:val="22"/>
                <w:szCs w:val="22"/>
              </w:rPr>
            </w:pPr>
            <w:r w:rsidRPr="00746F54">
              <w:rPr>
                <w:rFonts w:ascii="Arial" w:eastAsiaTheme="minorHAnsi" w:hAnsi="Arial" w:cs="Arial"/>
                <w:sz w:val="22"/>
                <w:szCs w:val="22"/>
              </w:rPr>
              <w:t>200 MW</w:t>
            </w:r>
          </w:p>
        </w:tc>
        <w:tc>
          <w:tcPr>
            <w:tcW w:w="3117" w:type="dxa"/>
          </w:tcPr>
          <w:p w14:paraId="638069FF" w14:textId="77777777" w:rsidR="00E4601F" w:rsidRPr="00746F54" w:rsidRDefault="00E4601F" w:rsidP="00D62922">
            <w:pPr>
              <w:pStyle w:val="ParaText"/>
              <w:rPr>
                <w:rFonts w:ascii="Arial" w:eastAsiaTheme="minorHAnsi" w:hAnsi="Arial" w:cs="Arial"/>
                <w:sz w:val="22"/>
                <w:szCs w:val="22"/>
              </w:rPr>
            </w:pPr>
            <w:r w:rsidRPr="00746F54">
              <w:rPr>
                <w:rFonts w:ascii="Arial" w:eastAsiaTheme="minorHAnsi" w:hAnsi="Arial" w:cs="Arial"/>
                <w:sz w:val="22"/>
                <w:szCs w:val="22"/>
              </w:rPr>
              <w:t>$0/MWh</w:t>
            </w:r>
          </w:p>
        </w:tc>
      </w:tr>
      <w:tr w:rsidR="00E4601F" w:rsidRPr="00746F54" w14:paraId="70C7E1AA" w14:textId="77777777" w:rsidTr="00D62922">
        <w:tc>
          <w:tcPr>
            <w:tcW w:w="3116" w:type="dxa"/>
          </w:tcPr>
          <w:p w14:paraId="587137D0" w14:textId="77777777" w:rsidR="00E4601F" w:rsidRPr="00746F54" w:rsidRDefault="00E4601F" w:rsidP="00D62922">
            <w:pPr>
              <w:pStyle w:val="ParaText"/>
              <w:rPr>
                <w:rFonts w:ascii="Arial" w:eastAsiaTheme="minorHAnsi" w:hAnsi="Arial" w:cs="Arial"/>
                <w:sz w:val="22"/>
                <w:szCs w:val="22"/>
              </w:rPr>
            </w:pPr>
            <w:r w:rsidRPr="00746F54">
              <w:rPr>
                <w:rFonts w:ascii="Arial" w:eastAsiaTheme="minorHAnsi" w:hAnsi="Arial" w:cs="Arial"/>
                <w:sz w:val="22"/>
                <w:szCs w:val="22"/>
              </w:rPr>
              <w:t>Washington GHG area</w:t>
            </w:r>
          </w:p>
        </w:tc>
        <w:tc>
          <w:tcPr>
            <w:tcW w:w="3117" w:type="dxa"/>
          </w:tcPr>
          <w:p w14:paraId="0A771DED" w14:textId="77777777" w:rsidR="00E4601F" w:rsidRPr="00746F54" w:rsidRDefault="00E4601F" w:rsidP="00D62922">
            <w:pPr>
              <w:pStyle w:val="ParaText"/>
              <w:rPr>
                <w:rFonts w:ascii="Arial" w:eastAsiaTheme="minorHAnsi" w:hAnsi="Arial" w:cs="Arial"/>
                <w:sz w:val="22"/>
                <w:szCs w:val="22"/>
              </w:rPr>
            </w:pPr>
            <w:r w:rsidRPr="00746F54">
              <w:rPr>
                <w:rFonts w:ascii="Arial" w:eastAsiaTheme="minorHAnsi" w:hAnsi="Arial" w:cs="Arial"/>
                <w:sz w:val="22"/>
                <w:szCs w:val="22"/>
              </w:rPr>
              <w:t>200 MW</w:t>
            </w:r>
          </w:p>
        </w:tc>
        <w:tc>
          <w:tcPr>
            <w:tcW w:w="3117" w:type="dxa"/>
          </w:tcPr>
          <w:p w14:paraId="16C3CE23" w14:textId="77777777" w:rsidR="00E4601F" w:rsidRPr="00746F54" w:rsidRDefault="00E4601F" w:rsidP="00D62922">
            <w:pPr>
              <w:pStyle w:val="ParaText"/>
              <w:rPr>
                <w:rFonts w:ascii="Arial" w:eastAsiaTheme="minorHAnsi" w:hAnsi="Arial" w:cs="Arial"/>
                <w:sz w:val="22"/>
                <w:szCs w:val="22"/>
              </w:rPr>
            </w:pPr>
            <w:r w:rsidRPr="00746F54">
              <w:rPr>
                <w:rFonts w:ascii="Arial" w:eastAsiaTheme="minorHAnsi" w:hAnsi="Arial" w:cs="Arial"/>
                <w:sz w:val="22"/>
                <w:szCs w:val="22"/>
              </w:rPr>
              <w:t>$0/MWh</w:t>
            </w:r>
          </w:p>
        </w:tc>
      </w:tr>
    </w:tbl>
    <w:p w14:paraId="3F292581" w14:textId="77777777" w:rsidR="00E4601F" w:rsidRPr="00746F54" w:rsidRDefault="00E4601F" w:rsidP="00E4601F">
      <w:pPr>
        <w:pStyle w:val="ParaText"/>
        <w:rPr>
          <w:rFonts w:ascii="Arial" w:hAnsi="Arial" w:cs="Arial"/>
        </w:rPr>
      </w:pPr>
    </w:p>
    <w:p w14:paraId="28908B53" w14:textId="77777777" w:rsidR="00E4601F" w:rsidRPr="00746F54" w:rsidRDefault="00E4601F" w:rsidP="00E4601F">
      <w:pPr>
        <w:pStyle w:val="ParaText"/>
        <w:rPr>
          <w:rFonts w:ascii="Arial" w:hAnsi="Arial" w:cs="Arial"/>
        </w:rPr>
      </w:pPr>
      <w:r w:rsidRPr="00746F54">
        <w:rPr>
          <w:rFonts w:ascii="Arial" w:hAnsi="Arial" w:cs="Arial"/>
        </w:rPr>
        <w:t>If a resource offers capacity to both GHG areas, the market will optimally attribute the resource’s GHG capacity. In Example 2 above, the resource could receive a 100MW GHG award for each area. A resource cannot receive GHG awards for both areas for the same MW capacity; to ensure this outcome, the market will apply a constraint described further in section 2.2.</w:t>
      </w:r>
    </w:p>
    <w:p w14:paraId="4C3DB13D" w14:textId="17E602A2" w:rsidR="00E4601F" w:rsidRPr="00746F54" w:rsidRDefault="00E4601F" w:rsidP="00E4601F">
      <w:pPr>
        <w:pStyle w:val="Heading4"/>
        <w:rPr>
          <w:rFonts w:ascii="Arial" w:hAnsi="Arial" w:cs="Arial"/>
        </w:rPr>
      </w:pPr>
      <w:r w:rsidRPr="00746F54">
        <w:rPr>
          <w:rFonts w:ascii="Arial" w:hAnsi="Arial" w:cs="Arial"/>
        </w:rPr>
        <w:t xml:space="preserve">Committed Capacity </w:t>
      </w:r>
    </w:p>
    <w:p w14:paraId="6DA3A73B" w14:textId="55B7AFB6" w:rsidR="008A5DA0" w:rsidRPr="00746F54" w:rsidRDefault="008A5DA0" w:rsidP="00E4601F">
      <w:pPr>
        <w:pStyle w:val="ParaText"/>
        <w:rPr>
          <w:rFonts w:ascii="Arial" w:eastAsia="Times New Roman" w:hAnsi="Arial" w:cs="Arial"/>
          <w:color w:val="000000"/>
          <w:u w:val="single"/>
        </w:rPr>
      </w:pPr>
      <w:r w:rsidRPr="00746F54">
        <w:rPr>
          <w:rFonts w:ascii="Arial" w:eastAsia="Times New Roman" w:hAnsi="Arial" w:cs="Arial"/>
          <w:color w:val="000000"/>
          <w:u w:val="single"/>
        </w:rPr>
        <w:t>Reference tariff section 33.32.2.3</w:t>
      </w:r>
    </w:p>
    <w:p w14:paraId="75C552F0" w14:textId="40934AA6" w:rsidR="00E4601F" w:rsidRPr="00746F54" w:rsidRDefault="00E4601F" w:rsidP="00E4601F">
      <w:pPr>
        <w:pStyle w:val="ParaText"/>
        <w:rPr>
          <w:rFonts w:ascii="Arial" w:eastAsia="Times New Roman" w:hAnsi="Arial" w:cs="Arial"/>
          <w:color w:val="000000"/>
        </w:rPr>
      </w:pPr>
      <w:r w:rsidRPr="00746F54">
        <w:rPr>
          <w:rFonts w:ascii="Arial" w:eastAsia="Times New Roman" w:hAnsi="Arial" w:cs="Arial"/>
          <w:color w:val="000000"/>
        </w:rPr>
        <w:t xml:space="preserve">The GHG bid adder gives scheduling coordinators flexibility to modify the eligible capacity on an hourly basis for both GHG areas. A scheduling coordinator can also capacity as committed to serving a particular GHG area, effectively adding an additional layer of preference. Any committed capacity will be reflected by an SC in GRDT to be reflected in the Master File. This will indicate which GHG Regulation Area the capacity should be associated with. This will also have validation to ensure the capacity does not exceed the resource PMAX. This capacity is then excluded from the GHG Reference Pass, allowing it to be attributed if it is economic. </w:t>
      </w:r>
    </w:p>
    <w:p w14:paraId="2E0BC2F7" w14:textId="77777777" w:rsidR="00E4601F" w:rsidRPr="00746F54" w:rsidRDefault="00E4601F" w:rsidP="00E4601F">
      <w:pPr>
        <w:pStyle w:val="Heading3"/>
        <w:rPr>
          <w:rFonts w:ascii="Arial" w:hAnsi="Arial" w:cs="Arial"/>
        </w:rPr>
      </w:pPr>
      <w:bookmarkStart w:id="353" w:name="_Toc211337985"/>
      <w:r w:rsidRPr="00746F54">
        <w:rPr>
          <w:rFonts w:ascii="Arial" w:hAnsi="Arial" w:cs="Arial"/>
        </w:rPr>
        <w:t>Maximum GHG attribution (33.32.2.2)</w:t>
      </w:r>
      <w:bookmarkEnd w:id="353"/>
    </w:p>
    <w:p w14:paraId="2A85E327" w14:textId="2CB905F0" w:rsidR="008A5DA0" w:rsidRPr="00746F54" w:rsidRDefault="008A5DA0" w:rsidP="00E4601F">
      <w:pPr>
        <w:pStyle w:val="Default"/>
        <w:spacing w:after="240" w:line="276" w:lineRule="auto"/>
        <w:rPr>
          <w:sz w:val="22"/>
          <w:szCs w:val="22"/>
          <w:u w:val="single"/>
        </w:rPr>
      </w:pPr>
      <w:r w:rsidRPr="00746F54">
        <w:rPr>
          <w:sz w:val="22"/>
          <w:szCs w:val="22"/>
          <w:u w:val="single"/>
        </w:rPr>
        <w:t>Reference tariff section 33.32.2.2</w:t>
      </w:r>
    </w:p>
    <w:p w14:paraId="1443484A" w14:textId="319B367B" w:rsidR="00E4601F" w:rsidRPr="00746F54" w:rsidRDefault="00E4601F" w:rsidP="00E4601F">
      <w:pPr>
        <w:pStyle w:val="Default"/>
        <w:spacing w:after="240" w:line="276" w:lineRule="auto"/>
        <w:rPr>
          <w:sz w:val="22"/>
          <w:szCs w:val="22"/>
        </w:rPr>
      </w:pPr>
      <w:r w:rsidRPr="00746F54">
        <w:rPr>
          <w:sz w:val="22"/>
          <w:szCs w:val="22"/>
        </w:rPr>
        <w:t xml:space="preserve">To determine eligible GHG capacity, the market will apply two limitations on GHG capacity identified by the GHG capacity bid adder to ensure market outcomes 1) reflect the physical realities of the resource and 2) align with the policy outcomes intended by the GHG market design.  </w:t>
      </w:r>
    </w:p>
    <w:p w14:paraId="7438E817" w14:textId="77777777" w:rsidR="00E4601F" w:rsidRPr="00746F54" w:rsidRDefault="00E4601F" w:rsidP="00E4601F">
      <w:pPr>
        <w:pStyle w:val="Default"/>
        <w:spacing w:after="240" w:line="276" w:lineRule="auto"/>
        <w:rPr>
          <w:sz w:val="22"/>
          <w:szCs w:val="22"/>
        </w:rPr>
      </w:pPr>
      <w:r w:rsidRPr="00746F54">
        <w:rPr>
          <w:sz w:val="22"/>
          <w:szCs w:val="22"/>
        </w:rPr>
        <w:t>Limitations based on physical realities of the resource:</w:t>
      </w:r>
    </w:p>
    <w:p w14:paraId="462CB6D0" w14:textId="77777777" w:rsidR="00E4601F" w:rsidRPr="00746F54" w:rsidRDefault="00E4601F" w:rsidP="00E4601F">
      <w:pPr>
        <w:pStyle w:val="Default"/>
        <w:numPr>
          <w:ilvl w:val="0"/>
          <w:numId w:val="48"/>
        </w:numPr>
        <w:spacing w:after="240" w:line="276" w:lineRule="auto"/>
        <w:rPr>
          <w:sz w:val="22"/>
          <w:szCs w:val="22"/>
        </w:rPr>
      </w:pPr>
      <w:r w:rsidRPr="00746F54">
        <w:rPr>
          <w:sz w:val="22"/>
          <w:szCs w:val="22"/>
          <w:u w:val="single"/>
        </w:rPr>
        <w:t>GHG awards must be positive: T</w:t>
      </w:r>
      <w:r w:rsidRPr="00746F54">
        <w:rPr>
          <w:sz w:val="22"/>
          <w:szCs w:val="22"/>
        </w:rPr>
        <w:t>his limitation is imposed because the GHG awards represents deliveries into California BAAs and therefore must be non-negative.</w:t>
      </w:r>
    </w:p>
    <w:p w14:paraId="3C6E182A" w14:textId="77777777" w:rsidR="00E4601F" w:rsidRPr="00746F54" w:rsidRDefault="00E4601F" w:rsidP="00E4601F">
      <w:pPr>
        <w:pStyle w:val="Default"/>
        <w:numPr>
          <w:ilvl w:val="0"/>
          <w:numId w:val="48"/>
        </w:numPr>
        <w:spacing w:after="240" w:line="276" w:lineRule="auto"/>
        <w:rPr>
          <w:sz w:val="22"/>
          <w:szCs w:val="22"/>
        </w:rPr>
      </w:pPr>
      <w:r w:rsidRPr="00746F54">
        <w:rPr>
          <w:sz w:val="22"/>
          <w:szCs w:val="22"/>
          <w:u w:val="single"/>
        </w:rPr>
        <w:t>GHG awards cannot exceed the resource’s total output (i.e. optimal dispatch)</w:t>
      </w:r>
      <w:r w:rsidRPr="00746F54">
        <w:rPr>
          <w:sz w:val="22"/>
          <w:szCs w:val="22"/>
        </w:rPr>
        <w:t xml:space="preserve">: this limitation ensures GHG awards are supported by energy awarded and dispatched through the market. </w:t>
      </w:r>
    </w:p>
    <w:p w14:paraId="66A1CB7D" w14:textId="77777777" w:rsidR="00E4601F" w:rsidRPr="00746F54" w:rsidRDefault="00E4601F" w:rsidP="00E4601F">
      <w:pPr>
        <w:pStyle w:val="Default"/>
        <w:spacing w:after="240" w:line="276" w:lineRule="auto"/>
        <w:rPr>
          <w:sz w:val="22"/>
          <w:szCs w:val="22"/>
        </w:rPr>
      </w:pPr>
      <w:r w:rsidRPr="00746F54">
        <w:rPr>
          <w:sz w:val="22"/>
          <w:szCs w:val="22"/>
        </w:rPr>
        <w:lastRenderedPageBreak/>
        <w:t xml:space="preserve">The market applies limitations to align market outcomes with outcomes intended by GHG policy. </w:t>
      </w:r>
    </w:p>
    <w:p w14:paraId="68085825" w14:textId="77777777" w:rsidR="00E4601F" w:rsidRPr="00746F54" w:rsidRDefault="00E4601F" w:rsidP="00E4601F">
      <w:pPr>
        <w:pStyle w:val="Default"/>
        <w:numPr>
          <w:ilvl w:val="0"/>
          <w:numId w:val="48"/>
        </w:numPr>
        <w:spacing w:after="240" w:line="276" w:lineRule="auto"/>
        <w:rPr>
          <w:sz w:val="22"/>
          <w:szCs w:val="22"/>
        </w:rPr>
      </w:pPr>
      <w:r w:rsidRPr="00746F54">
        <w:rPr>
          <w:sz w:val="22"/>
          <w:szCs w:val="22"/>
          <w:u w:val="single"/>
        </w:rPr>
        <w:t>GHG awards cannot exceed total GHG bid adder quantities</w:t>
      </w:r>
      <w:r w:rsidRPr="00746F54">
        <w:rPr>
          <w:sz w:val="22"/>
          <w:szCs w:val="22"/>
        </w:rPr>
        <w:t>: the GHG bid adder quantity reflects the maximum quantity of energy that the scheduling coordinator</w:t>
      </w:r>
      <w:r w:rsidRPr="00746F54" w:rsidDel="001705D8">
        <w:rPr>
          <w:sz w:val="22"/>
          <w:szCs w:val="22"/>
        </w:rPr>
        <w:t xml:space="preserve"> </w:t>
      </w:r>
      <w:r w:rsidRPr="00746F54">
        <w:rPr>
          <w:sz w:val="22"/>
          <w:szCs w:val="22"/>
        </w:rPr>
        <w:t>is willing to have delivered to that particular GHG area. If the GHG award exceeded this amount, the market results would not reflect the scheduling coordinator’s intention.</w:t>
      </w:r>
    </w:p>
    <w:p w14:paraId="232A6633" w14:textId="77777777" w:rsidR="00E4601F" w:rsidRPr="00746F54" w:rsidRDefault="00E4601F" w:rsidP="00E4601F">
      <w:pPr>
        <w:pStyle w:val="Default"/>
        <w:spacing w:after="240" w:line="276" w:lineRule="auto"/>
        <w:rPr>
          <w:sz w:val="22"/>
          <w:szCs w:val="22"/>
        </w:rPr>
      </w:pPr>
      <w:r w:rsidRPr="00746F54">
        <w:rPr>
          <w:sz w:val="22"/>
          <w:szCs w:val="22"/>
          <w:u w:val="single"/>
        </w:rPr>
        <w:t>GHG awards cannot exceed the difference between the resource’s upper economic limit (UEL) and the resource’s GHG counterfactual schedule</w:t>
      </w:r>
      <w:r w:rsidRPr="00746F54">
        <w:rPr>
          <w:sz w:val="22"/>
          <w:szCs w:val="22"/>
        </w:rPr>
        <w:t xml:space="preserve">: The market determines the counterfactual schedule for DAM participating resources in the GHG Reference Pass (section 2.3). This limitation is intended to minimize the frequency of the GHG award (which reflects energy deemed delivered to a GHG area) from utilizing the same output as the energy intended to be meet load outside of the GHG area. The UEL is the top MW quantity of the energy bid after accounting for applicable derates and capacity reservation for upward ancillary services (regulation up, and spinning and non-spinning reserves). The baseline that is utilized in this calculation varies between the DAM and the RTM, as well as if the resource participates in EDAM or only the WEIM. This is explained further below. However, there are instances when awards can exceed the GHG counterfactual schedule which includes: </w:t>
      </w:r>
    </w:p>
    <w:p w14:paraId="2C9F7571" w14:textId="77777777" w:rsidR="00E4601F" w:rsidRPr="00746F54" w:rsidRDefault="00E4601F" w:rsidP="00E4601F">
      <w:pPr>
        <w:pStyle w:val="Default"/>
        <w:numPr>
          <w:ilvl w:val="0"/>
          <w:numId w:val="77"/>
        </w:numPr>
        <w:spacing w:after="240" w:line="276" w:lineRule="auto"/>
        <w:rPr>
          <w:sz w:val="22"/>
          <w:szCs w:val="22"/>
        </w:rPr>
      </w:pPr>
      <w:r w:rsidRPr="00746F54">
        <w:rPr>
          <w:sz w:val="22"/>
          <w:szCs w:val="22"/>
        </w:rPr>
        <w:t>Economic Displacement (Portion may contribute to secondary dispatch)</w:t>
      </w:r>
    </w:p>
    <w:p w14:paraId="7C692B64" w14:textId="77777777" w:rsidR="00E4601F" w:rsidRPr="00746F54" w:rsidRDefault="00E4601F" w:rsidP="00E4601F">
      <w:pPr>
        <w:pStyle w:val="Default"/>
        <w:numPr>
          <w:ilvl w:val="0"/>
          <w:numId w:val="77"/>
        </w:numPr>
        <w:spacing w:after="240" w:line="276" w:lineRule="auto"/>
        <w:rPr>
          <w:sz w:val="22"/>
          <w:szCs w:val="22"/>
        </w:rPr>
      </w:pPr>
      <w:r w:rsidRPr="00746F54">
        <w:rPr>
          <w:sz w:val="22"/>
          <w:szCs w:val="22"/>
        </w:rPr>
        <w:t>Load Balancing (External Drivers)</w:t>
      </w:r>
    </w:p>
    <w:p w14:paraId="69B29622" w14:textId="77777777" w:rsidR="00E4601F" w:rsidRPr="00746F54" w:rsidRDefault="00E4601F" w:rsidP="00E4601F">
      <w:pPr>
        <w:pStyle w:val="Default"/>
        <w:numPr>
          <w:ilvl w:val="0"/>
          <w:numId w:val="77"/>
        </w:numPr>
        <w:spacing w:after="240" w:line="276" w:lineRule="auto"/>
        <w:rPr>
          <w:sz w:val="22"/>
          <w:szCs w:val="22"/>
        </w:rPr>
      </w:pPr>
      <w:r w:rsidRPr="00746F54">
        <w:rPr>
          <w:sz w:val="22"/>
          <w:szCs w:val="22"/>
        </w:rPr>
        <w:t>Ramping hourly schedules (External Drivers)</w:t>
      </w:r>
    </w:p>
    <w:p w14:paraId="03368B78" w14:textId="77777777" w:rsidR="00E4601F" w:rsidRPr="00746F54" w:rsidRDefault="00E4601F" w:rsidP="00E4601F">
      <w:pPr>
        <w:pStyle w:val="Default"/>
        <w:spacing w:after="240" w:line="276" w:lineRule="auto"/>
        <w:rPr>
          <w:sz w:val="22"/>
          <w:szCs w:val="22"/>
        </w:rPr>
      </w:pPr>
      <w:r w:rsidRPr="00746F54">
        <w:rPr>
          <w:sz w:val="22"/>
          <w:szCs w:val="22"/>
          <w:u w:val="single"/>
        </w:rPr>
        <w:t xml:space="preserve">Total GHG awards for all GHG areas cannot cover exceed the eligible GHG capacity for the GHG area: </w:t>
      </w:r>
      <w:r w:rsidRPr="00746F54">
        <w:rPr>
          <w:sz w:val="22"/>
          <w:szCs w:val="22"/>
        </w:rPr>
        <w:t xml:space="preserve">This constraint means that the same eligible GHG capacity cannot be used to serve two different GHG areas. </w:t>
      </w:r>
    </w:p>
    <w:p w14:paraId="5E912A65" w14:textId="77777777" w:rsidR="00E4601F" w:rsidRPr="00746F54" w:rsidRDefault="00E4601F" w:rsidP="00E4601F">
      <w:pPr>
        <w:pStyle w:val="Default"/>
        <w:spacing w:after="240" w:line="276" w:lineRule="auto"/>
        <w:rPr>
          <w:rFonts w:eastAsia="Calibri"/>
          <w:sz w:val="22"/>
          <w:szCs w:val="22"/>
        </w:rPr>
      </w:pPr>
      <w:r w:rsidRPr="00746F54">
        <w:rPr>
          <w:sz w:val="22"/>
          <w:szCs w:val="22"/>
        </w:rPr>
        <w:t>Taken together, the aforementioned limitations can be expressed formulaically as shown below (formula assumes that there are two GHG areas: GHG area A and GHG area B).</w:t>
      </w:r>
    </w:p>
    <w:p w14:paraId="4DAE5051" w14:textId="1F742880" w:rsidR="00E4601F" w:rsidRPr="00746F54" w:rsidRDefault="00E4601F" w:rsidP="008A5DA0">
      <w:pPr>
        <w:pStyle w:val="Default"/>
        <w:spacing w:after="240" w:line="276" w:lineRule="auto"/>
        <w:jc w:val="center"/>
        <w:rPr>
          <w:i/>
          <w:sz w:val="22"/>
          <w:szCs w:val="22"/>
        </w:rPr>
      </w:pPr>
      <w:r w:rsidRPr="00746F54">
        <w:rPr>
          <w:i/>
          <w:sz w:val="22"/>
          <w:szCs w:val="22"/>
        </w:rPr>
        <w:t>Eligible GHG capacity</w:t>
      </w:r>
      <w:r w:rsidRPr="00746F54">
        <w:rPr>
          <w:i/>
          <w:sz w:val="22"/>
          <w:szCs w:val="22"/>
          <w:vertAlign w:val="subscript"/>
        </w:rPr>
        <w:t>A</w:t>
      </w:r>
      <w:r w:rsidRPr="00746F54">
        <w:rPr>
          <w:i/>
          <w:sz w:val="22"/>
          <w:szCs w:val="22"/>
        </w:rPr>
        <w:t xml:space="preserve"> (MW) = max(0, min[Optimal Dispatch, GHG Bid</w:t>
      </w:r>
      <w:r w:rsidRPr="00746F54">
        <w:rPr>
          <w:i/>
          <w:sz w:val="22"/>
          <w:szCs w:val="22"/>
          <w:vertAlign w:val="subscript"/>
        </w:rPr>
        <w:t>A</w:t>
      </w:r>
      <w:r w:rsidRPr="00746F54">
        <w:rPr>
          <w:i/>
          <w:sz w:val="22"/>
          <w:szCs w:val="22"/>
        </w:rPr>
        <w:t xml:space="preserve">, UEL - baseline] </w:t>
      </w:r>
      <w:commentRangeStart w:id="354"/>
      <w:commentRangeStart w:id="355"/>
      <w:commentRangeStart w:id="356"/>
      <w:r w:rsidRPr="00746F54">
        <w:rPr>
          <w:i/>
          <w:sz w:val="22"/>
          <w:szCs w:val="22"/>
        </w:rPr>
        <w:t>– GHG Award</w:t>
      </w:r>
      <w:r w:rsidRPr="00746F54">
        <w:rPr>
          <w:i/>
          <w:sz w:val="22"/>
          <w:szCs w:val="22"/>
          <w:vertAlign w:val="subscript"/>
        </w:rPr>
        <w:t>B</w:t>
      </w:r>
      <w:commentRangeEnd w:id="354"/>
      <w:r w:rsidRPr="00746F54">
        <w:rPr>
          <w:rStyle w:val="CommentReference"/>
          <w:rFonts w:eastAsiaTheme="minorHAnsi"/>
          <w:color w:val="auto"/>
          <w:sz w:val="22"/>
          <w:szCs w:val="22"/>
        </w:rPr>
        <w:commentReference w:id="354"/>
      </w:r>
      <w:commentRangeEnd w:id="355"/>
      <w:r w:rsidRPr="00746F54">
        <w:rPr>
          <w:rStyle w:val="CommentReference"/>
          <w:rFonts w:eastAsiaTheme="minorHAnsi"/>
          <w:color w:val="auto"/>
        </w:rPr>
        <w:commentReference w:id="355"/>
      </w:r>
      <w:commentRangeEnd w:id="356"/>
      <w:r w:rsidR="00451674" w:rsidRPr="00746F54">
        <w:rPr>
          <w:rStyle w:val="CommentReference"/>
          <w:rFonts w:eastAsiaTheme="minorHAnsi"/>
          <w:color w:val="auto"/>
        </w:rPr>
        <w:commentReference w:id="356"/>
      </w:r>
      <w:r w:rsidRPr="00746F54">
        <w:rPr>
          <w:i/>
          <w:sz w:val="22"/>
          <w:szCs w:val="22"/>
        </w:rPr>
        <w:t>)</w:t>
      </w:r>
    </w:p>
    <w:p w14:paraId="334C03C0" w14:textId="77777777" w:rsidR="00E4601F" w:rsidRPr="00746F54" w:rsidRDefault="00E4601F" w:rsidP="00E4601F">
      <w:pPr>
        <w:pStyle w:val="Heading4"/>
        <w:rPr>
          <w:rFonts w:ascii="Arial" w:hAnsi="Arial" w:cs="Arial"/>
        </w:rPr>
      </w:pPr>
      <w:r w:rsidRPr="00746F54">
        <w:rPr>
          <w:rFonts w:ascii="Arial" w:hAnsi="Arial" w:cs="Arial"/>
        </w:rPr>
        <w:t xml:space="preserve">GHG Counterfactual </w:t>
      </w:r>
    </w:p>
    <w:p w14:paraId="0638ABCE" w14:textId="77777777" w:rsidR="00E4601F" w:rsidRPr="00746F54" w:rsidRDefault="00E4601F" w:rsidP="00E4601F">
      <w:pPr>
        <w:pStyle w:val="Default"/>
        <w:spacing w:after="240" w:line="276" w:lineRule="auto"/>
        <w:rPr>
          <w:sz w:val="22"/>
          <w:szCs w:val="22"/>
        </w:rPr>
      </w:pPr>
      <w:r w:rsidRPr="00746F54">
        <w:rPr>
          <w:sz w:val="22"/>
          <w:szCs w:val="22"/>
        </w:rPr>
        <w:t>To reduce the potential for secondary dispatch, the EDAM and WEIM will attempt to consider only energy incrementally dispatched as a consequence of demand in a GHG area to be eligible for import into a GHG area. The market uses a counterfactual approach to identify capacity that would most likely be serving the non-GHG area in the full market run. The counterfactual is an estimate of the amount of energy needed from a resource to meet load requirements outside of the GHG area. Capacity dispatched above the counterfactual is considered eligible for GHG attribution.</w:t>
      </w:r>
    </w:p>
    <w:p w14:paraId="4723A326" w14:textId="77777777" w:rsidR="00E4601F" w:rsidRPr="00746F54" w:rsidRDefault="00E4601F" w:rsidP="00E4601F">
      <w:pPr>
        <w:pStyle w:val="Default"/>
        <w:spacing w:after="240" w:line="276" w:lineRule="auto"/>
        <w:rPr>
          <w:sz w:val="22"/>
          <w:szCs w:val="22"/>
        </w:rPr>
      </w:pPr>
      <w:r w:rsidRPr="00746F54">
        <w:rPr>
          <w:sz w:val="22"/>
          <w:szCs w:val="22"/>
        </w:rPr>
        <w:lastRenderedPageBreak/>
        <w:t xml:space="preserve">The counterfactual is necessarily an estimate, and differences always arise between the establishment of the counterfactual and the market pass that determines GHG awards. Why these differences arise and to what extent is different depending on the counterfactual method. </w:t>
      </w:r>
    </w:p>
    <w:p w14:paraId="3D36D42D" w14:textId="77777777" w:rsidR="00E4601F" w:rsidRPr="00746F54" w:rsidRDefault="00E4601F" w:rsidP="00E4601F">
      <w:pPr>
        <w:pStyle w:val="Default"/>
        <w:spacing w:after="240" w:line="276" w:lineRule="auto"/>
        <w:rPr>
          <w:sz w:val="22"/>
          <w:szCs w:val="22"/>
        </w:rPr>
      </w:pPr>
      <w:r w:rsidRPr="00746F54">
        <w:rPr>
          <w:sz w:val="22"/>
          <w:szCs w:val="22"/>
        </w:rPr>
        <w:t xml:space="preserve">The counterfactual is different depending on if the entity is an EDAM entity or WEIM entity. It also differs depending on the market run. For an EDAM entity in the day-ahead market, the market determines the counterfactual using an optimized GHG Reference Pass (described in section 2.3). For an EDAM entity in the RTM, the market uses the IFM results to determine the counterfactual for day-ahead participating resources. For entities that are only in the WEIM, the ISO will continue to use self-submitted base schedule as the counterfactual for WEIM-only resources. </w:t>
      </w:r>
    </w:p>
    <w:p w14:paraId="7B76A759" w14:textId="77777777" w:rsidR="00E4601F" w:rsidRPr="00746F54" w:rsidRDefault="00E4601F" w:rsidP="00E4601F">
      <w:pPr>
        <w:pStyle w:val="Default"/>
        <w:spacing w:after="240" w:line="276" w:lineRule="auto"/>
        <w:rPr>
          <w:sz w:val="22"/>
          <w:szCs w:val="22"/>
        </w:rPr>
      </w:pPr>
      <w:r w:rsidRPr="00746F54">
        <w:rPr>
          <w:sz w:val="22"/>
          <w:szCs w:val="22"/>
        </w:rPr>
        <w:t>The table below summarizes how baseline quantity is determined:</w:t>
      </w:r>
    </w:p>
    <w:tbl>
      <w:tblPr>
        <w:tblStyle w:val="TableGrid"/>
        <w:tblW w:w="0" w:type="auto"/>
        <w:tblLook w:val="04A0" w:firstRow="1" w:lastRow="0" w:firstColumn="1" w:lastColumn="0" w:noHBand="0" w:noVBand="1"/>
      </w:tblPr>
      <w:tblGrid>
        <w:gridCol w:w="2065"/>
        <w:gridCol w:w="3240"/>
        <w:gridCol w:w="4045"/>
      </w:tblGrid>
      <w:tr w:rsidR="00E4601F" w:rsidRPr="00746F54" w14:paraId="0CE4E5E9" w14:textId="77777777" w:rsidTr="00D62922">
        <w:tc>
          <w:tcPr>
            <w:tcW w:w="2065" w:type="dxa"/>
            <w:tcBorders>
              <w:top w:val="nil"/>
              <w:left w:val="nil"/>
            </w:tcBorders>
          </w:tcPr>
          <w:p w14:paraId="11FEFBD8" w14:textId="77777777" w:rsidR="00E4601F" w:rsidRPr="00746F54" w:rsidRDefault="00E4601F" w:rsidP="00D62922">
            <w:pPr>
              <w:pStyle w:val="Default"/>
              <w:spacing w:line="276" w:lineRule="auto"/>
              <w:jc w:val="left"/>
              <w:rPr>
                <w:sz w:val="22"/>
                <w:szCs w:val="22"/>
              </w:rPr>
            </w:pPr>
          </w:p>
        </w:tc>
        <w:tc>
          <w:tcPr>
            <w:tcW w:w="3240" w:type="dxa"/>
            <w:shd w:val="clear" w:color="auto" w:fill="D9D9D9" w:themeFill="background1" w:themeFillShade="D9"/>
          </w:tcPr>
          <w:p w14:paraId="7E104057" w14:textId="77777777" w:rsidR="00E4601F" w:rsidRPr="00746F54" w:rsidRDefault="00E4601F" w:rsidP="00D62922">
            <w:pPr>
              <w:pStyle w:val="Default"/>
              <w:spacing w:line="276" w:lineRule="auto"/>
              <w:jc w:val="center"/>
              <w:rPr>
                <w:sz w:val="22"/>
                <w:szCs w:val="22"/>
              </w:rPr>
            </w:pPr>
            <w:r w:rsidRPr="00746F54">
              <w:rPr>
                <w:sz w:val="22"/>
                <w:szCs w:val="22"/>
              </w:rPr>
              <w:t>DAM</w:t>
            </w:r>
          </w:p>
        </w:tc>
        <w:tc>
          <w:tcPr>
            <w:tcW w:w="4045" w:type="dxa"/>
            <w:shd w:val="clear" w:color="auto" w:fill="D9D9D9" w:themeFill="background1" w:themeFillShade="D9"/>
          </w:tcPr>
          <w:p w14:paraId="5081569F" w14:textId="77777777" w:rsidR="00E4601F" w:rsidRPr="00746F54" w:rsidRDefault="00E4601F" w:rsidP="00D62922">
            <w:pPr>
              <w:pStyle w:val="Default"/>
              <w:spacing w:line="276" w:lineRule="auto"/>
              <w:jc w:val="center"/>
              <w:rPr>
                <w:sz w:val="22"/>
                <w:szCs w:val="22"/>
              </w:rPr>
            </w:pPr>
            <w:r w:rsidRPr="00746F54">
              <w:rPr>
                <w:sz w:val="22"/>
                <w:szCs w:val="22"/>
              </w:rPr>
              <w:t>RTM</w:t>
            </w:r>
          </w:p>
        </w:tc>
      </w:tr>
      <w:tr w:rsidR="00E4601F" w:rsidRPr="00746F54" w14:paraId="7A83AD61" w14:textId="77777777" w:rsidTr="00D62922">
        <w:tc>
          <w:tcPr>
            <w:tcW w:w="2065" w:type="dxa"/>
          </w:tcPr>
          <w:p w14:paraId="4454CE72" w14:textId="77777777" w:rsidR="00E4601F" w:rsidRPr="00746F54" w:rsidRDefault="00E4601F" w:rsidP="00D62922">
            <w:pPr>
              <w:pStyle w:val="Default"/>
              <w:spacing w:line="276" w:lineRule="auto"/>
              <w:jc w:val="left"/>
              <w:rPr>
                <w:sz w:val="22"/>
                <w:szCs w:val="22"/>
              </w:rPr>
            </w:pPr>
            <w:r w:rsidRPr="00746F54">
              <w:rPr>
                <w:sz w:val="22"/>
                <w:szCs w:val="22"/>
              </w:rPr>
              <w:t>EDAM resource</w:t>
            </w:r>
          </w:p>
        </w:tc>
        <w:tc>
          <w:tcPr>
            <w:tcW w:w="3240" w:type="dxa"/>
          </w:tcPr>
          <w:p w14:paraId="0480CB1A" w14:textId="77777777" w:rsidR="00E4601F" w:rsidRPr="00746F54" w:rsidRDefault="00E4601F" w:rsidP="00D62922">
            <w:pPr>
              <w:pStyle w:val="Default"/>
              <w:spacing w:line="276" w:lineRule="auto"/>
              <w:jc w:val="center"/>
              <w:rPr>
                <w:sz w:val="22"/>
                <w:szCs w:val="22"/>
              </w:rPr>
            </w:pPr>
            <w:r w:rsidRPr="00746F54">
              <w:rPr>
                <w:sz w:val="22"/>
                <w:szCs w:val="22"/>
              </w:rPr>
              <w:t xml:space="preserve">GHG Reference Pass </w:t>
            </w:r>
          </w:p>
        </w:tc>
        <w:tc>
          <w:tcPr>
            <w:tcW w:w="4045" w:type="dxa"/>
          </w:tcPr>
          <w:p w14:paraId="5BFC5632" w14:textId="77777777" w:rsidR="00E4601F" w:rsidRPr="00746F54" w:rsidRDefault="00E4601F" w:rsidP="00D62922">
            <w:pPr>
              <w:pStyle w:val="Default"/>
              <w:spacing w:line="276" w:lineRule="auto"/>
              <w:jc w:val="center"/>
              <w:rPr>
                <w:sz w:val="22"/>
                <w:szCs w:val="22"/>
              </w:rPr>
            </w:pPr>
            <w:r w:rsidRPr="00746F54">
              <w:rPr>
                <w:sz w:val="22"/>
                <w:szCs w:val="22"/>
              </w:rPr>
              <w:t xml:space="preserve">Day-Ahead Energy Award – </w:t>
            </w:r>
            <w:r w:rsidRPr="00746F54" w:rsidDel="00750440">
              <w:rPr>
                <w:sz w:val="22"/>
                <w:szCs w:val="22"/>
              </w:rPr>
              <w:t>Day</w:t>
            </w:r>
            <w:r w:rsidRPr="00746F54">
              <w:rPr>
                <w:sz w:val="22"/>
                <w:szCs w:val="22"/>
              </w:rPr>
              <w:t xml:space="preserve">-Ahead GHG Award </w:t>
            </w:r>
          </w:p>
        </w:tc>
      </w:tr>
      <w:tr w:rsidR="00E4601F" w:rsidRPr="00746F54" w14:paraId="604F7B6C" w14:textId="77777777" w:rsidTr="00D62922">
        <w:tc>
          <w:tcPr>
            <w:tcW w:w="2065" w:type="dxa"/>
          </w:tcPr>
          <w:p w14:paraId="289F4DB0" w14:textId="77777777" w:rsidR="00E4601F" w:rsidRPr="00746F54" w:rsidRDefault="00E4601F" w:rsidP="00D62922">
            <w:pPr>
              <w:pStyle w:val="Default"/>
              <w:spacing w:line="276" w:lineRule="auto"/>
              <w:jc w:val="left"/>
              <w:rPr>
                <w:sz w:val="22"/>
                <w:szCs w:val="22"/>
              </w:rPr>
            </w:pPr>
            <w:r w:rsidRPr="00746F54">
              <w:rPr>
                <w:sz w:val="22"/>
                <w:szCs w:val="22"/>
              </w:rPr>
              <w:t>WEIM-only resource</w:t>
            </w:r>
          </w:p>
        </w:tc>
        <w:tc>
          <w:tcPr>
            <w:tcW w:w="3240" w:type="dxa"/>
          </w:tcPr>
          <w:p w14:paraId="02741EB3" w14:textId="77777777" w:rsidR="00E4601F" w:rsidRPr="00746F54" w:rsidRDefault="00E4601F" w:rsidP="00D62922">
            <w:pPr>
              <w:pStyle w:val="Default"/>
              <w:spacing w:line="276" w:lineRule="auto"/>
              <w:jc w:val="center"/>
              <w:rPr>
                <w:sz w:val="22"/>
                <w:szCs w:val="22"/>
              </w:rPr>
            </w:pPr>
            <w:r w:rsidRPr="00746F54">
              <w:rPr>
                <w:sz w:val="22"/>
                <w:szCs w:val="22"/>
              </w:rPr>
              <w:t>N/A; WEIM is RTM-only</w:t>
            </w:r>
          </w:p>
        </w:tc>
        <w:tc>
          <w:tcPr>
            <w:tcW w:w="4045" w:type="dxa"/>
          </w:tcPr>
          <w:p w14:paraId="3BCA70A0" w14:textId="77777777" w:rsidR="00E4601F" w:rsidRPr="00746F54" w:rsidRDefault="00E4601F" w:rsidP="00D62922">
            <w:pPr>
              <w:pStyle w:val="Default"/>
              <w:spacing w:line="276" w:lineRule="auto"/>
              <w:jc w:val="center"/>
              <w:rPr>
                <w:sz w:val="22"/>
                <w:szCs w:val="22"/>
              </w:rPr>
            </w:pPr>
            <w:r w:rsidRPr="00746F54">
              <w:rPr>
                <w:sz w:val="22"/>
                <w:szCs w:val="22"/>
              </w:rPr>
              <w:t>Base schedule</w:t>
            </w:r>
          </w:p>
        </w:tc>
      </w:tr>
    </w:tbl>
    <w:p w14:paraId="643ED226" w14:textId="77777777" w:rsidR="00E4601F" w:rsidRPr="00746F54" w:rsidRDefault="00E4601F" w:rsidP="00E4601F">
      <w:pPr>
        <w:pStyle w:val="Default"/>
        <w:spacing w:line="276" w:lineRule="auto"/>
        <w:rPr>
          <w:sz w:val="22"/>
          <w:szCs w:val="22"/>
        </w:rPr>
      </w:pPr>
    </w:p>
    <w:p w14:paraId="5910D591" w14:textId="77777777" w:rsidR="00E4601F" w:rsidRPr="00746F54" w:rsidRDefault="00E4601F" w:rsidP="00E4601F">
      <w:pPr>
        <w:pStyle w:val="Default"/>
        <w:numPr>
          <w:ilvl w:val="0"/>
          <w:numId w:val="49"/>
        </w:numPr>
        <w:spacing w:after="240" w:line="276" w:lineRule="auto"/>
        <w:rPr>
          <w:sz w:val="22"/>
          <w:szCs w:val="22"/>
        </w:rPr>
      </w:pPr>
      <w:r w:rsidRPr="00746F54">
        <w:rPr>
          <w:sz w:val="22"/>
          <w:szCs w:val="22"/>
          <w:u w:val="single"/>
        </w:rPr>
        <w:t>DAM counterfactual for EDAM resources</w:t>
      </w:r>
      <w:r w:rsidRPr="00746F54">
        <w:rPr>
          <w:sz w:val="22"/>
          <w:szCs w:val="22"/>
        </w:rPr>
        <w:t>: The DAM counterfactual is based on the EDAM GHG Reference Pass. The GHG reference pass is a discrete DAM pass that establishes optimal non-binding energy awards for resources outside of a GHG area, provided that there is no net import into the GHG area from resources outside of the GHG area. In doing so, it establishes an estimated counterfactual of what a resource would have generated if it were not able to import into a GHG area. This serves as the baseline for the IFM pass in which the market determines DAM GHG awards, thus allowing the IFM to more accurately identify incrementally dispatched energy for import into a GHG area. The details of the GHG counterfactual pass are explained in greater detail below. Awards from the GHG counterfactual pass are available in CMRI.</w:t>
      </w:r>
    </w:p>
    <w:p w14:paraId="75DE0CBD" w14:textId="77777777" w:rsidR="00E4601F" w:rsidRPr="00746F54" w:rsidRDefault="00E4601F" w:rsidP="00E4601F">
      <w:pPr>
        <w:pStyle w:val="Default"/>
        <w:numPr>
          <w:ilvl w:val="0"/>
          <w:numId w:val="49"/>
        </w:numPr>
        <w:spacing w:after="240" w:line="276" w:lineRule="auto"/>
        <w:rPr>
          <w:sz w:val="22"/>
          <w:szCs w:val="22"/>
        </w:rPr>
      </w:pPr>
      <w:r w:rsidRPr="00746F54">
        <w:rPr>
          <w:sz w:val="22"/>
          <w:szCs w:val="22"/>
          <w:u w:val="single"/>
        </w:rPr>
        <w:t>RTM baseline for EDAM resources</w:t>
      </w:r>
      <w:r w:rsidRPr="00746F54">
        <w:rPr>
          <w:sz w:val="22"/>
          <w:szCs w:val="22"/>
        </w:rPr>
        <w:t xml:space="preserve">: The RTM counterfactual is based on the results of the IFM pass; it is calculated as the non-negative difference between the IFM energy award and the sum of the IFM GHG awards. The rationale for this is that the IFM energy award is the total quantity of energy the resource is expected to generate and the IFM GHG awards are the quantity of the resource’s energy that is imported into a GHG area. The remaining quantity of energy is the portion of the IFM energy award that serves load outside of a GHG area and is thereby analogous to the DAM counterfactual. </w:t>
      </w:r>
    </w:p>
    <w:p w14:paraId="1587460A" w14:textId="27928DD7" w:rsidR="00E4601F" w:rsidRPr="00746F54" w:rsidRDefault="00E4601F" w:rsidP="00E4601F">
      <w:pPr>
        <w:pStyle w:val="Default"/>
        <w:numPr>
          <w:ilvl w:val="0"/>
          <w:numId w:val="49"/>
        </w:numPr>
        <w:spacing w:after="240" w:line="276" w:lineRule="auto"/>
        <w:rPr>
          <w:sz w:val="22"/>
          <w:szCs w:val="22"/>
        </w:rPr>
      </w:pPr>
      <w:r w:rsidRPr="00746F54">
        <w:rPr>
          <w:sz w:val="22"/>
          <w:szCs w:val="22"/>
          <w:u w:val="single"/>
        </w:rPr>
        <w:t>RTM baseline for WEIM-only resources</w:t>
      </w:r>
      <w:r w:rsidRPr="00746F54">
        <w:rPr>
          <w:sz w:val="22"/>
          <w:szCs w:val="22"/>
        </w:rPr>
        <w:t xml:space="preserve">: The RTM counterfactual is based on the WEIM entity’s base schedule. In the context of the GHG attribution mechanism, resource base schedules can be thought of the SC’s estimate of the resource’s output is needed to serve load outside of GHG areas. Note that, while the DAM and RTM baseline for EDAM </w:t>
      </w:r>
      <w:r w:rsidRPr="00746F54">
        <w:rPr>
          <w:sz w:val="22"/>
          <w:szCs w:val="22"/>
        </w:rPr>
        <w:lastRenderedPageBreak/>
        <w:t>resources are determined as a result of the market, the RTM baseline for WEIM-only resources is directly determined by the SC.</w:t>
      </w:r>
    </w:p>
    <w:p w14:paraId="0196A7DB" w14:textId="77777777" w:rsidR="00E4601F" w:rsidRPr="00746F54" w:rsidRDefault="00E4601F" w:rsidP="00E4601F">
      <w:pPr>
        <w:pStyle w:val="Heading3"/>
        <w:rPr>
          <w:rFonts w:ascii="Arial" w:hAnsi="Arial" w:cs="Arial"/>
        </w:rPr>
      </w:pPr>
      <w:bookmarkStart w:id="357" w:name="_Toc211337986"/>
      <w:r w:rsidRPr="00746F54">
        <w:rPr>
          <w:rFonts w:ascii="Arial" w:hAnsi="Arial" w:cs="Arial"/>
        </w:rPr>
        <w:t>GHG Reference Pass (33.32.2.3)</w:t>
      </w:r>
      <w:bookmarkEnd w:id="357"/>
    </w:p>
    <w:p w14:paraId="05D9F1BD" w14:textId="47AA753F" w:rsidR="00D13D20" w:rsidRPr="00746F54" w:rsidRDefault="00D13D20" w:rsidP="00D13D20">
      <w:pPr>
        <w:pStyle w:val="ParaText"/>
        <w:rPr>
          <w:rFonts w:ascii="Arial" w:eastAsia="Times New Roman" w:hAnsi="Arial" w:cs="Arial"/>
          <w:color w:val="000000"/>
          <w:u w:val="single"/>
        </w:rPr>
      </w:pPr>
      <w:r w:rsidRPr="00746F54">
        <w:rPr>
          <w:rFonts w:ascii="Arial" w:eastAsia="Times New Roman" w:hAnsi="Arial" w:cs="Arial"/>
          <w:color w:val="000000"/>
          <w:u w:val="single"/>
        </w:rPr>
        <w:t>Reference tariff section 33.32.2.3</w:t>
      </w:r>
    </w:p>
    <w:p w14:paraId="0BB23535" w14:textId="5CF032CE" w:rsidR="00E4601F" w:rsidRPr="00746F54" w:rsidRDefault="00E4601F" w:rsidP="00D13D20">
      <w:pPr>
        <w:pStyle w:val="ParaText"/>
        <w:rPr>
          <w:rFonts w:ascii="Arial" w:eastAsia="Times New Roman" w:hAnsi="Arial" w:cs="Arial"/>
          <w:color w:val="000000"/>
        </w:rPr>
      </w:pPr>
      <w:r w:rsidRPr="00746F54">
        <w:rPr>
          <w:rFonts w:ascii="Arial" w:eastAsia="Times New Roman" w:hAnsi="Arial" w:cs="Arial"/>
          <w:color w:val="000000"/>
        </w:rPr>
        <w:t xml:space="preserve">This section describes the GHG reference pass in the EDAM, which serves as the GHG counterfactual for EDAM participating resources. The GHG counterfactual has two purposes, both to 1.) reduce secondary dispatch due to GHG attributions in the IFM by limiting attribution to resource capacity not scheduled in the GHG counter-factual pass and 2.) establish a baseline to determine what dispatch would have occurred in the non-GHG regulation area without offers to serve demand in GHG regulation areas. </w:t>
      </w:r>
    </w:p>
    <w:p w14:paraId="4EAFF205" w14:textId="77777777" w:rsidR="00E4601F" w:rsidRPr="00746F54" w:rsidRDefault="00E4601F" w:rsidP="00D13D20">
      <w:pPr>
        <w:pStyle w:val="ParaText"/>
        <w:rPr>
          <w:rFonts w:ascii="Arial" w:eastAsia="Times New Roman" w:hAnsi="Arial" w:cs="Arial"/>
          <w:color w:val="000000"/>
        </w:rPr>
      </w:pPr>
      <w:r w:rsidRPr="00746F54">
        <w:rPr>
          <w:rFonts w:ascii="Arial" w:eastAsia="Times New Roman" w:hAnsi="Arial" w:cs="Arial"/>
          <w:color w:val="000000"/>
        </w:rPr>
        <w:t>The purpose of determining what dispatch would have been, absent GHG policy, is to help regulators, if they so choose, to calculate secondary dispatch. Secondary dispatch is the phenomenon where higher emitting resources outside GHG regulation areas backfill for GHG attributions of lower emitting resources to serve non-GHG regulation area demand, thereby increasing the atmospheric cost of emissions that is not captured in the market solution.</w:t>
      </w:r>
      <w:r w:rsidRPr="00746F54">
        <w:rPr>
          <w:rFonts w:ascii="Arial" w:eastAsia="Times New Roman" w:hAnsi="Arial" w:cs="Arial"/>
          <w:color w:val="000000"/>
        </w:rPr>
        <w:footnoteReference w:id="9"/>
      </w:r>
    </w:p>
    <w:p w14:paraId="4EE47EE6" w14:textId="77777777" w:rsidR="00E4601F" w:rsidRPr="00746F54" w:rsidRDefault="00E4601F" w:rsidP="00D13D20">
      <w:pPr>
        <w:pStyle w:val="ParaText"/>
        <w:rPr>
          <w:rFonts w:ascii="Arial" w:eastAsia="Times New Roman" w:hAnsi="Arial" w:cs="Arial"/>
          <w:color w:val="000000"/>
        </w:rPr>
      </w:pPr>
      <w:r w:rsidRPr="00746F54">
        <w:rPr>
          <w:rFonts w:ascii="Arial" w:eastAsia="Times New Roman" w:hAnsi="Arial" w:cs="Arial"/>
          <w:color w:val="000000"/>
        </w:rPr>
        <w:t xml:space="preserve">The GHG reference pass is a counterfactual of the IFM where there are no GHG attributions, and thus no GHG regulation cost. By considering energy bids only, the GHG reference pass identifies the optimal schedules for supply resources when GHG regulation areas are not in the market footprint. The counterfactual schedules from the optimized reference pass are used to limit the respective GHG attributions in the IFM (and the MPM-IFM) to reduce the potential for secondary dispatch. The counterfactual schedules reflect the optimal solution without net import into GHG regulation areas, hence no GHG regulation cost. The GHG reference pass is identical to the MPM-IFM pass, i.e., essentially, the same problem is solved as in the IFM, but using submitted bids, and with the following important differences: </w:t>
      </w:r>
    </w:p>
    <w:p w14:paraId="2EE50DE1" w14:textId="77777777" w:rsidR="00E4601F" w:rsidRPr="00746F54" w:rsidRDefault="00E4601F" w:rsidP="00E4601F">
      <w:pPr>
        <w:pStyle w:val="ParaText"/>
        <w:numPr>
          <w:ilvl w:val="0"/>
          <w:numId w:val="74"/>
        </w:numPr>
        <w:rPr>
          <w:rFonts w:ascii="Arial" w:eastAsia="Times New Roman" w:hAnsi="Arial" w:cs="Arial"/>
          <w:color w:val="000000"/>
        </w:rPr>
      </w:pPr>
      <w:r w:rsidRPr="00746F54">
        <w:rPr>
          <w:rFonts w:ascii="Arial" w:eastAsia="Times New Roman" w:hAnsi="Arial" w:cs="Arial"/>
          <w:color w:val="000000"/>
        </w:rPr>
        <w:t>GHG bids are ignored, thus there is no GHG transfer in the import direction</w:t>
      </w:r>
    </w:p>
    <w:p w14:paraId="24523FCA" w14:textId="77777777" w:rsidR="00E4601F" w:rsidRPr="00746F54" w:rsidRDefault="00E4601F" w:rsidP="00E4601F">
      <w:pPr>
        <w:pStyle w:val="ParaText"/>
        <w:numPr>
          <w:ilvl w:val="0"/>
          <w:numId w:val="74"/>
        </w:numPr>
        <w:rPr>
          <w:rFonts w:ascii="Arial" w:eastAsia="Times New Roman" w:hAnsi="Arial" w:cs="Arial"/>
          <w:color w:val="000000"/>
        </w:rPr>
      </w:pPr>
      <w:r w:rsidRPr="00746F54">
        <w:rPr>
          <w:rFonts w:ascii="Arial" w:eastAsia="Times New Roman" w:hAnsi="Arial" w:cs="Arial"/>
          <w:color w:val="000000"/>
        </w:rPr>
        <w:t>There are additional constraints that limit the counterfactual supply schedules for resources with contractual obligations to serve demand in GHG regulation areas</w:t>
      </w:r>
    </w:p>
    <w:p w14:paraId="631B334B" w14:textId="027B7639" w:rsidR="00E4601F" w:rsidRPr="00746F54" w:rsidRDefault="00E4601F" w:rsidP="00D13D20">
      <w:pPr>
        <w:pStyle w:val="ParaText"/>
        <w:rPr>
          <w:rFonts w:ascii="Arial" w:eastAsia="Times New Roman" w:hAnsi="Arial" w:cs="Arial"/>
          <w:color w:val="000000"/>
        </w:rPr>
      </w:pPr>
      <w:r w:rsidRPr="00746F54">
        <w:rPr>
          <w:rFonts w:ascii="Arial" w:eastAsia="Times New Roman" w:hAnsi="Arial" w:cs="Arial"/>
          <w:color w:val="000000"/>
        </w:rPr>
        <w:lastRenderedPageBreak/>
        <w:t>This constraint reserves the contractually obligated capacity to serve demand in GHG regulation areas from receiving a counterfactual schedule so that it will be available for GHG attributions in the IFM. Contractual obligations from a resource to its own GHG regulation area, e.g., RA capacity from CISO resources, are ignored in this constraint because they are not eligible for GHG attributions for other GHG regulation areas anyway</w:t>
      </w:r>
    </w:p>
    <w:p w14:paraId="258BAF65" w14:textId="5B648FFD" w:rsidR="00E4601F" w:rsidRPr="00746F54" w:rsidRDefault="00D13D20" w:rsidP="003336BF">
      <w:pPr>
        <w:pStyle w:val="Heading2"/>
        <w:rPr>
          <w:rFonts w:ascii="Arial" w:hAnsi="Arial" w:cs="Arial"/>
        </w:rPr>
      </w:pPr>
      <w:r w:rsidRPr="00746F54">
        <w:rPr>
          <w:rFonts w:ascii="Arial" w:hAnsi="Arial" w:cs="Arial"/>
        </w:rPr>
        <w:t xml:space="preserve"> </w:t>
      </w:r>
      <w:bookmarkStart w:id="358" w:name="_Toc211337987"/>
      <w:bookmarkStart w:id="359" w:name="_Toc212733101"/>
      <w:r w:rsidR="00E4601F" w:rsidRPr="00746F54">
        <w:rPr>
          <w:rFonts w:ascii="Arial" w:hAnsi="Arial" w:cs="Arial"/>
        </w:rPr>
        <w:t>GHG Attribution in the IFM (tariff sections 33.32.3, 33.32.4)</w:t>
      </w:r>
      <w:bookmarkEnd w:id="358"/>
      <w:bookmarkEnd w:id="359"/>
    </w:p>
    <w:p w14:paraId="65D97E43" w14:textId="2FCA0CB7" w:rsidR="00D13D20" w:rsidRPr="00746F54" w:rsidRDefault="00D13D20" w:rsidP="00E4601F">
      <w:pPr>
        <w:contextualSpacing/>
        <w:rPr>
          <w:rFonts w:ascii="Arial" w:eastAsia="Times New Roman" w:hAnsi="Arial" w:cs="Arial"/>
          <w:color w:val="000000"/>
          <w:u w:val="single"/>
        </w:rPr>
      </w:pPr>
      <w:r w:rsidRPr="00746F54">
        <w:rPr>
          <w:rFonts w:ascii="Arial" w:eastAsia="Times New Roman" w:hAnsi="Arial" w:cs="Arial"/>
          <w:color w:val="000000"/>
          <w:u w:val="single"/>
        </w:rPr>
        <w:t>Reference tariff sections 33.32.3 and 33.32.4</w:t>
      </w:r>
    </w:p>
    <w:p w14:paraId="371027F5" w14:textId="77777777" w:rsidR="00D13D20" w:rsidRPr="00746F54" w:rsidRDefault="00D13D20" w:rsidP="00E4601F">
      <w:pPr>
        <w:contextualSpacing/>
        <w:rPr>
          <w:rFonts w:ascii="Arial" w:eastAsia="Times New Roman" w:hAnsi="Arial" w:cs="Arial"/>
          <w:color w:val="000000"/>
        </w:rPr>
      </w:pPr>
    </w:p>
    <w:p w14:paraId="7AD485C9" w14:textId="6514B10F" w:rsidR="00E4601F" w:rsidRPr="00746F54" w:rsidRDefault="00E4601F" w:rsidP="00E4601F">
      <w:pPr>
        <w:contextualSpacing/>
        <w:rPr>
          <w:rFonts w:ascii="Arial" w:eastAsia="Times New Roman" w:hAnsi="Arial" w:cs="Arial"/>
          <w:color w:val="000000"/>
        </w:rPr>
      </w:pPr>
      <w:r w:rsidRPr="00746F54">
        <w:rPr>
          <w:rFonts w:ascii="Arial" w:eastAsia="Times New Roman" w:hAnsi="Arial" w:cs="Arial"/>
          <w:color w:val="000000"/>
        </w:rPr>
        <w:t xml:space="preserve">The market co-optimizes dispatch for the GHG and non-GHG areas to achieve a least-cost solution for the market footprint and a profit maximizing solution for market resources. GHG attribution is the market process that identifies which MWhs of eligible GHG capacity are deemed to serve a GHG area. Whether a resource is attributed, and to which GHG area, depends on bids as well as market conditions. </w:t>
      </w:r>
    </w:p>
    <w:p w14:paraId="461D76E4" w14:textId="77777777" w:rsidR="00E4601F" w:rsidRPr="00746F54" w:rsidRDefault="00E4601F" w:rsidP="00E4601F">
      <w:pPr>
        <w:contextualSpacing/>
        <w:rPr>
          <w:rFonts w:ascii="Arial" w:eastAsia="Times New Roman" w:hAnsi="Arial" w:cs="Arial"/>
          <w:color w:val="000000"/>
        </w:rPr>
      </w:pPr>
    </w:p>
    <w:p w14:paraId="7366E0DE" w14:textId="77777777" w:rsidR="00E4601F" w:rsidRPr="00746F54" w:rsidRDefault="00E4601F" w:rsidP="00E4601F">
      <w:pPr>
        <w:spacing w:after="240" w:line="300" w:lineRule="auto"/>
        <w:rPr>
          <w:rFonts w:ascii="Arial" w:eastAsia="Times New Roman" w:hAnsi="Arial" w:cs="Arial"/>
          <w:color w:val="000000"/>
        </w:rPr>
      </w:pPr>
      <w:r w:rsidRPr="00746F54">
        <w:rPr>
          <w:rFonts w:ascii="Arial" w:eastAsia="Times New Roman" w:hAnsi="Arial" w:cs="Arial"/>
          <w:color w:val="000000"/>
        </w:rPr>
        <w:t xml:space="preserve">The market determines the optimal net transfer for each GHG area, i.e. the total MWh import to a GHG area. The optimal net transfer is a constraint for GHG attribution; the market optimally allocates the MWhs of GHG transfers to the eligible GHG capacity of supply resources outside of the GHG area to meet the </w:t>
      </w:r>
      <w:r w:rsidRPr="00746F54">
        <w:rPr>
          <w:rFonts w:ascii="Arial" w:eastAsia="Calibri" w:hAnsi="Arial" w:cs="Arial"/>
        </w:rPr>
        <w:t>g</w:t>
      </w:r>
      <w:r w:rsidRPr="00746F54">
        <w:rPr>
          <w:rFonts w:ascii="Arial" w:hAnsi="Arial" w:cs="Arial"/>
        </w:rPr>
        <w:t>ross GHG attribution limit</w:t>
      </w:r>
      <w:r w:rsidRPr="00746F54">
        <w:rPr>
          <w:rFonts w:ascii="Arial" w:eastAsia="Times New Roman" w:hAnsi="Arial" w:cs="Arial"/>
          <w:color w:val="000000"/>
        </w:rPr>
        <w:t xml:space="preserve">. The marginal cost of GHG (MCG) is the shadow price of the </w:t>
      </w:r>
      <w:r w:rsidRPr="00746F54">
        <w:rPr>
          <w:rFonts w:ascii="Arial" w:eastAsia="Calibri" w:hAnsi="Arial" w:cs="Arial"/>
        </w:rPr>
        <w:t>g</w:t>
      </w:r>
      <w:r w:rsidRPr="00746F54">
        <w:rPr>
          <w:rFonts w:ascii="Arial" w:hAnsi="Arial" w:cs="Arial"/>
        </w:rPr>
        <w:t xml:space="preserve">ross GHG attribution limit </w:t>
      </w:r>
      <w:r w:rsidRPr="00746F54">
        <w:rPr>
          <w:rFonts w:ascii="Arial" w:eastAsia="Times New Roman" w:hAnsi="Arial" w:cs="Arial"/>
          <w:color w:val="000000"/>
        </w:rPr>
        <w:t>and reflects the incremental cost of serving the GHG area instead of the non-GHG area.</w:t>
      </w:r>
    </w:p>
    <w:p w14:paraId="4CCD8EE5" w14:textId="77777777" w:rsidR="00E4601F" w:rsidRPr="00746F54" w:rsidRDefault="00E4601F" w:rsidP="00E4601F">
      <w:pPr>
        <w:spacing w:after="240" w:line="300" w:lineRule="auto"/>
        <w:rPr>
          <w:rFonts w:ascii="Arial" w:eastAsia="Times New Roman" w:hAnsi="Arial" w:cs="Arial"/>
          <w:color w:val="000000"/>
        </w:rPr>
      </w:pPr>
      <w:r w:rsidRPr="00746F54">
        <w:rPr>
          <w:rFonts w:ascii="Arial" w:eastAsia="Times New Roman" w:hAnsi="Arial" w:cs="Arial"/>
          <w:color w:val="000000"/>
        </w:rPr>
        <w:t xml:space="preserve">The solution for the GHG area only considers offers that include the cost of GHG regulation for that area; the market considers the energy bid of resource in the GHG area, which includes regulation costs, and both the energy and GHG bid adder for resources outside the GHG regulation area. This ensures dispatch for the GHG area, and price signals for resources serving the GHG area, reflects the outcome intended by the regulation in that jurisdiction. </w:t>
      </w:r>
    </w:p>
    <w:p w14:paraId="04EFD6EA" w14:textId="77777777" w:rsidR="00E4601F" w:rsidRPr="00746F54" w:rsidRDefault="00E4601F" w:rsidP="00E4601F">
      <w:pPr>
        <w:spacing w:after="240" w:line="300" w:lineRule="auto"/>
        <w:rPr>
          <w:rFonts w:ascii="Arial" w:eastAsia="Times New Roman" w:hAnsi="Arial" w:cs="Arial"/>
          <w:color w:val="000000"/>
        </w:rPr>
      </w:pPr>
      <w:r w:rsidRPr="00746F54">
        <w:rPr>
          <w:rFonts w:ascii="Arial" w:eastAsia="Times New Roman" w:hAnsi="Arial" w:cs="Arial"/>
          <w:color w:val="000000"/>
        </w:rPr>
        <w:t xml:space="preserve">The market does not consider GHG bid adders in the solution for the non-GHG area. This separation ensures load in the non-GHG area does not pay for any incremental costs associated resources in the non-GHG area deemed to serve load in a GHG regulated area. </w:t>
      </w:r>
    </w:p>
    <w:p w14:paraId="2CDECC3B" w14:textId="2DACAD75" w:rsidR="00E4601F" w:rsidRPr="00746F54" w:rsidRDefault="00E4601F" w:rsidP="00D13D20">
      <w:pPr>
        <w:pStyle w:val="Default"/>
        <w:spacing w:after="240" w:line="276" w:lineRule="auto"/>
        <w:rPr>
          <w:sz w:val="22"/>
          <w:szCs w:val="22"/>
        </w:rPr>
      </w:pPr>
      <w:r w:rsidRPr="00746F54">
        <w:rPr>
          <w:sz w:val="22"/>
          <w:szCs w:val="22"/>
        </w:rPr>
        <w:t>GHG attribution does not directly depend on the location of the resource</w:t>
      </w:r>
      <w:r w:rsidRPr="00746F54">
        <w:rPr>
          <w:sz w:val="22"/>
          <w:szCs w:val="22"/>
        </w:rPr>
        <w:footnoteReference w:id="10"/>
      </w:r>
      <w:r w:rsidRPr="00746F54">
        <w:rPr>
          <w:sz w:val="22"/>
          <w:szCs w:val="22"/>
        </w:rPr>
        <w:t xml:space="preserve">; no shift factors are used in this allocation. The market optimization already takes power flow into account to determine energy, losses, and congestion for each pricing node. GHG attribution is an accounting problem incremental to market process that determines LMPs. For GHG attribution, supply resources outside of a GHG area are only differentiated in terms of their respective </w:t>
      </w:r>
      <w:r w:rsidRPr="00746F54">
        <w:rPr>
          <w:sz w:val="22"/>
          <w:szCs w:val="22"/>
        </w:rPr>
        <w:lastRenderedPageBreak/>
        <w:t xml:space="preserve">energy and GHG costs, as reflected by their GHG bid adder, and not in terms of their physical location (see examples of LMPs with GHG below).  </w:t>
      </w:r>
    </w:p>
    <w:p w14:paraId="7A4DBBF6" w14:textId="77777777" w:rsidR="00E4601F" w:rsidRPr="00746F54" w:rsidRDefault="00E4601F" w:rsidP="00E4601F">
      <w:pPr>
        <w:pStyle w:val="Heading3"/>
        <w:rPr>
          <w:rFonts w:ascii="Arial" w:hAnsi="Arial" w:cs="Arial"/>
        </w:rPr>
      </w:pPr>
      <w:bookmarkStart w:id="360" w:name="_Toc211337988"/>
      <w:r w:rsidRPr="00746F54">
        <w:rPr>
          <w:rFonts w:ascii="Arial" w:hAnsi="Arial" w:cs="Arial"/>
        </w:rPr>
        <w:t>Gross GHG Attribution Limit</w:t>
      </w:r>
      <w:bookmarkEnd w:id="360"/>
      <w:r w:rsidRPr="00746F54">
        <w:rPr>
          <w:rFonts w:ascii="Arial" w:hAnsi="Arial" w:cs="Arial"/>
        </w:rPr>
        <w:t xml:space="preserve"> </w:t>
      </w:r>
    </w:p>
    <w:p w14:paraId="1330D39E" w14:textId="77777777" w:rsidR="00E4601F" w:rsidRPr="00746F54" w:rsidRDefault="00E4601F" w:rsidP="00E4601F">
      <w:pPr>
        <w:spacing w:after="240" w:line="300" w:lineRule="auto"/>
        <w:rPr>
          <w:rFonts w:ascii="Arial" w:eastAsia="Calibri" w:hAnsi="Arial" w:cs="Arial"/>
        </w:rPr>
      </w:pPr>
      <w:r w:rsidRPr="00746F54">
        <w:rPr>
          <w:rFonts w:ascii="Arial" w:hAnsi="Arial" w:cs="Arial"/>
        </w:rPr>
        <w:t>GHG attribution is a function of the g</w:t>
      </w:r>
      <w:r w:rsidRPr="00746F54">
        <w:rPr>
          <w:rFonts w:ascii="Arial" w:eastAsia="Calibri" w:hAnsi="Arial" w:cs="Arial"/>
        </w:rPr>
        <w:t>ross GHG attribution limit constraint</w:t>
      </w:r>
      <w:r w:rsidRPr="00746F54">
        <w:rPr>
          <w:rFonts w:ascii="Arial" w:hAnsi="Arial" w:cs="Arial"/>
        </w:rPr>
        <w:t>. The market determines the optimal net transfer for each GHG area (</w:t>
      </w:r>
      <w:r w:rsidRPr="00746F54">
        <w:rPr>
          <w:rFonts w:ascii="Arial" w:hAnsi="Arial" w:cs="Arial"/>
          <w:i/>
        </w:rPr>
        <w:t>i.e.</w:t>
      </w:r>
      <w:r w:rsidRPr="00746F54">
        <w:rPr>
          <w:rFonts w:ascii="Arial" w:hAnsi="Arial" w:cs="Arial"/>
        </w:rPr>
        <w:t xml:space="preserve"> the total MWh import to a GHG area, based on bids and market conditions). </w:t>
      </w:r>
      <w:r w:rsidRPr="00746F54">
        <w:rPr>
          <w:rFonts w:ascii="Arial" w:eastAsia="Calibri" w:hAnsi="Arial" w:cs="Arial"/>
        </w:rPr>
        <w:t xml:space="preserve">The GHG net transfer is a function of transmission and scheduling constraints but does not reflect the impact of these constraints. The GHG net transfer carries the cost of GHG regulation, which is the additional cost of what the non-GHG area is willing to pay. </w:t>
      </w:r>
    </w:p>
    <w:p w14:paraId="533302A1" w14:textId="77777777" w:rsidR="00E4601F" w:rsidRPr="00746F54" w:rsidRDefault="00E4601F" w:rsidP="00E4601F">
      <w:pPr>
        <w:spacing w:after="240" w:line="300" w:lineRule="auto"/>
        <w:rPr>
          <w:rFonts w:ascii="Arial" w:eastAsia="Calibri" w:hAnsi="Arial" w:cs="Arial"/>
        </w:rPr>
      </w:pPr>
      <w:r w:rsidRPr="00746F54">
        <w:rPr>
          <w:rFonts w:ascii="Arial" w:eastAsia="Calibri" w:hAnsi="Arial" w:cs="Arial"/>
        </w:rPr>
        <w:t xml:space="preserve">If the optimal net transfer to a GHG area is negative, i.e. the GHG area is net exporting, there will be no GHG attribution. </w:t>
      </w:r>
    </w:p>
    <w:p w14:paraId="66F8B719" w14:textId="77777777" w:rsidR="00E4601F" w:rsidRPr="00746F54" w:rsidRDefault="00E4601F" w:rsidP="00E4601F">
      <w:pPr>
        <w:spacing w:after="240" w:line="300" w:lineRule="auto"/>
        <w:rPr>
          <w:rFonts w:ascii="Arial" w:eastAsia="Calibri" w:hAnsi="Arial" w:cs="Arial"/>
        </w:rPr>
      </w:pPr>
      <w:r w:rsidRPr="00746F54">
        <w:rPr>
          <w:rFonts w:ascii="Arial" w:eastAsia="Calibri" w:hAnsi="Arial" w:cs="Arial"/>
        </w:rPr>
        <w:t xml:space="preserve">If the GHG net transfer is positive, the market optimally allocates the MWhs of GHG transfers to the eligible GHG capacity of supply resources outside of the GHG area. The total MWh of GHG awards for each GHG area is equal to the MWh of the optimal net GHG transfer. </w:t>
      </w:r>
    </w:p>
    <w:p w14:paraId="6E952766" w14:textId="35978CEE" w:rsidR="00E4601F" w:rsidRPr="00746F54" w:rsidRDefault="00E4601F" w:rsidP="00E4601F">
      <w:pPr>
        <w:pStyle w:val="Heading3"/>
        <w:rPr>
          <w:rFonts w:ascii="Arial" w:hAnsi="Arial" w:cs="Arial"/>
        </w:rPr>
      </w:pPr>
      <w:bookmarkStart w:id="361" w:name="_Toc211337989"/>
      <w:r w:rsidRPr="00746F54">
        <w:rPr>
          <w:rFonts w:ascii="Arial" w:hAnsi="Arial" w:cs="Arial"/>
        </w:rPr>
        <w:t>Marginal cost of GHG</w:t>
      </w:r>
      <w:bookmarkEnd w:id="361"/>
    </w:p>
    <w:p w14:paraId="499CA270" w14:textId="225EEB24" w:rsidR="00D13D20" w:rsidRPr="00746F54" w:rsidRDefault="00D13D20" w:rsidP="00E4601F">
      <w:pPr>
        <w:spacing w:after="240" w:line="300" w:lineRule="auto"/>
        <w:rPr>
          <w:rFonts w:ascii="Arial" w:eastAsia="Calibri" w:hAnsi="Arial" w:cs="Arial"/>
          <w:u w:val="single"/>
        </w:rPr>
      </w:pPr>
      <w:r w:rsidRPr="00746F54">
        <w:rPr>
          <w:rFonts w:ascii="Arial" w:eastAsia="Calibri" w:hAnsi="Arial" w:cs="Arial"/>
          <w:u w:val="single"/>
        </w:rPr>
        <w:t>Reference tariff section 33.32.3</w:t>
      </w:r>
    </w:p>
    <w:p w14:paraId="6B1574C7" w14:textId="21BF7949" w:rsidR="00E4601F" w:rsidRPr="00746F54" w:rsidRDefault="00E4601F" w:rsidP="00E4601F">
      <w:pPr>
        <w:spacing w:after="240" w:line="300" w:lineRule="auto"/>
        <w:rPr>
          <w:rFonts w:ascii="Arial" w:eastAsia="Calibri" w:hAnsi="Arial" w:cs="Arial"/>
        </w:rPr>
      </w:pPr>
      <w:r w:rsidRPr="00746F54">
        <w:rPr>
          <w:rFonts w:ascii="Arial" w:eastAsia="Calibri" w:hAnsi="Arial" w:cs="Arial"/>
        </w:rPr>
        <w:t>The MGC is used to facilitate efficient dispatch and settlement</w:t>
      </w:r>
      <w:r w:rsidRPr="00746F54">
        <w:rPr>
          <w:rStyle w:val="FootnoteReference"/>
          <w:rFonts w:ascii="Arial" w:eastAsia="Calibri" w:hAnsi="Arial" w:cs="Arial"/>
        </w:rPr>
        <w:footnoteReference w:id="11"/>
      </w:r>
      <w:r w:rsidRPr="00746F54">
        <w:rPr>
          <w:rFonts w:ascii="Arial" w:eastAsia="Calibri" w:hAnsi="Arial" w:cs="Arial"/>
        </w:rPr>
        <w:t xml:space="preserve">. It ensures that resources in a GHG area and external resources attributed to that GHG area face the same price signal for energy serving demand in a GHG area. When preferences for dispatch and prices between the GHG and non-GHG areas diverge, the MGC makes that cost separation transparent. </w:t>
      </w:r>
    </w:p>
    <w:p w14:paraId="312DF8E5" w14:textId="77777777" w:rsidR="00E4601F" w:rsidRPr="00746F54" w:rsidRDefault="00E4601F" w:rsidP="00E4601F">
      <w:pPr>
        <w:spacing w:after="240" w:line="300" w:lineRule="auto"/>
        <w:rPr>
          <w:rFonts w:ascii="Arial" w:eastAsia="Calibri" w:hAnsi="Arial" w:cs="Arial"/>
        </w:rPr>
      </w:pPr>
      <w:r w:rsidRPr="00746F54">
        <w:rPr>
          <w:rFonts w:ascii="Arial" w:eastAsia="Calibri" w:hAnsi="Arial" w:cs="Arial"/>
        </w:rPr>
        <w:t>The marginal cost of GHG (MGC) is the shadow price of the g</w:t>
      </w:r>
      <w:r w:rsidRPr="00746F54">
        <w:rPr>
          <w:rFonts w:ascii="Arial" w:hAnsi="Arial" w:cs="Arial"/>
        </w:rPr>
        <w:t>ross GHG attribution limit</w:t>
      </w:r>
      <w:r w:rsidRPr="00746F54">
        <w:rPr>
          <w:rFonts w:ascii="Arial" w:eastAsia="Calibri" w:hAnsi="Arial" w:cs="Arial"/>
        </w:rPr>
        <w:t xml:space="preserve"> and reflects the incremental cost of serving the GHG area instead of the non-GHG area. In other words, the MGC is the additional cost of a marginal export to the GHG area. If the energy cost in the GHG area is higher than for the non-GHG areas, the MGC will be a positive component of LMPs for pricing nodes (</w:t>
      </w:r>
      <w:r w:rsidRPr="00746F54" w:rsidDel="0087336B">
        <w:rPr>
          <w:rFonts w:ascii="Arial" w:eastAsia="Calibri" w:hAnsi="Arial" w:cs="Arial"/>
        </w:rPr>
        <w:t>Pnode</w:t>
      </w:r>
      <w:r w:rsidRPr="00746F54">
        <w:rPr>
          <w:rFonts w:ascii="Arial" w:eastAsia="Calibri" w:hAnsi="Arial" w:cs="Arial"/>
        </w:rPr>
        <w:t xml:space="preserve">) outside the GHG area, applicable only to resources that receive a GHG attribution. </w:t>
      </w:r>
    </w:p>
    <w:p w14:paraId="0E77F5F7" w14:textId="359A5D5C" w:rsidR="00E4601F" w:rsidRPr="00746F54" w:rsidRDefault="00E4601F" w:rsidP="00E4601F">
      <w:pPr>
        <w:spacing w:after="240" w:line="300" w:lineRule="auto"/>
        <w:rPr>
          <w:rFonts w:ascii="Arial" w:eastAsia="Calibri" w:hAnsi="Arial" w:cs="Arial"/>
        </w:rPr>
      </w:pPr>
      <w:r w:rsidRPr="00746F54">
        <w:rPr>
          <w:rFonts w:ascii="Arial" w:eastAsia="Calibri" w:hAnsi="Arial" w:cs="Arial"/>
        </w:rPr>
        <w:t xml:space="preserve">The MGC is a function of the GHG </w:t>
      </w:r>
      <w:r w:rsidRPr="00746F54">
        <w:rPr>
          <w:rFonts w:ascii="Arial" w:hAnsi="Arial" w:cs="Arial"/>
        </w:rPr>
        <w:t>attribution limit</w:t>
      </w:r>
      <w:r w:rsidRPr="00746F54">
        <w:rPr>
          <w:rFonts w:ascii="Arial" w:eastAsia="Calibri" w:hAnsi="Arial" w:cs="Arial"/>
        </w:rPr>
        <w:t xml:space="preserve"> but also the relative cost of resources eligible for attribution. If the GHG net transfer is positive but the shadow price is zero, there’s no difference in the marginal cost of energy inside and outside the GHG area so the MGC will be </w:t>
      </w:r>
      <w:r w:rsidRPr="00746F54">
        <w:rPr>
          <w:rFonts w:ascii="Arial" w:eastAsia="Calibri" w:hAnsi="Arial" w:cs="Arial"/>
        </w:rPr>
        <w:lastRenderedPageBreak/>
        <w:t xml:space="preserve">zero. In this case, GHG attribution will still occur but the energy component of Pnodes outside the GHG area reflects the cost of energy serving demand in the GHG area without an additional price signal. </w:t>
      </w:r>
      <w:r w:rsidR="00D13D20" w:rsidRPr="00746F54">
        <w:rPr>
          <w:rFonts w:ascii="Arial" w:eastAsia="Calibri" w:hAnsi="Arial" w:cs="Arial"/>
        </w:rPr>
        <w:t xml:space="preserve"> </w:t>
      </w:r>
      <w:r w:rsidRPr="00746F54">
        <w:rPr>
          <w:rFonts w:ascii="Arial" w:eastAsia="Calibri" w:hAnsi="Arial" w:cs="Arial"/>
        </w:rPr>
        <w:t>The MGC can vary between GHG areas.</w:t>
      </w:r>
    </w:p>
    <w:p w14:paraId="2B23B476" w14:textId="595DB556" w:rsidR="00E4601F" w:rsidRPr="00746F54" w:rsidRDefault="00E4601F" w:rsidP="00947B7F">
      <w:pPr>
        <w:pStyle w:val="Heading3"/>
        <w:rPr>
          <w:rFonts w:ascii="Arial" w:hAnsi="Arial" w:cs="Arial"/>
        </w:rPr>
      </w:pPr>
      <w:bookmarkStart w:id="362" w:name="_Toc211337990"/>
      <w:r w:rsidRPr="00746F54">
        <w:rPr>
          <w:rFonts w:ascii="Arial" w:hAnsi="Arial" w:cs="Arial"/>
        </w:rPr>
        <w:t>GHG awards</w:t>
      </w:r>
      <w:bookmarkEnd w:id="362"/>
    </w:p>
    <w:p w14:paraId="6639FE28" w14:textId="4A7A4D6D" w:rsidR="00D13D20" w:rsidRPr="00746F54" w:rsidRDefault="00D13D20" w:rsidP="00E4601F">
      <w:pPr>
        <w:spacing w:after="240" w:line="300" w:lineRule="auto"/>
        <w:rPr>
          <w:rFonts w:ascii="Arial" w:eastAsia="Calibri" w:hAnsi="Arial" w:cs="Arial"/>
          <w:u w:val="single"/>
        </w:rPr>
      </w:pPr>
      <w:r w:rsidRPr="00746F54">
        <w:rPr>
          <w:rFonts w:ascii="Arial" w:eastAsia="Calibri" w:hAnsi="Arial" w:cs="Arial"/>
          <w:u w:val="single"/>
        </w:rPr>
        <w:t>Reference tariff section 33.32.4</w:t>
      </w:r>
    </w:p>
    <w:p w14:paraId="13CEE165" w14:textId="76C10717" w:rsidR="00E4601F" w:rsidRPr="00746F54" w:rsidRDefault="00E4601F" w:rsidP="00E4601F">
      <w:pPr>
        <w:spacing w:after="240" w:line="300" w:lineRule="auto"/>
        <w:rPr>
          <w:rFonts w:ascii="Arial" w:eastAsia="Calibri" w:hAnsi="Arial" w:cs="Arial"/>
        </w:rPr>
      </w:pPr>
      <w:r w:rsidRPr="00746F54">
        <w:rPr>
          <w:rFonts w:ascii="Arial" w:eastAsia="Calibri" w:hAnsi="Arial" w:cs="Arial"/>
        </w:rPr>
        <w:t xml:space="preserve">The GHG award is a $/MWh financial award incremental to a portion of the resource’s energy award that also received a GHG attribution. A resource that does not receive an energy award will not receive a GHG award.  </w:t>
      </w:r>
    </w:p>
    <w:p w14:paraId="02A9A0F5" w14:textId="77777777" w:rsidR="00E4601F" w:rsidRPr="00746F54" w:rsidRDefault="00E4601F" w:rsidP="00E4601F">
      <w:pPr>
        <w:spacing w:after="240" w:line="300" w:lineRule="auto"/>
        <w:rPr>
          <w:rFonts w:ascii="Arial" w:eastAsia="Calibri" w:hAnsi="Arial" w:cs="Arial"/>
        </w:rPr>
      </w:pPr>
      <w:r w:rsidRPr="00746F54">
        <w:rPr>
          <w:rFonts w:ascii="Arial" w:eastAsia="Calibri" w:hAnsi="Arial" w:cs="Arial"/>
        </w:rPr>
        <w:t xml:space="preserve">The MGC ensures that load in a GHG area is responsible for all the GHG compliance costs associated with internal generation and GHG transfers without impacting the cost to load outside of a GHG regulation area. Load in the GHG area funds revenue to cover the MGC of attributed resources. This revenue covers all compliance costs of attributed resources reflected through the GHG $/MWh bid adder and energy costs in excess of the energy price at pnodes in the non-GHG area. </w:t>
      </w:r>
    </w:p>
    <w:p w14:paraId="4090927F" w14:textId="77777777" w:rsidR="00E4601F" w:rsidRPr="00746F54" w:rsidRDefault="00E4601F" w:rsidP="00E4601F">
      <w:pPr>
        <w:spacing w:after="240" w:line="300" w:lineRule="auto"/>
        <w:rPr>
          <w:rFonts w:ascii="Arial" w:eastAsia="Calibri" w:hAnsi="Arial" w:cs="Arial"/>
        </w:rPr>
      </w:pPr>
      <w:r w:rsidRPr="00746F54">
        <w:rPr>
          <w:rFonts w:ascii="Arial" w:eastAsia="Calibri" w:hAnsi="Arial" w:cs="Arial"/>
        </w:rPr>
        <w:t>To explain how the MCG is collected and distributed, an example is helpful. While the market design supports multiple GHG areas, assume that there are two GHG areas (GHG area A and B) and one non-GHG area:</w:t>
      </w:r>
    </w:p>
    <w:p w14:paraId="0550F486" w14:textId="77777777" w:rsidR="00E4601F" w:rsidRPr="00746F54" w:rsidRDefault="00E4601F" w:rsidP="00E4601F">
      <w:pPr>
        <w:pStyle w:val="ListParagraph"/>
        <w:numPr>
          <w:ilvl w:val="0"/>
          <w:numId w:val="48"/>
        </w:numPr>
        <w:spacing w:after="240" w:line="300" w:lineRule="auto"/>
        <w:rPr>
          <w:rFonts w:ascii="Arial" w:eastAsia="Calibri" w:hAnsi="Arial" w:cs="Arial"/>
        </w:rPr>
      </w:pPr>
      <w:r w:rsidRPr="00746F54">
        <w:rPr>
          <w:rFonts w:ascii="Arial" w:eastAsia="Calibri" w:hAnsi="Arial" w:cs="Arial"/>
        </w:rPr>
        <w:t>MCG revenues are collected from load: Load at pnodes located in GHG area A pays MCG</w:t>
      </w:r>
      <w:r w:rsidRPr="00746F54">
        <w:rPr>
          <w:rFonts w:ascii="Arial" w:eastAsia="Calibri" w:hAnsi="Arial" w:cs="Arial"/>
          <w:vertAlign w:val="subscript"/>
        </w:rPr>
        <w:t>A</w:t>
      </w:r>
      <w:r w:rsidRPr="00746F54">
        <w:rPr>
          <w:rFonts w:ascii="Arial" w:eastAsia="Calibri" w:hAnsi="Arial" w:cs="Arial"/>
        </w:rPr>
        <w:t xml:space="preserve"> and load at pnodes in GHG area B pays MCG</w:t>
      </w:r>
      <w:r w:rsidRPr="00746F54">
        <w:rPr>
          <w:rFonts w:ascii="Arial" w:eastAsia="Calibri" w:hAnsi="Arial" w:cs="Arial"/>
          <w:vertAlign w:val="subscript"/>
        </w:rPr>
        <w:t>B</w:t>
      </w:r>
      <w:r w:rsidRPr="00746F54">
        <w:rPr>
          <w:rFonts w:ascii="Arial" w:eastAsia="Calibri" w:hAnsi="Arial" w:cs="Arial"/>
        </w:rPr>
        <w:t xml:space="preserve">, while load at pnodes in the non-GHG area does not pay any MCG (i.e. MCG will be $0/MWh). </w:t>
      </w:r>
    </w:p>
    <w:p w14:paraId="0DC16FC1" w14:textId="77777777" w:rsidR="00E4601F" w:rsidRPr="00746F54" w:rsidRDefault="00E4601F" w:rsidP="00E4601F">
      <w:pPr>
        <w:pStyle w:val="ListParagraph"/>
        <w:numPr>
          <w:ilvl w:val="0"/>
          <w:numId w:val="48"/>
        </w:numPr>
        <w:spacing w:after="240" w:line="300" w:lineRule="auto"/>
        <w:rPr>
          <w:rFonts w:ascii="Arial" w:eastAsia="Calibri" w:hAnsi="Arial" w:cs="Arial"/>
        </w:rPr>
      </w:pPr>
      <w:r w:rsidRPr="00746F54">
        <w:rPr>
          <w:rFonts w:ascii="Arial" w:eastAsia="Calibri" w:hAnsi="Arial" w:cs="Arial"/>
        </w:rPr>
        <w:t>MCG revenues are distributed to supply: These payments go to supply at pnodes within GHG areas as well as supply resources that have received GHG awards. MCG</w:t>
      </w:r>
      <w:r w:rsidRPr="00746F54">
        <w:rPr>
          <w:rFonts w:ascii="Arial" w:eastAsia="Calibri" w:hAnsi="Arial" w:cs="Arial"/>
          <w:vertAlign w:val="subscript"/>
        </w:rPr>
        <w:t>A</w:t>
      </w:r>
      <w:r w:rsidRPr="00746F54">
        <w:rPr>
          <w:rFonts w:ascii="Arial" w:eastAsia="Calibri" w:hAnsi="Arial" w:cs="Arial"/>
        </w:rPr>
        <w:t xml:space="preserve"> will be paid to supply in GHG area A and MCG</w:t>
      </w:r>
      <w:r w:rsidRPr="00746F54">
        <w:rPr>
          <w:rFonts w:ascii="Arial" w:eastAsia="Calibri" w:hAnsi="Arial" w:cs="Arial"/>
          <w:vertAlign w:val="subscript"/>
        </w:rPr>
        <w:t>B</w:t>
      </w:r>
      <w:r w:rsidRPr="00746F54">
        <w:rPr>
          <w:rFonts w:ascii="Arial" w:eastAsia="Calibri" w:hAnsi="Arial" w:cs="Arial"/>
        </w:rPr>
        <w:t xml:space="preserve"> will be paid to supply in GHG area B. For resources that have received a GHG award, they will be paid the MCG for that GHG area. This can take a variety of permutations:</w:t>
      </w:r>
    </w:p>
    <w:p w14:paraId="50E905FF" w14:textId="77777777" w:rsidR="00E4601F" w:rsidRPr="00746F54" w:rsidRDefault="00E4601F" w:rsidP="00E4601F">
      <w:pPr>
        <w:pStyle w:val="ListParagraph"/>
        <w:numPr>
          <w:ilvl w:val="1"/>
          <w:numId w:val="48"/>
        </w:numPr>
        <w:spacing w:after="240" w:line="300" w:lineRule="auto"/>
        <w:rPr>
          <w:rFonts w:ascii="Arial" w:eastAsia="Calibri" w:hAnsi="Arial" w:cs="Arial"/>
        </w:rPr>
      </w:pPr>
      <w:r w:rsidRPr="00746F54">
        <w:rPr>
          <w:rFonts w:ascii="Arial" w:eastAsia="Calibri" w:hAnsi="Arial" w:cs="Arial"/>
        </w:rPr>
        <w:t>Supply resource located in the non-GHG area receives a 100MW GHG award for GHG area A: in this case, the resource will be paid 100MW multiplied by MCG</w:t>
      </w:r>
      <w:r w:rsidRPr="00746F54">
        <w:rPr>
          <w:rFonts w:ascii="Arial" w:eastAsia="Calibri" w:hAnsi="Arial" w:cs="Arial"/>
          <w:vertAlign w:val="subscript"/>
        </w:rPr>
        <w:t>A</w:t>
      </w:r>
      <w:r w:rsidRPr="00746F54">
        <w:rPr>
          <w:rStyle w:val="FootnoteReference"/>
          <w:rFonts w:ascii="Arial" w:eastAsia="Calibri" w:hAnsi="Arial" w:cs="Arial"/>
        </w:rPr>
        <w:footnoteReference w:id="12"/>
      </w:r>
    </w:p>
    <w:p w14:paraId="1697DB09" w14:textId="77777777" w:rsidR="00E4601F" w:rsidRPr="00746F54" w:rsidRDefault="00E4601F" w:rsidP="00E4601F">
      <w:pPr>
        <w:pStyle w:val="ListParagraph"/>
        <w:numPr>
          <w:ilvl w:val="1"/>
          <w:numId w:val="48"/>
        </w:numPr>
        <w:spacing w:after="240" w:line="300" w:lineRule="auto"/>
        <w:rPr>
          <w:rFonts w:ascii="Arial" w:eastAsia="Calibri" w:hAnsi="Arial" w:cs="Arial"/>
        </w:rPr>
      </w:pPr>
      <w:r w:rsidRPr="00746F54">
        <w:rPr>
          <w:rFonts w:ascii="Arial" w:eastAsia="Calibri" w:hAnsi="Arial" w:cs="Arial"/>
        </w:rPr>
        <w:t xml:space="preserve">Supply resource located in the GHG area A has a 150MW energy award and receives a 100MW GHG award for GHG area B: in this case, the supply resource will </w:t>
      </w:r>
      <w:r w:rsidRPr="00746F54">
        <w:rPr>
          <w:rFonts w:ascii="Arial" w:eastAsia="Calibri" w:hAnsi="Arial" w:cs="Arial"/>
        </w:rPr>
        <w:lastRenderedPageBreak/>
        <w:t>be paid 150MW multiplied by MCG</w:t>
      </w:r>
      <w:r w:rsidRPr="00746F54">
        <w:rPr>
          <w:rFonts w:ascii="Arial" w:eastAsia="Calibri" w:hAnsi="Arial" w:cs="Arial"/>
          <w:vertAlign w:val="subscript"/>
        </w:rPr>
        <w:t>A</w:t>
      </w:r>
      <w:r w:rsidRPr="00746F54">
        <w:rPr>
          <w:rFonts w:ascii="Arial" w:eastAsia="Calibri" w:hAnsi="Arial" w:cs="Arial"/>
        </w:rPr>
        <w:t xml:space="preserve"> (by virtue of it being located in GHG area A, thus incurring a compliance obligation for all of its output) and 100MW multiplied by MCG</w:t>
      </w:r>
      <w:r w:rsidRPr="00746F54">
        <w:rPr>
          <w:rFonts w:ascii="Arial" w:eastAsia="Calibri" w:hAnsi="Arial" w:cs="Arial"/>
          <w:vertAlign w:val="subscript"/>
        </w:rPr>
        <w:t>B</w:t>
      </w:r>
      <w:r w:rsidRPr="00746F54">
        <w:rPr>
          <w:rFonts w:ascii="Arial" w:eastAsia="Calibri" w:hAnsi="Arial" w:cs="Arial"/>
        </w:rPr>
        <w:t xml:space="preserve"> (because 100MW of its output is also considered to have been imported into GHG area B, thus incurring a compliance obligation for this portion of its output). </w:t>
      </w:r>
    </w:p>
    <w:p w14:paraId="44EA1511" w14:textId="0D3677F9" w:rsidR="00E4601F" w:rsidRPr="00746F54" w:rsidRDefault="00E4601F" w:rsidP="00E4601F">
      <w:pPr>
        <w:pStyle w:val="ListParagraph"/>
        <w:numPr>
          <w:ilvl w:val="1"/>
          <w:numId w:val="48"/>
        </w:numPr>
        <w:spacing w:after="240" w:line="300" w:lineRule="auto"/>
        <w:rPr>
          <w:rFonts w:ascii="Arial" w:eastAsia="Calibri" w:hAnsi="Arial" w:cs="Arial"/>
        </w:rPr>
      </w:pPr>
      <w:r w:rsidRPr="00746F54">
        <w:rPr>
          <w:rFonts w:ascii="Arial" w:eastAsia="Calibri" w:hAnsi="Arial" w:cs="Arial"/>
        </w:rPr>
        <w:t>Supply resource located in the non-GHG area receives a 100MW GHG award for GHG area A and a 25MW GHG award for GHG area B: in this case, the resource will be paid 100MW multiplied by MCG</w:t>
      </w:r>
      <w:r w:rsidRPr="00746F54">
        <w:rPr>
          <w:rFonts w:ascii="Arial" w:eastAsia="Calibri" w:hAnsi="Arial" w:cs="Arial"/>
          <w:vertAlign w:val="subscript"/>
        </w:rPr>
        <w:t>A</w:t>
      </w:r>
      <w:r w:rsidRPr="00746F54">
        <w:rPr>
          <w:rFonts w:ascii="Arial" w:eastAsia="Calibri" w:hAnsi="Arial" w:cs="Arial"/>
        </w:rPr>
        <w:t xml:space="preserve"> and 25MW multiplied by MCG</w:t>
      </w:r>
      <w:r w:rsidRPr="00746F54">
        <w:rPr>
          <w:rFonts w:ascii="Arial" w:eastAsia="Calibri" w:hAnsi="Arial" w:cs="Arial"/>
          <w:vertAlign w:val="subscript"/>
        </w:rPr>
        <w:t>B</w:t>
      </w:r>
      <w:r w:rsidRPr="00746F54">
        <w:rPr>
          <w:rFonts w:ascii="Arial" w:eastAsia="Calibri" w:hAnsi="Arial" w:cs="Arial"/>
        </w:rPr>
        <w:t xml:space="preserve">. </w:t>
      </w:r>
    </w:p>
    <w:p w14:paraId="6337018B" w14:textId="63A3212D" w:rsidR="00E4601F" w:rsidRPr="00746F54" w:rsidRDefault="00E4601F" w:rsidP="00E4104D">
      <w:pPr>
        <w:pStyle w:val="Heading2"/>
        <w:rPr>
          <w:rFonts w:ascii="Arial" w:hAnsi="Arial" w:cs="Arial"/>
        </w:rPr>
      </w:pPr>
      <w:bookmarkStart w:id="363" w:name="_Toc211337991"/>
      <w:bookmarkStart w:id="364" w:name="_Toc212733102"/>
      <w:r w:rsidRPr="00746F54">
        <w:rPr>
          <w:rFonts w:ascii="Arial" w:hAnsi="Arial" w:cs="Arial"/>
        </w:rPr>
        <w:t>Gross GHG Attribution Limit</w:t>
      </w:r>
      <w:bookmarkEnd w:id="363"/>
      <w:bookmarkEnd w:id="364"/>
      <w:r w:rsidRPr="00746F54">
        <w:rPr>
          <w:rFonts w:ascii="Arial" w:hAnsi="Arial" w:cs="Arial"/>
        </w:rPr>
        <w:t xml:space="preserve"> </w:t>
      </w:r>
    </w:p>
    <w:p w14:paraId="52C1D5A0" w14:textId="65D441ED" w:rsidR="00D13D20" w:rsidRPr="00746F54" w:rsidRDefault="00D13D20" w:rsidP="00E4601F">
      <w:pPr>
        <w:spacing w:after="240" w:line="300" w:lineRule="auto"/>
        <w:rPr>
          <w:rFonts w:ascii="Arial" w:eastAsia="Calibri" w:hAnsi="Arial" w:cs="Arial"/>
          <w:u w:val="single"/>
        </w:rPr>
      </w:pPr>
      <w:r w:rsidRPr="00746F54">
        <w:rPr>
          <w:rFonts w:ascii="Arial" w:eastAsia="Calibri" w:hAnsi="Arial" w:cs="Arial"/>
          <w:u w:val="single"/>
        </w:rPr>
        <w:t>Reference tariff section 33.32.5</w:t>
      </w:r>
    </w:p>
    <w:p w14:paraId="50431F91" w14:textId="4D959948" w:rsidR="00E4601F" w:rsidRPr="00746F54" w:rsidRDefault="00E4601F" w:rsidP="00E4601F">
      <w:pPr>
        <w:spacing w:after="240" w:line="300" w:lineRule="auto"/>
        <w:rPr>
          <w:rFonts w:ascii="Arial" w:eastAsia="Calibri" w:hAnsi="Arial" w:cs="Arial"/>
        </w:rPr>
      </w:pPr>
      <w:r w:rsidRPr="00746F54">
        <w:rPr>
          <w:rFonts w:ascii="Arial" w:eastAsia="Calibri" w:hAnsi="Arial" w:cs="Arial"/>
        </w:rPr>
        <w:t xml:space="preserve">For the day-ahead market,  the market determines GHG attribution and GHG awards as part of the IFM. The market limits eligible GHG capacity, using the GHG reference pass as an input, to ensure GHG awards do not exceed a resource’s eligible GHG capacity (as described in section 2). During the IFM, the market applies the Gross GHG Attribution Limit to further limit eligible GHG capacity, </w:t>
      </w:r>
    </w:p>
    <w:p w14:paraId="3A1ED0FF" w14:textId="77777777" w:rsidR="00E4601F" w:rsidRPr="00746F54" w:rsidRDefault="00E4601F" w:rsidP="00E4601F">
      <w:pPr>
        <w:pStyle w:val="ParaText"/>
        <w:rPr>
          <w:rFonts w:ascii="Arial" w:eastAsia="Calibri" w:hAnsi="Arial" w:cs="Arial"/>
        </w:rPr>
      </w:pPr>
      <w:r w:rsidRPr="00746F54">
        <w:rPr>
          <w:rFonts w:ascii="Arial" w:eastAsia="Calibri" w:hAnsi="Arial" w:cs="Arial"/>
        </w:rPr>
        <w:t xml:space="preserve">The </w:t>
      </w:r>
      <w:r w:rsidRPr="00746F54">
        <w:rPr>
          <w:rFonts w:ascii="Arial" w:hAnsi="Arial" w:cs="Arial"/>
        </w:rPr>
        <w:t>Gross GHG Attribution Limit (referred to as the net transfer constraint or GHG net transfer constraint during the policy phase)</w:t>
      </w:r>
      <w:r w:rsidRPr="00746F54">
        <w:rPr>
          <w:rFonts w:ascii="Arial" w:eastAsia="Calibri" w:hAnsi="Arial" w:cs="Arial"/>
        </w:rPr>
        <w:t xml:space="preserve"> is an hourly constraint in the Integrated Forward Market for areas that do not overlap with a GHG regulation area. In EDAM, the Gross GHG attribution limit is an hourly constraint that applies to every BAA that does not overlap with a GHG regulation area. When a BAA that overlaps with a GHG area (no export constraint is enforced for that BAA) fails the resource sufficiency evaluation, all net export constraints are deactivated for that hour to not restrict imports into that BAA potentially creating a reliability issue. The constraint treatment is the same in both EDAM and WEIM, except for the interval duration. In the WEIM, this constraint will be deactivated for every 15-minute interval when a BAA that overlaps with a GHG area fails the RSE, and apply to all non-GHG EDAM BAAs.</w:t>
      </w:r>
    </w:p>
    <w:p w14:paraId="4B449FE0" w14:textId="77777777" w:rsidR="00E4601F" w:rsidRPr="00746F54" w:rsidRDefault="00E4601F" w:rsidP="00E4601F">
      <w:pPr>
        <w:pStyle w:val="ParaText"/>
        <w:rPr>
          <w:rFonts w:ascii="Arial" w:hAnsi="Arial" w:cs="Arial"/>
        </w:rPr>
      </w:pPr>
      <w:bookmarkStart w:id="365" w:name="_Hlk200372405"/>
      <w:r w:rsidRPr="00746F54">
        <w:rPr>
          <w:rFonts w:ascii="Arial" w:eastAsia="Calibri" w:hAnsi="Arial" w:cs="Arial"/>
        </w:rPr>
        <w:t xml:space="preserve">This constraint will limit the total amount of resources from these areas so that it does not exceed their net exports. The constraint will also limit the total amount of resources from one GHG Regulation Area used to serve demand in another GHG regulation area, ensuring it does not exceed the net exports from their original areas. The constraint limits the aggregate GHG attribution to resources in a BAA in the non-GHG area to the higher of the optimal net transfer (positive for export and negative for import) or the aggregate available RA capacity in that BAA. </w:t>
      </w:r>
      <w:bookmarkEnd w:id="365"/>
      <w:r w:rsidRPr="00746F54">
        <w:rPr>
          <w:rFonts w:ascii="Arial" w:eastAsia="Calibri" w:hAnsi="Arial" w:cs="Arial"/>
        </w:rPr>
        <w:t xml:space="preserve">Furthermore, the constraint limit would be set relative to the net transfer of the BAA in the GHG reference pass; therefore, GHG attributions will be allowed to resources in a BAA with a reduced net import transfer in the IFM compared to the net transfer in the GHG reference pass. This measure will also apply to WEIM. However, this constraint will not stop the Integrated </w:t>
      </w:r>
      <w:r w:rsidRPr="00746F54">
        <w:rPr>
          <w:rFonts w:ascii="Arial" w:eastAsia="Calibri" w:hAnsi="Arial" w:cs="Arial"/>
        </w:rPr>
        <w:lastRenderedPageBreak/>
        <w:t>Forward Market from using resources outside a specific GHG regulation area to serve demand within that area if they are registered with the CAISO. If a BAA fails the RSE, the CAISO will turn off the Gross GHG Attribution Limit for the hours of that day that the BAA fails the RSE.</w:t>
      </w:r>
    </w:p>
    <w:p w14:paraId="22B63B07" w14:textId="77777777" w:rsidR="00E4601F" w:rsidRPr="00746F54" w:rsidRDefault="00E4601F" w:rsidP="00E4601F">
      <w:pPr>
        <w:spacing w:after="240" w:line="300" w:lineRule="auto"/>
        <w:rPr>
          <w:rFonts w:ascii="Arial" w:eastAsia="Calibri" w:hAnsi="Arial" w:cs="Arial"/>
        </w:rPr>
      </w:pPr>
      <w:r w:rsidRPr="00746F54">
        <w:rPr>
          <w:rFonts w:ascii="Arial" w:eastAsia="Calibri" w:hAnsi="Arial" w:cs="Arial"/>
        </w:rPr>
        <w:t xml:space="preserve">This GHG </w:t>
      </w:r>
      <w:r w:rsidRPr="00746F54">
        <w:rPr>
          <w:rFonts w:ascii="Arial" w:hAnsi="Arial" w:cs="Arial"/>
        </w:rPr>
        <w:t>Gross GHG Attribution Limit</w:t>
      </w:r>
      <w:r w:rsidRPr="00746F54">
        <w:rPr>
          <w:rFonts w:ascii="Arial" w:eastAsia="Calibri" w:hAnsi="Arial" w:cs="Arial"/>
        </w:rPr>
        <w:t xml:space="preserve"> is a market features that seeks to address concerns that the CAISO market may attribute GHG transfers resources in a balancing authority area outside of the applicable GHG regulation area in intervals when that balancing authority area is a net importer or in excess of the balancing authority area’s net optimal transfer schedule. </w:t>
      </w:r>
    </w:p>
    <w:p w14:paraId="44034F8A" w14:textId="77777777" w:rsidR="00E4601F" w:rsidRPr="00746F54" w:rsidRDefault="00E4601F" w:rsidP="00E4601F">
      <w:pPr>
        <w:spacing w:after="240" w:line="300" w:lineRule="auto"/>
        <w:rPr>
          <w:rFonts w:ascii="Arial" w:eastAsia="Calibri" w:hAnsi="Arial" w:cs="Arial"/>
        </w:rPr>
      </w:pPr>
      <w:r w:rsidRPr="00746F54">
        <w:rPr>
          <w:rFonts w:ascii="Arial" w:eastAsia="Calibri" w:hAnsi="Arial" w:cs="Arial"/>
        </w:rPr>
        <w:t>In EDAM, the Gross GHG Attribution Limit is an hourly constraint that applies to every balancing authority area that does not overlap with a GHG regulation area. When a balancing authority area</w:t>
      </w:r>
      <w:r w:rsidRPr="00746F54" w:rsidDel="00CF472E">
        <w:rPr>
          <w:rFonts w:ascii="Arial" w:eastAsia="Calibri" w:hAnsi="Arial" w:cs="Arial"/>
        </w:rPr>
        <w:t xml:space="preserve"> </w:t>
      </w:r>
      <w:r w:rsidRPr="00746F54">
        <w:rPr>
          <w:rFonts w:ascii="Arial" w:eastAsia="Calibri" w:hAnsi="Arial" w:cs="Arial"/>
        </w:rPr>
        <w:t>that overlaps with a GHG regulation area fails the resource sufficiency evaluation, the market deactivates all Gross GHG Attribution Limits for that hour in order not to restrict transfers into that balancing authority area, which could exacerbate a reliability issue. The constraint functions the same in both EDAM and WEIM, except for the interval duration. In the WEIM, the market will deactivate the Gross GHG Attribution Limit for all balancing authority areas in any 15 minute interval when a balancing authority area that overlaps with a GHG regulation area does not pass the RSE.</w:t>
      </w:r>
    </w:p>
    <w:p w14:paraId="4E0F2C5C" w14:textId="77777777" w:rsidR="00E4601F" w:rsidRPr="00746F54" w:rsidRDefault="00E4601F" w:rsidP="00E4601F">
      <w:pPr>
        <w:spacing w:after="240" w:line="300" w:lineRule="auto"/>
        <w:rPr>
          <w:rFonts w:ascii="Arial" w:eastAsia="Calibri" w:hAnsi="Arial" w:cs="Arial"/>
        </w:rPr>
      </w:pPr>
      <w:r w:rsidRPr="00746F54">
        <w:rPr>
          <w:rFonts w:ascii="Arial" w:eastAsia="Calibri" w:hAnsi="Arial" w:cs="Arial"/>
        </w:rPr>
        <w:t>The CAISO describes above how the market determines a resource’s eligible GHG capacity. However, this is an additional constraint that applies at a BAA-level as well. This constraint limits the sum of GHG awards of resources within a BAA to the market-optimized net export transfer from that BAA. The CAISO refers to this constraint as the Gross GHG Attribution Limit. The Gross GHG Attribution Limit</w:t>
      </w:r>
      <w:r w:rsidRPr="00746F54" w:rsidDel="00CF472E">
        <w:rPr>
          <w:rFonts w:ascii="Arial" w:eastAsia="Calibri" w:hAnsi="Arial" w:cs="Arial"/>
        </w:rPr>
        <w:t xml:space="preserve"> </w:t>
      </w:r>
      <w:r w:rsidRPr="00746F54">
        <w:rPr>
          <w:rFonts w:ascii="Arial" w:eastAsia="Calibri" w:hAnsi="Arial" w:cs="Arial"/>
        </w:rPr>
        <w:t>is also impacted by the results of the Resource Sufficiency Evaluation (RSE), RSE-eligible exports, and by committed capacity, as explained further below.</w:t>
      </w:r>
    </w:p>
    <w:p w14:paraId="3725AD59" w14:textId="77777777" w:rsidR="00E4601F" w:rsidRPr="00746F54" w:rsidRDefault="00E4601F" w:rsidP="00E4601F">
      <w:pPr>
        <w:spacing w:after="240" w:line="300" w:lineRule="auto"/>
        <w:rPr>
          <w:rFonts w:ascii="Arial" w:eastAsia="Calibri" w:hAnsi="Arial" w:cs="Arial"/>
        </w:rPr>
      </w:pPr>
      <w:r w:rsidRPr="00746F54">
        <w:rPr>
          <w:rFonts w:ascii="Arial" w:eastAsia="Calibri" w:hAnsi="Arial" w:cs="Arial"/>
        </w:rPr>
        <w:t>A primary purpose of both the EDAM and the WEIM is to optimize energy transfers between the BAAs that participate in those markets. Optimized energy transfers are explained elsewhere in the BPMs, but, for the purposes of understanding the Gross GHG Attribution Limit, the important concept to grasp is that for each market interval each BAA will either be a net energy importer or a net exporter. Note that a BAA may be a gross exporter in a particular market interval but, if its gross imports exceed the gross exports, it is considered a net importer for that market interval.</w:t>
      </w:r>
    </w:p>
    <w:p w14:paraId="3B7806B3" w14:textId="77777777" w:rsidR="00E4601F" w:rsidRPr="00746F54" w:rsidRDefault="00E4601F" w:rsidP="00E4601F">
      <w:pPr>
        <w:spacing w:after="240" w:line="300" w:lineRule="auto"/>
        <w:rPr>
          <w:rFonts w:ascii="Arial" w:eastAsia="Calibri" w:hAnsi="Arial" w:cs="Arial"/>
        </w:rPr>
      </w:pPr>
      <w:r w:rsidRPr="00746F54">
        <w:rPr>
          <w:rFonts w:ascii="Arial" w:eastAsia="Calibri" w:hAnsi="Arial" w:cs="Arial"/>
        </w:rPr>
        <w:t xml:space="preserve">As the GHG attribution process intends to allocate imports into GHG areas to specific resources, the Gross GHG Attribution Limit naturally applies to supply resources outside of a GHG area that contribute to their BAA’s net exports. For example, if a BAA is a net exporter of 100MW in a particular market interval, the sum of the GHG award MW of the resources located in that BAA cannot exceed 100MW. A different example is the case where a BAA is a net </w:t>
      </w:r>
      <w:r w:rsidRPr="00746F54">
        <w:rPr>
          <w:rFonts w:ascii="Arial" w:eastAsia="Calibri" w:hAnsi="Arial" w:cs="Arial"/>
        </w:rPr>
        <w:lastRenderedPageBreak/>
        <w:t>importer for a particular market interval. In that case, no resources located in that BAA may receive a GHG award</w:t>
      </w:r>
      <w:r w:rsidRPr="00746F54">
        <w:rPr>
          <w:rStyle w:val="FootnoteReference"/>
          <w:rFonts w:ascii="Arial" w:eastAsia="Calibri" w:hAnsi="Arial" w:cs="Arial"/>
        </w:rPr>
        <w:footnoteReference w:id="13"/>
      </w:r>
      <w:r w:rsidRPr="00746F54">
        <w:rPr>
          <w:rFonts w:ascii="Arial" w:eastAsia="Calibri" w:hAnsi="Arial" w:cs="Arial"/>
        </w:rPr>
        <w:t>.</w:t>
      </w:r>
    </w:p>
    <w:p w14:paraId="06A5D2EE" w14:textId="7F264B93" w:rsidR="00E4601F" w:rsidRPr="00746F54" w:rsidRDefault="00E4601F" w:rsidP="00E4601F">
      <w:pPr>
        <w:spacing w:after="240" w:line="300" w:lineRule="auto"/>
        <w:rPr>
          <w:rFonts w:ascii="Arial" w:eastAsia="Calibri" w:hAnsi="Arial" w:cs="Arial"/>
        </w:rPr>
      </w:pPr>
      <w:bookmarkStart w:id="366" w:name="_Hlk210295426"/>
      <w:commentRangeStart w:id="367"/>
      <w:commentRangeStart w:id="368"/>
      <w:r w:rsidRPr="00746F54">
        <w:rPr>
          <w:rFonts w:ascii="Arial" w:eastAsia="Calibri" w:hAnsi="Arial" w:cs="Arial"/>
        </w:rPr>
        <w:t>It is also important to note that whether a BAA is a net exporter or importer (i.e. the BAA’s net exporter status) is determined based on the BAA’s net exporter status in the previous market optimization iteration. When determining optimal schedules for each market interval, the market software performs multiple iterations, i.e. it finds the optimal solution to the objective function multiple times. For the purposes of determining net exporter status for the enforcement of the Gross GHG Attribution Limit, the market optimization refers back to the previous market iteration. For the first iteration of the market interval, the market optimization won’t have a previous iteration to refer back to and thus the Gross GHG Attribution Limit won’t apply. However, it will be enforced in subsequent iterations that ultimately result in the binding market results.</w:t>
      </w:r>
      <w:commentRangeEnd w:id="367"/>
      <w:r w:rsidRPr="00746F54">
        <w:rPr>
          <w:rStyle w:val="CommentReference"/>
          <w:rFonts w:ascii="Arial" w:hAnsi="Arial" w:cs="Arial"/>
          <w:sz w:val="22"/>
          <w:szCs w:val="22"/>
        </w:rPr>
        <w:commentReference w:id="367"/>
      </w:r>
      <w:commentRangeEnd w:id="368"/>
      <w:r w:rsidRPr="00746F54">
        <w:rPr>
          <w:rStyle w:val="CommentReference"/>
          <w:rFonts w:ascii="Arial" w:hAnsi="Arial" w:cs="Arial"/>
        </w:rPr>
        <w:commentReference w:id="368"/>
      </w:r>
      <w:r w:rsidRPr="00746F54">
        <w:rPr>
          <w:rFonts w:ascii="Arial" w:eastAsia="Calibri" w:hAnsi="Arial" w:cs="Arial"/>
        </w:rPr>
        <w:t xml:space="preserve"> </w:t>
      </w:r>
      <w:bookmarkEnd w:id="366"/>
      <w:r w:rsidRPr="00746F54">
        <w:rPr>
          <w:rFonts w:ascii="Arial" w:eastAsia="Calibri" w:hAnsi="Arial" w:cs="Arial"/>
        </w:rPr>
        <w:t>In this BPM section, when the CAISO refers to a BAA’s net exporter status meaning the BAA’s net exporter status in the previous iteration for ease of understanding.</w:t>
      </w:r>
    </w:p>
    <w:p w14:paraId="22999608" w14:textId="77777777" w:rsidR="00E4601F" w:rsidRPr="00746F54" w:rsidRDefault="00E4601F" w:rsidP="00E4601F">
      <w:pPr>
        <w:spacing w:after="240" w:line="300" w:lineRule="auto"/>
        <w:rPr>
          <w:rFonts w:ascii="Arial" w:eastAsia="Calibri" w:hAnsi="Arial" w:cs="Arial"/>
        </w:rPr>
      </w:pPr>
      <w:r w:rsidRPr="00746F54">
        <w:rPr>
          <w:rFonts w:ascii="Arial" w:eastAsia="Calibri" w:hAnsi="Arial" w:cs="Arial"/>
        </w:rPr>
        <w:t>The Gross GHG Attribution Limit is impacted by several other factors, including:</w:t>
      </w:r>
    </w:p>
    <w:p w14:paraId="791D72C4" w14:textId="77777777" w:rsidR="00E4601F" w:rsidRPr="00746F54" w:rsidRDefault="00E4601F" w:rsidP="00E4601F">
      <w:pPr>
        <w:pStyle w:val="ListParagraph"/>
        <w:numPr>
          <w:ilvl w:val="0"/>
          <w:numId w:val="48"/>
        </w:numPr>
        <w:spacing w:after="240" w:line="300" w:lineRule="auto"/>
        <w:rPr>
          <w:rFonts w:ascii="Arial" w:eastAsia="Calibri" w:hAnsi="Arial" w:cs="Arial"/>
        </w:rPr>
      </w:pPr>
      <w:r w:rsidRPr="00746F54">
        <w:rPr>
          <w:rFonts w:ascii="Arial" w:eastAsia="Calibri" w:hAnsi="Arial" w:cs="Arial"/>
          <w:u w:val="single"/>
        </w:rPr>
        <w:t>RSE results</w:t>
      </w:r>
      <w:r w:rsidRPr="00746F54">
        <w:rPr>
          <w:rFonts w:ascii="Arial" w:eastAsia="Calibri" w:hAnsi="Arial" w:cs="Arial"/>
        </w:rPr>
        <w:t>: the RSE is intended to ensure that each BAA is able to meet its BAA obligations (forecasted demand, uncertainty, ancillary service requirements) prior to engaging in transfers with other participating BAAs through the CAISO markets. While the RSE functions differ between the day-ahead and real-time markets, both</w:t>
      </w:r>
      <w:r w:rsidRPr="00746F54" w:rsidDel="00F35311">
        <w:rPr>
          <w:rFonts w:ascii="Arial" w:eastAsia="Calibri" w:hAnsi="Arial" w:cs="Arial"/>
        </w:rPr>
        <w:t xml:space="preserve"> </w:t>
      </w:r>
      <w:r w:rsidRPr="00746F54">
        <w:rPr>
          <w:rFonts w:ascii="Arial" w:eastAsia="Calibri" w:hAnsi="Arial" w:cs="Arial"/>
        </w:rPr>
        <w:t xml:space="preserve">test whether a BAA is sufficient in the upwards direction, meaning they check whether the BAA has sufficient ability (e.g. ramping capacity, bid range capacity) to meet increases in its BAA obligations. If any BAA that overlaps with a GHG area fails the RSE in the upwards direction for a particular market interval, the Gross GHG Attribution Limit will not apply for that interval. An upwards failure of the RTM RSE means if a </w:t>
      </w:r>
      <w:commentRangeStart w:id="369"/>
      <w:commentRangeStart w:id="370"/>
      <w:r w:rsidRPr="00746F54">
        <w:rPr>
          <w:rFonts w:ascii="Arial" w:eastAsia="Calibri" w:hAnsi="Arial" w:cs="Arial"/>
        </w:rPr>
        <w:t>BAA has failed any of the RSE tests in the upwards direction (e.g. flexible ramping capacity test, bid range capacity test</w:t>
      </w:r>
      <w:commentRangeEnd w:id="369"/>
      <w:r w:rsidRPr="00746F54">
        <w:rPr>
          <w:rStyle w:val="CommentReference"/>
          <w:rFonts w:ascii="Arial" w:hAnsi="Arial" w:cs="Arial"/>
          <w:sz w:val="22"/>
          <w:szCs w:val="22"/>
        </w:rPr>
        <w:commentReference w:id="369"/>
      </w:r>
      <w:commentRangeEnd w:id="370"/>
      <w:r w:rsidRPr="00746F54">
        <w:rPr>
          <w:rStyle w:val="CommentReference"/>
          <w:rFonts w:ascii="Arial" w:hAnsi="Arial" w:cs="Arial"/>
        </w:rPr>
        <w:commentReference w:id="370"/>
      </w:r>
      <w:r w:rsidRPr="00746F54">
        <w:rPr>
          <w:rFonts w:ascii="Arial" w:eastAsia="Calibri" w:hAnsi="Arial" w:cs="Arial"/>
        </w:rPr>
        <w:t>); an upwards failure of the DAM RSE is self-explanatory.</w:t>
      </w:r>
    </w:p>
    <w:p w14:paraId="79C8BC71" w14:textId="77777777" w:rsidR="00E4601F" w:rsidRPr="00746F54" w:rsidRDefault="00E4601F" w:rsidP="00E4601F">
      <w:pPr>
        <w:pStyle w:val="ListParagraph"/>
        <w:numPr>
          <w:ilvl w:val="0"/>
          <w:numId w:val="48"/>
        </w:numPr>
        <w:spacing w:after="240" w:line="300" w:lineRule="auto"/>
        <w:rPr>
          <w:rFonts w:ascii="Arial" w:eastAsia="Calibri" w:hAnsi="Arial" w:cs="Arial"/>
        </w:rPr>
      </w:pPr>
      <w:r w:rsidRPr="00746F54">
        <w:rPr>
          <w:rFonts w:ascii="Arial" w:eastAsia="Calibri" w:hAnsi="Arial" w:cs="Arial"/>
          <w:u w:val="single"/>
        </w:rPr>
        <w:t>RSE-eligible transfers</w:t>
      </w:r>
      <w:r w:rsidRPr="00746F54">
        <w:rPr>
          <w:rFonts w:ascii="Arial" w:eastAsia="Calibri" w:hAnsi="Arial" w:cs="Arial"/>
        </w:rPr>
        <w:t xml:space="preserve">: </w:t>
      </w:r>
      <w:bookmarkStart w:id="371" w:name="_Hlk210295535"/>
      <w:commentRangeStart w:id="372"/>
      <w:r w:rsidRPr="00746F54">
        <w:rPr>
          <w:rFonts w:ascii="Arial" w:eastAsia="Calibri" w:hAnsi="Arial" w:cs="Arial"/>
        </w:rPr>
        <w:t xml:space="preserve">RSE-eligible exports are transfers of energy that are arranged between BAAs prior to the running of the CAISO market which also meet certain criteria that indicate they can be counted on by the sink BAA for the RSE. </w:t>
      </w:r>
      <w:commentRangeStart w:id="373"/>
      <w:commentRangeEnd w:id="373"/>
      <w:r w:rsidRPr="00746F54">
        <w:rPr>
          <w:rStyle w:val="CommentReference"/>
          <w:rFonts w:ascii="Arial" w:hAnsi="Arial" w:cs="Arial"/>
        </w:rPr>
        <w:commentReference w:id="373"/>
      </w:r>
      <w:r w:rsidRPr="00746F54">
        <w:rPr>
          <w:rFonts w:ascii="Arial" w:eastAsia="Calibri" w:hAnsi="Arial" w:cs="Arial"/>
        </w:rPr>
        <w:t xml:space="preserve">There are two kinds of RSE-eligible transfers 1.) Self-scheduled transfers (by a transmission customer SC) associated with CRNs (transmission contracts).2.) Transfers not associated with CRNs but released as bucket-1 by the EDAM entity SC. RSE-eligible transfers are optimized in both the GHG Reference pass and the IFM; however, in the GHG Reference pass, there are constraints that limit the net GHG transfer import into GHG Regulation Areas. All resources registered in </w:t>
      </w:r>
      <w:r w:rsidRPr="00746F54">
        <w:rPr>
          <w:rFonts w:ascii="Arial" w:eastAsia="Calibri" w:hAnsi="Arial" w:cs="Arial"/>
        </w:rPr>
        <w:lastRenderedPageBreak/>
        <w:t xml:space="preserve">the Master File will have an RSE-eligible attribute; if it is set, that resource will be optimized in the RSE, otherwise, it is not applicable. BAA to BAA transfers differ from GHG transfers. This RSE-eligible attribute has no relevance for the GHG Reference pass. </w:t>
      </w:r>
      <w:commentRangeEnd w:id="372"/>
      <w:r w:rsidRPr="00746F54">
        <w:rPr>
          <w:rStyle w:val="CommentReference"/>
          <w:rFonts w:ascii="Arial" w:hAnsi="Arial" w:cs="Arial"/>
          <w:sz w:val="22"/>
          <w:szCs w:val="22"/>
        </w:rPr>
        <w:commentReference w:id="372"/>
      </w:r>
      <w:bookmarkStart w:id="374" w:name="_Hlk210296577"/>
      <w:bookmarkEnd w:id="371"/>
      <w:r w:rsidRPr="00746F54">
        <w:rPr>
          <w:rFonts w:ascii="Arial" w:eastAsia="Calibri" w:hAnsi="Arial" w:cs="Arial"/>
        </w:rPr>
        <w:t xml:space="preserve">For the purposes of the Gross GHG Attribution Limit, RSE-eligible export to BAAs that overlap with a GHG area are excluded. For example, if a non GHG-area BAA is a net importer in a market interval but has pre-arranged for 150MW of net exports to a BAA that overlaps with a GHG area, the resources located in that non GHG-area BAA can still receive up to a collective total of 150MW of GHG awards. </w:t>
      </w:r>
      <w:bookmarkEnd w:id="374"/>
    </w:p>
    <w:p w14:paraId="24F222FA" w14:textId="77777777" w:rsidR="00E4601F" w:rsidRPr="00746F54" w:rsidRDefault="00E4601F" w:rsidP="00E4601F">
      <w:pPr>
        <w:pStyle w:val="ListParagraph"/>
        <w:numPr>
          <w:ilvl w:val="0"/>
          <w:numId w:val="48"/>
        </w:numPr>
        <w:spacing w:after="240" w:line="300" w:lineRule="auto"/>
        <w:rPr>
          <w:rFonts w:ascii="Arial" w:eastAsia="Calibri" w:hAnsi="Arial" w:cs="Arial"/>
        </w:rPr>
      </w:pPr>
      <w:r w:rsidRPr="00746F54">
        <w:rPr>
          <w:rFonts w:ascii="Arial" w:eastAsia="Calibri" w:hAnsi="Arial" w:cs="Arial"/>
          <w:u w:val="single"/>
        </w:rPr>
        <w:t>Committed capacity</w:t>
      </w:r>
      <w:r w:rsidRPr="00746F54">
        <w:rPr>
          <w:rFonts w:ascii="Arial" w:eastAsia="Calibri" w:hAnsi="Arial" w:cs="Arial"/>
        </w:rPr>
        <w:t xml:space="preserve">: </w:t>
      </w:r>
      <w:r w:rsidRPr="00746F54">
        <w:rPr>
          <w:rFonts w:ascii="Arial" w:hAnsi="Arial" w:cs="Arial"/>
        </w:rPr>
        <w:t>As mentioned above, a resource may be contractually committed to serve load in a GHG area (</w:t>
      </w:r>
      <w:r w:rsidRPr="00746F54" w:rsidDel="00F35311">
        <w:rPr>
          <w:rFonts w:ascii="Arial" w:hAnsi="Arial" w:cs="Arial"/>
        </w:rPr>
        <w:t>e.g</w:t>
      </w:r>
      <w:r w:rsidRPr="00746F54">
        <w:rPr>
          <w:rFonts w:ascii="Arial" w:hAnsi="Arial" w:cs="Arial"/>
        </w:rPr>
        <w:t xml:space="preserve">., a resource outside of California could have a Resource Adequacy contract to serve California load). In such cases, this committed capacity is not impacted by the </w:t>
      </w:r>
      <w:r w:rsidRPr="00746F54">
        <w:rPr>
          <w:rFonts w:ascii="Arial" w:eastAsia="Calibri" w:hAnsi="Arial" w:cs="Arial"/>
        </w:rPr>
        <w:t>Gross GHG Attribution Limit</w:t>
      </w:r>
      <w:r w:rsidRPr="00746F54">
        <w:rPr>
          <w:rFonts w:ascii="Arial" w:hAnsi="Arial" w:cs="Arial"/>
        </w:rPr>
        <w:t xml:space="preserve">. </w:t>
      </w:r>
      <w:r w:rsidRPr="00746F54">
        <w:rPr>
          <w:rFonts w:ascii="Arial" w:eastAsia="Calibri" w:hAnsi="Arial" w:cs="Arial"/>
        </w:rPr>
        <w:t>For example, if a non GHG-area BAA is a net importer in a market interval but has 200MW of capacity committed to serve load in a GHG area, the resources located in that non GHG-area BAA can still receive up to a collective total of 200MW of GHG awards.</w:t>
      </w:r>
    </w:p>
    <w:p w14:paraId="7834A842" w14:textId="77777777" w:rsidR="00E4601F" w:rsidRPr="00746F54" w:rsidRDefault="00E4601F" w:rsidP="00E4601F">
      <w:pPr>
        <w:spacing w:after="240" w:line="300" w:lineRule="auto"/>
        <w:rPr>
          <w:rFonts w:ascii="Arial" w:hAnsi="Arial" w:cs="Arial"/>
        </w:rPr>
      </w:pPr>
      <w:r w:rsidRPr="00746F54">
        <w:rPr>
          <w:rFonts w:ascii="Arial" w:hAnsi="Arial" w:cs="Arial"/>
        </w:rPr>
        <w:t xml:space="preserve">When determining the impact on the </w:t>
      </w:r>
      <w:r w:rsidRPr="00746F54">
        <w:rPr>
          <w:rFonts w:ascii="Arial" w:eastAsia="Calibri" w:hAnsi="Arial" w:cs="Arial"/>
        </w:rPr>
        <w:t>Gross GHG Attribution Limit</w:t>
      </w:r>
      <w:r w:rsidRPr="00746F54">
        <w:rPr>
          <w:rFonts w:ascii="Arial" w:hAnsi="Arial" w:cs="Arial"/>
        </w:rPr>
        <w:t>, the latter two factors mentioned above aren’t additive, rather the most impactful measure is what matters. For example, assume that a non-GHG area BAA is a net importer for a market interval but has 200MW of capacity committed to a GHG area and RSE-eligible exports to a GHG area of 300MW. In that case, resources in the non-GHG area BAA can receive up to 300MW of GHG awards, rather than 500MW.</w:t>
      </w:r>
    </w:p>
    <w:p w14:paraId="1727EB35" w14:textId="77777777" w:rsidR="00E4601F" w:rsidRPr="00746F54" w:rsidRDefault="00E4601F" w:rsidP="00E4601F">
      <w:pPr>
        <w:spacing w:after="240" w:line="300" w:lineRule="auto"/>
        <w:rPr>
          <w:rFonts w:ascii="Arial" w:hAnsi="Arial" w:cs="Arial"/>
          <w:b/>
        </w:rPr>
      </w:pPr>
      <w:bookmarkStart w:id="375" w:name="_Hlk200372301"/>
      <w:r w:rsidRPr="00746F54">
        <w:rPr>
          <w:rFonts w:ascii="Arial" w:hAnsi="Arial" w:cs="Arial"/>
          <w:b/>
        </w:rPr>
        <w:t xml:space="preserve">Examples for Net Transfer Impact under Various Scenarios  </w:t>
      </w:r>
    </w:p>
    <w:p w14:paraId="71771436" w14:textId="77777777" w:rsidR="00E4601F" w:rsidRPr="00746F54" w:rsidRDefault="00E4601F" w:rsidP="00E4601F">
      <w:pPr>
        <w:spacing w:after="240" w:line="300" w:lineRule="auto"/>
        <w:rPr>
          <w:rFonts w:ascii="Arial" w:hAnsi="Arial" w:cs="Arial"/>
          <w:i/>
        </w:rPr>
      </w:pPr>
      <w:r w:rsidRPr="00746F54">
        <w:rPr>
          <w:rFonts w:ascii="Arial" w:hAnsi="Arial" w:cs="Arial"/>
          <w:i/>
        </w:rPr>
        <w:t xml:space="preserve">All scenarios assume BAA 1 is outside of the GHG Regulation Area and BAA 2 is inside the GHG Regulation Area (fully or partially). </w:t>
      </w:r>
    </w:p>
    <w:tbl>
      <w:tblPr>
        <w:tblStyle w:val="TableGrid"/>
        <w:tblW w:w="10283" w:type="dxa"/>
        <w:tblLook w:val="04A0" w:firstRow="1" w:lastRow="0" w:firstColumn="1" w:lastColumn="0" w:noHBand="0" w:noVBand="1"/>
      </w:tblPr>
      <w:tblGrid>
        <w:gridCol w:w="2335"/>
        <w:gridCol w:w="4320"/>
        <w:gridCol w:w="3628"/>
      </w:tblGrid>
      <w:tr w:rsidR="00E4601F" w:rsidRPr="00746F54" w14:paraId="10A48EB7" w14:textId="77777777" w:rsidTr="00D62922">
        <w:trPr>
          <w:trHeight w:val="278"/>
        </w:trPr>
        <w:tc>
          <w:tcPr>
            <w:tcW w:w="2335" w:type="dxa"/>
            <w:shd w:val="clear" w:color="auto" w:fill="44546A" w:themeFill="text2"/>
          </w:tcPr>
          <w:p w14:paraId="004F5228" w14:textId="77777777" w:rsidR="00E4601F" w:rsidRPr="00746F54" w:rsidRDefault="00E4601F" w:rsidP="00D62922">
            <w:pPr>
              <w:spacing w:after="240" w:line="300" w:lineRule="auto"/>
              <w:jc w:val="left"/>
              <w:rPr>
                <w:rFonts w:ascii="Arial" w:hAnsi="Arial" w:cs="Arial"/>
                <w:color w:val="FFFFFF" w:themeColor="background1"/>
                <w:sz w:val="22"/>
                <w:szCs w:val="22"/>
              </w:rPr>
            </w:pPr>
            <w:r w:rsidRPr="00746F54">
              <w:rPr>
                <w:rFonts w:ascii="Arial" w:hAnsi="Arial" w:cs="Arial"/>
                <w:color w:val="FFFFFF" w:themeColor="background1"/>
                <w:sz w:val="22"/>
                <w:szCs w:val="22"/>
              </w:rPr>
              <w:t>Scenario</w:t>
            </w:r>
          </w:p>
        </w:tc>
        <w:tc>
          <w:tcPr>
            <w:tcW w:w="4320" w:type="dxa"/>
            <w:shd w:val="clear" w:color="auto" w:fill="44546A" w:themeFill="text2"/>
          </w:tcPr>
          <w:p w14:paraId="7E0F89CA" w14:textId="77777777" w:rsidR="00E4601F" w:rsidRPr="00746F54" w:rsidRDefault="00E4601F" w:rsidP="00D62922">
            <w:pPr>
              <w:spacing w:after="240" w:line="300" w:lineRule="auto"/>
              <w:jc w:val="left"/>
              <w:rPr>
                <w:rFonts w:ascii="Arial" w:hAnsi="Arial" w:cs="Arial"/>
                <w:color w:val="FFFFFF" w:themeColor="background1"/>
                <w:sz w:val="22"/>
                <w:szCs w:val="22"/>
              </w:rPr>
            </w:pPr>
            <w:r w:rsidRPr="00746F54">
              <w:rPr>
                <w:rFonts w:ascii="Arial" w:hAnsi="Arial" w:cs="Arial"/>
                <w:color w:val="FFFFFF" w:themeColor="background1"/>
                <w:sz w:val="22"/>
                <w:szCs w:val="22"/>
              </w:rPr>
              <w:t>Description and Assumptions</w:t>
            </w:r>
          </w:p>
        </w:tc>
        <w:tc>
          <w:tcPr>
            <w:tcW w:w="3628" w:type="dxa"/>
            <w:shd w:val="clear" w:color="auto" w:fill="44546A" w:themeFill="text2"/>
          </w:tcPr>
          <w:p w14:paraId="3526129B" w14:textId="77777777" w:rsidR="00E4601F" w:rsidRPr="00746F54" w:rsidRDefault="00E4601F" w:rsidP="00D62922">
            <w:pPr>
              <w:spacing w:after="240" w:line="300" w:lineRule="auto"/>
              <w:jc w:val="left"/>
              <w:rPr>
                <w:rFonts w:ascii="Arial" w:hAnsi="Arial" w:cs="Arial"/>
                <w:color w:val="FFFFFF" w:themeColor="background1"/>
                <w:sz w:val="22"/>
                <w:szCs w:val="22"/>
              </w:rPr>
            </w:pPr>
            <w:r w:rsidRPr="00746F54">
              <w:rPr>
                <w:rFonts w:ascii="Arial" w:hAnsi="Arial" w:cs="Arial"/>
                <w:color w:val="FFFFFF" w:themeColor="background1"/>
                <w:sz w:val="22"/>
                <w:szCs w:val="22"/>
              </w:rPr>
              <w:t>Total Attributions to BAA 1</w:t>
            </w:r>
          </w:p>
        </w:tc>
      </w:tr>
      <w:tr w:rsidR="00E4601F" w:rsidRPr="00746F54" w14:paraId="04AD67DD" w14:textId="77777777" w:rsidTr="00D62922">
        <w:trPr>
          <w:trHeight w:val="638"/>
        </w:trPr>
        <w:tc>
          <w:tcPr>
            <w:tcW w:w="2335" w:type="dxa"/>
          </w:tcPr>
          <w:p w14:paraId="1403C41F" w14:textId="77777777" w:rsidR="00E4601F" w:rsidRPr="00746F54" w:rsidRDefault="00E4601F" w:rsidP="00D62922">
            <w:pPr>
              <w:spacing w:after="240" w:line="300" w:lineRule="auto"/>
              <w:jc w:val="left"/>
              <w:rPr>
                <w:rFonts w:ascii="Arial" w:hAnsi="Arial" w:cs="Arial"/>
                <w:sz w:val="22"/>
                <w:szCs w:val="22"/>
              </w:rPr>
            </w:pPr>
            <w:r w:rsidRPr="00746F54">
              <w:rPr>
                <w:rFonts w:ascii="Arial" w:hAnsi="Arial" w:cs="Arial"/>
                <w:sz w:val="22"/>
                <w:szCs w:val="22"/>
              </w:rPr>
              <w:t>A.) Net importer</w:t>
            </w:r>
          </w:p>
        </w:tc>
        <w:tc>
          <w:tcPr>
            <w:tcW w:w="4320" w:type="dxa"/>
          </w:tcPr>
          <w:p w14:paraId="6F87913B" w14:textId="77777777" w:rsidR="00E4601F" w:rsidRPr="00746F54" w:rsidRDefault="00E4601F" w:rsidP="00D62922">
            <w:pPr>
              <w:spacing w:after="240" w:line="300" w:lineRule="auto"/>
              <w:jc w:val="left"/>
              <w:rPr>
                <w:rFonts w:ascii="Arial" w:hAnsi="Arial" w:cs="Arial"/>
                <w:sz w:val="22"/>
                <w:szCs w:val="22"/>
              </w:rPr>
            </w:pPr>
            <w:r w:rsidRPr="00746F54">
              <w:rPr>
                <w:rFonts w:ascii="Arial" w:hAnsi="Arial" w:cs="Arial"/>
                <w:sz w:val="22"/>
                <w:szCs w:val="22"/>
              </w:rPr>
              <w:t>BAA 1 is a net importer for the hour</w:t>
            </w:r>
          </w:p>
        </w:tc>
        <w:tc>
          <w:tcPr>
            <w:tcW w:w="3628" w:type="dxa"/>
          </w:tcPr>
          <w:p w14:paraId="3EDB7893" w14:textId="77777777" w:rsidR="00E4601F" w:rsidRPr="00746F54" w:rsidRDefault="00E4601F" w:rsidP="00D62922">
            <w:pPr>
              <w:spacing w:after="240" w:line="300" w:lineRule="auto"/>
              <w:jc w:val="left"/>
              <w:rPr>
                <w:rFonts w:ascii="Arial" w:hAnsi="Arial" w:cs="Arial"/>
                <w:sz w:val="22"/>
                <w:szCs w:val="22"/>
              </w:rPr>
            </w:pPr>
            <w:r w:rsidRPr="00746F54">
              <w:rPr>
                <w:rFonts w:ascii="Arial" w:hAnsi="Arial" w:cs="Arial"/>
                <w:sz w:val="22"/>
                <w:szCs w:val="22"/>
              </w:rPr>
              <w:t>None</w:t>
            </w:r>
          </w:p>
        </w:tc>
      </w:tr>
      <w:tr w:rsidR="00E4601F" w:rsidRPr="00746F54" w14:paraId="52B90EB5" w14:textId="77777777" w:rsidTr="00D62922">
        <w:trPr>
          <w:trHeight w:val="755"/>
        </w:trPr>
        <w:tc>
          <w:tcPr>
            <w:tcW w:w="2335" w:type="dxa"/>
          </w:tcPr>
          <w:p w14:paraId="0B762F34" w14:textId="77777777" w:rsidR="00E4601F" w:rsidRPr="00746F54" w:rsidRDefault="00E4601F" w:rsidP="00D62922">
            <w:pPr>
              <w:spacing w:after="240" w:line="300" w:lineRule="auto"/>
              <w:jc w:val="left"/>
              <w:rPr>
                <w:rFonts w:ascii="Arial" w:hAnsi="Arial" w:cs="Arial"/>
                <w:sz w:val="22"/>
                <w:szCs w:val="22"/>
              </w:rPr>
            </w:pPr>
            <w:r w:rsidRPr="00746F54">
              <w:rPr>
                <w:rFonts w:ascii="Arial" w:hAnsi="Arial" w:cs="Arial"/>
                <w:sz w:val="22"/>
                <w:szCs w:val="22"/>
              </w:rPr>
              <w:t>B.) Net exporter</w:t>
            </w:r>
          </w:p>
        </w:tc>
        <w:tc>
          <w:tcPr>
            <w:tcW w:w="4320" w:type="dxa"/>
          </w:tcPr>
          <w:p w14:paraId="4FFD8DEB" w14:textId="77777777" w:rsidR="00E4601F" w:rsidRPr="00746F54" w:rsidRDefault="00E4601F" w:rsidP="00D62922">
            <w:pPr>
              <w:spacing w:after="240" w:line="300" w:lineRule="auto"/>
              <w:jc w:val="left"/>
              <w:rPr>
                <w:rFonts w:ascii="Arial" w:hAnsi="Arial" w:cs="Arial"/>
                <w:sz w:val="22"/>
                <w:szCs w:val="22"/>
              </w:rPr>
            </w:pPr>
            <w:r w:rsidRPr="00746F54">
              <w:rPr>
                <w:rFonts w:ascii="Arial" w:hAnsi="Arial" w:cs="Arial"/>
                <w:sz w:val="22"/>
                <w:szCs w:val="22"/>
              </w:rPr>
              <w:t>BAA 1’s optimal net transfer is 100 MW; therefore, their transfer limit is 100 MW</w:t>
            </w:r>
          </w:p>
        </w:tc>
        <w:tc>
          <w:tcPr>
            <w:tcW w:w="3628" w:type="dxa"/>
          </w:tcPr>
          <w:p w14:paraId="4D3A5AC5" w14:textId="77777777" w:rsidR="00E4601F" w:rsidRPr="00746F54" w:rsidRDefault="00E4601F" w:rsidP="00D62922">
            <w:pPr>
              <w:spacing w:after="240" w:line="300" w:lineRule="auto"/>
              <w:jc w:val="left"/>
              <w:rPr>
                <w:rFonts w:ascii="Arial" w:hAnsi="Arial" w:cs="Arial"/>
                <w:sz w:val="22"/>
                <w:szCs w:val="22"/>
              </w:rPr>
            </w:pPr>
            <w:r w:rsidRPr="00746F54">
              <w:rPr>
                <w:rFonts w:ascii="Arial" w:hAnsi="Arial" w:cs="Arial"/>
                <w:sz w:val="22"/>
                <w:szCs w:val="22"/>
              </w:rPr>
              <w:t>Up to 100 MW</w:t>
            </w:r>
          </w:p>
        </w:tc>
      </w:tr>
      <w:tr w:rsidR="00E4601F" w:rsidRPr="00746F54" w14:paraId="69C809A7" w14:textId="77777777" w:rsidTr="00D62922">
        <w:trPr>
          <w:trHeight w:val="1970"/>
        </w:trPr>
        <w:tc>
          <w:tcPr>
            <w:tcW w:w="2335" w:type="dxa"/>
          </w:tcPr>
          <w:p w14:paraId="2076191C" w14:textId="77777777" w:rsidR="00E4601F" w:rsidRPr="00746F54" w:rsidRDefault="00E4601F" w:rsidP="00D62922">
            <w:pPr>
              <w:spacing w:after="240" w:line="300" w:lineRule="auto"/>
              <w:jc w:val="left"/>
              <w:rPr>
                <w:rFonts w:ascii="Arial" w:hAnsi="Arial" w:cs="Arial"/>
                <w:sz w:val="22"/>
                <w:szCs w:val="22"/>
              </w:rPr>
            </w:pPr>
            <w:r w:rsidRPr="00746F54">
              <w:rPr>
                <w:rFonts w:ascii="Arial" w:hAnsi="Arial" w:cs="Arial"/>
                <w:sz w:val="22"/>
                <w:szCs w:val="22"/>
              </w:rPr>
              <w:lastRenderedPageBreak/>
              <w:t>C.) Accounted-for committed capacity</w:t>
            </w:r>
          </w:p>
        </w:tc>
        <w:tc>
          <w:tcPr>
            <w:tcW w:w="4320" w:type="dxa"/>
          </w:tcPr>
          <w:p w14:paraId="6DAE1B77" w14:textId="77777777" w:rsidR="00E4601F" w:rsidRPr="00746F54" w:rsidRDefault="00E4601F" w:rsidP="00D62922">
            <w:pPr>
              <w:spacing w:after="240" w:line="300" w:lineRule="auto"/>
              <w:jc w:val="left"/>
              <w:rPr>
                <w:rFonts w:ascii="Arial" w:hAnsi="Arial" w:cs="Arial"/>
                <w:sz w:val="22"/>
                <w:szCs w:val="22"/>
              </w:rPr>
            </w:pPr>
            <w:r w:rsidRPr="00746F54">
              <w:rPr>
                <w:rFonts w:ascii="Arial" w:hAnsi="Arial" w:cs="Arial"/>
                <w:sz w:val="22"/>
                <w:szCs w:val="22"/>
              </w:rPr>
              <w:t>BAA 1 has a 100 MW resource, of which 20 MW is committed capacity to BAA 2</w:t>
            </w:r>
          </w:p>
        </w:tc>
        <w:tc>
          <w:tcPr>
            <w:tcW w:w="3628" w:type="dxa"/>
          </w:tcPr>
          <w:p w14:paraId="4B608B55" w14:textId="77777777" w:rsidR="00E4601F" w:rsidRPr="00746F54" w:rsidRDefault="00E4601F" w:rsidP="00D62922">
            <w:pPr>
              <w:spacing w:after="240" w:line="300" w:lineRule="auto"/>
              <w:jc w:val="left"/>
              <w:rPr>
                <w:rFonts w:ascii="Arial" w:hAnsi="Arial" w:cs="Arial"/>
                <w:sz w:val="22"/>
                <w:szCs w:val="22"/>
              </w:rPr>
            </w:pPr>
            <w:r w:rsidRPr="00746F54">
              <w:rPr>
                <w:rFonts w:ascii="Arial" w:hAnsi="Arial" w:cs="Arial"/>
                <w:sz w:val="22"/>
                <w:szCs w:val="22"/>
              </w:rPr>
              <w:t>Up to 20 MW of committed capacity</w:t>
            </w:r>
          </w:p>
          <w:p w14:paraId="51CE1352" w14:textId="77777777" w:rsidR="00E4601F" w:rsidRPr="00746F54" w:rsidRDefault="00E4601F" w:rsidP="00D62922">
            <w:pPr>
              <w:spacing w:after="240" w:line="300" w:lineRule="auto"/>
              <w:jc w:val="left"/>
              <w:rPr>
                <w:rFonts w:ascii="Arial" w:hAnsi="Arial" w:cs="Arial"/>
                <w:sz w:val="22"/>
                <w:szCs w:val="22"/>
              </w:rPr>
            </w:pPr>
            <w:r w:rsidRPr="00746F54">
              <w:rPr>
                <w:rFonts w:ascii="Arial" w:hAnsi="Arial" w:cs="Arial"/>
                <w:sz w:val="22"/>
                <w:szCs w:val="22"/>
              </w:rPr>
              <w:t>The resource in BAA 1 may receive an additional attribution to serve demand in BAA 2 at a value above the resource’s GHG reference schedule but not to exceed BAA 1’s net exports for that hour.</w:t>
            </w:r>
          </w:p>
        </w:tc>
      </w:tr>
      <w:tr w:rsidR="00E4601F" w:rsidRPr="00746F54" w14:paraId="1A961FF6" w14:textId="77777777" w:rsidTr="00D62922">
        <w:trPr>
          <w:trHeight w:val="1700"/>
        </w:trPr>
        <w:tc>
          <w:tcPr>
            <w:tcW w:w="2335" w:type="dxa"/>
          </w:tcPr>
          <w:p w14:paraId="3A2735D8" w14:textId="77777777" w:rsidR="00E4601F" w:rsidRPr="00746F54" w:rsidRDefault="00E4601F" w:rsidP="00D62922">
            <w:pPr>
              <w:spacing w:after="240" w:line="300" w:lineRule="auto"/>
              <w:jc w:val="left"/>
              <w:rPr>
                <w:rFonts w:ascii="Arial" w:hAnsi="Arial" w:cs="Arial"/>
                <w:sz w:val="22"/>
                <w:szCs w:val="22"/>
              </w:rPr>
            </w:pPr>
            <w:r w:rsidRPr="00746F54">
              <w:rPr>
                <w:rFonts w:ascii="Arial" w:hAnsi="Arial" w:cs="Arial"/>
                <w:sz w:val="22"/>
                <w:szCs w:val="22"/>
              </w:rPr>
              <w:t>D.) Accounting for EDAM RSE failure in the upward direction</w:t>
            </w:r>
          </w:p>
        </w:tc>
        <w:tc>
          <w:tcPr>
            <w:tcW w:w="4320" w:type="dxa"/>
          </w:tcPr>
          <w:p w14:paraId="0D4961B5" w14:textId="77777777" w:rsidR="00E4601F" w:rsidRPr="00746F54" w:rsidRDefault="00E4601F" w:rsidP="00D62922">
            <w:pPr>
              <w:spacing w:after="240" w:line="300" w:lineRule="auto"/>
              <w:jc w:val="left"/>
              <w:rPr>
                <w:rFonts w:ascii="Arial" w:hAnsi="Arial" w:cs="Arial"/>
                <w:sz w:val="22"/>
                <w:szCs w:val="22"/>
              </w:rPr>
            </w:pPr>
            <w:r w:rsidRPr="00746F54">
              <w:rPr>
                <w:rFonts w:ascii="Arial" w:hAnsi="Arial" w:cs="Arial"/>
                <w:sz w:val="22"/>
                <w:szCs w:val="22"/>
              </w:rPr>
              <w:t xml:space="preserve">BAA 1 has a 500 MW resource that has bid in to serve BAA 2 in a GHG region. </w:t>
            </w:r>
          </w:p>
          <w:p w14:paraId="5336261C" w14:textId="77777777" w:rsidR="00E4601F" w:rsidRPr="00746F54" w:rsidRDefault="00E4601F" w:rsidP="00D62922">
            <w:pPr>
              <w:spacing w:after="240" w:line="300" w:lineRule="auto"/>
              <w:jc w:val="left"/>
              <w:rPr>
                <w:rFonts w:ascii="Arial" w:hAnsi="Arial" w:cs="Arial"/>
                <w:sz w:val="22"/>
                <w:szCs w:val="22"/>
              </w:rPr>
            </w:pPr>
            <w:r w:rsidRPr="00746F54">
              <w:rPr>
                <w:rFonts w:ascii="Arial" w:hAnsi="Arial" w:cs="Arial"/>
                <w:sz w:val="22"/>
                <w:szCs w:val="22"/>
              </w:rPr>
              <w:t>The optimal net transfer is 400 MW for BAA 1.</w:t>
            </w:r>
          </w:p>
          <w:p w14:paraId="5F60D357" w14:textId="77777777" w:rsidR="00E4601F" w:rsidRPr="00746F54" w:rsidRDefault="00E4601F" w:rsidP="00D62922">
            <w:pPr>
              <w:spacing w:after="240" w:line="300" w:lineRule="auto"/>
              <w:jc w:val="left"/>
              <w:rPr>
                <w:rFonts w:ascii="Arial" w:hAnsi="Arial" w:cs="Arial"/>
                <w:sz w:val="22"/>
                <w:szCs w:val="22"/>
              </w:rPr>
            </w:pPr>
            <w:r w:rsidRPr="00746F54">
              <w:rPr>
                <w:rFonts w:ascii="Arial" w:hAnsi="Arial" w:cs="Arial"/>
                <w:sz w:val="22"/>
                <w:szCs w:val="22"/>
              </w:rPr>
              <w:t>Balancing Area 2 fails the EDAM RSE.</w:t>
            </w:r>
          </w:p>
        </w:tc>
        <w:tc>
          <w:tcPr>
            <w:tcW w:w="3628" w:type="dxa"/>
          </w:tcPr>
          <w:p w14:paraId="2098A246" w14:textId="77777777" w:rsidR="00E4601F" w:rsidRPr="00746F54" w:rsidRDefault="00E4601F" w:rsidP="00D62922">
            <w:pPr>
              <w:spacing w:after="240" w:line="300" w:lineRule="auto"/>
              <w:jc w:val="left"/>
              <w:rPr>
                <w:rFonts w:ascii="Arial" w:hAnsi="Arial" w:cs="Arial"/>
                <w:sz w:val="22"/>
                <w:szCs w:val="22"/>
              </w:rPr>
            </w:pPr>
            <w:r w:rsidRPr="00746F54">
              <w:rPr>
                <w:rFonts w:ascii="Arial" w:hAnsi="Arial" w:cs="Arial"/>
                <w:sz w:val="22"/>
                <w:szCs w:val="22"/>
              </w:rPr>
              <w:t xml:space="preserve">The gross GHG attribution limit is turned off for all relevant hourly or </w:t>
            </w:r>
            <w:commentRangeStart w:id="376"/>
            <w:r w:rsidRPr="00746F54">
              <w:rPr>
                <w:rFonts w:ascii="Arial" w:hAnsi="Arial" w:cs="Arial"/>
                <w:sz w:val="22"/>
                <w:szCs w:val="22"/>
              </w:rPr>
              <w:t xml:space="preserve">fifteen minute </w:t>
            </w:r>
            <w:commentRangeEnd w:id="376"/>
            <w:r w:rsidRPr="00746F54">
              <w:rPr>
                <w:rStyle w:val="CommentReference"/>
                <w:rFonts w:ascii="Arial" w:eastAsiaTheme="minorHAnsi" w:hAnsi="Arial" w:cs="Arial"/>
              </w:rPr>
              <w:commentReference w:id="376"/>
            </w:r>
            <w:r w:rsidRPr="00746F54">
              <w:rPr>
                <w:rFonts w:ascii="Arial" w:hAnsi="Arial" w:cs="Arial"/>
                <w:sz w:val="22"/>
                <w:szCs w:val="22"/>
              </w:rPr>
              <w:t xml:space="preserve">market intervals, and BAA can receive up to 500MW of GHG attribution. </w:t>
            </w:r>
          </w:p>
        </w:tc>
      </w:tr>
    </w:tbl>
    <w:p w14:paraId="0C54F39E" w14:textId="77777777" w:rsidR="00E4601F" w:rsidRPr="00746F54" w:rsidRDefault="00E4601F" w:rsidP="00E4601F">
      <w:pPr>
        <w:spacing w:after="240" w:line="300" w:lineRule="auto"/>
        <w:rPr>
          <w:rFonts w:ascii="Arial" w:hAnsi="Arial" w:cs="Arial"/>
        </w:rPr>
      </w:pPr>
    </w:p>
    <w:bookmarkEnd w:id="375"/>
    <w:p w14:paraId="3212A04F" w14:textId="77777777" w:rsidR="00E4601F" w:rsidRPr="00746F54" w:rsidRDefault="00E4601F" w:rsidP="00E4601F">
      <w:pPr>
        <w:spacing w:after="240" w:line="300" w:lineRule="auto"/>
        <w:rPr>
          <w:rFonts w:ascii="Arial" w:hAnsi="Arial" w:cs="Arial"/>
          <w:b/>
        </w:rPr>
      </w:pPr>
      <w:r w:rsidRPr="00746F54">
        <w:rPr>
          <w:rFonts w:ascii="Arial" w:hAnsi="Arial" w:cs="Arial"/>
          <w:b/>
        </w:rPr>
        <w:t xml:space="preserve">Temporal examples of the gross GHG attribution limit when a GHG regulation area does and does not fail the EDAM RSE in the upward direction </w:t>
      </w:r>
    </w:p>
    <w:tbl>
      <w:tblPr>
        <w:tblStyle w:val="TableGrid"/>
        <w:tblW w:w="0" w:type="auto"/>
        <w:tblLook w:val="04A0" w:firstRow="1" w:lastRow="0" w:firstColumn="1" w:lastColumn="0" w:noHBand="0" w:noVBand="1"/>
      </w:tblPr>
      <w:tblGrid>
        <w:gridCol w:w="2340"/>
        <w:gridCol w:w="1513"/>
        <w:gridCol w:w="1468"/>
        <w:gridCol w:w="899"/>
        <w:gridCol w:w="1026"/>
        <w:gridCol w:w="2104"/>
      </w:tblGrid>
      <w:tr w:rsidR="00E4601F" w:rsidRPr="00746F54" w14:paraId="46A3AD54" w14:textId="77777777" w:rsidTr="00D62922">
        <w:trPr>
          <w:trHeight w:val="1403"/>
        </w:trPr>
        <w:tc>
          <w:tcPr>
            <w:tcW w:w="4132" w:type="dxa"/>
            <w:tcBorders>
              <w:top w:val="single" w:sz="4" w:space="0" w:color="auto"/>
              <w:left w:val="single" w:sz="4" w:space="0" w:color="auto"/>
              <w:bottom w:val="single" w:sz="4" w:space="0" w:color="auto"/>
              <w:right w:val="single" w:sz="4" w:space="0" w:color="auto"/>
            </w:tcBorders>
            <w:shd w:val="clear" w:color="auto" w:fill="44546A" w:themeFill="text2"/>
            <w:hideMark/>
          </w:tcPr>
          <w:p w14:paraId="0F9CBB1D" w14:textId="77777777" w:rsidR="00E4601F" w:rsidRPr="00746F54" w:rsidRDefault="00E4601F" w:rsidP="00D62922">
            <w:pPr>
              <w:spacing w:after="240" w:line="300" w:lineRule="auto"/>
              <w:jc w:val="left"/>
              <w:rPr>
                <w:rFonts w:ascii="Arial" w:hAnsi="Arial" w:cs="Arial"/>
                <w:color w:val="FFFFFF" w:themeColor="background1"/>
                <w:sz w:val="22"/>
                <w:szCs w:val="22"/>
              </w:rPr>
            </w:pPr>
            <w:r w:rsidRPr="00746F54">
              <w:rPr>
                <w:rFonts w:ascii="Arial" w:hAnsi="Arial" w:cs="Arial"/>
                <w:color w:val="FFFFFF" w:themeColor="background1"/>
                <w:sz w:val="22"/>
                <w:szCs w:val="22"/>
              </w:rPr>
              <w:t xml:space="preserve">Scenario </w:t>
            </w:r>
          </w:p>
        </w:tc>
        <w:tc>
          <w:tcPr>
            <w:tcW w:w="2160" w:type="dxa"/>
            <w:tcBorders>
              <w:top w:val="single" w:sz="4" w:space="0" w:color="auto"/>
              <w:left w:val="single" w:sz="4" w:space="0" w:color="auto"/>
              <w:bottom w:val="single" w:sz="4" w:space="0" w:color="auto"/>
              <w:right w:val="single" w:sz="4" w:space="0" w:color="auto"/>
            </w:tcBorders>
            <w:shd w:val="clear" w:color="auto" w:fill="44546A" w:themeFill="text2"/>
            <w:hideMark/>
          </w:tcPr>
          <w:p w14:paraId="0AC2F4CC" w14:textId="77777777" w:rsidR="00E4601F" w:rsidRPr="00746F54" w:rsidRDefault="00E4601F" w:rsidP="00D62922">
            <w:pPr>
              <w:spacing w:after="240" w:line="300" w:lineRule="auto"/>
              <w:jc w:val="left"/>
              <w:rPr>
                <w:rFonts w:ascii="Arial" w:hAnsi="Arial" w:cs="Arial"/>
                <w:color w:val="FFFFFF" w:themeColor="background1"/>
                <w:sz w:val="22"/>
                <w:szCs w:val="22"/>
              </w:rPr>
            </w:pPr>
            <w:r w:rsidRPr="00746F54">
              <w:rPr>
                <w:rFonts w:ascii="Arial" w:hAnsi="Arial" w:cs="Arial"/>
                <w:color w:val="FFFFFF" w:themeColor="background1"/>
                <w:sz w:val="22"/>
                <w:szCs w:val="22"/>
              </w:rPr>
              <w:t>Gross GHG attribution limit: Optimal Net Transfer from BAA 1</w:t>
            </w:r>
          </w:p>
        </w:tc>
        <w:tc>
          <w:tcPr>
            <w:tcW w:w="1980" w:type="dxa"/>
            <w:tcBorders>
              <w:top w:val="single" w:sz="4" w:space="0" w:color="auto"/>
              <w:left w:val="single" w:sz="4" w:space="0" w:color="auto"/>
              <w:bottom w:val="single" w:sz="4" w:space="0" w:color="auto"/>
              <w:right w:val="single" w:sz="4" w:space="0" w:color="auto"/>
            </w:tcBorders>
            <w:shd w:val="clear" w:color="auto" w:fill="44546A" w:themeFill="text2"/>
            <w:hideMark/>
          </w:tcPr>
          <w:p w14:paraId="7435DE7E" w14:textId="77777777" w:rsidR="00E4601F" w:rsidRPr="00746F54" w:rsidRDefault="00E4601F" w:rsidP="00D62922">
            <w:pPr>
              <w:spacing w:after="240" w:line="300" w:lineRule="auto"/>
              <w:jc w:val="left"/>
              <w:rPr>
                <w:rFonts w:ascii="Arial" w:hAnsi="Arial" w:cs="Arial"/>
                <w:color w:val="FFFFFF" w:themeColor="background1"/>
                <w:sz w:val="22"/>
                <w:szCs w:val="22"/>
              </w:rPr>
            </w:pPr>
            <w:r w:rsidRPr="00746F54">
              <w:rPr>
                <w:rFonts w:ascii="Arial" w:hAnsi="Arial" w:cs="Arial"/>
                <w:color w:val="FFFFFF" w:themeColor="background1"/>
                <w:sz w:val="22"/>
                <w:szCs w:val="22"/>
              </w:rPr>
              <w:t>Available economic MW for Attribution from BAA 1</w:t>
            </w:r>
          </w:p>
        </w:tc>
        <w:tc>
          <w:tcPr>
            <w:tcW w:w="990" w:type="dxa"/>
            <w:tcBorders>
              <w:top w:val="single" w:sz="4" w:space="0" w:color="auto"/>
              <w:left w:val="single" w:sz="4" w:space="0" w:color="auto"/>
              <w:bottom w:val="single" w:sz="4" w:space="0" w:color="auto"/>
              <w:right w:val="single" w:sz="4" w:space="0" w:color="auto"/>
            </w:tcBorders>
            <w:shd w:val="clear" w:color="auto" w:fill="44546A" w:themeFill="text2"/>
            <w:hideMark/>
          </w:tcPr>
          <w:p w14:paraId="51A5844E" w14:textId="77777777" w:rsidR="00E4601F" w:rsidRPr="00746F54" w:rsidRDefault="00E4601F" w:rsidP="00D62922">
            <w:pPr>
              <w:spacing w:after="240" w:line="300" w:lineRule="auto"/>
              <w:jc w:val="left"/>
              <w:rPr>
                <w:rFonts w:ascii="Arial" w:hAnsi="Arial" w:cs="Arial"/>
                <w:color w:val="FFFFFF" w:themeColor="background1"/>
                <w:sz w:val="22"/>
                <w:szCs w:val="22"/>
              </w:rPr>
            </w:pPr>
            <w:r w:rsidRPr="00746F54">
              <w:rPr>
                <w:rFonts w:ascii="Arial" w:hAnsi="Arial" w:cs="Arial"/>
                <w:color w:val="FFFFFF" w:themeColor="background1"/>
                <w:sz w:val="22"/>
                <w:szCs w:val="22"/>
              </w:rPr>
              <w:t>EDAM</w:t>
            </w:r>
          </w:p>
        </w:tc>
        <w:tc>
          <w:tcPr>
            <w:tcW w:w="1440" w:type="dxa"/>
            <w:tcBorders>
              <w:top w:val="single" w:sz="4" w:space="0" w:color="auto"/>
              <w:left w:val="single" w:sz="4" w:space="0" w:color="auto"/>
              <w:bottom w:val="single" w:sz="4" w:space="0" w:color="auto"/>
              <w:right w:val="single" w:sz="4" w:space="0" w:color="auto"/>
            </w:tcBorders>
            <w:shd w:val="clear" w:color="auto" w:fill="44546A" w:themeFill="text2"/>
            <w:hideMark/>
          </w:tcPr>
          <w:p w14:paraId="55D179FA" w14:textId="77777777" w:rsidR="00E4601F" w:rsidRPr="00746F54" w:rsidRDefault="00E4601F" w:rsidP="00D62922">
            <w:pPr>
              <w:spacing w:after="240" w:line="300" w:lineRule="auto"/>
              <w:jc w:val="left"/>
              <w:rPr>
                <w:rFonts w:ascii="Arial" w:hAnsi="Arial" w:cs="Arial"/>
                <w:color w:val="FFFFFF" w:themeColor="background1"/>
                <w:sz w:val="22"/>
                <w:szCs w:val="22"/>
              </w:rPr>
            </w:pPr>
            <w:r w:rsidRPr="00746F54">
              <w:rPr>
                <w:rFonts w:ascii="Arial" w:hAnsi="Arial" w:cs="Arial"/>
                <w:color w:val="FFFFFF" w:themeColor="background1"/>
                <w:sz w:val="22"/>
                <w:szCs w:val="22"/>
              </w:rPr>
              <w:t>WEIM</w:t>
            </w:r>
          </w:p>
        </w:tc>
        <w:tc>
          <w:tcPr>
            <w:tcW w:w="3600" w:type="dxa"/>
            <w:tcBorders>
              <w:top w:val="single" w:sz="4" w:space="0" w:color="auto"/>
              <w:left w:val="single" w:sz="4" w:space="0" w:color="auto"/>
              <w:bottom w:val="single" w:sz="4" w:space="0" w:color="auto"/>
              <w:right w:val="single" w:sz="4" w:space="0" w:color="auto"/>
            </w:tcBorders>
            <w:shd w:val="clear" w:color="auto" w:fill="44546A" w:themeFill="text2"/>
            <w:hideMark/>
          </w:tcPr>
          <w:p w14:paraId="60415D43" w14:textId="77777777" w:rsidR="00E4601F" w:rsidRPr="00746F54" w:rsidRDefault="00E4601F" w:rsidP="00D62922">
            <w:pPr>
              <w:spacing w:after="240" w:line="300" w:lineRule="auto"/>
              <w:jc w:val="left"/>
              <w:rPr>
                <w:rFonts w:ascii="Arial" w:hAnsi="Arial" w:cs="Arial"/>
                <w:color w:val="FFFFFF" w:themeColor="background1"/>
                <w:sz w:val="22"/>
                <w:szCs w:val="22"/>
              </w:rPr>
            </w:pPr>
            <w:r w:rsidRPr="00746F54">
              <w:rPr>
                <w:rFonts w:ascii="Arial" w:hAnsi="Arial" w:cs="Arial"/>
                <w:color w:val="FFFFFF" w:themeColor="background1"/>
                <w:sz w:val="22"/>
                <w:szCs w:val="22"/>
              </w:rPr>
              <w:t>Total Attribution</w:t>
            </w:r>
          </w:p>
        </w:tc>
      </w:tr>
      <w:tr w:rsidR="00E4601F" w:rsidRPr="00746F54" w14:paraId="36606653" w14:textId="77777777" w:rsidTr="00D62922">
        <w:trPr>
          <w:trHeight w:val="872"/>
        </w:trPr>
        <w:tc>
          <w:tcPr>
            <w:tcW w:w="4132" w:type="dxa"/>
            <w:vMerge w:val="restart"/>
            <w:tcBorders>
              <w:top w:val="single" w:sz="4" w:space="0" w:color="auto"/>
              <w:left w:val="single" w:sz="4" w:space="0" w:color="auto"/>
              <w:bottom w:val="single" w:sz="4" w:space="0" w:color="auto"/>
              <w:right w:val="single" w:sz="4" w:space="0" w:color="auto"/>
            </w:tcBorders>
            <w:hideMark/>
          </w:tcPr>
          <w:p w14:paraId="103D4F21" w14:textId="77777777" w:rsidR="00E4601F" w:rsidRPr="00746F54" w:rsidRDefault="00E4601F" w:rsidP="00D62922">
            <w:pPr>
              <w:spacing w:after="240" w:line="300" w:lineRule="auto"/>
              <w:jc w:val="left"/>
              <w:rPr>
                <w:rFonts w:ascii="Arial" w:hAnsi="Arial" w:cs="Arial"/>
                <w:sz w:val="22"/>
                <w:szCs w:val="22"/>
              </w:rPr>
            </w:pPr>
            <w:r w:rsidRPr="00746F54">
              <w:rPr>
                <w:rFonts w:ascii="Arial" w:hAnsi="Arial" w:cs="Arial"/>
                <w:sz w:val="22"/>
                <w:szCs w:val="22"/>
              </w:rPr>
              <w:t>EDAM BAA located fully/partially in GHG regulation area fails EDAM RSE for HE 1</w:t>
            </w:r>
          </w:p>
        </w:tc>
        <w:tc>
          <w:tcPr>
            <w:tcW w:w="2160" w:type="dxa"/>
            <w:tcBorders>
              <w:top w:val="single" w:sz="4" w:space="0" w:color="auto"/>
              <w:left w:val="single" w:sz="4" w:space="0" w:color="auto"/>
              <w:bottom w:val="single" w:sz="4" w:space="0" w:color="auto"/>
              <w:right w:val="single" w:sz="4" w:space="0" w:color="auto"/>
            </w:tcBorders>
            <w:hideMark/>
          </w:tcPr>
          <w:p w14:paraId="1B114FC6" w14:textId="77777777" w:rsidR="00E4601F" w:rsidRPr="00746F54" w:rsidRDefault="00E4601F" w:rsidP="00D62922">
            <w:pPr>
              <w:spacing w:after="240" w:line="300" w:lineRule="auto"/>
              <w:jc w:val="left"/>
              <w:rPr>
                <w:rFonts w:ascii="Arial" w:hAnsi="Arial" w:cs="Arial"/>
                <w:sz w:val="22"/>
                <w:szCs w:val="22"/>
              </w:rPr>
            </w:pPr>
            <w:r w:rsidRPr="00746F54">
              <w:rPr>
                <w:rFonts w:ascii="Arial" w:hAnsi="Arial" w:cs="Arial"/>
                <w:sz w:val="22"/>
                <w:szCs w:val="22"/>
              </w:rPr>
              <w:t>100</w:t>
            </w:r>
          </w:p>
        </w:tc>
        <w:tc>
          <w:tcPr>
            <w:tcW w:w="1980" w:type="dxa"/>
            <w:tcBorders>
              <w:top w:val="single" w:sz="4" w:space="0" w:color="auto"/>
              <w:left w:val="single" w:sz="4" w:space="0" w:color="auto"/>
              <w:bottom w:val="single" w:sz="4" w:space="0" w:color="auto"/>
              <w:right w:val="single" w:sz="4" w:space="0" w:color="auto"/>
            </w:tcBorders>
            <w:hideMark/>
          </w:tcPr>
          <w:p w14:paraId="022E2DE9" w14:textId="77777777" w:rsidR="00E4601F" w:rsidRPr="00746F54" w:rsidRDefault="00E4601F" w:rsidP="00D62922">
            <w:pPr>
              <w:spacing w:after="240" w:line="300" w:lineRule="auto"/>
              <w:jc w:val="left"/>
              <w:rPr>
                <w:rFonts w:ascii="Arial" w:hAnsi="Arial" w:cs="Arial"/>
                <w:sz w:val="22"/>
                <w:szCs w:val="22"/>
              </w:rPr>
            </w:pPr>
            <w:r w:rsidRPr="00746F54">
              <w:rPr>
                <w:rFonts w:ascii="Arial" w:hAnsi="Arial" w:cs="Arial"/>
                <w:sz w:val="22"/>
                <w:szCs w:val="22"/>
              </w:rPr>
              <w:t>200</w:t>
            </w:r>
          </w:p>
        </w:tc>
        <w:tc>
          <w:tcPr>
            <w:tcW w:w="990" w:type="dxa"/>
            <w:vMerge w:val="restart"/>
            <w:tcBorders>
              <w:top w:val="single" w:sz="4" w:space="0" w:color="auto"/>
              <w:left w:val="single" w:sz="4" w:space="0" w:color="auto"/>
              <w:bottom w:val="single" w:sz="4" w:space="0" w:color="auto"/>
              <w:right w:val="single" w:sz="4" w:space="0" w:color="auto"/>
            </w:tcBorders>
            <w:hideMark/>
          </w:tcPr>
          <w:p w14:paraId="40A3E1FE" w14:textId="77777777" w:rsidR="00E4601F" w:rsidRPr="00746F54" w:rsidRDefault="00E4601F" w:rsidP="00D62922">
            <w:pPr>
              <w:spacing w:after="240" w:line="300" w:lineRule="auto"/>
              <w:jc w:val="left"/>
              <w:rPr>
                <w:rFonts w:ascii="Arial" w:hAnsi="Arial" w:cs="Arial"/>
                <w:sz w:val="22"/>
                <w:szCs w:val="22"/>
              </w:rPr>
            </w:pPr>
            <w:r w:rsidRPr="00746F54">
              <w:rPr>
                <w:rFonts w:ascii="Arial" w:hAnsi="Arial" w:cs="Arial"/>
                <w:sz w:val="22"/>
                <w:szCs w:val="22"/>
              </w:rPr>
              <w:t>HE 1</w:t>
            </w:r>
          </w:p>
        </w:tc>
        <w:tc>
          <w:tcPr>
            <w:tcW w:w="1440" w:type="dxa"/>
            <w:tcBorders>
              <w:top w:val="single" w:sz="4" w:space="0" w:color="auto"/>
              <w:left w:val="single" w:sz="4" w:space="0" w:color="auto"/>
              <w:bottom w:val="single" w:sz="4" w:space="0" w:color="auto"/>
              <w:right w:val="single" w:sz="4" w:space="0" w:color="auto"/>
            </w:tcBorders>
            <w:hideMark/>
          </w:tcPr>
          <w:p w14:paraId="6A219667" w14:textId="77777777" w:rsidR="00E4601F" w:rsidRPr="00746F54" w:rsidRDefault="00E4601F" w:rsidP="00D62922">
            <w:pPr>
              <w:spacing w:after="240" w:line="300" w:lineRule="auto"/>
              <w:jc w:val="left"/>
              <w:rPr>
                <w:rFonts w:ascii="Arial" w:hAnsi="Arial" w:cs="Arial"/>
                <w:sz w:val="22"/>
                <w:szCs w:val="22"/>
              </w:rPr>
            </w:pPr>
            <w:r w:rsidRPr="00746F54">
              <w:rPr>
                <w:rFonts w:ascii="Arial" w:hAnsi="Arial" w:cs="Arial"/>
                <w:sz w:val="22"/>
                <w:szCs w:val="22"/>
              </w:rPr>
              <w:t>FMM 1</w:t>
            </w:r>
          </w:p>
        </w:tc>
        <w:tc>
          <w:tcPr>
            <w:tcW w:w="3600" w:type="dxa"/>
            <w:tcBorders>
              <w:top w:val="single" w:sz="4" w:space="0" w:color="auto"/>
              <w:left w:val="single" w:sz="4" w:space="0" w:color="auto"/>
              <w:bottom w:val="single" w:sz="4" w:space="0" w:color="auto"/>
              <w:right w:val="single" w:sz="4" w:space="0" w:color="auto"/>
            </w:tcBorders>
            <w:hideMark/>
          </w:tcPr>
          <w:p w14:paraId="2593E90D" w14:textId="77777777" w:rsidR="00E4601F" w:rsidRPr="00746F54" w:rsidRDefault="00E4601F" w:rsidP="00D62922">
            <w:pPr>
              <w:spacing w:after="240" w:line="300" w:lineRule="auto"/>
              <w:jc w:val="left"/>
              <w:rPr>
                <w:rFonts w:ascii="Arial" w:hAnsi="Arial" w:cs="Arial"/>
                <w:sz w:val="22"/>
                <w:szCs w:val="22"/>
              </w:rPr>
            </w:pPr>
            <w:r w:rsidRPr="00746F54">
              <w:rPr>
                <w:rFonts w:ascii="Arial" w:hAnsi="Arial" w:cs="Arial"/>
                <w:sz w:val="22"/>
                <w:szCs w:val="22"/>
              </w:rPr>
              <w:t>200, constraint deactivated</w:t>
            </w:r>
          </w:p>
        </w:tc>
      </w:tr>
      <w:tr w:rsidR="00E4601F" w:rsidRPr="00746F54" w14:paraId="6FB59BC0" w14:textId="77777777" w:rsidTr="00D62922">
        <w:tc>
          <w:tcPr>
            <w:tcW w:w="0" w:type="auto"/>
            <w:vMerge/>
            <w:tcBorders>
              <w:top w:val="single" w:sz="4" w:space="0" w:color="auto"/>
              <w:left w:val="single" w:sz="4" w:space="0" w:color="auto"/>
              <w:bottom w:val="single" w:sz="4" w:space="0" w:color="auto"/>
              <w:right w:val="single" w:sz="4" w:space="0" w:color="auto"/>
            </w:tcBorders>
            <w:vAlign w:val="center"/>
            <w:hideMark/>
          </w:tcPr>
          <w:p w14:paraId="2B424663" w14:textId="77777777" w:rsidR="00E4601F" w:rsidRPr="00746F54" w:rsidRDefault="00E4601F" w:rsidP="00D62922">
            <w:pPr>
              <w:spacing w:after="240" w:line="300" w:lineRule="auto"/>
              <w:jc w:val="left"/>
              <w:rPr>
                <w:rFonts w:ascii="Arial" w:hAnsi="Arial" w:cs="Arial"/>
                <w:sz w:val="22"/>
                <w:szCs w:val="22"/>
              </w:rPr>
            </w:pPr>
          </w:p>
        </w:tc>
        <w:tc>
          <w:tcPr>
            <w:tcW w:w="2160" w:type="dxa"/>
            <w:tcBorders>
              <w:top w:val="single" w:sz="4" w:space="0" w:color="auto"/>
              <w:left w:val="single" w:sz="4" w:space="0" w:color="auto"/>
              <w:bottom w:val="single" w:sz="4" w:space="0" w:color="auto"/>
              <w:right w:val="single" w:sz="4" w:space="0" w:color="auto"/>
            </w:tcBorders>
            <w:hideMark/>
          </w:tcPr>
          <w:p w14:paraId="2892FB57" w14:textId="77777777" w:rsidR="00E4601F" w:rsidRPr="00746F54" w:rsidRDefault="00E4601F" w:rsidP="00D62922">
            <w:pPr>
              <w:spacing w:after="240" w:line="300" w:lineRule="auto"/>
              <w:jc w:val="left"/>
              <w:rPr>
                <w:rFonts w:ascii="Arial" w:hAnsi="Arial" w:cs="Arial"/>
                <w:sz w:val="22"/>
                <w:szCs w:val="22"/>
              </w:rPr>
            </w:pPr>
            <w:r w:rsidRPr="00746F54">
              <w:rPr>
                <w:rFonts w:ascii="Arial" w:hAnsi="Arial" w:cs="Arial"/>
                <w:sz w:val="22"/>
                <w:szCs w:val="22"/>
              </w:rPr>
              <w:t>100</w:t>
            </w:r>
          </w:p>
        </w:tc>
        <w:tc>
          <w:tcPr>
            <w:tcW w:w="1980" w:type="dxa"/>
            <w:tcBorders>
              <w:top w:val="single" w:sz="4" w:space="0" w:color="auto"/>
              <w:left w:val="single" w:sz="4" w:space="0" w:color="auto"/>
              <w:bottom w:val="single" w:sz="4" w:space="0" w:color="auto"/>
              <w:right w:val="single" w:sz="4" w:space="0" w:color="auto"/>
            </w:tcBorders>
            <w:hideMark/>
          </w:tcPr>
          <w:p w14:paraId="29C0F500" w14:textId="77777777" w:rsidR="00E4601F" w:rsidRPr="00746F54" w:rsidRDefault="00E4601F" w:rsidP="00D62922">
            <w:pPr>
              <w:spacing w:after="240" w:line="300" w:lineRule="auto"/>
              <w:jc w:val="left"/>
              <w:rPr>
                <w:rFonts w:ascii="Arial" w:hAnsi="Arial" w:cs="Arial"/>
                <w:sz w:val="22"/>
                <w:szCs w:val="22"/>
              </w:rPr>
            </w:pPr>
            <w:r w:rsidRPr="00746F54">
              <w:rPr>
                <w:rFonts w:ascii="Arial" w:hAnsi="Arial" w:cs="Arial"/>
                <w:sz w:val="22"/>
                <w:szCs w:val="22"/>
              </w:rPr>
              <w:t>200</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A83C3E9" w14:textId="77777777" w:rsidR="00E4601F" w:rsidRPr="00746F54" w:rsidRDefault="00E4601F" w:rsidP="00D62922">
            <w:pPr>
              <w:spacing w:after="240" w:line="300" w:lineRule="auto"/>
              <w:jc w:val="left"/>
              <w:rPr>
                <w:rFonts w:ascii="Arial" w:hAnsi="Arial" w:cs="Arial"/>
                <w:sz w:val="22"/>
                <w:szCs w:val="22"/>
              </w:rPr>
            </w:pPr>
          </w:p>
        </w:tc>
        <w:tc>
          <w:tcPr>
            <w:tcW w:w="1440" w:type="dxa"/>
            <w:tcBorders>
              <w:top w:val="single" w:sz="4" w:space="0" w:color="auto"/>
              <w:left w:val="single" w:sz="4" w:space="0" w:color="auto"/>
              <w:bottom w:val="single" w:sz="4" w:space="0" w:color="auto"/>
              <w:right w:val="single" w:sz="4" w:space="0" w:color="auto"/>
            </w:tcBorders>
            <w:hideMark/>
          </w:tcPr>
          <w:p w14:paraId="5BFFA35A" w14:textId="77777777" w:rsidR="00E4601F" w:rsidRPr="00746F54" w:rsidRDefault="00E4601F" w:rsidP="00D62922">
            <w:pPr>
              <w:spacing w:after="240" w:line="300" w:lineRule="auto"/>
              <w:jc w:val="left"/>
              <w:rPr>
                <w:rFonts w:ascii="Arial" w:hAnsi="Arial" w:cs="Arial"/>
                <w:sz w:val="22"/>
                <w:szCs w:val="22"/>
              </w:rPr>
            </w:pPr>
            <w:r w:rsidRPr="00746F54">
              <w:rPr>
                <w:rFonts w:ascii="Arial" w:hAnsi="Arial" w:cs="Arial"/>
                <w:sz w:val="22"/>
                <w:szCs w:val="22"/>
              </w:rPr>
              <w:t>FMM 2</w:t>
            </w:r>
          </w:p>
        </w:tc>
        <w:tc>
          <w:tcPr>
            <w:tcW w:w="3600" w:type="dxa"/>
            <w:tcBorders>
              <w:top w:val="single" w:sz="4" w:space="0" w:color="auto"/>
              <w:left w:val="single" w:sz="4" w:space="0" w:color="auto"/>
              <w:bottom w:val="single" w:sz="4" w:space="0" w:color="auto"/>
              <w:right w:val="single" w:sz="4" w:space="0" w:color="auto"/>
            </w:tcBorders>
            <w:hideMark/>
          </w:tcPr>
          <w:p w14:paraId="792A8823" w14:textId="77777777" w:rsidR="00E4601F" w:rsidRPr="00746F54" w:rsidRDefault="00E4601F" w:rsidP="00D62922">
            <w:pPr>
              <w:spacing w:after="240" w:line="300" w:lineRule="auto"/>
              <w:jc w:val="left"/>
              <w:rPr>
                <w:rFonts w:ascii="Arial" w:hAnsi="Arial" w:cs="Arial"/>
                <w:sz w:val="22"/>
                <w:szCs w:val="22"/>
              </w:rPr>
            </w:pPr>
            <w:r w:rsidRPr="00746F54">
              <w:rPr>
                <w:rFonts w:ascii="Arial" w:hAnsi="Arial" w:cs="Arial"/>
                <w:sz w:val="22"/>
                <w:szCs w:val="22"/>
              </w:rPr>
              <w:t>200, constraint deactivated</w:t>
            </w:r>
          </w:p>
        </w:tc>
      </w:tr>
      <w:tr w:rsidR="00E4601F" w:rsidRPr="00746F54" w14:paraId="278FEB40" w14:textId="77777777" w:rsidTr="00D62922">
        <w:tc>
          <w:tcPr>
            <w:tcW w:w="0" w:type="auto"/>
            <w:vMerge/>
            <w:tcBorders>
              <w:top w:val="single" w:sz="4" w:space="0" w:color="auto"/>
              <w:left w:val="single" w:sz="4" w:space="0" w:color="auto"/>
              <w:bottom w:val="single" w:sz="4" w:space="0" w:color="auto"/>
              <w:right w:val="single" w:sz="4" w:space="0" w:color="auto"/>
            </w:tcBorders>
            <w:vAlign w:val="center"/>
            <w:hideMark/>
          </w:tcPr>
          <w:p w14:paraId="25250A77" w14:textId="77777777" w:rsidR="00E4601F" w:rsidRPr="00746F54" w:rsidRDefault="00E4601F" w:rsidP="00D62922">
            <w:pPr>
              <w:spacing w:after="240" w:line="300" w:lineRule="auto"/>
              <w:jc w:val="left"/>
              <w:rPr>
                <w:rFonts w:ascii="Arial" w:hAnsi="Arial" w:cs="Arial"/>
                <w:sz w:val="22"/>
                <w:szCs w:val="22"/>
              </w:rPr>
            </w:pPr>
          </w:p>
        </w:tc>
        <w:tc>
          <w:tcPr>
            <w:tcW w:w="2160" w:type="dxa"/>
            <w:tcBorders>
              <w:top w:val="single" w:sz="4" w:space="0" w:color="auto"/>
              <w:left w:val="single" w:sz="4" w:space="0" w:color="auto"/>
              <w:bottom w:val="single" w:sz="4" w:space="0" w:color="auto"/>
              <w:right w:val="single" w:sz="4" w:space="0" w:color="auto"/>
            </w:tcBorders>
            <w:hideMark/>
          </w:tcPr>
          <w:p w14:paraId="190F387F" w14:textId="77777777" w:rsidR="00E4601F" w:rsidRPr="00746F54" w:rsidRDefault="00E4601F" w:rsidP="00D62922">
            <w:pPr>
              <w:spacing w:after="240" w:line="300" w:lineRule="auto"/>
              <w:jc w:val="left"/>
              <w:rPr>
                <w:rFonts w:ascii="Arial" w:hAnsi="Arial" w:cs="Arial"/>
                <w:sz w:val="22"/>
                <w:szCs w:val="22"/>
              </w:rPr>
            </w:pPr>
            <w:r w:rsidRPr="00746F54">
              <w:rPr>
                <w:rFonts w:ascii="Arial" w:hAnsi="Arial" w:cs="Arial"/>
                <w:sz w:val="22"/>
                <w:szCs w:val="22"/>
              </w:rPr>
              <w:t>100</w:t>
            </w:r>
          </w:p>
        </w:tc>
        <w:tc>
          <w:tcPr>
            <w:tcW w:w="1980" w:type="dxa"/>
            <w:tcBorders>
              <w:top w:val="single" w:sz="4" w:space="0" w:color="auto"/>
              <w:left w:val="single" w:sz="4" w:space="0" w:color="auto"/>
              <w:bottom w:val="single" w:sz="4" w:space="0" w:color="auto"/>
              <w:right w:val="single" w:sz="4" w:space="0" w:color="auto"/>
            </w:tcBorders>
            <w:hideMark/>
          </w:tcPr>
          <w:p w14:paraId="77F71BA0" w14:textId="77777777" w:rsidR="00E4601F" w:rsidRPr="00746F54" w:rsidRDefault="00E4601F" w:rsidP="00D62922">
            <w:pPr>
              <w:spacing w:after="240" w:line="300" w:lineRule="auto"/>
              <w:jc w:val="left"/>
              <w:rPr>
                <w:rFonts w:ascii="Arial" w:hAnsi="Arial" w:cs="Arial"/>
                <w:sz w:val="22"/>
                <w:szCs w:val="22"/>
              </w:rPr>
            </w:pPr>
            <w:r w:rsidRPr="00746F54">
              <w:rPr>
                <w:rFonts w:ascii="Arial" w:hAnsi="Arial" w:cs="Arial"/>
                <w:sz w:val="22"/>
                <w:szCs w:val="22"/>
              </w:rPr>
              <w:t>200</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DEBD1DE" w14:textId="77777777" w:rsidR="00E4601F" w:rsidRPr="00746F54" w:rsidRDefault="00E4601F" w:rsidP="00D62922">
            <w:pPr>
              <w:spacing w:after="240" w:line="300" w:lineRule="auto"/>
              <w:jc w:val="left"/>
              <w:rPr>
                <w:rFonts w:ascii="Arial" w:hAnsi="Arial" w:cs="Arial"/>
                <w:sz w:val="22"/>
                <w:szCs w:val="22"/>
              </w:rPr>
            </w:pPr>
          </w:p>
        </w:tc>
        <w:tc>
          <w:tcPr>
            <w:tcW w:w="1440" w:type="dxa"/>
            <w:tcBorders>
              <w:top w:val="single" w:sz="4" w:space="0" w:color="auto"/>
              <w:left w:val="single" w:sz="4" w:space="0" w:color="auto"/>
              <w:bottom w:val="single" w:sz="4" w:space="0" w:color="auto"/>
              <w:right w:val="single" w:sz="4" w:space="0" w:color="auto"/>
            </w:tcBorders>
            <w:hideMark/>
          </w:tcPr>
          <w:p w14:paraId="3ADF1E85" w14:textId="77777777" w:rsidR="00E4601F" w:rsidRPr="00746F54" w:rsidRDefault="00E4601F" w:rsidP="00D62922">
            <w:pPr>
              <w:spacing w:after="240" w:line="300" w:lineRule="auto"/>
              <w:jc w:val="left"/>
              <w:rPr>
                <w:rFonts w:ascii="Arial" w:hAnsi="Arial" w:cs="Arial"/>
                <w:sz w:val="22"/>
                <w:szCs w:val="22"/>
              </w:rPr>
            </w:pPr>
            <w:r w:rsidRPr="00746F54">
              <w:rPr>
                <w:rFonts w:ascii="Arial" w:hAnsi="Arial" w:cs="Arial"/>
                <w:sz w:val="22"/>
                <w:szCs w:val="22"/>
              </w:rPr>
              <w:t>FMM 3</w:t>
            </w:r>
          </w:p>
        </w:tc>
        <w:tc>
          <w:tcPr>
            <w:tcW w:w="3600" w:type="dxa"/>
            <w:tcBorders>
              <w:top w:val="single" w:sz="4" w:space="0" w:color="auto"/>
              <w:left w:val="single" w:sz="4" w:space="0" w:color="auto"/>
              <w:bottom w:val="single" w:sz="4" w:space="0" w:color="auto"/>
              <w:right w:val="single" w:sz="4" w:space="0" w:color="auto"/>
            </w:tcBorders>
            <w:hideMark/>
          </w:tcPr>
          <w:p w14:paraId="1CA2AB3C" w14:textId="77777777" w:rsidR="00E4601F" w:rsidRPr="00746F54" w:rsidRDefault="00E4601F" w:rsidP="00D62922">
            <w:pPr>
              <w:spacing w:after="240" w:line="300" w:lineRule="auto"/>
              <w:jc w:val="left"/>
              <w:rPr>
                <w:rFonts w:ascii="Arial" w:hAnsi="Arial" w:cs="Arial"/>
                <w:sz w:val="22"/>
                <w:szCs w:val="22"/>
              </w:rPr>
            </w:pPr>
            <w:r w:rsidRPr="00746F54">
              <w:rPr>
                <w:rFonts w:ascii="Arial" w:hAnsi="Arial" w:cs="Arial"/>
                <w:sz w:val="22"/>
                <w:szCs w:val="22"/>
              </w:rPr>
              <w:t>200, constraint deactivated</w:t>
            </w:r>
          </w:p>
        </w:tc>
      </w:tr>
      <w:tr w:rsidR="00E4601F" w:rsidRPr="00746F54" w14:paraId="610D0977" w14:textId="77777777" w:rsidTr="00D62922">
        <w:tc>
          <w:tcPr>
            <w:tcW w:w="0" w:type="auto"/>
            <w:vMerge/>
            <w:tcBorders>
              <w:top w:val="single" w:sz="4" w:space="0" w:color="auto"/>
              <w:left w:val="single" w:sz="4" w:space="0" w:color="auto"/>
              <w:bottom w:val="single" w:sz="4" w:space="0" w:color="auto"/>
              <w:right w:val="single" w:sz="4" w:space="0" w:color="auto"/>
            </w:tcBorders>
            <w:vAlign w:val="center"/>
            <w:hideMark/>
          </w:tcPr>
          <w:p w14:paraId="5740B08B" w14:textId="77777777" w:rsidR="00E4601F" w:rsidRPr="00746F54" w:rsidRDefault="00E4601F" w:rsidP="00D62922">
            <w:pPr>
              <w:spacing w:after="240" w:line="300" w:lineRule="auto"/>
              <w:jc w:val="left"/>
              <w:rPr>
                <w:rFonts w:ascii="Arial" w:hAnsi="Arial" w:cs="Arial"/>
                <w:sz w:val="22"/>
                <w:szCs w:val="22"/>
              </w:rPr>
            </w:pPr>
          </w:p>
        </w:tc>
        <w:tc>
          <w:tcPr>
            <w:tcW w:w="2160" w:type="dxa"/>
            <w:tcBorders>
              <w:top w:val="single" w:sz="4" w:space="0" w:color="auto"/>
              <w:left w:val="single" w:sz="4" w:space="0" w:color="auto"/>
              <w:bottom w:val="single" w:sz="4" w:space="0" w:color="auto"/>
              <w:right w:val="single" w:sz="4" w:space="0" w:color="auto"/>
            </w:tcBorders>
            <w:hideMark/>
          </w:tcPr>
          <w:p w14:paraId="67C1AA79" w14:textId="77777777" w:rsidR="00E4601F" w:rsidRPr="00746F54" w:rsidRDefault="00E4601F" w:rsidP="00D62922">
            <w:pPr>
              <w:spacing w:after="240" w:line="300" w:lineRule="auto"/>
              <w:jc w:val="left"/>
              <w:rPr>
                <w:rFonts w:ascii="Arial" w:hAnsi="Arial" w:cs="Arial"/>
                <w:sz w:val="22"/>
                <w:szCs w:val="22"/>
              </w:rPr>
            </w:pPr>
            <w:r w:rsidRPr="00746F54">
              <w:rPr>
                <w:rFonts w:ascii="Arial" w:hAnsi="Arial" w:cs="Arial"/>
                <w:sz w:val="22"/>
                <w:szCs w:val="22"/>
              </w:rPr>
              <w:t>100</w:t>
            </w:r>
          </w:p>
        </w:tc>
        <w:tc>
          <w:tcPr>
            <w:tcW w:w="1980" w:type="dxa"/>
            <w:tcBorders>
              <w:top w:val="single" w:sz="4" w:space="0" w:color="auto"/>
              <w:left w:val="single" w:sz="4" w:space="0" w:color="auto"/>
              <w:bottom w:val="single" w:sz="4" w:space="0" w:color="auto"/>
              <w:right w:val="single" w:sz="4" w:space="0" w:color="auto"/>
            </w:tcBorders>
            <w:hideMark/>
          </w:tcPr>
          <w:p w14:paraId="0BB5C5F7" w14:textId="77777777" w:rsidR="00E4601F" w:rsidRPr="00746F54" w:rsidRDefault="00E4601F" w:rsidP="00D62922">
            <w:pPr>
              <w:spacing w:after="240" w:line="300" w:lineRule="auto"/>
              <w:jc w:val="left"/>
              <w:rPr>
                <w:rFonts w:ascii="Arial" w:hAnsi="Arial" w:cs="Arial"/>
                <w:sz w:val="22"/>
                <w:szCs w:val="22"/>
              </w:rPr>
            </w:pPr>
            <w:r w:rsidRPr="00746F54">
              <w:rPr>
                <w:rFonts w:ascii="Arial" w:hAnsi="Arial" w:cs="Arial"/>
                <w:sz w:val="22"/>
                <w:szCs w:val="22"/>
              </w:rPr>
              <w:t>200</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7785EAF" w14:textId="77777777" w:rsidR="00E4601F" w:rsidRPr="00746F54" w:rsidRDefault="00E4601F" w:rsidP="00D62922">
            <w:pPr>
              <w:spacing w:after="240" w:line="300" w:lineRule="auto"/>
              <w:jc w:val="left"/>
              <w:rPr>
                <w:rFonts w:ascii="Arial" w:hAnsi="Arial" w:cs="Arial"/>
                <w:sz w:val="22"/>
                <w:szCs w:val="22"/>
              </w:rPr>
            </w:pPr>
          </w:p>
        </w:tc>
        <w:tc>
          <w:tcPr>
            <w:tcW w:w="1440" w:type="dxa"/>
            <w:tcBorders>
              <w:top w:val="single" w:sz="4" w:space="0" w:color="auto"/>
              <w:left w:val="single" w:sz="4" w:space="0" w:color="auto"/>
              <w:bottom w:val="single" w:sz="4" w:space="0" w:color="auto"/>
              <w:right w:val="single" w:sz="4" w:space="0" w:color="auto"/>
            </w:tcBorders>
            <w:hideMark/>
          </w:tcPr>
          <w:p w14:paraId="3FD54421" w14:textId="77777777" w:rsidR="00E4601F" w:rsidRPr="00746F54" w:rsidRDefault="00E4601F" w:rsidP="00D62922">
            <w:pPr>
              <w:spacing w:after="240" w:line="300" w:lineRule="auto"/>
              <w:jc w:val="left"/>
              <w:rPr>
                <w:rFonts w:ascii="Arial" w:hAnsi="Arial" w:cs="Arial"/>
                <w:sz w:val="22"/>
                <w:szCs w:val="22"/>
              </w:rPr>
            </w:pPr>
            <w:r w:rsidRPr="00746F54">
              <w:rPr>
                <w:rFonts w:ascii="Arial" w:hAnsi="Arial" w:cs="Arial"/>
                <w:sz w:val="22"/>
                <w:szCs w:val="22"/>
              </w:rPr>
              <w:t>FMM 4</w:t>
            </w:r>
          </w:p>
        </w:tc>
        <w:tc>
          <w:tcPr>
            <w:tcW w:w="3600" w:type="dxa"/>
            <w:tcBorders>
              <w:top w:val="single" w:sz="4" w:space="0" w:color="auto"/>
              <w:left w:val="single" w:sz="4" w:space="0" w:color="auto"/>
              <w:bottom w:val="single" w:sz="4" w:space="0" w:color="auto"/>
              <w:right w:val="single" w:sz="4" w:space="0" w:color="auto"/>
            </w:tcBorders>
            <w:hideMark/>
          </w:tcPr>
          <w:p w14:paraId="73A376AF" w14:textId="77777777" w:rsidR="00E4601F" w:rsidRPr="00746F54" w:rsidRDefault="00E4601F" w:rsidP="00D62922">
            <w:pPr>
              <w:spacing w:after="240" w:line="300" w:lineRule="auto"/>
              <w:jc w:val="left"/>
              <w:rPr>
                <w:rFonts w:ascii="Arial" w:hAnsi="Arial" w:cs="Arial"/>
                <w:sz w:val="22"/>
                <w:szCs w:val="22"/>
              </w:rPr>
            </w:pPr>
            <w:r w:rsidRPr="00746F54">
              <w:rPr>
                <w:rFonts w:ascii="Arial" w:hAnsi="Arial" w:cs="Arial"/>
                <w:sz w:val="22"/>
                <w:szCs w:val="22"/>
              </w:rPr>
              <w:t>200, constraint deactivated</w:t>
            </w:r>
          </w:p>
        </w:tc>
      </w:tr>
      <w:tr w:rsidR="00E4601F" w:rsidRPr="00746F54" w14:paraId="1C278592" w14:textId="77777777" w:rsidTr="00D62922">
        <w:tc>
          <w:tcPr>
            <w:tcW w:w="4132" w:type="dxa"/>
            <w:vMerge w:val="restart"/>
            <w:tcBorders>
              <w:top w:val="single" w:sz="4" w:space="0" w:color="auto"/>
              <w:left w:val="single" w:sz="4" w:space="0" w:color="auto"/>
              <w:bottom w:val="single" w:sz="4" w:space="0" w:color="auto"/>
              <w:right w:val="single" w:sz="4" w:space="0" w:color="auto"/>
            </w:tcBorders>
            <w:vAlign w:val="center"/>
            <w:hideMark/>
          </w:tcPr>
          <w:p w14:paraId="4C30F7AA" w14:textId="77777777" w:rsidR="00E4601F" w:rsidRPr="00746F54" w:rsidRDefault="00E4601F" w:rsidP="00D62922">
            <w:pPr>
              <w:spacing w:after="240" w:line="300" w:lineRule="auto"/>
              <w:jc w:val="left"/>
              <w:rPr>
                <w:rFonts w:ascii="Arial" w:hAnsi="Arial" w:cs="Arial"/>
                <w:sz w:val="22"/>
                <w:szCs w:val="22"/>
              </w:rPr>
            </w:pPr>
            <w:r w:rsidRPr="00746F54">
              <w:rPr>
                <w:rFonts w:ascii="Arial" w:hAnsi="Arial" w:cs="Arial"/>
                <w:sz w:val="22"/>
                <w:szCs w:val="22"/>
              </w:rPr>
              <w:t>EDAM BAA located fully/partially in GHG regulation area does NOT fail EDAM RSE for HE 2</w:t>
            </w:r>
          </w:p>
        </w:tc>
        <w:tc>
          <w:tcPr>
            <w:tcW w:w="2160" w:type="dxa"/>
            <w:tcBorders>
              <w:top w:val="single" w:sz="4" w:space="0" w:color="auto"/>
              <w:left w:val="single" w:sz="4" w:space="0" w:color="auto"/>
              <w:bottom w:val="single" w:sz="4" w:space="0" w:color="auto"/>
              <w:right w:val="single" w:sz="4" w:space="0" w:color="auto"/>
            </w:tcBorders>
            <w:hideMark/>
          </w:tcPr>
          <w:p w14:paraId="0D9A2202" w14:textId="77777777" w:rsidR="00E4601F" w:rsidRPr="00746F54" w:rsidRDefault="00E4601F" w:rsidP="00D62922">
            <w:pPr>
              <w:spacing w:after="240" w:line="300" w:lineRule="auto"/>
              <w:jc w:val="left"/>
              <w:rPr>
                <w:rFonts w:ascii="Arial" w:hAnsi="Arial" w:cs="Arial"/>
                <w:sz w:val="22"/>
                <w:szCs w:val="22"/>
              </w:rPr>
            </w:pPr>
            <w:r w:rsidRPr="00746F54">
              <w:rPr>
                <w:rFonts w:ascii="Arial" w:hAnsi="Arial" w:cs="Arial"/>
                <w:sz w:val="22"/>
                <w:szCs w:val="22"/>
              </w:rPr>
              <w:t>100</w:t>
            </w:r>
          </w:p>
        </w:tc>
        <w:tc>
          <w:tcPr>
            <w:tcW w:w="1980" w:type="dxa"/>
            <w:tcBorders>
              <w:top w:val="single" w:sz="4" w:space="0" w:color="auto"/>
              <w:left w:val="single" w:sz="4" w:space="0" w:color="auto"/>
              <w:bottom w:val="single" w:sz="4" w:space="0" w:color="auto"/>
              <w:right w:val="single" w:sz="4" w:space="0" w:color="auto"/>
            </w:tcBorders>
            <w:hideMark/>
          </w:tcPr>
          <w:p w14:paraId="6D1753C2" w14:textId="77777777" w:rsidR="00E4601F" w:rsidRPr="00746F54" w:rsidRDefault="00E4601F" w:rsidP="00D62922">
            <w:pPr>
              <w:spacing w:after="240" w:line="300" w:lineRule="auto"/>
              <w:jc w:val="left"/>
              <w:rPr>
                <w:rFonts w:ascii="Arial" w:hAnsi="Arial" w:cs="Arial"/>
                <w:sz w:val="22"/>
                <w:szCs w:val="22"/>
              </w:rPr>
            </w:pPr>
            <w:r w:rsidRPr="00746F54">
              <w:rPr>
                <w:rFonts w:ascii="Arial" w:hAnsi="Arial" w:cs="Arial"/>
                <w:sz w:val="22"/>
                <w:szCs w:val="22"/>
              </w:rPr>
              <w:t>200</w:t>
            </w:r>
          </w:p>
        </w:tc>
        <w:tc>
          <w:tcPr>
            <w:tcW w:w="990" w:type="dxa"/>
            <w:vMerge w:val="restart"/>
            <w:tcBorders>
              <w:top w:val="single" w:sz="4" w:space="0" w:color="auto"/>
              <w:left w:val="single" w:sz="4" w:space="0" w:color="auto"/>
              <w:bottom w:val="single" w:sz="4" w:space="0" w:color="auto"/>
              <w:right w:val="single" w:sz="4" w:space="0" w:color="auto"/>
            </w:tcBorders>
            <w:vAlign w:val="center"/>
            <w:hideMark/>
          </w:tcPr>
          <w:p w14:paraId="32F519B0" w14:textId="77777777" w:rsidR="00E4601F" w:rsidRPr="00746F54" w:rsidRDefault="00E4601F" w:rsidP="00D62922">
            <w:pPr>
              <w:spacing w:after="240" w:line="300" w:lineRule="auto"/>
              <w:jc w:val="left"/>
              <w:rPr>
                <w:rFonts w:ascii="Arial" w:hAnsi="Arial" w:cs="Arial"/>
                <w:sz w:val="22"/>
                <w:szCs w:val="22"/>
              </w:rPr>
            </w:pPr>
            <w:r w:rsidRPr="00746F54">
              <w:rPr>
                <w:rFonts w:ascii="Arial" w:hAnsi="Arial" w:cs="Arial"/>
                <w:sz w:val="22"/>
                <w:szCs w:val="22"/>
              </w:rPr>
              <w:t>HE 2</w:t>
            </w:r>
          </w:p>
        </w:tc>
        <w:tc>
          <w:tcPr>
            <w:tcW w:w="1440" w:type="dxa"/>
            <w:tcBorders>
              <w:top w:val="single" w:sz="4" w:space="0" w:color="auto"/>
              <w:left w:val="single" w:sz="4" w:space="0" w:color="auto"/>
              <w:bottom w:val="single" w:sz="4" w:space="0" w:color="auto"/>
              <w:right w:val="single" w:sz="4" w:space="0" w:color="auto"/>
            </w:tcBorders>
            <w:hideMark/>
          </w:tcPr>
          <w:p w14:paraId="7FE7311A" w14:textId="77777777" w:rsidR="00E4601F" w:rsidRPr="00746F54" w:rsidRDefault="00E4601F" w:rsidP="00D62922">
            <w:pPr>
              <w:spacing w:after="240" w:line="300" w:lineRule="auto"/>
              <w:jc w:val="left"/>
              <w:rPr>
                <w:rFonts w:ascii="Arial" w:hAnsi="Arial" w:cs="Arial"/>
                <w:sz w:val="22"/>
                <w:szCs w:val="22"/>
              </w:rPr>
            </w:pPr>
            <w:r w:rsidRPr="00746F54">
              <w:rPr>
                <w:rFonts w:ascii="Arial" w:hAnsi="Arial" w:cs="Arial"/>
                <w:sz w:val="22"/>
                <w:szCs w:val="22"/>
              </w:rPr>
              <w:t>FMM 1</w:t>
            </w:r>
          </w:p>
        </w:tc>
        <w:tc>
          <w:tcPr>
            <w:tcW w:w="3600" w:type="dxa"/>
            <w:tcBorders>
              <w:top w:val="single" w:sz="4" w:space="0" w:color="auto"/>
              <w:left w:val="single" w:sz="4" w:space="0" w:color="auto"/>
              <w:bottom w:val="single" w:sz="4" w:space="0" w:color="auto"/>
              <w:right w:val="single" w:sz="4" w:space="0" w:color="auto"/>
            </w:tcBorders>
            <w:hideMark/>
          </w:tcPr>
          <w:p w14:paraId="6353AD2D" w14:textId="77777777" w:rsidR="00E4601F" w:rsidRPr="00746F54" w:rsidRDefault="00E4601F" w:rsidP="00D62922">
            <w:pPr>
              <w:spacing w:after="240" w:line="300" w:lineRule="auto"/>
              <w:jc w:val="left"/>
              <w:rPr>
                <w:rFonts w:ascii="Arial" w:hAnsi="Arial" w:cs="Arial"/>
                <w:sz w:val="22"/>
                <w:szCs w:val="22"/>
              </w:rPr>
            </w:pPr>
            <w:r w:rsidRPr="00746F54">
              <w:rPr>
                <w:rFonts w:ascii="Arial" w:hAnsi="Arial" w:cs="Arial"/>
                <w:sz w:val="22"/>
                <w:szCs w:val="22"/>
              </w:rPr>
              <w:t>100, constraint active</w:t>
            </w:r>
          </w:p>
        </w:tc>
      </w:tr>
      <w:tr w:rsidR="00E4601F" w:rsidRPr="00746F54" w14:paraId="5DC20180" w14:textId="77777777" w:rsidTr="00D62922">
        <w:tc>
          <w:tcPr>
            <w:tcW w:w="0" w:type="auto"/>
            <w:vMerge/>
            <w:tcBorders>
              <w:top w:val="single" w:sz="4" w:space="0" w:color="auto"/>
              <w:left w:val="single" w:sz="4" w:space="0" w:color="auto"/>
              <w:bottom w:val="single" w:sz="4" w:space="0" w:color="auto"/>
              <w:right w:val="single" w:sz="4" w:space="0" w:color="auto"/>
            </w:tcBorders>
            <w:vAlign w:val="center"/>
            <w:hideMark/>
          </w:tcPr>
          <w:p w14:paraId="333BECEF" w14:textId="77777777" w:rsidR="00E4601F" w:rsidRPr="00746F54" w:rsidRDefault="00E4601F" w:rsidP="00D62922">
            <w:pPr>
              <w:spacing w:after="240" w:line="300" w:lineRule="auto"/>
              <w:jc w:val="left"/>
              <w:rPr>
                <w:rFonts w:ascii="Arial" w:hAnsi="Arial" w:cs="Arial"/>
                <w:sz w:val="22"/>
                <w:szCs w:val="22"/>
              </w:rPr>
            </w:pPr>
          </w:p>
        </w:tc>
        <w:tc>
          <w:tcPr>
            <w:tcW w:w="2160" w:type="dxa"/>
            <w:tcBorders>
              <w:top w:val="single" w:sz="4" w:space="0" w:color="auto"/>
              <w:left w:val="single" w:sz="4" w:space="0" w:color="auto"/>
              <w:bottom w:val="single" w:sz="4" w:space="0" w:color="auto"/>
              <w:right w:val="single" w:sz="4" w:space="0" w:color="auto"/>
            </w:tcBorders>
            <w:hideMark/>
          </w:tcPr>
          <w:p w14:paraId="1CFD5DD3" w14:textId="77777777" w:rsidR="00E4601F" w:rsidRPr="00746F54" w:rsidRDefault="00E4601F" w:rsidP="00D62922">
            <w:pPr>
              <w:spacing w:after="240" w:line="300" w:lineRule="auto"/>
              <w:jc w:val="left"/>
              <w:rPr>
                <w:rFonts w:ascii="Arial" w:hAnsi="Arial" w:cs="Arial"/>
                <w:sz w:val="22"/>
                <w:szCs w:val="22"/>
              </w:rPr>
            </w:pPr>
            <w:r w:rsidRPr="00746F54">
              <w:rPr>
                <w:rFonts w:ascii="Arial" w:hAnsi="Arial" w:cs="Arial"/>
                <w:sz w:val="22"/>
                <w:szCs w:val="22"/>
              </w:rPr>
              <w:t>100</w:t>
            </w:r>
          </w:p>
        </w:tc>
        <w:tc>
          <w:tcPr>
            <w:tcW w:w="1980" w:type="dxa"/>
            <w:tcBorders>
              <w:top w:val="single" w:sz="4" w:space="0" w:color="auto"/>
              <w:left w:val="single" w:sz="4" w:space="0" w:color="auto"/>
              <w:bottom w:val="single" w:sz="4" w:space="0" w:color="auto"/>
              <w:right w:val="single" w:sz="4" w:space="0" w:color="auto"/>
            </w:tcBorders>
            <w:hideMark/>
          </w:tcPr>
          <w:p w14:paraId="3F0528B1" w14:textId="77777777" w:rsidR="00E4601F" w:rsidRPr="00746F54" w:rsidRDefault="00E4601F" w:rsidP="00D62922">
            <w:pPr>
              <w:spacing w:after="240" w:line="300" w:lineRule="auto"/>
              <w:jc w:val="left"/>
              <w:rPr>
                <w:rFonts w:ascii="Arial" w:hAnsi="Arial" w:cs="Arial"/>
                <w:sz w:val="22"/>
                <w:szCs w:val="22"/>
              </w:rPr>
            </w:pPr>
            <w:r w:rsidRPr="00746F54">
              <w:rPr>
                <w:rFonts w:ascii="Arial" w:hAnsi="Arial" w:cs="Arial"/>
                <w:sz w:val="22"/>
                <w:szCs w:val="22"/>
              </w:rPr>
              <w:t>200</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3F6DB41" w14:textId="77777777" w:rsidR="00E4601F" w:rsidRPr="00746F54" w:rsidRDefault="00E4601F" w:rsidP="00D62922">
            <w:pPr>
              <w:spacing w:after="240" w:line="300" w:lineRule="auto"/>
              <w:jc w:val="left"/>
              <w:rPr>
                <w:rFonts w:ascii="Arial" w:hAnsi="Arial" w:cs="Arial"/>
                <w:sz w:val="22"/>
                <w:szCs w:val="22"/>
              </w:rPr>
            </w:pPr>
          </w:p>
        </w:tc>
        <w:tc>
          <w:tcPr>
            <w:tcW w:w="1440" w:type="dxa"/>
            <w:tcBorders>
              <w:top w:val="single" w:sz="4" w:space="0" w:color="auto"/>
              <w:left w:val="single" w:sz="4" w:space="0" w:color="auto"/>
              <w:bottom w:val="single" w:sz="4" w:space="0" w:color="auto"/>
              <w:right w:val="single" w:sz="4" w:space="0" w:color="auto"/>
            </w:tcBorders>
            <w:hideMark/>
          </w:tcPr>
          <w:p w14:paraId="704614FE" w14:textId="77777777" w:rsidR="00E4601F" w:rsidRPr="00746F54" w:rsidRDefault="00E4601F" w:rsidP="00D62922">
            <w:pPr>
              <w:spacing w:after="240" w:line="300" w:lineRule="auto"/>
              <w:jc w:val="left"/>
              <w:rPr>
                <w:rFonts w:ascii="Arial" w:hAnsi="Arial" w:cs="Arial"/>
                <w:sz w:val="22"/>
                <w:szCs w:val="22"/>
              </w:rPr>
            </w:pPr>
            <w:r w:rsidRPr="00746F54">
              <w:rPr>
                <w:rFonts w:ascii="Arial" w:hAnsi="Arial" w:cs="Arial"/>
                <w:sz w:val="22"/>
                <w:szCs w:val="22"/>
              </w:rPr>
              <w:t>FMM 2</w:t>
            </w:r>
          </w:p>
        </w:tc>
        <w:tc>
          <w:tcPr>
            <w:tcW w:w="3600" w:type="dxa"/>
            <w:tcBorders>
              <w:top w:val="single" w:sz="4" w:space="0" w:color="auto"/>
              <w:left w:val="single" w:sz="4" w:space="0" w:color="auto"/>
              <w:bottom w:val="single" w:sz="4" w:space="0" w:color="auto"/>
              <w:right w:val="single" w:sz="4" w:space="0" w:color="auto"/>
            </w:tcBorders>
            <w:hideMark/>
          </w:tcPr>
          <w:p w14:paraId="4BA03FF2" w14:textId="77777777" w:rsidR="00E4601F" w:rsidRPr="00746F54" w:rsidRDefault="00E4601F" w:rsidP="00D62922">
            <w:pPr>
              <w:spacing w:after="240" w:line="300" w:lineRule="auto"/>
              <w:jc w:val="left"/>
              <w:rPr>
                <w:rFonts w:ascii="Arial" w:hAnsi="Arial" w:cs="Arial"/>
                <w:sz w:val="22"/>
                <w:szCs w:val="22"/>
              </w:rPr>
            </w:pPr>
            <w:r w:rsidRPr="00746F54">
              <w:rPr>
                <w:rFonts w:ascii="Arial" w:hAnsi="Arial" w:cs="Arial"/>
                <w:sz w:val="22"/>
                <w:szCs w:val="22"/>
              </w:rPr>
              <w:t>100, constraint active</w:t>
            </w:r>
          </w:p>
        </w:tc>
      </w:tr>
      <w:tr w:rsidR="00E4601F" w:rsidRPr="00746F54" w14:paraId="27D364D7" w14:textId="77777777" w:rsidTr="00D62922">
        <w:tc>
          <w:tcPr>
            <w:tcW w:w="0" w:type="auto"/>
            <w:vMerge/>
            <w:tcBorders>
              <w:top w:val="single" w:sz="4" w:space="0" w:color="auto"/>
              <w:left w:val="single" w:sz="4" w:space="0" w:color="auto"/>
              <w:bottom w:val="single" w:sz="4" w:space="0" w:color="auto"/>
              <w:right w:val="single" w:sz="4" w:space="0" w:color="auto"/>
            </w:tcBorders>
            <w:vAlign w:val="center"/>
            <w:hideMark/>
          </w:tcPr>
          <w:p w14:paraId="76C07C7D" w14:textId="77777777" w:rsidR="00E4601F" w:rsidRPr="00746F54" w:rsidRDefault="00E4601F" w:rsidP="00D62922">
            <w:pPr>
              <w:spacing w:after="240" w:line="300" w:lineRule="auto"/>
              <w:jc w:val="left"/>
              <w:rPr>
                <w:rFonts w:ascii="Arial" w:hAnsi="Arial" w:cs="Arial"/>
                <w:sz w:val="22"/>
                <w:szCs w:val="22"/>
              </w:rPr>
            </w:pPr>
          </w:p>
        </w:tc>
        <w:tc>
          <w:tcPr>
            <w:tcW w:w="2160" w:type="dxa"/>
            <w:tcBorders>
              <w:top w:val="single" w:sz="4" w:space="0" w:color="auto"/>
              <w:left w:val="single" w:sz="4" w:space="0" w:color="auto"/>
              <w:bottom w:val="single" w:sz="4" w:space="0" w:color="auto"/>
              <w:right w:val="single" w:sz="4" w:space="0" w:color="auto"/>
            </w:tcBorders>
            <w:hideMark/>
          </w:tcPr>
          <w:p w14:paraId="5174C451" w14:textId="77777777" w:rsidR="00E4601F" w:rsidRPr="00746F54" w:rsidRDefault="00E4601F" w:rsidP="00D62922">
            <w:pPr>
              <w:spacing w:after="240" w:line="300" w:lineRule="auto"/>
              <w:jc w:val="left"/>
              <w:rPr>
                <w:rFonts w:ascii="Arial" w:hAnsi="Arial" w:cs="Arial"/>
                <w:sz w:val="22"/>
                <w:szCs w:val="22"/>
              </w:rPr>
            </w:pPr>
            <w:r w:rsidRPr="00746F54">
              <w:rPr>
                <w:rFonts w:ascii="Arial" w:hAnsi="Arial" w:cs="Arial"/>
                <w:sz w:val="22"/>
                <w:szCs w:val="22"/>
              </w:rPr>
              <w:t>100</w:t>
            </w:r>
          </w:p>
        </w:tc>
        <w:tc>
          <w:tcPr>
            <w:tcW w:w="1980" w:type="dxa"/>
            <w:tcBorders>
              <w:top w:val="single" w:sz="4" w:space="0" w:color="auto"/>
              <w:left w:val="single" w:sz="4" w:space="0" w:color="auto"/>
              <w:bottom w:val="single" w:sz="4" w:space="0" w:color="auto"/>
              <w:right w:val="single" w:sz="4" w:space="0" w:color="auto"/>
            </w:tcBorders>
            <w:hideMark/>
          </w:tcPr>
          <w:p w14:paraId="079C297A" w14:textId="77777777" w:rsidR="00E4601F" w:rsidRPr="00746F54" w:rsidRDefault="00E4601F" w:rsidP="00D62922">
            <w:pPr>
              <w:spacing w:after="240" w:line="300" w:lineRule="auto"/>
              <w:jc w:val="left"/>
              <w:rPr>
                <w:rFonts w:ascii="Arial" w:hAnsi="Arial" w:cs="Arial"/>
                <w:sz w:val="22"/>
                <w:szCs w:val="22"/>
              </w:rPr>
            </w:pPr>
            <w:r w:rsidRPr="00746F54">
              <w:rPr>
                <w:rFonts w:ascii="Arial" w:hAnsi="Arial" w:cs="Arial"/>
                <w:sz w:val="22"/>
                <w:szCs w:val="22"/>
              </w:rPr>
              <w:t>200</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CEFDCD4" w14:textId="77777777" w:rsidR="00E4601F" w:rsidRPr="00746F54" w:rsidRDefault="00E4601F" w:rsidP="00D62922">
            <w:pPr>
              <w:spacing w:after="240" w:line="300" w:lineRule="auto"/>
              <w:jc w:val="left"/>
              <w:rPr>
                <w:rFonts w:ascii="Arial" w:hAnsi="Arial" w:cs="Arial"/>
                <w:sz w:val="22"/>
                <w:szCs w:val="22"/>
              </w:rPr>
            </w:pPr>
          </w:p>
        </w:tc>
        <w:tc>
          <w:tcPr>
            <w:tcW w:w="1440" w:type="dxa"/>
            <w:tcBorders>
              <w:top w:val="single" w:sz="4" w:space="0" w:color="auto"/>
              <w:left w:val="single" w:sz="4" w:space="0" w:color="auto"/>
              <w:bottom w:val="single" w:sz="4" w:space="0" w:color="auto"/>
              <w:right w:val="single" w:sz="4" w:space="0" w:color="auto"/>
            </w:tcBorders>
            <w:hideMark/>
          </w:tcPr>
          <w:p w14:paraId="68F76AA2" w14:textId="77777777" w:rsidR="00E4601F" w:rsidRPr="00746F54" w:rsidRDefault="00E4601F" w:rsidP="00D62922">
            <w:pPr>
              <w:spacing w:after="240" w:line="300" w:lineRule="auto"/>
              <w:jc w:val="left"/>
              <w:rPr>
                <w:rFonts w:ascii="Arial" w:hAnsi="Arial" w:cs="Arial"/>
                <w:sz w:val="22"/>
                <w:szCs w:val="22"/>
              </w:rPr>
            </w:pPr>
            <w:r w:rsidRPr="00746F54">
              <w:rPr>
                <w:rFonts w:ascii="Arial" w:hAnsi="Arial" w:cs="Arial"/>
                <w:sz w:val="22"/>
                <w:szCs w:val="22"/>
              </w:rPr>
              <w:t>FMM 3</w:t>
            </w:r>
          </w:p>
        </w:tc>
        <w:tc>
          <w:tcPr>
            <w:tcW w:w="3600" w:type="dxa"/>
            <w:tcBorders>
              <w:top w:val="single" w:sz="4" w:space="0" w:color="auto"/>
              <w:left w:val="single" w:sz="4" w:space="0" w:color="auto"/>
              <w:bottom w:val="single" w:sz="4" w:space="0" w:color="auto"/>
              <w:right w:val="single" w:sz="4" w:space="0" w:color="auto"/>
            </w:tcBorders>
            <w:hideMark/>
          </w:tcPr>
          <w:p w14:paraId="76C2BCD6" w14:textId="77777777" w:rsidR="00E4601F" w:rsidRPr="00746F54" w:rsidRDefault="00E4601F" w:rsidP="00D62922">
            <w:pPr>
              <w:spacing w:after="240" w:line="300" w:lineRule="auto"/>
              <w:jc w:val="left"/>
              <w:rPr>
                <w:rFonts w:ascii="Arial" w:hAnsi="Arial" w:cs="Arial"/>
                <w:sz w:val="22"/>
                <w:szCs w:val="22"/>
              </w:rPr>
            </w:pPr>
            <w:r w:rsidRPr="00746F54">
              <w:rPr>
                <w:rFonts w:ascii="Arial" w:hAnsi="Arial" w:cs="Arial"/>
                <w:sz w:val="22"/>
                <w:szCs w:val="22"/>
              </w:rPr>
              <w:t>100, constraint active</w:t>
            </w:r>
          </w:p>
        </w:tc>
      </w:tr>
      <w:tr w:rsidR="00E4601F" w:rsidRPr="00746F54" w14:paraId="154003F3" w14:textId="77777777" w:rsidTr="00D62922">
        <w:tc>
          <w:tcPr>
            <w:tcW w:w="0" w:type="auto"/>
            <w:vMerge/>
            <w:tcBorders>
              <w:top w:val="single" w:sz="4" w:space="0" w:color="auto"/>
              <w:left w:val="single" w:sz="4" w:space="0" w:color="auto"/>
              <w:bottom w:val="single" w:sz="4" w:space="0" w:color="auto"/>
              <w:right w:val="single" w:sz="4" w:space="0" w:color="auto"/>
            </w:tcBorders>
            <w:vAlign w:val="center"/>
            <w:hideMark/>
          </w:tcPr>
          <w:p w14:paraId="73D052C3" w14:textId="77777777" w:rsidR="00E4601F" w:rsidRPr="00746F54" w:rsidRDefault="00E4601F" w:rsidP="00D62922">
            <w:pPr>
              <w:spacing w:after="240" w:line="300" w:lineRule="auto"/>
              <w:jc w:val="left"/>
              <w:rPr>
                <w:rFonts w:ascii="Arial" w:hAnsi="Arial" w:cs="Arial"/>
                <w:sz w:val="22"/>
                <w:szCs w:val="22"/>
              </w:rPr>
            </w:pPr>
          </w:p>
        </w:tc>
        <w:tc>
          <w:tcPr>
            <w:tcW w:w="2160" w:type="dxa"/>
            <w:tcBorders>
              <w:top w:val="single" w:sz="4" w:space="0" w:color="auto"/>
              <w:left w:val="single" w:sz="4" w:space="0" w:color="auto"/>
              <w:bottom w:val="single" w:sz="4" w:space="0" w:color="auto"/>
              <w:right w:val="single" w:sz="4" w:space="0" w:color="auto"/>
            </w:tcBorders>
            <w:hideMark/>
          </w:tcPr>
          <w:p w14:paraId="1A03E7B2" w14:textId="77777777" w:rsidR="00E4601F" w:rsidRPr="00746F54" w:rsidRDefault="00E4601F" w:rsidP="00D62922">
            <w:pPr>
              <w:spacing w:after="240" w:line="300" w:lineRule="auto"/>
              <w:jc w:val="left"/>
              <w:rPr>
                <w:rFonts w:ascii="Arial" w:hAnsi="Arial" w:cs="Arial"/>
                <w:sz w:val="22"/>
                <w:szCs w:val="22"/>
              </w:rPr>
            </w:pPr>
            <w:r w:rsidRPr="00746F54">
              <w:rPr>
                <w:rFonts w:ascii="Arial" w:hAnsi="Arial" w:cs="Arial"/>
                <w:sz w:val="22"/>
                <w:szCs w:val="22"/>
              </w:rPr>
              <w:t>100</w:t>
            </w:r>
          </w:p>
        </w:tc>
        <w:tc>
          <w:tcPr>
            <w:tcW w:w="1980" w:type="dxa"/>
            <w:tcBorders>
              <w:top w:val="single" w:sz="4" w:space="0" w:color="auto"/>
              <w:left w:val="single" w:sz="4" w:space="0" w:color="auto"/>
              <w:bottom w:val="single" w:sz="4" w:space="0" w:color="auto"/>
              <w:right w:val="single" w:sz="4" w:space="0" w:color="auto"/>
            </w:tcBorders>
            <w:hideMark/>
          </w:tcPr>
          <w:p w14:paraId="22DC5E06" w14:textId="77777777" w:rsidR="00E4601F" w:rsidRPr="00746F54" w:rsidRDefault="00E4601F" w:rsidP="00D62922">
            <w:pPr>
              <w:spacing w:after="240" w:line="300" w:lineRule="auto"/>
              <w:jc w:val="left"/>
              <w:rPr>
                <w:rFonts w:ascii="Arial" w:hAnsi="Arial" w:cs="Arial"/>
                <w:sz w:val="22"/>
                <w:szCs w:val="22"/>
              </w:rPr>
            </w:pPr>
            <w:r w:rsidRPr="00746F54">
              <w:rPr>
                <w:rFonts w:ascii="Arial" w:hAnsi="Arial" w:cs="Arial"/>
                <w:sz w:val="22"/>
                <w:szCs w:val="22"/>
              </w:rPr>
              <w:t>200</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B0FD528" w14:textId="77777777" w:rsidR="00E4601F" w:rsidRPr="00746F54" w:rsidRDefault="00E4601F" w:rsidP="00D62922">
            <w:pPr>
              <w:spacing w:after="240" w:line="300" w:lineRule="auto"/>
              <w:jc w:val="left"/>
              <w:rPr>
                <w:rFonts w:ascii="Arial" w:hAnsi="Arial" w:cs="Arial"/>
                <w:sz w:val="22"/>
                <w:szCs w:val="22"/>
              </w:rPr>
            </w:pPr>
          </w:p>
        </w:tc>
        <w:tc>
          <w:tcPr>
            <w:tcW w:w="1440" w:type="dxa"/>
            <w:tcBorders>
              <w:top w:val="single" w:sz="4" w:space="0" w:color="auto"/>
              <w:left w:val="single" w:sz="4" w:space="0" w:color="auto"/>
              <w:bottom w:val="single" w:sz="4" w:space="0" w:color="auto"/>
              <w:right w:val="single" w:sz="4" w:space="0" w:color="auto"/>
            </w:tcBorders>
            <w:hideMark/>
          </w:tcPr>
          <w:p w14:paraId="29715C97" w14:textId="77777777" w:rsidR="00E4601F" w:rsidRPr="00746F54" w:rsidRDefault="00E4601F" w:rsidP="00D62922">
            <w:pPr>
              <w:spacing w:after="240" w:line="300" w:lineRule="auto"/>
              <w:jc w:val="left"/>
              <w:rPr>
                <w:rFonts w:ascii="Arial" w:hAnsi="Arial" w:cs="Arial"/>
                <w:sz w:val="22"/>
                <w:szCs w:val="22"/>
              </w:rPr>
            </w:pPr>
            <w:r w:rsidRPr="00746F54">
              <w:rPr>
                <w:rFonts w:ascii="Arial" w:hAnsi="Arial" w:cs="Arial"/>
                <w:sz w:val="22"/>
                <w:szCs w:val="22"/>
              </w:rPr>
              <w:t>FMM 4</w:t>
            </w:r>
          </w:p>
        </w:tc>
        <w:tc>
          <w:tcPr>
            <w:tcW w:w="3600" w:type="dxa"/>
            <w:tcBorders>
              <w:top w:val="single" w:sz="4" w:space="0" w:color="auto"/>
              <w:left w:val="single" w:sz="4" w:space="0" w:color="auto"/>
              <w:bottom w:val="single" w:sz="4" w:space="0" w:color="auto"/>
              <w:right w:val="single" w:sz="4" w:space="0" w:color="auto"/>
            </w:tcBorders>
            <w:hideMark/>
          </w:tcPr>
          <w:p w14:paraId="7CF9C679" w14:textId="77777777" w:rsidR="00E4601F" w:rsidRPr="00746F54" w:rsidRDefault="00E4601F" w:rsidP="00D62922">
            <w:pPr>
              <w:spacing w:after="240" w:line="300" w:lineRule="auto"/>
              <w:jc w:val="left"/>
              <w:rPr>
                <w:rFonts w:ascii="Arial" w:hAnsi="Arial" w:cs="Arial"/>
                <w:sz w:val="22"/>
                <w:szCs w:val="22"/>
              </w:rPr>
            </w:pPr>
            <w:r w:rsidRPr="00746F54">
              <w:rPr>
                <w:rFonts w:ascii="Arial" w:hAnsi="Arial" w:cs="Arial"/>
                <w:sz w:val="22"/>
                <w:szCs w:val="22"/>
              </w:rPr>
              <w:t>100, constraint active</w:t>
            </w:r>
          </w:p>
        </w:tc>
      </w:tr>
      <w:tr w:rsidR="00E4601F" w:rsidRPr="00746F54" w14:paraId="2948A745" w14:textId="77777777" w:rsidTr="00D62922">
        <w:tc>
          <w:tcPr>
            <w:tcW w:w="4132" w:type="dxa"/>
            <w:vMerge w:val="restart"/>
            <w:tcBorders>
              <w:top w:val="single" w:sz="4" w:space="0" w:color="auto"/>
              <w:left w:val="single" w:sz="4" w:space="0" w:color="auto"/>
              <w:bottom w:val="single" w:sz="4" w:space="0" w:color="auto"/>
              <w:right w:val="single" w:sz="4" w:space="0" w:color="auto"/>
            </w:tcBorders>
            <w:hideMark/>
          </w:tcPr>
          <w:p w14:paraId="53E43BA5" w14:textId="77777777" w:rsidR="00E4601F" w:rsidRPr="00746F54" w:rsidRDefault="00E4601F" w:rsidP="00D62922">
            <w:pPr>
              <w:spacing w:after="240" w:line="300" w:lineRule="auto"/>
              <w:jc w:val="left"/>
              <w:rPr>
                <w:rFonts w:ascii="Arial" w:hAnsi="Arial" w:cs="Arial"/>
                <w:sz w:val="22"/>
                <w:szCs w:val="22"/>
              </w:rPr>
            </w:pPr>
            <w:r w:rsidRPr="00746F54">
              <w:rPr>
                <w:rFonts w:ascii="Arial" w:hAnsi="Arial" w:cs="Arial"/>
                <w:sz w:val="22"/>
                <w:szCs w:val="22"/>
              </w:rPr>
              <w:t>WEIM BAA located fully/partially in GHG regulation area fails WEIM RSE FMM 1, not FMM 2</w:t>
            </w:r>
          </w:p>
        </w:tc>
        <w:tc>
          <w:tcPr>
            <w:tcW w:w="2160" w:type="dxa"/>
            <w:tcBorders>
              <w:top w:val="single" w:sz="4" w:space="0" w:color="auto"/>
              <w:left w:val="single" w:sz="4" w:space="0" w:color="auto"/>
              <w:bottom w:val="single" w:sz="4" w:space="0" w:color="auto"/>
              <w:right w:val="single" w:sz="4" w:space="0" w:color="auto"/>
            </w:tcBorders>
            <w:hideMark/>
          </w:tcPr>
          <w:p w14:paraId="75D115E2" w14:textId="77777777" w:rsidR="00E4601F" w:rsidRPr="00746F54" w:rsidRDefault="00E4601F" w:rsidP="00D62922">
            <w:pPr>
              <w:spacing w:after="240" w:line="300" w:lineRule="auto"/>
              <w:jc w:val="left"/>
              <w:rPr>
                <w:rFonts w:ascii="Arial" w:hAnsi="Arial" w:cs="Arial"/>
                <w:sz w:val="22"/>
                <w:szCs w:val="22"/>
              </w:rPr>
            </w:pPr>
            <w:r w:rsidRPr="00746F54">
              <w:rPr>
                <w:rFonts w:ascii="Arial" w:hAnsi="Arial" w:cs="Arial"/>
                <w:sz w:val="22"/>
                <w:szCs w:val="22"/>
              </w:rPr>
              <w:t>100</w:t>
            </w:r>
          </w:p>
        </w:tc>
        <w:tc>
          <w:tcPr>
            <w:tcW w:w="1980" w:type="dxa"/>
            <w:tcBorders>
              <w:top w:val="single" w:sz="4" w:space="0" w:color="auto"/>
              <w:left w:val="single" w:sz="4" w:space="0" w:color="auto"/>
              <w:bottom w:val="single" w:sz="4" w:space="0" w:color="auto"/>
              <w:right w:val="single" w:sz="4" w:space="0" w:color="auto"/>
            </w:tcBorders>
            <w:hideMark/>
          </w:tcPr>
          <w:p w14:paraId="71418359" w14:textId="77777777" w:rsidR="00E4601F" w:rsidRPr="00746F54" w:rsidRDefault="00E4601F" w:rsidP="00D62922">
            <w:pPr>
              <w:spacing w:after="240" w:line="300" w:lineRule="auto"/>
              <w:jc w:val="left"/>
              <w:rPr>
                <w:rFonts w:ascii="Arial" w:hAnsi="Arial" w:cs="Arial"/>
                <w:sz w:val="22"/>
                <w:szCs w:val="22"/>
              </w:rPr>
            </w:pPr>
            <w:r w:rsidRPr="00746F54">
              <w:rPr>
                <w:rFonts w:ascii="Arial" w:hAnsi="Arial" w:cs="Arial"/>
                <w:sz w:val="22"/>
                <w:szCs w:val="22"/>
              </w:rPr>
              <w:t>200</w:t>
            </w:r>
          </w:p>
        </w:tc>
        <w:tc>
          <w:tcPr>
            <w:tcW w:w="990" w:type="dxa"/>
            <w:tcBorders>
              <w:top w:val="single" w:sz="4" w:space="0" w:color="auto"/>
              <w:left w:val="single" w:sz="4" w:space="0" w:color="auto"/>
              <w:bottom w:val="single" w:sz="4" w:space="0" w:color="auto"/>
              <w:right w:val="single" w:sz="4" w:space="0" w:color="auto"/>
            </w:tcBorders>
          </w:tcPr>
          <w:p w14:paraId="7958DE19" w14:textId="77777777" w:rsidR="00E4601F" w:rsidRPr="00746F54" w:rsidRDefault="00E4601F" w:rsidP="00D62922">
            <w:pPr>
              <w:spacing w:after="240" w:line="300" w:lineRule="auto"/>
              <w:jc w:val="left"/>
              <w:rPr>
                <w:rFonts w:ascii="Arial" w:hAnsi="Arial" w:cs="Arial"/>
                <w:sz w:val="22"/>
                <w:szCs w:val="22"/>
              </w:rPr>
            </w:pPr>
          </w:p>
        </w:tc>
        <w:tc>
          <w:tcPr>
            <w:tcW w:w="1440" w:type="dxa"/>
            <w:tcBorders>
              <w:top w:val="single" w:sz="4" w:space="0" w:color="auto"/>
              <w:left w:val="single" w:sz="4" w:space="0" w:color="auto"/>
              <w:bottom w:val="single" w:sz="4" w:space="0" w:color="auto"/>
              <w:right w:val="single" w:sz="4" w:space="0" w:color="auto"/>
            </w:tcBorders>
            <w:hideMark/>
          </w:tcPr>
          <w:p w14:paraId="614D4D28" w14:textId="77777777" w:rsidR="00E4601F" w:rsidRPr="00746F54" w:rsidRDefault="00E4601F" w:rsidP="00D62922">
            <w:pPr>
              <w:spacing w:after="240" w:line="300" w:lineRule="auto"/>
              <w:jc w:val="left"/>
              <w:rPr>
                <w:rFonts w:ascii="Arial" w:hAnsi="Arial" w:cs="Arial"/>
                <w:sz w:val="22"/>
                <w:szCs w:val="22"/>
              </w:rPr>
            </w:pPr>
            <w:r w:rsidRPr="00746F54">
              <w:rPr>
                <w:rFonts w:ascii="Arial" w:hAnsi="Arial" w:cs="Arial"/>
                <w:sz w:val="22"/>
                <w:szCs w:val="22"/>
              </w:rPr>
              <w:t>FMM 1</w:t>
            </w:r>
          </w:p>
        </w:tc>
        <w:tc>
          <w:tcPr>
            <w:tcW w:w="3600" w:type="dxa"/>
            <w:tcBorders>
              <w:top w:val="single" w:sz="4" w:space="0" w:color="auto"/>
              <w:left w:val="single" w:sz="4" w:space="0" w:color="auto"/>
              <w:bottom w:val="single" w:sz="4" w:space="0" w:color="auto"/>
              <w:right w:val="single" w:sz="4" w:space="0" w:color="auto"/>
            </w:tcBorders>
            <w:hideMark/>
          </w:tcPr>
          <w:p w14:paraId="6D95DCE8" w14:textId="77777777" w:rsidR="00E4601F" w:rsidRPr="00746F54" w:rsidRDefault="00E4601F" w:rsidP="00D62922">
            <w:pPr>
              <w:spacing w:after="240" w:line="300" w:lineRule="auto"/>
              <w:jc w:val="left"/>
              <w:rPr>
                <w:rFonts w:ascii="Arial" w:hAnsi="Arial" w:cs="Arial"/>
                <w:sz w:val="22"/>
                <w:szCs w:val="22"/>
              </w:rPr>
            </w:pPr>
            <w:r w:rsidRPr="00746F54">
              <w:rPr>
                <w:rFonts w:ascii="Arial" w:hAnsi="Arial" w:cs="Arial"/>
                <w:sz w:val="22"/>
                <w:szCs w:val="22"/>
              </w:rPr>
              <w:t>200, constraint deactivated</w:t>
            </w:r>
          </w:p>
        </w:tc>
      </w:tr>
      <w:tr w:rsidR="00E4601F" w:rsidRPr="00746F54" w14:paraId="34D4D609" w14:textId="77777777" w:rsidTr="00D62922">
        <w:tc>
          <w:tcPr>
            <w:tcW w:w="0" w:type="auto"/>
            <w:vMerge/>
            <w:tcBorders>
              <w:top w:val="single" w:sz="4" w:space="0" w:color="auto"/>
              <w:left w:val="single" w:sz="4" w:space="0" w:color="auto"/>
              <w:bottom w:val="single" w:sz="4" w:space="0" w:color="auto"/>
              <w:right w:val="single" w:sz="4" w:space="0" w:color="auto"/>
            </w:tcBorders>
            <w:vAlign w:val="center"/>
            <w:hideMark/>
          </w:tcPr>
          <w:p w14:paraId="6345C6A0" w14:textId="77777777" w:rsidR="00E4601F" w:rsidRPr="00746F54" w:rsidRDefault="00E4601F" w:rsidP="00D62922">
            <w:pPr>
              <w:spacing w:after="240" w:line="300" w:lineRule="auto"/>
              <w:jc w:val="left"/>
              <w:rPr>
                <w:rFonts w:ascii="Arial" w:hAnsi="Arial" w:cs="Arial"/>
                <w:sz w:val="22"/>
                <w:szCs w:val="22"/>
              </w:rPr>
            </w:pPr>
          </w:p>
        </w:tc>
        <w:tc>
          <w:tcPr>
            <w:tcW w:w="2160" w:type="dxa"/>
            <w:tcBorders>
              <w:top w:val="single" w:sz="4" w:space="0" w:color="auto"/>
              <w:left w:val="single" w:sz="4" w:space="0" w:color="auto"/>
              <w:bottom w:val="single" w:sz="4" w:space="0" w:color="auto"/>
              <w:right w:val="single" w:sz="4" w:space="0" w:color="auto"/>
            </w:tcBorders>
            <w:hideMark/>
          </w:tcPr>
          <w:p w14:paraId="06E1C9AF" w14:textId="77777777" w:rsidR="00E4601F" w:rsidRPr="00746F54" w:rsidRDefault="00E4601F" w:rsidP="00D62922">
            <w:pPr>
              <w:spacing w:after="240" w:line="300" w:lineRule="auto"/>
              <w:jc w:val="left"/>
              <w:rPr>
                <w:rFonts w:ascii="Arial" w:hAnsi="Arial" w:cs="Arial"/>
                <w:sz w:val="22"/>
                <w:szCs w:val="22"/>
              </w:rPr>
            </w:pPr>
            <w:r w:rsidRPr="00746F54">
              <w:rPr>
                <w:rFonts w:ascii="Arial" w:hAnsi="Arial" w:cs="Arial"/>
                <w:sz w:val="22"/>
                <w:szCs w:val="22"/>
              </w:rPr>
              <w:t>100</w:t>
            </w:r>
          </w:p>
        </w:tc>
        <w:tc>
          <w:tcPr>
            <w:tcW w:w="1980" w:type="dxa"/>
            <w:tcBorders>
              <w:top w:val="single" w:sz="4" w:space="0" w:color="auto"/>
              <w:left w:val="single" w:sz="4" w:space="0" w:color="auto"/>
              <w:bottom w:val="single" w:sz="4" w:space="0" w:color="auto"/>
              <w:right w:val="single" w:sz="4" w:space="0" w:color="auto"/>
            </w:tcBorders>
            <w:hideMark/>
          </w:tcPr>
          <w:p w14:paraId="1F030516" w14:textId="77777777" w:rsidR="00E4601F" w:rsidRPr="00746F54" w:rsidRDefault="00E4601F" w:rsidP="00D62922">
            <w:pPr>
              <w:spacing w:after="240" w:line="300" w:lineRule="auto"/>
              <w:jc w:val="left"/>
              <w:rPr>
                <w:rFonts w:ascii="Arial" w:hAnsi="Arial" w:cs="Arial"/>
                <w:sz w:val="22"/>
                <w:szCs w:val="22"/>
              </w:rPr>
            </w:pPr>
            <w:r w:rsidRPr="00746F54">
              <w:rPr>
                <w:rFonts w:ascii="Arial" w:hAnsi="Arial" w:cs="Arial"/>
                <w:sz w:val="22"/>
                <w:szCs w:val="22"/>
              </w:rPr>
              <w:t>200</w:t>
            </w:r>
          </w:p>
        </w:tc>
        <w:tc>
          <w:tcPr>
            <w:tcW w:w="990" w:type="dxa"/>
            <w:tcBorders>
              <w:top w:val="single" w:sz="4" w:space="0" w:color="auto"/>
              <w:left w:val="single" w:sz="4" w:space="0" w:color="auto"/>
              <w:bottom w:val="single" w:sz="4" w:space="0" w:color="auto"/>
              <w:right w:val="single" w:sz="4" w:space="0" w:color="auto"/>
            </w:tcBorders>
            <w:hideMark/>
          </w:tcPr>
          <w:p w14:paraId="51E6CD8C" w14:textId="77777777" w:rsidR="00E4601F" w:rsidRPr="00746F54" w:rsidRDefault="00E4601F" w:rsidP="00D62922">
            <w:pPr>
              <w:spacing w:after="240" w:line="300" w:lineRule="auto"/>
              <w:jc w:val="left"/>
              <w:rPr>
                <w:rFonts w:ascii="Arial" w:hAnsi="Arial" w:cs="Arial"/>
                <w:sz w:val="22"/>
                <w:szCs w:val="22"/>
              </w:rPr>
            </w:pPr>
          </w:p>
        </w:tc>
        <w:tc>
          <w:tcPr>
            <w:tcW w:w="1440" w:type="dxa"/>
            <w:tcBorders>
              <w:top w:val="single" w:sz="4" w:space="0" w:color="auto"/>
              <w:left w:val="single" w:sz="4" w:space="0" w:color="auto"/>
              <w:bottom w:val="single" w:sz="4" w:space="0" w:color="auto"/>
              <w:right w:val="single" w:sz="4" w:space="0" w:color="auto"/>
            </w:tcBorders>
            <w:hideMark/>
          </w:tcPr>
          <w:p w14:paraId="1E684250" w14:textId="77777777" w:rsidR="00E4601F" w:rsidRPr="00746F54" w:rsidRDefault="00E4601F" w:rsidP="00D62922">
            <w:pPr>
              <w:spacing w:after="240" w:line="300" w:lineRule="auto"/>
              <w:jc w:val="left"/>
              <w:rPr>
                <w:rFonts w:ascii="Arial" w:hAnsi="Arial" w:cs="Arial"/>
                <w:sz w:val="22"/>
                <w:szCs w:val="22"/>
              </w:rPr>
            </w:pPr>
            <w:r w:rsidRPr="00746F54">
              <w:rPr>
                <w:rFonts w:ascii="Arial" w:hAnsi="Arial" w:cs="Arial"/>
                <w:sz w:val="22"/>
                <w:szCs w:val="22"/>
              </w:rPr>
              <w:t>FMM 2</w:t>
            </w:r>
          </w:p>
        </w:tc>
        <w:tc>
          <w:tcPr>
            <w:tcW w:w="3600" w:type="dxa"/>
            <w:tcBorders>
              <w:top w:val="single" w:sz="4" w:space="0" w:color="auto"/>
              <w:left w:val="single" w:sz="4" w:space="0" w:color="auto"/>
              <w:bottom w:val="single" w:sz="4" w:space="0" w:color="auto"/>
              <w:right w:val="single" w:sz="4" w:space="0" w:color="auto"/>
            </w:tcBorders>
            <w:hideMark/>
          </w:tcPr>
          <w:p w14:paraId="20C4B15C" w14:textId="77777777" w:rsidR="00E4601F" w:rsidRPr="00746F54" w:rsidRDefault="00E4601F" w:rsidP="00D62922">
            <w:pPr>
              <w:spacing w:after="240" w:line="300" w:lineRule="auto"/>
              <w:jc w:val="left"/>
              <w:rPr>
                <w:rFonts w:ascii="Arial" w:hAnsi="Arial" w:cs="Arial"/>
                <w:sz w:val="22"/>
                <w:szCs w:val="22"/>
              </w:rPr>
            </w:pPr>
            <w:r w:rsidRPr="00746F54">
              <w:rPr>
                <w:rFonts w:ascii="Arial" w:hAnsi="Arial" w:cs="Arial"/>
                <w:sz w:val="22"/>
                <w:szCs w:val="22"/>
              </w:rPr>
              <w:t>100, constraint active</w:t>
            </w:r>
          </w:p>
        </w:tc>
      </w:tr>
    </w:tbl>
    <w:p w14:paraId="6423F946" w14:textId="77777777" w:rsidR="00E4601F" w:rsidRPr="00746F54" w:rsidRDefault="00E4601F" w:rsidP="00E4601F">
      <w:pPr>
        <w:pStyle w:val="ParaText"/>
        <w:rPr>
          <w:rFonts w:ascii="Arial" w:hAnsi="Arial" w:cs="Arial"/>
        </w:rPr>
      </w:pPr>
    </w:p>
    <w:p w14:paraId="531EE2BF" w14:textId="4FAAADCB" w:rsidR="00E4601F" w:rsidRPr="00746F54" w:rsidRDefault="00E4601F" w:rsidP="00E4104D">
      <w:pPr>
        <w:pStyle w:val="Heading2"/>
        <w:rPr>
          <w:rFonts w:ascii="Arial" w:hAnsi="Arial" w:cs="Arial"/>
        </w:rPr>
      </w:pPr>
      <w:bookmarkStart w:id="377" w:name="_Toc211337992"/>
      <w:bookmarkStart w:id="378" w:name="_Toc212733103"/>
      <w:r w:rsidRPr="00746F54">
        <w:rPr>
          <w:rFonts w:ascii="Arial" w:hAnsi="Arial" w:cs="Arial"/>
        </w:rPr>
        <w:t>Data Availability</w:t>
      </w:r>
      <w:bookmarkEnd w:id="377"/>
      <w:bookmarkEnd w:id="378"/>
      <w:r w:rsidRPr="00746F54">
        <w:rPr>
          <w:rFonts w:ascii="Arial" w:hAnsi="Arial" w:cs="Arial"/>
        </w:rPr>
        <w:t xml:space="preserve">  </w:t>
      </w:r>
    </w:p>
    <w:p w14:paraId="128310F5" w14:textId="78139A83" w:rsidR="00D13D20" w:rsidRPr="00746F54" w:rsidRDefault="00D13D20" w:rsidP="00E4601F">
      <w:pPr>
        <w:pStyle w:val="ParaText"/>
        <w:rPr>
          <w:rFonts w:ascii="Arial" w:hAnsi="Arial" w:cs="Arial"/>
          <w:u w:val="single"/>
        </w:rPr>
      </w:pPr>
      <w:r w:rsidRPr="00746F54">
        <w:rPr>
          <w:rFonts w:ascii="Arial" w:hAnsi="Arial" w:cs="Arial"/>
          <w:u w:val="single"/>
        </w:rPr>
        <w:t>Reference tariff section 33.32.6.1</w:t>
      </w:r>
    </w:p>
    <w:p w14:paraId="40ABFBC6" w14:textId="4AFA9252" w:rsidR="00E4601F" w:rsidRPr="00746F54" w:rsidRDefault="00E4601F" w:rsidP="00D13D20">
      <w:pPr>
        <w:pStyle w:val="ParaText"/>
        <w:rPr>
          <w:rFonts w:ascii="Arial" w:hAnsi="Arial" w:cs="Arial"/>
        </w:rPr>
      </w:pPr>
      <w:r w:rsidRPr="00746F54">
        <w:rPr>
          <w:rFonts w:ascii="Arial" w:hAnsi="Arial" w:cs="Arial"/>
        </w:rPr>
        <w:t>The CAISO notifies scheduling coordinators of their reference pass schedules and their market results reflecting the MW quantity of any energy supporting EDAM or WEIM transfers that served a particular GHG regulation area through the CAISO’s market results interface.  Scheduling coordinators may also review their settlement statements using the applicable charge code to identify the MWh and GHG marginal price for resources that receive an attribution of a GHG transfer into a GHG regulation area.  The CAISO will also disclose information regarding GHG transfers into GHG regulation areas to a governmental authority with oversight of a state GHG pricing program, so long as the information does not disclose confidential information of any individual market participant.  This information may be disclosed pursuant to a document subpoena or other request from a governmental authority</w:t>
      </w:r>
      <w:r w:rsidR="00D13D20" w:rsidRPr="00746F54">
        <w:rPr>
          <w:rFonts w:ascii="Arial" w:hAnsi="Arial" w:cs="Arial"/>
        </w:rPr>
        <w:t>.</w:t>
      </w:r>
      <w:r w:rsidRPr="00746F54">
        <w:rPr>
          <w:rFonts w:ascii="Arial" w:hAnsi="Arial" w:cs="Arial"/>
        </w:rPr>
        <w:t xml:space="preserve"> </w:t>
      </w:r>
    </w:p>
    <w:p w14:paraId="7093C271" w14:textId="77777777" w:rsidR="003434D5" w:rsidRPr="00746F54" w:rsidRDefault="003434D5" w:rsidP="003434D5">
      <w:pPr>
        <w:pStyle w:val="Heading1"/>
        <w:rPr>
          <w:rFonts w:ascii="Arial" w:hAnsi="Arial" w:cs="Arial"/>
        </w:rPr>
      </w:pPr>
      <w:bookmarkStart w:id="379" w:name="_Toc211337993"/>
      <w:bookmarkStart w:id="380" w:name="_Toc212733104"/>
      <w:r w:rsidRPr="00746F54">
        <w:rPr>
          <w:rFonts w:ascii="Arial" w:hAnsi="Arial" w:cs="Arial"/>
        </w:rPr>
        <w:lastRenderedPageBreak/>
        <w:t>Market Validation and Price Correction</w:t>
      </w:r>
      <w:bookmarkEnd w:id="379"/>
      <w:bookmarkEnd w:id="380"/>
    </w:p>
    <w:p w14:paraId="5D9945C9" w14:textId="795C940A" w:rsidR="003434D5" w:rsidRPr="00746F54" w:rsidRDefault="003434D5" w:rsidP="00BE1E79">
      <w:pPr>
        <w:pStyle w:val="Heading2"/>
        <w:rPr>
          <w:rFonts w:ascii="Arial" w:hAnsi="Arial" w:cs="Arial"/>
        </w:rPr>
      </w:pPr>
      <w:bookmarkStart w:id="381" w:name="_Toc211337994"/>
      <w:bookmarkStart w:id="382" w:name="_Toc212733105"/>
      <w:r w:rsidRPr="00746F54">
        <w:rPr>
          <w:rFonts w:ascii="Arial" w:hAnsi="Arial" w:cs="Arial"/>
        </w:rPr>
        <w:t>EDAM Price Validation</w:t>
      </w:r>
      <w:bookmarkEnd w:id="381"/>
      <w:bookmarkEnd w:id="382"/>
    </w:p>
    <w:p w14:paraId="304EDBDB" w14:textId="5A858A22" w:rsidR="006B1A60" w:rsidRPr="00746F54" w:rsidRDefault="006B1A60" w:rsidP="00776EBF">
      <w:pPr>
        <w:pStyle w:val="ParaText"/>
        <w:rPr>
          <w:rFonts w:ascii="Arial" w:hAnsi="Arial" w:cs="Arial"/>
        </w:rPr>
      </w:pPr>
      <w:r w:rsidRPr="00746F54">
        <w:rPr>
          <w:rFonts w:ascii="Arial" w:hAnsi="Arial" w:cs="Arial"/>
          <w:b/>
          <w:u w:val="single"/>
        </w:rPr>
        <w:t>Reference tariff section 33.35</w:t>
      </w:r>
    </w:p>
    <w:p w14:paraId="5C172A87" w14:textId="1053FCA5" w:rsidR="003434D5" w:rsidRPr="00746F54" w:rsidRDefault="003434D5" w:rsidP="003434D5">
      <w:pPr>
        <w:pStyle w:val="ParaText"/>
        <w:jc w:val="both"/>
        <w:rPr>
          <w:rFonts w:ascii="Arial" w:hAnsi="Arial" w:cs="Arial"/>
        </w:rPr>
      </w:pPr>
      <w:r w:rsidRPr="00746F54">
        <w:rPr>
          <w:rFonts w:ascii="Arial" w:hAnsi="Arial" w:cs="Arial"/>
        </w:rPr>
        <w:t>The CAISO has authority under its tariff to correct prices to ensure that settlement is consistent with the tariff. CAISO shall make reasonable efforts to ensure that LMPs published to OASIS and CMRI and ultimately used for settlement and billing are calculated accurately and reflect all pertinent operational data and system conditions, and are consistent with CAISO tariff provisions. CAISO shall continuously monitor all market clearing software solutions to identify anomalous resource commitment, dispatch levels, and prices that may have resulted from erroneous input data and/or hardware/software failure of the market applications. EDAM shall be subject to this Market Validation process.</w:t>
      </w:r>
    </w:p>
    <w:p w14:paraId="7FC75634" w14:textId="77777777" w:rsidR="003434D5" w:rsidRPr="00746F54" w:rsidRDefault="003434D5" w:rsidP="003434D5">
      <w:pPr>
        <w:pStyle w:val="ParaText"/>
        <w:jc w:val="both"/>
        <w:rPr>
          <w:rFonts w:ascii="Arial" w:hAnsi="Arial" w:cs="Arial"/>
        </w:rPr>
      </w:pPr>
      <w:r w:rsidRPr="00746F54">
        <w:rPr>
          <w:rFonts w:ascii="Arial" w:hAnsi="Arial" w:cs="Arial"/>
        </w:rPr>
        <w:t>The EDAM validation process has two phases:</w:t>
      </w:r>
    </w:p>
    <w:p w14:paraId="1D430EF1" w14:textId="77777777" w:rsidR="003434D5" w:rsidRPr="00746F54" w:rsidRDefault="003434D5" w:rsidP="003434D5">
      <w:pPr>
        <w:pStyle w:val="ParaText"/>
        <w:numPr>
          <w:ilvl w:val="0"/>
          <w:numId w:val="78"/>
        </w:numPr>
        <w:jc w:val="both"/>
        <w:rPr>
          <w:rFonts w:ascii="Arial" w:hAnsi="Arial" w:cs="Arial"/>
        </w:rPr>
      </w:pPr>
      <w:r w:rsidRPr="00746F54">
        <w:rPr>
          <w:rFonts w:ascii="Arial" w:hAnsi="Arial" w:cs="Arial"/>
        </w:rPr>
        <w:t>Phase I: Market Validation</w:t>
      </w:r>
    </w:p>
    <w:p w14:paraId="30A0E561" w14:textId="77777777" w:rsidR="003434D5" w:rsidRPr="00746F54" w:rsidRDefault="003434D5" w:rsidP="003434D5">
      <w:pPr>
        <w:pStyle w:val="ParaText"/>
        <w:ind w:left="720"/>
        <w:jc w:val="both"/>
        <w:rPr>
          <w:rFonts w:ascii="Arial" w:hAnsi="Arial" w:cs="Arial"/>
        </w:rPr>
      </w:pPr>
      <w:r w:rsidRPr="00746F54">
        <w:rPr>
          <w:rFonts w:ascii="Arial" w:hAnsi="Arial" w:cs="Arial"/>
        </w:rPr>
        <w:t>The CAISO will validate the EDAM results before they are published to OASIS and CMRI. During this time, the CAISO shall closely monitor results, and if time permits, correct problems and re-run the market as necessary to minimize the number of post-publication price corrections.</w:t>
      </w:r>
    </w:p>
    <w:p w14:paraId="278C8C10" w14:textId="77777777" w:rsidR="003434D5" w:rsidRPr="00746F54" w:rsidRDefault="003434D5" w:rsidP="003434D5">
      <w:pPr>
        <w:pStyle w:val="ParaText"/>
        <w:numPr>
          <w:ilvl w:val="0"/>
          <w:numId w:val="78"/>
        </w:numPr>
        <w:jc w:val="both"/>
        <w:rPr>
          <w:rFonts w:ascii="Arial" w:hAnsi="Arial" w:cs="Arial"/>
        </w:rPr>
      </w:pPr>
      <w:r w:rsidRPr="00746F54">
        <w:rPr>
          <w:rFonts w:ascii="Arial" w:hAnsi="Arial" w:cs="Arial"/>
        </w:rPr>
        <w:t>Phase II: Price Corrections</w:t>
      </w:r>
    </w:p>
    <w:p w14:paraId="55E602C6" w14:textId="096CD306" w:rsidR="003434D5" w:rsidRPr="00746F54" w:rsidRDefault="003434D5" w:rsidP="003434D5">
      <w:pPr>
        <w:pStyle w:val="ParaText"/>
        <w:ind w:left="720"/>
        <w:jc w:val="both"/>
        <w:rPr>
          <w:rFonts w:ascii="Arial" w:hAnsi="Arial" w:cs="Arial"/>
        </w:rPr>
      </w:pPr>
      <w:r w:rsidRPr="00746F54">
        <w:rPr>
          <w:rFonts w:ascii="Arial" w:hAnsi="Arial" w:cs="Arial"/>
        </w:rPr>
        <w:t>The price correction process is an analysis that occurs after the EDAM results are published to OASIS and CMRI. The purpose of the analysis is to identify and correct prices in any periods with error conditions or incorrect results. The price validation process ensures that the LMPs used for market settlement are based on the proper data, and that the market solution accurately reflects the power system conditions and CAISO operator actions that should have been considered in the relevant market process. This post-publication market validation process is completed within a prescribed window of time following each market. All prices published on OASIS or in other sources are subject to potential correction during the prescribed price correction window. All prices are considered final after the prescribed price correction time horizon has expired.</w:t>
      </w:r>
    </w:p>
    <w:p w14:paraId="74055246" w14:textId="77777777" w:rsidR="003434D5" w:rsidRPr="00746F54" w:rsidRDefault="003434D5" w:rsidP="00BE1E79">
      <w:pPr>
        <w:pStyle w:val="Heading2"/>
        <w:rPr>
          <w:rFonts w:ascii="Arial" w:hAnsi="Arial" w:cs="Arial"/>
        </w:rPr>
      </w:pPr>
      <w:bookmarkStart w:id="383" w:name="_Toc211337995"/>
      <w:bookmarkStart w:id="384" w:name="_Toc212733106"/>
      <w:r w:rsidRPr="00746F54">
        <w:rPr>
          <w:rFonts w:ascii="Arial" w:hAnsi="Arial" w:cs="Arial"/>
        </w:rPr>
        <w:lastRenderedPageBreak/>
        <w:t>Scope of Price Corrections</w:t>
      </w:r>
      <w:bookmarkEnd w:id="383"/>
      <w:bookmarkEnd w:id="384"/>
    </w:p>
    <w:p w14:paraId="0B323A4C" w14:textId="67F4B37F" w:rsidR="003434D5" w:rsidRPr="00746F54" w:rsidRDefault="003434D5" w:rsidP="003434D5">
      <w:pPr>
        <w:pStyle w:val="ParaText"/>
        <w:jc w:val="both"/>
        <w:rPr>
          <w:rFonts w:ascii="Arial" w:hAnsi="Arial" w:cs="Arial"/>
        </w:rPr>
      </w:pPr>
      <w:r w:rsidRPr="00746F54">
        <w:rPr>
          <w:rFonts w:ascii="Arial" w:hAnsi="Arial" w:cs="Arial"/>
        </w:rPr>
        <w:t>Prices may be corrected when: (i) a market solution is determined to be invalid, or (ii) invalid prices are identified in an otherwise valid market solution. The following are some reasons that may be the cause of these conditions:</w:t>
      </w:r>
    </w:p>
    <w:p w14:paraId="20F33A9F" w14:textId="3196FF61" w:rsidR="003434D5" w:rsidRPr="00746F54" w:rsidRDefault="003434D5" w:rsidP="003434D5">
      <w:pPr>
        <w:pStyle w:val="ParaText"/>
        <w:numPr>
          <w:ilvl w:val="0"/>
          <w:numId w:val="78"/>
        </w:numPr>
        <w:jc w:val="both"/>
        <w:rPr>
          <w:rFonts w:ascii="Arial" w:hAnsi="Arial" w:cs="Arial"/>
        </w:rPr>
      </w:pPr>
      <w:r w:rsidRPr="00746F54">
        <w:rPr>
          <w:rFonts w:ascii="Arial" w:hAnsi="Arial" w:cs="Arial"/>
        </w:rPr>
        <w:t xml:space="preserve">Data input failure. Missing or incorrect versions of one or more data elements input to the market applications may result in an invalid market solution and/or prices. </w:t>
      </w:r>
    </w:p>
    <w:p w14:paraId="2E1CA467" w14:textId="766C0FD3" w:rsidR="003434D5" w:rsidRPr="00746F54" w:rsidRDefault="003434D5" w:rsidP="003434D5">
      <w:pPr>
        <w:pStyle w:val="ParaText"/>
        <w:numPr>
          <w:ilvl w:val="0"/>
          <w:numId w:val="78"/>
        </w:numPr>
        <w:jc w:val="both"/>
        <w:rPr>
          <w:rFonts w:ascii="Arial" w:hAnsi="Arial" w:cs="Arial"/>
        </w:rPr>
      </w:pPr>
      <w:r w:rsidRPr="00746F54">
        <w:rPr>
          <w:rFonts w:ascii="Arial" w:hAnsi="Arial" w:cs="Arial"/>
        </w:rPr>
        <w:t>Software defect or failure. If the market software is not operating consistent with established business rules and market design elements, the CAISO will work with its software vendors to determine the root cause and identify a software fix. If these cases impact market prices, the CAISO may correct invalid prices.</w:t>
      </w:r>
    </w:p>
    <w:p w14:paraId="1BDBD791" w14:textId="09EA911A" w:rsidR="003434D5" w:rsidRPr="00746F54" w:rsidRDefault="003434D5" w:rsidP="003434D5">
      <w:pPr>
        <w:pStyle w:val="ParaText"/>
        <w:numPr>
          <w:ilvl w:val="0"/>
          <w:numId w:val="78"/>
        </w:numPr>
        <w:jc w:val="both"/>
        <w:rPr>
          <w:rFonts w:ascii="Arial" w:hAnsi="Arial" w:cs="Arial"/>
        </w:rPr>
      </w:pPr>
      <w:r w:rsidRPr="00746F54">
        <w:rPr>
          <w:rFonts w:ascii="Arial" w:hAnsi="Arial" w:cs="Arial"/>
        </w:rPr>
        <w:t>Inconsistency with the tariff.  Market results will be validated to be consistent with the CAISO tariff, and where applicable, prices may be corrected to meet this goal. This includes, but is not limited to ensuring that: (i) price setting resources are eligible to do so, and (ii) binding constraints are applied (or relaxed) in the appropriate priority order.</w:t>
      </w:r>
    </w:p>
    <w:p w14:paraId="5BE9887A" w14:textId="06CD5A3B" w:rsidR="003434D5" w:rsidRPr="00746F54" w:rsidRDefault="003434D5" w:rsidP="003434D5">
      <w:pPr>
        <w:pStyle w:val="ParaText"/>
        <w:jc w:val="both"/>
        <w:rPr>
          <w:rFonts w:ascii="Arial" w:hAnsi="Arial" w:cs="Arial"/>
        </w:rPr>
      </w:pPr>
      <w:r w:rsidRPr="00746F54">
        <w:rPr>
          <w:rFonts w:ascii="Arial" w:hAnsi="Arial" w:cs="Arial"/>
        </w:rPr>
        <w:t>Section 35.3 of the CAISO tariff provides additional details regarding the basis for price corrections.</w:t>
      </w:r>
    </w:p>
    <w:p w14:paraId="29259001" w14:textId="77777777" w:rsidR="003434D5" w:rsidRPr="00746F54" w:rsidRDefault="003434D5" w:rsidP="003434D5">
      <w:pPr>
        <w:pStyle w:val="ParaText"/>
        <w:jc w:val="both"/>
        <w:rPr>
          <w:rFonts w:ascii="Arial" w:hAnsi="Arial" w:cs="Arial"/>
        </w:rPr>
      </w:pPr>
      <w:r w:rsidRPr="00746F54">
        <w:rPr>
          <w:rFonts w:ascii="Arial" w:hAnsi="Arial" w:cs="Arial"/>
        </w:rPr>
        <w:t>The following are some qualifications to the scope of price corrections:</w:t>
      </w:r>
    </w:p>
    <w:p w14:paraId="21124E7B" w14:textId="0F0B3D5D" w:rsidR="003434D5" w:rsidRPr="00746F54" w:rsidRDefault="003434D5" w:rsidP="003434D5">
      <w:pPr>
        <w:pStyle w:val="ParaText"/>
        <w:numPr>
          <w:ilvl w:val="0"/>
          <w:numId w:val="79"/>
        </w:numPr>
        <w:jc w:val="both"/>
        <w:rPr>
          <w:rFonts w:ascii="Arial" w:hAnsi="Arial" w:cs="Arial"/>
        </w:rPr>
      </w:pPr>
      <w:r w:rsidRPr="00746F54">
        <w:rPr>
          <w:rFonts w:ascii="Arial" w:hAnsi="Arial" w:cs="Arial"/>
        </w:rPr>
        <w:t>Prices due to scarcity of resource bids will not be a cause for price corrections.</w:t>
      </w:r>
    </w:p>
    <w:p w14:paraId="56598F89" w14:textId="73CBC030" w:rsidR="003434D5" w:rsidRPr="00746F54" w:rsidRDefault="003434D5" w:rsidP="003434D5">
      <w:pPr>
        <w:pStyle w:val="ParaText"/>
        <w:numPr>
          <w:ilvl w:val="0"/>
          <w:numId w:val="79"/>
        </w:numPr>
        <w:jc w:val="both"/>
        <w:rPr>
          <w:rFonts w:ascii="Arial" w:hAnsi="Arial" w:cs="Arial"/>
        </w:rPr>
      </w:pPr>
      <w:r w:rsidRPr="00746F54">
        <w:rPr>
          <w:rFonts w:ascii="Arial" w:hAnsi="Arial" w:cs="Arial"/>
        </w:rPr>
        <w:t>The extent to which bids are mitigated in the MPM process has a direct impact on the market clearing prices in the EDAM. Therefore, these Security Constrained Economic Commitment (</w:t>
      </w:r>
      <w:commentRangeStart w:id="385"/>
      <w:r w:rsidRPr="00746F54">
        <w:rPr>
          <w:rFonts w:ascii="Arial" w:hAnsi="Arial" w:cs="Arial"/>
        </w:rPr>
        <w:t xml:space="preserve">SCUC) </w:t>
      </w:r>
      <w:commentRangeEnd w:id="385"/>
      <w:r w:rsidRPr="00746F54">
        <w:rPr>
          <w:rStyle w:val="CommentReference"/>
          <w:rFonts w:ascii="Arial" w:hAnsi="Arial" w:cs="Arial"/>
        </w:rPr>
        <w:commentReference w:id="385"/>
      </w:r>
      <w:r w:rsidRPr="00746F54">
        <w:rPr>
          <w:rFonts w:ascii="Arial" w:hAnsi="Arial" w:cs="Arial"/>
        </w:rPr>
        <w:t>solutions will be subject to market validation principles. However, it should be noted that prices resulting from the MPM SCUC passes are not themselves validated, as these prices are not financially binding.</w:t>
      </w:r>
    </w:p>
    <w:p w14:paraId="44E46637" w14:textId="19B7DA85" w:rsidR="003434D5" w:rsidRPr="00746F54" w:rsidRDefault="003434D5" w:rsidP="003434D5">
      <w:pPr>
        <w:pStyle w:val="ParaText"/>
        <w:numPr>
          <w:ilvl w:val="0"/>
          <w:numId w:val="79"/>
        </w:numPr>
        <w:jc w:val="both"/>
        <w:rPr>
          <w:rFonts w:ascii="Arial" w:hAnsi="Arial" w:cs="Arial"/>
        </w:rPr>
      </w:pPr>
      <w:r w:rsidRPr="00746F54">
        <w:rPr>
          <w:rFonts w:ascii="Arial" w:hAnsi="Arial" w:cs="Arial"/>
        </w:rPr>
        <w:t>The EDAM is a large-scale non-linear optimization process that uses a</w:t>
      </w:r>
      <w:r w:rsidRPr="00746F54" w:rsidDel="0087336B">
        <w:rPr>
          <w:rFonts w:ascii="Arial" w:hAnsi="Arial" w:cs="Arial"/>
        </w:rPr>
        <w:t xml:space="preserve"> </w:t>
      </w:r>
      <w:r w:rsidRPr="00746F54">
        <w:rPr>
          <w:rFonts w:ascii="Arial" w:hAnsi="Arial" w:cs="Arial"/>
        </w:rPr>
        <w:t xml:space="preserve">mixed integer programming (MIP) methodology to address the numerous modeling requirements.  Given the time needed to find the best optimal solution and the numerous constraints, a suboptimal result is possible.  The CAISO monitors the MIP parameters related to the EDAM solution during the market run but does not correct prices when there are suboptimal results. </w:t>
      </w:r>
    </w:p>
    <w:p w14:paraId="093237F5" w14:textId="77777777" w:rsidR="003434D5" w:rsidRPr="00746F54" w:rsidRDefault="003434D5" w:rsidP="003434D5">
      <w:pPr>
        <w:pStyle w:val="ParaText"/>
        <w:ind w:left="360"/>
        <w:rPr>
          <w:rFonts w:ascii="Arial" w:hAnsi="Arial" w:cs="Arial"/>
        </w:rPr>
      </w:pPr>
      <w:r w:rsidRPr="00746F54">
        <w:rPr>
          <w:rFonts w:ascii="Arial" w:hAnsi="Arial" w:cs="Arial"/>
        </w:rPr>
        <w:t>Specifically, the following elements are in scope for EDAM price corrections:</w:t>
      </w:r>
    </w:p>
    <w:p w14:paraId="66995BA9" w14:textId="462B1C49" w:rsidR="003434D5" w:rsidRPr="00746F54" w:rsidRDefault="003434D5" w:rsidP="003434D5">
      <w:pPr>
        <w:pStyle w:val="ParaText"/>
        <w:numPr>
          <w:ilvl w:val="0"/>
          <w:numId w:val="80"/>
        </w:numPr>
        <w:rPr>
          <w:rFonts w:ascii="Arial" w:hAnsi="Arial" w:cs="Arial"/>
        </w:rPr>
      </w:pPr>
      <w:r w:rsidRPr="00746F54">
        <w:rPr>
          <w:rFonts w:ascii="Arial" w:hAnsi="Arial" w:cs="Arial"/>
        </w:rPr>
        <w:lastRenderedPageBreak/>
        <w:t>Final Hourly LMPs for all Pricing Nodes (Pnode) and Aggregated Pricing Nodes (APnode)</w:t>
      </w:r>
    </w:p>
    <w:p w14:paraId="245E624D" w14:textId="77777777" w:rsidR="003434D5" w:rsidRPr="00746F54" w:rsidRDefault="003434D5" w:rsidP="003434D5">
      <w:pPr>
        <w:pStyle w:val="ParaText"/>
        <w:numPr>
          <w:ilvl w:val="0"/>
          <w:numId w:val="80"/>
        </w:numPr>
        <w:rPr>
          <w:rFonts w:ascii="Arial" w:hAnsi="Arial" w:cs="Arial"/>
        </w:rPr>
      </w:pPr>
      <w:r w:rsidRPr="00746F54">
        <w:rPr>
          <w:rFonts w:ascii="Arial" w:hAnsi="Arial" w:cs="Arial"/>
        </w:rPr>
        <w:t>Marginal energy cost component</w:t>
      </w:r>
    </w:p>
    <w:p w14:paraId="53EDD9C5" w14:textId="77777777" w:rsidR="003434D5" w:rsidRPr="00746F54" w:rsidRDefault="003434D5" w:rsidP="003434D5">
      <w:pPr>
        <w:pStyle w:val="ParaText"/>
        <w:numPr>
          <w:ilvl w:val="0"/>
          <w:numId w:val="80"/>
        </w:numPr>
        <w:rPr>
          <w:rFonts w:ascii="Arial" w:hAnsi="Arial" w:cs="Arial"/>
        </w:rPr>
      </w:pPr>
      <w:r w:rsidRPr="00746F54">
        <w:rPr>
          <w:rFonts w:ascii="Arial" w:hAnsi="Arial" w:cs="Arial"/>
        </w:rPr>
        <w:t>Marginal congestion cost component</w:t>
      </w:r>
    </w:p>
    <w:p w14:paraId="66C84470" w14:textId="77777777" w:rsidR="003434D5" w:rsidRPr="00746F54" w:rsidRDefault="003434D5" w:rsidP="003434D5">
      <w:pPr>
        <w:pStyle w:val="ParaText"/>
        <w:numPr>
          <w:ilvl w:val="0"/>
          <w:numId w:val="80"/>
        </w:numPr>
        <w:rPr>
          <w:rFonts w:ascii="Arial" w:hAnsi="Arial" w:cs="Arial"/>
        </w:rPr>
      </w:pPr>
      <w:r w:rsidRPr="00746F54">
        <w:rPr>
          <w:rFonts w:ascii="Arial" w:hAnsi="Arial" w:cs="Arial"/>
        </w:rPr>
        <w:t>Marginal loss cost component</w:t>
      </w:r>
    </w:p>
    <w:p w14:paraId="2BF66FC7" w14:textId="7EE8FE26" w:rsidR="003434D5" w:rsidRPr="00746F54" w:rsidRDefault="003434D5" w:rsidP="003434D5">
      <w:pPr>
        <w:pStyle w:val="ParaText"/>
        <w:numPr>
          <w:ilvl w:val="0"/>
          <w:numId w:val="80"/>
        </w:numPr>
        <w:rPr>
          <w:rFonts w:ascii="Arial" w:hAnsi="Arial" w:cs="Arial"/>
        </w:rPr>
      </w:pPr>
      <w:r w:rsidRPr="00746F54">
        <w:rPr>
          <w:rFonts w:ascii="Arial" w:hAnsi="Arial" w:cs="Arial"/>
        </w:rPr>
        <w:t xml:space="preserve">Final Hourly ASMPs for all </w:t>
      </w:r>
      <w:commentRangeStart w:id="386"/>
      <w:r w:rsidRPr="00746F54">
        <w:rPr>
          <w:rFonts w:ascii="Arial" w:hAnsi="Arial" w:cs="Arial"/>
        </w:rPr>
        <w:t>Pnodes</w:t>
      </w:r>
      <w:commentRangeEnd w:id="386"/>
      <w:r w:rsidRPr="00746F54">
        <w:rPr>
          <w:rStyle w:val="CommentReference"/>
          <w:rFonts w:ascii="Arial" w:hAnsi="Arial" w:cs="Arial"/>
        </w:rPr>
        <w:commentReference w:id="386"/>
      </w:r>
    </w:p>
    <w:p w14:paraId="282AFF22" w14:textId="77777777" w:rsidR="003434D5" w:rsidRPr="00746F54" w:rsidRDefault="003434D5" w:rsidP="003434D5">
      <w:pPr>
        <w:pStyle w:val="ParaText"/>
        <w:numPr>
          <w:ilvl w:val="0"/>
          <w:numId w:val="80"/>
        </w:numPr>
        <w:rPr>
          <w:rFonts w:ascii="Arial" w:hAnsi="Arial" w:cs="Arial"/>
        </w:rPr>
      </w:pPr>
      <w:r w:rsidRPr="00746F54">
        <w:rPr>
          <w:rFonts w:ascii="Arial" w:hAnsi="Arial" w:cs="Arial"/>
        </w:rPr>
        <w:t>Final hourly transmission constraint shadow prices at each transmission interface</w:t>
      </w:r>
    </w:p>
    <w:p w14:paraId="148A8D07" w14:textId="77777777" w:rsidR="003434D5" w:rsidRPr="00746F54" w:rsidRDefault="003434D5" w:rsidP="003434D5">
      <w:pPr>
        <w:pStyle w:val="ParaText"/>
        <w:numPr>
          <w:ilvl w:val="0"/>
          <w:numId w:val="80"/>
        </w:numPr>
        <w:rPr>
          <w:rFonts w:ascii="Arial" w:hAnsi="Arial" w:cs="Arial"/>
        </w:rPr>
      </w:pPr>
      <w:r w:rsidRPr="00746F54">
        <w:rPr>
          <w:rFonts w:ascii="Arial" w:hAnsi="Arial" w:cs="Arial"/>
        </w:rPr>
        <w:t>SP-Tie LMPs</w:t>
      </w:r>
    </w:p>
    <w:p w14:paraId="2250F892" w14:textId="77777777" w:rsidR="003434D5" w:rsidRPr="00746F54" w:rsidRDefault="003434D5" w:rsidP="003434D5">
      <w:pPr>
        <w:pStyle w:val="ParaText"/>
        <w:numPr>
          <w:ilvl w:val="0"/>
          <w:numId w:val="80"/>
        </w:numPr>
        <w:rPr>
          <w:rFonts w:ascii="Arial" w:hAnsi="Arial" w:cs="Arial"/>
        </w:rPr>
      </w:pPr>
      <w:r w:rsidRPr="00746F54">
        <w:rPr>
          <w:rFonts w:ascii="Arial" w:hAnsi="Arial" w:cs="Arial"/>
        </w:rPr>
        <w:t>Final Imbalance Reserve Up and Down LMPs</w:t>
      </w:r>
    </w:p>
    <w:p w14:paraId="175CC744" w14:textId="77777777" w:rsidR="003434D5" w:rsidRPr="00746F54" w:rsidRDefault="003434D5" w:rsidP="003434D5">
      <w:pPr>
        <w:pStyle w:val="ParaText"/>
        <w:numPr>
          <w:ilvl w:val="0"/>
          <w:numId w:val="80"/>
        </w:numPr>
        <w:rPr>
          <w:rFonts w:ascii="Arial" w:hAnsi="Arial" w:cs="Arial"/>
        </w:rPr>
      </w:pPr>
      <w:r w:rsidRPr="00746F54">
        <w:rPr>
          <w:rFonts w:ascii="Arial" w:hAnsi="Arial" w:cs="Arial"/>
        </w:rPr>
        <w:t xml:space="preserve">EDAM Balancing Area Transfer Prices </w:t>
      </w:r>
    </w:p>
    <w:p w14:paraId="5D554774" w14:textId="77777777" w:rsidR="003434D5" w:rsidRPr="00746F54" w:rsidRDefault="003434D5" w:rsidP="003434D5">
      <w:pPr>
        <w:pStyle w:val="ParaText"/>
        <w:numPr>
          <w:ilvl w:val="0"/>
          <w:numId w:val="80"/>
        </w:numPr>
        <w:rPr>
          <w:rFonts w:ascii="Arial" w:hAnsi="Arial" w:cs="Arial"/>
        </w:rPr>
      </w:pPr>
      <w:r w:rsidRPr="00746F54">
        <w:rPr>
          <w:rFonts w:ascii="Arial" w:hAnsi="Arial" w:cs="Arial"/>
        </w:rPr>
        <w:t>Transfer System Resource Prices</w:t>
      </w:r>
    </w:p>
    <w:p w14:paraId="2BA31F7C" w14:textId="77777777" w:rsidR="003434D5" w:rsidRPr="00746F54" w:rsidRDefault="003434D5" w:rsidP="003434D5">
      <w:pPr>
        <w:pStyle w:val="ParaText"/>
        <w:numPr>
          <w:ilvl w:val="0"/>
          <w:numId w:val="80"/>
        </w:numPr>
        <w:rPr>
          <w:rFonts w:ascii="Arial" w:hAnsi="Arial" w:cs="Arial"/>
        </w:rPr>
      </w:pPr>
      <w:r w:rsidRPr="00746F54">
        <w:rPr>
          <w:rFonts w:ascii="Arial" w:hAnsi="Arial" w:cs="Arial"/>
        </w:rPr>
        <w:t>Final Reliability Capacity Up and Down Prices</w:t>
      </w:r>
    </w:p>
    <w:p w14:paraId="2BFB9291" w14:textId="77777777" w:rsidR="003434D5" w:rsidRPr="00746F54" w:rsidRDefault="003434D5" w:rsidP="00212FCB">
      <w:pPr>
        <w:pStyle w:val="Heading2"/>
        <w:rPr>
          <w:rFonts w:ascii="Arial" w:hAnsi="Arial" w:cs="Arial"/>
        </w:rPr>
      </w:pPr>
      <w:bookmarkStart w:id="387" w:name="_Toc211337996"/>
      <w:bookmarkStart w:id="388" w:name="_Toc212733107"/>
      <w:r w:rsidRPr="00746F54">
        <w:rPr>
          <w:rFonts w:ascii="Arial" w:hAnsi="Arial" w:cs="Arial"/>
        </w:rPr>
        <w:t>Price Correction Process</w:t>
      </w:r>
      <w:bookmarkEnd w:id="387"/>
      <w:bookmarkEnd w:id="388"/>
    </w:p>
    <w:p w14:paraId="6D329931" w14:textId="58904F57" w:rsidR="003434D5" w:rsidRPr="00746F54" w:rsidRDefault="003434D5" w:rsidP="003434D5">
      <w:pPr>
        <w:pStyle w:val="ParaText"/>
        <w:jc w:val="both"/>
        <w:rPr>
          <w:rFonts w:ascii="Arial" w:hAnsi="Arial" w:cs="Arial"/>
        </w:rPr>
      </w:pPr>
      <w:r w:rsidRPr="00746F54">
        <w:rPr>
          <w:rFonts w:ascii="Arial" w:hAnsi="Arial" w:cs="Arial"/>
        </w:rPr>
        <w:t>The price correction process starts with a validation of all prices indicated above, beginning immediately after prices are available, and ending after the Price Correction Time Horizon has closed for that trading day to identify if any corrections are necessary. The validation process is to ensure appropriate and accurate inputs are used in settlements as well as to ensure prices accurately reflect system conditions.</w:t>
      </w:r>
    </w:p>
    <w:p w14:paraId="492BE8CF" w14:textId="77777777" w:rsidR="003434D5" w:rsidRPr="00746F54" w:rsidRDefault="003434D5" w:rsidP="00BE1E79">
      <w:pPr>
        <w:pStyle w:val="Heading3"/>
        <w:rPr>
          <w:rFonts w:ascii="Arial" w:hAnsi="Arial" w:cs="Arial"/>
        </w:rPr>
      </w:pPr>
      <w:bookmarkStart w:id="389" w:name="_Toc211337997"/>
      <w:r w:rsidRPr="00746F54">
        <w:rPr>
          <w:rFonts w:ascii="Arial" w:hAnsi="Arial" w:cs="Arial"/>
        </w:rPr>
        <w:t>Price Correction Methods</w:t>
      </w:r>
      <w:bookmarkEnd w:id="389"/>
    </w:p>
    <w:p w14:paraId="348F185A" w14:textId="77777777" w:rsidR="003434D5" w:rsidRPr="00746F54" w:rsidRDefault="003434D5" w:rsidP="003434D5">
      <w:pPr>
        <w:pStyle w:val="ParaText"/>
        <w:jc w:val="both"/>
        <w:rPr>
          <w:rFonts w:ascii="Arial" w:hAnsi="Arial" w:cs="Arial"/>
        </w:rPr>
      </w:pPr>
      <w:r w:rsidRPr="00746F54">
        <w:rPr>
          <w:rFonts w:ascii="Arial" w:hAnsi="Arial" w:cs="Arial"/>
        </w:rPr>
        <w:t>Where feasible and practical, the CAISO will correct invalid prices to conform to the relevant CAISO Tariff provisions. Where this is neither feasible nor practical, the CAISO will correct prices as close as reasonably possible to the price that should have resulted under the CAISO Tariff provisions, using the most accurate data available, and in a manner that is consistent with the prevalent system conditions at that time. The CAISO will use one of the following methods, as appropriate, with respect to the nature of the invalid price conditions.</w:t>
      </w:r>
    </w:p>
    <w:p w14:paraId="70A615A6" w14:textId="77777777" w:rsidR="003434D5" w:rsidRPr="00746F54" w:rsidRDefault="003434D5" w:rsidP="003434D5">
      <w:pPr>
        <w:pStyle w:val="ParaText"/>
        <w:jc w:val="both"/>
        <w:rPr>
          <w:rFonts w:ascii="Arial" w:hAnsi="Arial" w:cs="Arial"/>
        </w:rPr>
      </w:pPr>
      <w:r w:rsidRPr="00746F54">
        <w:rPr>
          <w:rFonts w:ascii="Arial" w:hAnsi="Arial" w:cs="Arial"/>
        </w:rPr>
        <w:t xml:space="preserve">The order of the price correction methods listed below are shown in order of preference from most preferred to least preferred. When correction of prices can be done on isolated pricing locations </w:t>
      </w:r>
      <w:r w:rsidRPr="00746F54">
        <w:rPr>
          <w:rFonts w:ascii="Arial" w:hAnsi="Arial" w:cs="Arial"/>
        </w:rPr>
        <w:lastRenderedPageBreak/>
        <w:t>or resources without impacting the over-all market solution, this method is preferred. If this is not possible, the preferred price correction method is to re-run the affected markets, with the root cause of the invalidation corrected. However, this may not always be feasible due to unrecoverable data loss, or may not always be practical within the Price Correction Time Horizon. In these situations, interval or solution replication will be used.</w:t>
      </w:r>
    </w:p>
    <w:p w14:paraId="2E998328" w14:textId="77777777" w:rsidR="003434D5" w:rsidRPr="00746F54" w:rsidRDefault="003434D5" w:rsidP="00BE1E79">
      <w:pPr>
        <w:pStyle w:val="Heading4"/>
        <w:rPr>
          <w:rFonts w:ascii="Arial" w:hAnsi="Arial" w:cs="Arial"/>
        </w:rPr>
      </w:pPr>
      <w:r w:rsidRPr="00746F54">
        <w:rPr>
          <w:rFonts w:ascii="Arial" w:hAnsi="Arial" w:cs="Arial"/>
        </w:rPr>
        <w:t>Isolated Price Corrections</w:t>
      </w:r>
    </w:p>
    <w:p w14:paraId="52496721" w14:textId="4D8104D2" w:rsidR="003434D5" w:rsidRPr="00746F54" w:rsidRDefault="003434D5" w:rsidP="003434D5">
      <w:pPr>
        <w:pStyle w:val="ParaText"/>
        <w:jc w:val="both"/>
        <w:rPr>
          <w:rFonts w:ascii="Arial" w:hAnsi="Arial" w:cs="Arial"/>
        </w:rPr>
      </w:pPr>
      <w:r w:rsidRPr="00746F54">
        <w:rPr>
          <w:rFonts w:ascii="Arial" w:hAnsi="Arial" w:cs="Arial"/>
        </w:rPr>
        <w:t>When possible, the CAISO will selectively recalculate invalid Pnode and APnode prices, such that the market optimization need not be re-run. This method can only be used when invalid prices are isolated and when corrections can be made such that no other market clearing prices are affected by the correction.</w:t>
      </w:r>
    </w:p>
    <w:p w14:paraId="65062F68" w14:textId="77777777" w:rsidR="003434D5" w:rsidRPr="00746F54" w:rsidRDefault="003434D5" w:rsidP="00BE1E79">
      <w:pPr>
        <w:pStyle w:val="Heading4"/>
        <w:rPr>
          <w:rFonts w:ascii="Arial" w:hAnsi="Arial" w:cs="Arial"/>
        </w:rPr>
      </w:pPr>
      <w:r w:rsidRPr="00746F54">
        <w:rPr>
          <w:rFonts w:ascii="Arial" w:hAnsi="Arial" w:cs="Arial"/>
        </w:rPr>
        <w:t>Market Re-Runs</w:t>
      </w:r>
    </w:p>
    <w:p w14:paraId="3955A17E" w14:textId="77777777" w:rsidR="003434D5" w:rsidRPr="00746F54" w:rsidRDefault="003434D5" w:rsidP="003434D5">
      <w:pPr>
        <w:pStyle w:val="ParaText"/>
        <w:jc w:val="both"/>
        <w:rPr>
          <w:rFonts w:ascii="Arial" w:hAnsi="Arial" w:cs="Arial"/>
        </w:rPr>
      </w:pPr>
      <w:r w:rsidRPr="00746F54">
        <w:rPr>
          <w:rFonts w:ascii="Arial" w:hAnsi="Arial" w:cs="Arial"/>
        </w:rPr>
        <w:t>A market solution may be determined to be wholly invalid because of hardware or software failure, incorrect data or solution parameters, or any other factor that affects system wide results. When such a market solution is identified, the CAISO will attempt to recreate a valid SCUC solution for the affected market run. When the source of the problem is incorrect data, the market re-run will use as much validated data as possible from the original market run.  To replace the problematic data, CAISO will either (i) restore the correct data when possible, or (ii) recreate or replicate data using the best available alternate data sources.</w:t>
      </w:r>
    </w:p>
    <w:p w14:paraId="25212A27" w14:textId="77777777" w:rsidR="003434D5" w:rsidRPr="00746F54" w:rsidRDefault="003434D5" w:rsidP="00BE1E79">
      <w:pPr>
        <w:pStyle w:val="Heading4"/>
        <w:rPr>
          <w:rFonts w:ascii="Arial" w:hAnsi="Arial" w:cs="Arial"/>
        </w:rPr>
      </w:pPr>
      <w:commentRangeStart w:id="390"/>
      <w:r w:rsidRPr="00746F54">
        <w:rPr>
          <w:rFonts w:ascii="Arial" w:hAnsi="Arial" w:cs="Arial"/>
        </w:rPr>
        <w:t>Replicated Prices</w:t>
      </w:r>
      <w:commentRangeEnd w:id="390"/>
      <w:r w:rsidRPr="00746F54">
        <w:rPr>
          <w:rStyle w:val="CommentReference"/>
          <w:rFonts w:ascii="Arial" w:hAnsi="Arial" w:cs="Arial"/>
          <w:sz w:val="22"/>
          <w:szCs w:val="22"/>
        </w:rPr>
        <w:commentReference w:id="390"/>
      </w:r>
    </w:p>
    <w:p w14:paraId="045AE9AC" w14:textId="31232D62" w:rsidR="003434D5" w:rsidRPr="00746F54" w:rsidRDefault="003434D5" w:rsidP="003434D5">
      <w:pPr>
        <w:pStyle w:val="ParaText"/>
        <w:jc w:val="both"/>
        <w:rPr>
          <w:rFonts w:ascii="Arial" w:hAnsi="Arial" w:cs="Arial"/>
        </w:rPr>
      </w:pPr>
      <w:r w:rsidRPr="00746F54">
        <w:rPr>
          <w:rFonts w:ascii="Arial" w:hAnsi="Arial" w:cs="Arial"/>
        </w:rPr>
        <w:t>If the entire market solution is deemed to be invalid, all prices will be corrected using the re-run method specified above. In no cases will an invalidated EDAM solution be replaced with a valid EDAM solution from a previous trading day.</w:t>
      </w:r>
    </w:p>
    <w:p w14:paraId="2EC3143F" w14:textId="77777777" w:rsidR="003434D5" w:rsidRPr="00746F54" w:rsidRDefault="003434D5" w:rsidP="003434D5">
      <w:pPr>
        <w:pStyle w:val="ParaText"/>
        <w:jc w:val="both"/>
        <w:rPr>
          <w:rFonts w:ascii="Arial" w:hAnsi="Arial" w:cs="Arial"/>
        </w:rPr>
      </w:pPr>
      <w:r w:rsidRPr="00746F54">
        <w:rPr>
          <w:rFonts w:ascii="Arial" w:hAnsi="Arial" w:cs="Arial"/>
        </w:rPr>
        <w:t>Interval replication shall only apply in EDAM when some but not all hourly intervals within a valid market run are deemed to be invalid and the market is not rerun as explained above. This condition is expected to be rare. In such a case, prices for an invalidated interval shall be replicated from prices for a validated interval that best represents the market conditions in the invalid interval.  This will be an adjacent interval in most cases.</w:t>
      </w:r>
    </w:p>
    <w:p w14:paraId="0CEC8789" w14:textId="77777777" w:rsidR="003434D5" w:rsidRPr="00746F54" w:rsidRDefault="003434D5" w:rsidP="00BE1E79">
      <w:pPr>
        <w:pStyle w:val="Heading3"/>
        <w:rPr>
          <w:rFonts w:ascii="Arial" w:hAnsi="Arial" w:cs="Arial"/>
        </w:rPr>
      </w:pPr>
      <w:bookmarkStart w:id="391" w:name="_Toc211337998"/>
      <w:r w:rsidRPr="00746F54">
        <w:rPr>
          <w:rFonts w:ascii="Arial" w:hAnsi="Arial" w:cs="Arial"/>
        </w:rPr>
        <w:t>Publication</w:t>
      </w:r>
      <w:bookmarkEnd w:id="391"/>
    </w:p>
    <w:p w14:paraId="691853A8" w14:textId="77777777" w:rsidR="003434D5" w:rsidRPr="00746F54" w:rsidRDefault="003434D5" w:rsidP="003434D5">
      <w:pPr>
        <w:pStyle w:val="ParaText"/>
        <w:jc w:val="both"/>
        <w:rPr>
          <w:rFonts w:ascii="Arial" w:hAnsi="Arial" w:cs="Arial"/>
        </w:rPr>
      </w:pPr>
      <w:r w:rsidRPr="00746F54">
        <w:rPr>
          <w:rFonts w:ascii="Arial" w:hAnsi="Arial" w:cs="Arial"/>
        </w:rPr>
        <w:t xml:space="preserve">All prices published to OASIS and CMRI are considered provisional until the validation and Price Correction Time Horizon is completed. If a price correction is needed for a particular trade day and that correction cannot be made within the prescribed Price Correction Time Horizon due to </w:t>
      </w:r>
      <w:r w:rsidRPr="00746F54">
        <w:rPr>
          <w:rFonts w:ascii="Arial" w:hAnsi="Arial" w:cs="Arial"/>
        </w:rPr>
        <w:lastRenderedPageBreak/>
        <w:t>processing and publication issues then the CAISO shall provide notice to market participants through OASIS about the delay of the processing and publication of corrected prices.</w:t>
      </w:r>
    </w:p>
    <w:p w14:paraId="654E3968" w14:textId="77777777" w:rsidR="003434D5" w:rsidRPr="00746F54" w:rsidRDefault="003434D5" w:rsidP="00BE1E79">
      <w:pPr>
        <w:pStyle w:val="Heading3"/>
        <w:rPr>
          <w:rFonts w:ascii="Arial" w:hAnsi="Arial" w:cs="Arial"/>
        </w:rPr>
      </w:pPr>
      <w:bookmarkStart w:id="392" w:name="_Toc211337999"/>
      <w:r w:rsidRPr="00746F54">
        <w:rPr>
          <w:rFonts w:ascii="Arial" w:hAnsi="Arial" w:cs="Arial"/>
        </w:rPr>
        <w:t>EDAM Price Correction Time Horizon</w:t>
      </w:r>
      <w:bookmarkEnd w:id="392"/>
    </w:p>
    <w:p w14:paraId="04FD41C5" w14:textId="1CBBFB72" w:rsidR="003434D5" w:rsidRPr="00746F54" w:rsidRDefault="003434D5" w:rsidP="003434D5">
      <w:pPr>
        <w:pStyle w:val="BPM"/>
        <w:jc w:val="both"/>
        <w:rPr>
          <w:rFonts w:ascii="Arial" w:hAnsi="Arial"/>
        </w:rPr>
      </w:pPr>
      <w:r w:rsidRPr="00746F54">
        <w:rPr>
          <w:rFonts w:ascii="Arial" w:hAnsi="Arial"/>
        </w:rPr>
        <w:t xml:space="preserve">The EDAM Price Correction Time Horizon is three business days, except as noted below.  The CAISO will inform the market through an OASIS message about price corrections as soon as practical within the proposed three business day window for the EDAM. If such notice is not published on OASIS before the end of the Price Correction Time Horizon for a trading day, then such notice is implied by the expiration of the Price Correction Time Horizon, and no further validation or price corrections will occur for the trading day. The CAISO will not make any price corrections after the Price Correction Time Horizon has expired except as otherwise directed by the Federal Energy Regulatory Commission.   </w:t>
      </w:r>
    </w:p>
    <w:p w14:paraId="02D0E721" w14:textId="7238604D" w:rsidR="003434D5" w:rsidRPr="00746F54" w:rsidRDefault="003434D5" w:rsidP="003434D5">
      <w:pPr>
        <w:pStyle w:val="BPM"/>
        <w:jc w:val="both"/>
        <w:rPr>
          <w:rFonts w:ascii="Arial" w:hAnsi="Arial"/>
        </w:rPr>
      </w:pPr>
      <w:r w:rsidRPr="00746F54">
        <w:rPr>
          <w:rFonts w:ascii="Arial" w:hAnsi="Arial"/>
        </w:rPr>
        <w:t xml:space="preserve">For a period not to exceed 180 days after an EDAM entity implementation date, the time allowed for the CAISO’s correction of EDAM prices will be extended to 10 business days. </w:t>
      </w:r>
    </w:p>
    <w:p w14:paraId="233F982F" w14:textId="03A1FC3D" w:rsidR="003434D5" w:rsidRPr="00746F54" w:rsidRDefault="003434D5" w:rsidP="003434D5">
      <w:pPr>
        <w:pStyle w:val="BPM"/>
        <w:jc w:val="both"/>
        <w:rPr>
          <w:rFonts w:ascii="Arial" w:hAnsi="Arial"/>
        </w:rPr>
      </w:pPr>
      <w:r w:rsidRPr="00746F54">
        <w:rPr>
          <w:rFonts w:ascii="Arial" w:hAnsi="Arial"/>
        </w:rPr>
        <w:t>In the event that the CAISO experiences a processing or publication issue which renders the prices posted on OASIS or CMRI inconsistent with any price that was subject to a price correction, the ISO shall endeavor to correct such publication as soon as practicable.  Twenty business days after the applicable trading day, the CAISO will not correct such processing or publication errors except as otherwise directed by the Federal Energy Regulatory Commission.  After 20 business days, if there is still a discrepancy between the published prices on OASIS or CMRI and the prices used for settlements, in the event of a valid settlement dispute the CAISO will adjust the settlement prices to reflect the prices posted on OASIS for the applicable intervals.</w:t>
      </w:r>
    </w:p>
    <w:p w14:paraId="59BE0995" w14:textId="77777777" w:rsidR="003434D5" w:rsidRPr="00746F54" w:rsidRDefault="003434D5" w:rsidP="00BE1E79">
      <w:pPr>
        <w:pStyle w:val="Heading3"/>
        <w:rPr>
          <w:rFonts w:ascii="Arial" w:hAnsi="Arial" w:cs="Arial"/>
        </w:rPr>
      </w:pPr>
      <w:bookmarkStart w:id="393" w:name="_Toc211338000"/>
      <w:r w:rsidRPr="00746F54">
        <w:rPr>
          <w:rFonts w:ascii="Arial" w:hAnsi="Arial" w:cs="Arial"/>
        </w:rPr>
        <w:t>Price Correction Reporting</w:t>
      </w:r>
      <w:bookmarkEnd w:id="393"/>
      <w:r w:rsidRPr="00746F54">
        <w:rPr>
          <w:rFonts w:ascii="Arial" w:hAnsi="Arial" w:cs="Arial"/>
        </w:rPr>
        <w:t xml:space="preserve"> </w:t>
      </w:r>
    </w:p>
    <w:p w14:paraId="6A82870C" w14:textId="77777777" w:rsidR="003434D5" w:rsidRPr="00746F54" w:rsidRDefault="003434D5" w:rsidP="003434D5">
      <w:pPr>
        <w:pStyle w:val="ParaText"/>
        <w:rPr>
          <w:rFonts w:ascii="Arial" w:hAnsi="Arial" w:cs="Arial"/>
        </w:rPr>
      </w:pPr>
      <w:r w:rsidRPr="00746F54">
        <w:rPr>
          <w:rFonts w:ascii="Arial" w:hAnsi="Arial" w:cs="Arial"/>
        </w:rPr>
        <w:t>The CAISO will summarize all price corrections in a report and publish the report on OASIS.  For each instance of market price correction, the weekly report shall contain:</w:t>
      </w:r>
    </w:p>
    <w:p w14:paraId="2C83C31C" w14:textId="77777777" w:rsidR="003434D5" w:rsidRPr="00746F54" w:rsidRDefault="003434D5" w:rsidP="003434D5">
      <w:pPr>
        <w:pStyle w:val="ParaText"/>
        <w:numPr>
          <w:ilvl w:val="0"/>
          <w:numId w:val="81"/>
        </w:numPr>
        <w:rPr>
          <w:rFonts w:ascii="Arial" w:hAnsi="Arial" w:cs="Arial"/>
        </w:rPr>
      </w:pPr>
      <w:r w:rsidRPr="00746F54">
        <w:rPr>
          <w:rFonts w:ascii="Arial" w:hAnsi="Arial" w:cs="Arial"/>
        </w:rPr>
        <w:t>Brief description of the root cause of market invalidation</w:t>
      </w:r>
    </w:p>
    <w:p w14:paraId="55E0C44A" w14:textId="77777777" w:rsidR="003434D5" w:rsidRPr="00746F54" w:rsidRDefault="003434D5" w:rsidP="003434D5">
      <w:pPr>
        <w:pStyle w:val="ParaText"/>
        <w:numPr>
          <w:ilvl w:val="0"/>
          <w:numId w:val="81"/>
        </w:numPr>
        <w:rPr>
          <w:rFonts w:ascii="Arial" w:hAnsi="Arial" w:cs="Arial"/>
        </w:rPr>
      </w:pPr>
      <w:r w:rsidRPr="00746F54">
        <w:rPr>
          <w:rFonts w:ascii="Arial" w:hAnsi="Arial" w:cs="Arial"/>
        </w:rPr>
        <w:t xml:space="preserve">Affected market intervals </w:t>
      </w:r>
    </w:p>
    <w:p w14:paraId="2AD730C9" w14:textId="77777777" w:rsidR="003434D5" w:rsidRPr="00746F54" w:rsidRDefault="003434D5" w:rsidP="003434D5">
      <w:pPr>
        <w:pStyle w:val="ParaText"/>
        <w:numPr>
          <w:ilvl w:val="0"/>
          <w:numId w:val="81"/>
        </w:numPr>
        <w:rPr>
          <w:rFonts w:ascii="Arial" w:hAnsi="Arial" w:cs="Arial"/>
        </w:rPr>
      </w:pPr>
      <w:r w:rsidRPr="00746F54">
        <w:rPr>
          <w:rFonts w:ascii="Arial" w:hAnsi="Arial" w:cs="Arial"/>
        </w:rPr>
        <w:t xml:space="preserve">Affected price locations </w:t>
      </w:r>
    </w:p>
    <w:p w14:paraId="1C776A0F" w14:textId="77777777" w:rsidR="003434D5" w:rsidRPr="00746F54" w:rsidRDefault="003434D5" w:rsidP="003434D5">
      <w:pPr>
        <w:pStyle w:val="ParaText"/>
        <w:numPr>
          <w:ilvl w:val="0"/>
          <w:numId w:val="81"/>
        </w:numPr>
        <w:rPr>
          <w:rFonts w:ascii="Arial" w:hAnsi="Arial" w:cs="Arial"/>
        </w:rPr>
      </w:pPr>
      <w:r w:rsidRPr="00746F54">
        <w:rPr>
          <w:rFonts w:ascii="Arial" w:hAnsi="Arial" w:cs="Arial"/>
        </w:rPr>
        <w:t>Method of Price Corrective action(s) taken</w:t>
      </w:r>
    </w:p>
    <w:p w14:paraId="2C2C8F87" w14:textId="77777777" w:rsidR="003434D5" w:rsidRPr="00746F54" w:rsidRDefault="003434D5" w:rsidP="00BE1E79">
      <w:pPr>
        <w:pStyle w:val="Heading2"/>
        <w:rPr>
          <w:rFonts w:ascii="Arial" w:hAnsi="Arial" w:cs="Arial"/>
        </w:rPr>
      </w:pPr>
      <w:bookmarkStart w:id="394" w:name="_Toc212733108"/>
      <w:r w:rsidRPr="00746F54">
        <w:rPr>
          <w:rFonts w:ascii="Arial" w:hAnsi="Arial" w:cs="Arial"/>
        </w:rPr>
        <w:lastRenderedPageBreak/>
        <w:t>Administrative Pricing for EDAM Disruption</w:t>
      </w:r>
      <w:bookmarkEnd w:id="394"/>
    </w:p>
    <w:p w14:paraId="448AEBDC" w14:textId="77777777" w:rsidR="003434D5" w:rsidRPr="00746F54" w:rsidRDefault="003434D5" w:rsidP="003434D5">
      <w:pPr>
        <w:jc w:val="both"/>
        <w:rPr>
          <w:rFonts w:ascii="Arial" w:hAnsi="Arial" w:cs="Arial"/>
        </w:rPr>
      </w:pPr>
      <w:r w:rsidRPr="00746F54">
        <w:rPr>
          <w:rFonts w:ascii="Arial" w:hAnsi="Arial" w:cs="Arial"/>
        </w:rPr>
        <w:t>If the CAISO declares a disruption of EDAM Entity participation in the Day-Ahead Market, the market results for that EDAM Entity will reflect:</w:t>
      </w:r>
    </w:p>
    <w:p w14:paraId="20872B25" w14:textId="77777777" w:rsidR="003434D5" w:rsidRPr="00746F54" w:rsidRDefault="003434D5" w:rsidP="003434D5">
      <w:pPr>
        <w:pStyle w:val="ListParagraph"/>
        <w:numPr>
          <w:ilvl w:val="0"/>
          <w:numId w:val="124"/>
        </w:numPr>
        <w:spacing w:line="278" w:lineRule="auto"/>
        <w:contextualSpacing/>
        <w:jc w:val="both"/>
        <w:rPr>
          <w:rFonts w:ascii="Arial" w:hAnsi="Arial" w:cs="Arial"/>
        </w:rPr>
      </w:pPr>
      <w:r w:rsidRPr="00746F54">
        <w:rPr>
          <w:rFonts w:ascii="Arial" w:hAnsi="Arial" w:cs="Arial"/>
        </w:rPr>
        <w:t>Administrative prices to the Energy schedules for resources scheduled and awarded in the EDAM market run for the impacted EDAM Entity.  Energy schedules will be determined by the EDAM run results and based on the bids and schedules submitted by the EDAM Entity.</w:t>
      </w:r>
    </w:p>
    <w:p w14:paraId="7C8EE435" w14:textId="77777777" w:rsidR="003434D5" w:rsidRPr="00746F54" w:rsidRDefault="003434D5" w:rsidP="003434D5">
      <w:pPr>
        <w:pStyle w:val="ListParagraph"/>
        <w:numPr>
          <w:ilvl w:val="0"/>
          <w:numId w:val="124"/>
        </w:numPr>
        <w:spacing w:line="278" w:lineRule="auto"/>
        <w:contextualSpacing/>
        <w:jc w:val="both"/>
        <w:rPr>
          <w:rFonts w:ascii="Arial" w:hAnsi="Arial" w:cs="Arial"/>
        </w:rPr>
      </w:pPr>
      <w:r w:rsidRPr="00746F54">
        <w:rPr>
          <w:rFonts w:ascii="Arial" w:hAnsi="Arial" w:cs="Arial"/>
        </w:rPr>
        <w:t>$0 prices for Imbalance Reserves and Reliability Capacity.</w:t>
      </w:r>
    </w:p>
    <w:p w14:paraId="10D5C72F" w14:textId="77777777" w:rsidR="003434D5" w:rsidRPr="00746F54" w:rsidRDefault="003434D5" w:rsidP="003434D5">
      <w:pPr>
        <w:pStyle w:val="ListParagraph"/>
        <w:spacing w:line="278" w:lineRule="auto"/>
        <w:contextualSpacing/>
        <w:jc w:val="both"/>
        <w:rPr>
          <w:rFonts w:ascii="Arial" w:hAnsi="Arial" w:cs="Arial"/>
        </w:rPr>
      </w:pPr>
    </w:p>
    <w:p w14:paraId="74470859" w14:textId="77777777" w:rsidR="003434D5" w:rsidRPr="00746F54" w:rsidRDefault="003434D5" w:rsidP="003434D5">
      <w:pPr>
        <w:jc w:val="both"/>
        <w:rPr>
          <w:rFonts w:ascii="Arial" w:hAnsi="Arial" w:cs="Arial"/>
        </w:rPr>
      </w:pPr>
      <w:r w:rsidRPr="00746F54">
        <w:rPr>
          <w:rFonts w:ascii="Arial" w:hAnsi="Arial" w:cs="Arial"/>
        </w:rPr>
        <w:t>The EDAM Entity will be responsible for submitting their Open Access Transmission Tariff prices for administrative prices through the CIDI system.  If Open Access Transmission Tariff prices are not available for the EDAM Entity, the prices from the previous Day-Ahead Market trade date will be used for administrative prices for hourly Energy schedules.</w:t>
      </w:r>
    </w:p>
    <w:p w14:paraId="638F52E0" w14:textId="673ACAEB" w:rsidR="003434D5" w:rsidRPr="00746F54" w:rsidRDefault="003434D5" w:rsidP="003434D5">
      <w:pPr>
        <w:jc w:val="both"/>
        <w:rPr>
          <w:rFonts w:ascii="Arial" w:hAnsi="Arial" w:cs="Arial"/>
        </w:rPr>
      </w:pPr>
      <w:r w:rsidRPr="00746F54">
        <w:rPr>
          <w:rFonts w:ascii="Arial" w:hAnsi="Arial" w:cs="Arial"/>
        </w:rPr>
        <w:t>If an EDAM Entity experiences a disruption in the Real-Time Market, the administrative pricing rules in the BPM for Market Operations will apply.</w:t>
      </w:r>
    </w:p>
    <w:p w14:paraId="39143C38" w14:textId="04DDE08E" w:rsidR="00F01E0C" w:rsidRPr="00746F54" w:rsidRDefault="00F01E0C" w:rsidP="00BE1E79">
      <w:pPr>
        <w:pStyle w:val="Heading1"/>
        <w:rPr>
          <w:rFonts w:ascii="Arial" w:hAnsi="Arial" w:cs="Arial"/>
        </w:rPr>
      </w:pPr>
      <w:bookmarkStart w:id="395" w:name="_Toc211338002"/>
      <w:bookmarkStart w:id="396" w:name="_Toc212733109"/>
      <w:r w:rsidRPr="00746F54">
        <w:rPr>
          <w:rFonts w:ascii="Arial" w:hAnsi="Arial" w:cs="Arial"/>
        </w:rPr>
        <w:t>Congestion Revenue Rights</w:t>
      </w:r>
      <w:bookmarkEnd w:id="395"/>
      <w:bookmarkEnd w:id="396"/>
      <w:r w:rsidRPr="00746F54">
        <w:rPr>
          <w:rFonts w:ascii="Arial" w:hAnsi="Arial" w:cs="Arial"/>
        </w:rPr>
        <w:t xml:space="preserve"> </w:t>
      </w:r>
    </w:p>
    <w:p w14:paraId="5856F6DA" w14:textId="77777777" w:rsidR="00F01E0C" w:rsidRPr="00746F54" w:rsidRDefault="00F01E0C" w:rsidP="00F01E0C">
      <w:pPr>
        <w:pStyle w:val="ParaText"/>
        <w:rPr>
          <w:rFonts w:ascii="Arial" w:hAnsi="Arial" w:cs="Arial"/>
        </w:rPr>
      </w:pPr>
      <w:r w:rsidRPr="00746F54">
        <w:rPr>
          <w:rFonts w:ascii="Arial" w:hAnsi="Arial" w:cs="Arial"/>
          <w:u w:val="single"/>
        </w:rPr>
        <w:t>Reference Section 33.36</w:t>
      </w:r>
    </w:p>
    <w:p w14:paraId="0F4985B4" w14:textId="6740271C" w:rsidR="00F01E0C" w:rsidRPr="00746F54" w:rsidRDefault="00F01E0C" w:rsidP="00F01E0C">
      <w:pPr>
        <w:pStyle w:val="ParaText"/>
        <w:rPr>
          <w:rFonts w:ascii="Arial" w:hAnsi="Arial" w:cs="Arial"/>
        </w:rPr>
      </w:pPr>
      <w:r w:rsidRPr="00746F54">
        <w:rPr>
          <w:rFonts w:ascii="Arial" w:hAnsi="Arial" w:cs="Arial"/>
        </w:rPr>
        <w:t xml:space="preserve">Congestion Revenue Rights (CRR) are not offered as part of the EDAM across participating balancing authority areas, and the provisions of Section 36 will not apply to EDAM Market Participants.  CRRs continue to be offered within the CAISO balancing authority area as described in section 36 of the ISO tariff.  </w:t>
      </w:r>
    </w:p>
    <w:p w14:paraId="4D65DB8A" w14:textId="27C5FCBC" w:rsidR="00F01E0C" w:rsidRPr="00746F54" w:rsidRDefault="00F01E0C" w:rsidP="00F01E0C">
      <w:pPr>
        <w:pStyle w:val="ParaText"/>
        <w:rPr>
          <w:rFonts w:ascii="Arial" w:hAnsi="Arial" w:cs="Arial"/>
        </w:rPr>
      </w:pPr>
      <w:r w:rsidRPr="00746F54">
        <w:rPr>
          <w:rFonts w:ascii="Arial" w:hAnsi="Arial" w:cs="Arial"/>
        </w:rPr>
        <w:t xml:space="preserve">The EDAM </w:t>
      </w:r>
      <w:r w:rsidR="00D00016" w:rsidRPr="00746F54">
        <w:rPr>
          <w:rFonts w:ascii="Arial" w:hAnsi="Arial" w:cs="Arial"/>
        </w:rPr>
        <w:t xml:space="preserve">establishes how congestion and transfer revenues, resulting from congestion across the market footprint are allocated.  For additional information on the allocation of these revenues, please refer to the </w:t>
      </w:r>
      <w:r w:rsidR="00D00016" w:rsidRPr="00746F54">
        <w:rPr>
          <w:rFonts w:ascii="Arial" w:hAnsi="Arial" w:cs="Arial"/>
          <w:i/>
          <w:iCs/>
        </w:rPr>
        <w:t>Settlements and Billing</w:t>
      </w:r>
      <w:r w:rsidR="00D00016" w:rsidRPr="00746F54">
        <w:rPr>
          <w:rFonts w:ascii="Arial" w:hAnsi="Arial" w:cs="Arial"/>
        </w:rPr>
        <w:t xml:space="preserve"> Business Practice Manual.</w:t>
      </w:r>
    </w:p>
    <w:p w14:paraId="7253AC66" w14:textId="77777777" w:rsidR="00513E31" w:rsidRPr="00746F54" w:rsidRDefault="00513E31" w:rsidP="00BE1E79">
      <w:pPr>
        <w:pStyle w:val="Heading1"/>
        <w:rPr>
          <w:rFonts w:ascii="Arial" w:hAnsi="Arial" w:cs="Arial"/>
        </w:rPr>
      </w:pPr>
      <w:bookmarkStart w:id="397" w:name="_Toc212733110"/>
      <w:r w:rsidRPr="00746F54">
        <w:rPr>
          <w:rFonts w:ascii="Arial" w:hAnsi="Arial" w:cs="Arial"/>
        </w:rPr>
        <w:t>Rules of Conduct</w:t>
      </w:r>
      <w:bookmarkEnd w:id="397"/>
    </w:p>
    <w:p w14:paraId="0F09BA3F" w14:textId="208FD149" w:rsidR="00513E31" w:rsidRPr="00746F54" w:rsidRDefault="00513E31" w:rsidP="00513E31">
      <w:pPr>
        <w:pStyle w:val="ParaText"/>
        <w:rPr>
          <w:rFonts w:ascii="Arial" w:hAnsi="Arial" w:cs="Arial"/>
          <w:u w:val="single"/>
        </w:rPr>
      </w:pPr>
      <w:r w:rsidRPr="00746F54">
        <w:rPr>
          <w:rFonts w:ascii="Arial" w:hAnsi="Arial" w:cs="Arial"/>
          <w:u w:val="single"/>
        </w:rPr>
        <w:t>Reference tariff sections 33.37 and 37</w:t>
      </w:r>
    </w:p>
    <w:p w14:paraId="033AB9AA" w14:textId="7C79C4B5" w:rsidR="00513E31" w:rsidRPr="00746F54" w:rsidRDefault="00513E31" w:rsidP="00513E31">
      <w:pPr>
        <w:pStyle w:val="ParaText"/>
        <w:rPr>
          <w:rFonts w:ascii="Arial" w:hAnsi="Arial" w:cs="Arial"/>
        </w:rPr>
      </w:pPr>
      <w:r w:rsidRPr="00746F54">
        <w:rPr>
          <w:rFonts w:ascii="Arial" w:hAnsi="Arial" w:cs="Arial"/>
        </w:rPr>
        <w:t xml:space="preserve">Rules of </w:t>
      </w:r>
      <w:r w:rsidR="00BB2601" w:rsidRPr="00746F54">
        <w:rPr>
          <w:rFonts w:ascii="Arial" w:hAnsi="Arial" w:cs="Arial"/>
        </w:rPr>
        <w:t>C</w:t>
      </w:r>
      <w:r w:rsidRPr="00746F54">
        <w:rPr>
          <w:rFonts w:ascii="Arial" w:hAnsi="Arial" w:cs="Arial"/>
        </w:rPr>
        <w:t>onduct</w:t>
      </w:r>
      <w:r w:rsidR="00BB2601" w:rsidRPr="00746F54">
        <w:rPr>
          <w:rFonts w:ascii="Arial" w:hAnsi="Arial" w:cs="Arial"/>
        </w:rPr>
        <w:t>, governed by section 37 of the ISO tariff,</w:t>
      </w:r>
      <w:r w:rsidRPr="00746F54">
        <w:rPr>
          <w:rFonts w:ascii="Arial" w:hAnsi="Arial" w:cs="Arial"/>
        </w:rPr>
        <w:t xml:space="preserve"> </w:t>
      </w:r>
      <w:r w:rsidR="00BB2601" w:rsidRPr="00746F54">
        <w:rPr>
          <w:rFonts w:ascii="Arial" w:hAnsi="Arial" w:cs="Arial"/>
        </w:rPr>
        <w:t xml:space="preserve">are intended to provide fair notice to Market Participants of the conduct expected of them, to provide an environment in which all parties may participate on a fair and equal basis, to redress instances of market manipulation and other instances of anticompetitive behavior, and thereby to foster confidence of Market Participants, ratepayers and the general public in the proper functioning of the CAISO markets. </w:t>
      </w:r>
      <w:r w:rsidRPr="00746F54">
        <w:rPr>
          <w:rFonts w:ascii="Arial" w:hAnsi="Arial" w:cs="Arial"/>
        </w:rPr>
        <w:lastRenderedPageBreak/>
        <w:t>All EDAM Market Participants will be subject to the provisions of Section 37 except for Section 37.2 and Section 37.4 to the extent it applies to Maintenance Outages.</w:t>
      </w:r>
    </w:p>
    <w:p w14:paraId="21E3C3F6" w14:textId="2B36E879" w:rsidR="00BB2601" w:rsidRPr="00746F54" w:rsidRDefault="00BB2601" w:rsidP="00513E31">
      <w:pPr>
        <w:pStyle w:val="ParaText"/>
        <w:rPr>
          <w:rFonts w:ascii="Arial" w:hAnsi="Arial" w:cs="Arial"/>
        </w:rPr>
      </w:pPr>
      <w:r w:rsidRPr="00746F54">
        <w:rPr>
          <w:rFonts w:ascii="Arial" w:hAnsi="Arial" w:cs="Arial"/>
        </w:rPr>
        <w:t xml:space="preserve">For additional information on the Rules of Conduct, please refer to the </w:t>
      </w:r>
      <w:r w:rsidRPr="00746F54">
        <w:rPr>
          <w:rFonts w:ascii="Arial" w:hAnsi="Arial" w:cs="Arial"/>
          <w:i/>
          <w:iCs/>
        </w:rPr>
        <w:t xml:space="preserve">Rules of Conduct </w:t>
      </w:r>
      <w:r w:rsidR="00391F62" w:rsidRPr="00746F54">
        <w:rPr>
          <w:rFonts w:ascii="Arial" w:hAnsi="Arial" w:cs="Arial"/>
        </w:rPr>
        <w:t>Business Practice Manual.</w:t>
      </w:r>
    </w:p>
    <w:p w14:paraId="777A103E" w14:textId="752DFBFB" w:rsidR="00A311E4" w:rsidRPr="00746F54" w:rsidRDefault="00A311E4" w:rsidP="00BE1E79">
      <w:pPr>
        <w:pStyle w:val="Heading1"/>
        <w:rPr>
          <w:rFonts w:ascii="Arial" w:hAnsi="Arial" w:cs="Arial"/>
        </w:rPr>
      </w:pPr>
      <w:bookmarkStart w:id="398" w:name="_Toc211338004"/>
      <w:bookmarkStart w:id="399" w:name="_Toc212733111"/>
      <w:r w:rsidRPr="00746F54">
        <w:rPr>
          <w:rFonts w:ascii="Arial" w:hAnsi="Arial" w:cs="Arial"/>
        </w:rPr>
        <w:t>Market Monitoring in EDAM</w:t>
      </w:r>
      <w:bookmarkEnd w:id="398"/>
      <w:bookmarkEnd w:id="399"/>
    </w:p>
    <w:p w14:paraId="0D31EC6C" w14:textId="267F596F" w:rsidR="00A311E4" w:rsidRPr="00746F54" w:rsidRDefault="00A311E4" w:rsidP="00A311E4">
      <w:pPr>
        <w:pStyle w:val="ParaText"/>
        <w:rPr>
          <w:rFonts w:ascii="Arial" w:hAnsi="Arial" w:cs="Arial"/>
          <w:u w:val="single"/>
        </w:rPr>
      </w:pPr>
      <w:r w:rsidRPr="00746F54">
        <w:rPr>
          <w:rFonts w:ascii="Arial" w:hAnsi="Arial" w:cs="Arial"/>
          <w:u w:val="single"/>
        </w:rPr>
        <w:t>Reference tariff section 33.38</w:t>
      </w:r>
      <w:r w:rsidR="008F1F50" w:rsidRPr="00746F54">
        <w:rPr>
          <w:rFonts w:ascii="Arial" w:hAnsi="Arial" w:cs="Arial"/>
          <w:u w:val="single"/>
        </w:rPr>
        <w:t xml:space="preserve"> and Appendix P</w:t>
      </w:r>
    </w:p>
    <w:p w14:paraId="3D15C030" w14:textId="70647B53" w:rsidR="00A311E4" w:rsidRPr="00746F54" w:rsidRDefault="008F1F50" w:rsidP="00A311E4">
      <w:pPr>
        <w:pStyle w:val="ParaText"/>
        <w:rPr>
          <w:rFonts w:ascii="Arial" w:hAnsi="Arial" w:cs="Arial"/>
        </w:rPr>
      </w:pPr>
      <w:r w:rsidRPr="00746F54">
        <w:rPr>
          <w:rFonts w:ascii="Arial" w:hAnsi="Arial" w:cs="Arial"/>
        </w:rPr>
        <w:t>The CAISO Department of Market Monitoring (DMM) is the market monitor for EDAM and holds the same duties toward EDAM as it holds under Appendix P, section 5, toward the other CAISO markets.  Any referral to FERC of a potential market violation or market design flaw will be made under Appendix P procedures.  For additional information on market monitoring</w:t>
      </w:r>
      <w:r w:rsidR="002D57A4" w:rsidRPr="00746F54">
        <w:rPr>
          <w:rFonts w:ascii="Arial" w:hAnsi="Arial" w:cs="Arial"/>
        </w:rPr>
        <w:t xml:space="preserve"> please</w:t>
      </w:r>
      <w:r w:rsidRPr="00746F54">
        <w:rPr>
          <w:rFonts w:ascii="Arial" w:hAnsi="Arial" w:cs="Arial"/>
        </w:rPr>
        <w:t xml:space="preserve"> refer to Appendix P of the ISO tariff.  </w:t>
      </w:r>
    </w:p>
    <w:p w14:paraId="33CDFDDD" w14:textId="77777777" w:rsidR="00EB33B7" w:rsidRPr="00746F54" w:rsidRDefault="00EB33B7" w:rsidP="00BE1E79">
      <w:pPr>
        <w:pStyle w:val="Heading1"/>
        <w:rPr>
          <w:rFonts w:ascii="Arial" w:hAnsi="Arial" w:cs="Arial"/>
        </w:rPr>
      </w:pPr>
      <w:bookmarkStart w:id="400" w:name="_Toc211338005"/>
      <w:bookmarkStart w:id="401" w:name="_Toc212733112"/>
      <w:r w:rsidRPr="00746F54">
        <w:rPr>
          <w:rFonts w:ascii="Arial" w:hAnsi="Arial" w:cs="Arial"/>
        </w:rPr>
        <w:t>Flexible Ramping Product</w:t>
      </w:r>
      <w:bookmarkEnd w:id="400"/>
      <w:bookmarkEnd w:id="401"/>
      <w:r w:rsidRPr="00746F54">
        <w:rPr>
          <w:rFonts w:ascii="Arial" w:hAnsi="Arial" w:cs="Arial"/>
        </w:rPr>
        <w:t xml:space="preserve"> </w:t>
      </w:r>
    </w:p>
    <w:p w14:paraId="0090D870" w14:textId="77777777" w:rsidR="00EB33B7" w:rsidRPr="00746F54" w:rsidRDefault="00EB33B7" w:rsidP="00EB33B7">
      <w:pPr>
        <w:pStyle w:val="ParaText"/>
        <w:rPr>
          <w:rFonts w:ascii="Arial" w:hAnsi="Arial" w:cs="Arial"/>
        </w:rPr>
      </w:pPr>
      <w:r w:rsidRPr="00746F54">
        <w:rPr>
          <w:rFonts w:ascii="Arial" w:hAnsi="Arial" w:cs="Arial"/>
        </w:rPr>
        <w:t xml:space="preserve">The Flexible Ramping Product (FRP) is a market-based product in the real-time market to address the operational challenges of maintaining power balance in the real-time dispatch.  For EDAM balancing areas, as is the case in the WEIM today, the market </w:t>
      </w:r>
      <w:r w:rsidRPr="00746F54" w:rsidDel="004F3EE2">
        <w:rPr>
          <w:rFonts w:ascii="Arial" w:hAnsi="Arial" w:cs="Arial"/>
        </w:rPr>
        <w:t xml:space="preserve">operator </w:t>
      </w:r>
      <w:r w:rsidRPr="00746F54">
        <w:rPr>
          <w:rFonts w:ascii="Arial" w:hAnsi="Arial" w:cs="Arial"/>
        </w:rPr>
        <w:t xml:space="preserve">may enforce flexible ramping constraints and procure the flexible ramping product to meet forecasted movement and uncertainty requirements in an EDAM balancing area in accordance with section 33.44 and section 44 of the ISO Tariff.  </w:t>
      </w:r>
    </w:p>
    <w:p w14:paraId="49A7E163" w14:textId="6D591B02" w:rsidR="00382E42" w:rsidRPr="00746F54" w:rsidRDefault="00EB33B7" w:rsidP="00382E42">
      <w:pPr>
        <w:pStyle w:val="Bullet1"/>
        <w:numPr>
          <w:ilvl w:val="0"/>
          <w:numId w:val="0"/>
        </w:numPr>
        <w:rPr>
          <w:rFonts w:ascii="Arial" w:hAnsi="Arial" w:cs="Arial"/>
        </w:rPr>
      </w:pPr>
      <w:r w:rsidRPr="00746F54">
        <w:rPr>
          <w:rFonts w:ascii="Arial" w:hAnsi="Arial" w:cs="Arial"/>
        </w:rPr>
        <w:t xml:space="preserve">FRP procurement processes and procedures are further described in the </w:t>
      </w:r>
      <w:r w:rsidRPr="00746F54">
        <w:rPr>
          <w:rFonts w:ascii="Arial" w:hAnsi="Arial" w:cs="Arial"/>
          <w:i/>
          <w:iCs/>
        </w:rPr>
        <w:t>Market Operations</w:t>
      </w:r>
      <w:r w:rsidRPr="00746F54">
        <w:rPr>
          <w:rFonts w:ascii="Arial" w:hAnsi="Arial" w:cs="Arial"/>
        </w:rPr>
        <w:t xml:space="preserve"> Business Practice Manual.  </w:t>
      </w:r>
    </w:p>
    <w:p w14:paraId="6F0DC6DE" w14:textId="77777777" w:rsidR="00382E42" w:rsidRPr="00746F54" w:rsidRDefault="00382E42" w:rsidP="00636D40">
      <w:pPr>
        <w:spacing w:after="0" w:line="240" w:lineRule="auto"/>
        <w:ind w:left="720"/>
        <w:rPr>
          <w:rFonts w:ascii="Arial" w:eastAsia="Times New Roman" w:hAnsi="Arial" w:cs="Arial"/>
        </w:rPr>
      </w:pPr>
      <w:bookmarkStart w:id="402" w:name="_Toc209781054"/>
      <w:bookmarkEnd w:id="402"/>
    </w:p>
    <w:p w14:paraId="477B1A53" w14:textId="2344A877" w:rsidR="00EC79C0" w:rsidRPr="00746F54" w:rsidRDefault="00EC79C0">
      <w:pPr>
        <w:rPr>
          <w:rFonts w:ascii="Arial" w:hAnsi="Arial" w:cs="Arial"/>
        </w:rPr>
      </w:pPr>
      <w:r w:rsidRPr="00746F54">
        <w:rPr>
          <w:rFonts w:ascii="Arial" w:hAnsi="Arial" w:cs="Arial"/>
        </w:rPr>
        <w:br w:type="page"/>
      </w:r>
    </w:p>
    <w:p w14:paraId="0E48F577" w14:textId="0C63311A" w:rsidR="00382E42" w:rsidRPr="00746F54" w:rsidRDefault="00EC79C0" w:rsidP="00B9516F">
      <w:pPr>
        <w:pStyle w:val="ParaText"/>
        <w:rPr>
          <w:rFonts w:ascii="Arial" w:hAnsi="Arial" w:cs="Arial"/>
          <w:b/>
          <w:bCs/>
          <w:sz w:val="40"/>
          <w:szCs w:val="40"/>
        </w:rPr>
      </w:pPr>
      <w:r w:rsidRPr="00746F54">
        <w:rPr>
          <w:rFonts w:ascii="Arial" w:hAnsi="Arial" w:cs="Arial"/>
          <w:b/>
          <w:bCs/>
          <w:sz w:val="40"/>
          <w:szCs w:val="40"/>
        </w:rPr>
        <w:lastRenderedPageBreak/>
        <w:t>APPENDIX – Operation of the Day-Ahead Market in the EDAM Area</w:t>
      </w:r>
    </w:p>
    <w:p w14:paraId="1FFD8C1B" w14:textId="0BA3B219" w:rsidR="00382E42" w:rsidRPr="00746F54" w:rsidRDefault="00382E42" w:rsidP="00474F40">
      <w:pPr>
        <w:pStyle w:val="Heading2"/>
        <w:numPr>
          <w:ilvl w:val="2"/>
          <w:numId w:val="63"/>
        </w:numPr>
        <w:rPr>
          <w:rFonts w:ascii="Arial" w:hAnsi="Arial" w:cs="Arial"/>
        </w:rPr>
      </w:pPr>
      <w:bookmarkStart w:id="403" w:name="_Toc211338006"/>
      <w:bookmarkStart w:id="404" w:name="_Toc212733113"/>
      <w:r w:rsidRPr="00746F54">
        <w:rPr>
          <w:rFonts w:ascii="Arial" w:hAnsi="Arial" w:cs="Arial"/>
        </w:rPr>
        <w:t>D4/2/1 Process Summary</w:t>
      </w:r>
      <w:bookmarkEnd w:id="403"/>
      <w:bookmarkEnd w:id="404"/>
    </w:p>
    <w:p w14:paraId="5CF4B249" w14:textId="77777777" w:rsidR="00382E42" w:rsidRPr="00746F54" w:rsidRDefault="00382E42" w:rsidP="00382E42">
      <w:pPr>
        <w:rPr>
          <w:rFonts w:ascii="Arial" w:hAnsi="Arial" w:cs="Arial"/>
        </w:rPr>
      </w:pPr>
      <w:r w:rsidRPr="00746F54">
        <w:rPr>
          <w:rFonts w:ascii="Arial" w:hAnsi="Arial" w:cs="Arial"/>
        </w:rPr>
        <w:t>Terms:</w:t>
      </w:r>
    </w:p>
    <w:p w14:paraId="3268897D" w14:textId="77777777" w:rsidR="00382E42" w:rsidRPr="00746F54" w:rsidRDefault="00382E42" w:rsidP="00382E42">
      <w:pPr>
        <w:rPr>
          <w:rFonts w:ascii="Arial" w:hAnsi="Arial" w:cs="Arial"/>
        </w:rPr>
      </w:pPr>
      <w:r w:rsidRPr="00746F54">
        <w:rPr>
          <w:rFonts w:ascii="Arial" w:hAnsi="Arial" w:cs="Arial"/>
        </w:rPr>
        <w:t xml:space="preserve">D1- “Day One” - EDAM run for tomorrow’s trade date.  D1 market closes at 10am, execution performed from 1000-1300, D1 results posted at 1300 per the Tariff.  </w:t>
      </w:r>
    </w:p>
    <w:p w14:paraId="6F6F5A9F" w14:textId="71186F93" w:rsidR="00382E42" w:rsidRPr="00746F54" w:rsidRDefault="00382E42" w:rsidP="00382E42">
      <w:pPr>
        <w:rPr>
          <w:rFonts w:ascii="Arial" w:hAnsi="Arial" w:cs="Arial"/>
        </w:rPr>
      </w:pPr>
      <w:r w:rsidRPr="00746F54">
        <w:rPr>
          <w:rFonts w:ascii="Arial" w:hAnsi="Arial" w:cs="Arial"/>
        </w:rPr>
        <w:t>D2 “Day Two” – EDAM run for two trade dates in the future.  D2 execution begins immediately following completion of the D1 market execution with results target to be posted by 1</w:t>
      </w:r>
      <w:r w:rsidR="00965F60" w:rsidRPr="00746F54">
        <w:rPr>
          <w:rFonts w:ascii="Arial" w:hAnsi="Arial" w:cs="Arial"/>
        </w:rPr>
        <w:t>7</w:t>
      </w:r>
      <w:r w:rsidRPr="00746F54">
        <w:rPr>
          <w:rFonts w:ascii="Arial" w:hAnsi="Arial" w:cs="Arial"/>
        </w:rPr>
        <w:t>00.</w:t>
      </w:r>
    </w:p>
    <w:p w14:paraId="4B31F535" w14:textId="77777777" w:rsidR="0055667D" w:rsidRPr="00746F54" w:rsidRDefault="00382E42" w:rsidP="00382E42">
      <w:pPr>
        <w:rPr>
          <w:rFonts w:ascii="Arial" w:hAnsi="Arial" w:cs="Arial"/>
        </w:rPr>
      </w:pPr>
      <w:r w:rsidRPr="00746F54">
        <w:rPr>
          <w:rFonts w:ascii="Arial" w:hAnsi="Arial" w:cs="Arial"/>
        </w:rPr>
        <w:t xml:space="preserve">D4 “Day Four” – EDAM run for four trade dates in the future.  </w:t>
      </w:r>
    </w:p>
    <w:p w14:paraId="1DF47A47" w14:textId="373018BE" w:rsidR="00382E42" w:rsidRPr="00746F54" w:rsidRDefault="00382E42" w:rsidP="00382E42">
      <w:pPr>
        <w:rPr>
          <w:rFonts w:ascii="Arial" w:hAnsi="Arial" w:cs="Arial"/>
        </w:rPr>
      </w:pPr>
      <w:r w:rsidRPr="00746F54">
        <w:rPr>
          <w:rFonts w:ascii="Arial" w:hAnsi="Arial" w:cs="Arial"/>
        </w:rPr>
        <w:t>Note: since this run is executed after normal business hours on D4, the intent is to provide results for review during normal business hours on D3.  For the EDAM participant D4 is operationally a D3 run, as it is not expected to be reviewed outside of business hours.</w:t>
      </w:r>
    </w:p>
    <w:p w14:paraId="560105A2" w14:textId="6F414AA1" w:rsidR="00557E80" w:rsidRPr="00746F54" w:rsidRDefault="00557E80" w:rsidP="00382E42">
      <w:pPr>
        <w:rPr>
          <w:rFonts w:ascii="Arial" w:hAnsi="Arial" w:cs="Arial"/>
        </w:rPr>
      </w:pPr>
      <w:r w:rsidRPr="00746F54">
        <w:rPr>
          <w:rFonts w:ascii="Arial" w:hAnsi="Arial" w:cs="Arial"/>
          <w:noProof/>
        </w:rPr>
        <w:drawing>
          <wp:inline distT="0" distB="0" distL="0" distR="0" wp14:anchorId="36D8F7E7" wp14:editId="5E85076D">
            <wp:extent cx="5943600" cy="3044190"/>
            <wp:effectExtent l="0" t="0" r="0" b="3810"/>
            <wp:docPr id="959549081" name="Picture 1" descr="A diagram of a marke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15434465" name="Picture 1" descr="A diagram of a market&#10;&#10;AI-generated content may be incorrect."/>
                    <pic:cNvPicPr/>
                  </pic:nvPicPr>
                  <pic:blipFill>
                    <a:blip r:embed="rId33"/>
                    <a:stretch>
                      <a:fillRect/>
                    </a:stretch>
                  </pic:blipFill>
                  <pic:spPr>
                    <a:xfrm>
                      <a:off x="0" y="0"/>
                      <a:ext cx="5943600" cy="3044190"/>
                    </a:xfrm>
                    <a:prstGeom prst="rect">
                      <a:avLst/>
                    </a:prstGeom>
                  </pic:spPr>
                </pic:pic>
              </a:graphicData>
            </a:graphic>
          </wp:inline>
        </w:drawing>
      </w:r>
    </w:p>
    <w:p w14:paraId="7D9F9C6F" w14:textId="77777777" w:rsidR="00557E80" w:rsidRPr="00746F54" w:rsidRDefault="00557E80" w:rsidP="00382E42">
      <w:pPr>
        <w:rPr>
          <w:rFonts w:ascii="Arial" w:hAnsi="Arial" w:cs="Arial"/>
        </w:rPr>
      </w:pPr>
    </w:p>
    <w:p w14:paraId="4703BAA7" w14:textId="77777777" w:rsidR="00382E42" w:rsidRPr="00746F54" w:rsidRDefault="00382E42" w:rsidP="00382E42">
      <w:pPr>
        <w:rPr>
          <w:rFonts w:ascii="Arial" w:hAnsi="Arial" w:cs="Arial"/>
          <w:b/>
          <w:bCs/>
        </w:rPr>
      </w:pPr>
      <w:r w:rsidRPr="00746F54">
        <w:rPr>
          <w:rFonts w:ascii="Arial" w:hAnsi="Arial" w:cs="Arial"/>
          <w:b/>
          <w:bCs/>
        </w:rPr>
        <w:t>Iterative Process</w:t>
      </w:r>
    </w:p>
    <w:p w14:paraId="751C6FBB" w14:textId="18D95938" w:rsidR="00382E42" w:rsidRPr="00746F54" w:rsidRDefault="00382E42" w:rsidP="00382E42">
      <w:pPr>
        <w:rPr>
          <w:rFonts w:ascii="Arial" w:hAnsi="Arial" w:cs="Arial"/>
        </w:rPr>
      </w:pPr>
      <w:r w:rsidRPr="00746F54">
        <w:rPr>
          <w:rFonts w:ascii="Arial" w:hAnsi="Arial" w:cs="Arial"/>
        </w:rPr>
        <w:t xml:space="preserve">The EDAM follows an iterative execution approach, allowing EDAM entities to adjust inputs between D4, D2 and D1 runs to get a valid and correct outcome.  The primary responsibility for market inputs is placed on the EDAM entities, with the market operator acting in a supporting role to provide technical input on constraint enforcement as well as a coordination function </w:t>
      </w:r>
      <w:r w:rsidRPr="00746F54">
        <w:rPr>
          <w:rFonts w:ascii="Arial" w:hAnsi="Arial" w:cs="Arial"/>
        </w:rPr>
        <w:lastRenderedPageBreak/>
        <w:t>between EDAM entities.  Prior to the D4 market run the EDAM entity should review their upcoming outage cards and update the activated constraints to match expected conditions based on their procedures, studies, and knowledge of their system.  As the trade date becomes closer, inputs such as load and VER forecasts become more accurate, as well as transmission and resource availability.  The table below shows the general timeline of the D4-D1 EDAM runs.  Note that the D3 run is completed in order to provide the initial conditions of the D4 market run only, and no OPA is provided.</w:t>
      </w:r>
    </w:p>
    <w:p w14:paraId="5EF75BAF" w14:textId="77777777" w:rsidR="00382E42" w:rsidRPr="00746F54" w:rsidRDefault="00382E42" w:rsidP="00382E42">
      <w:pPr>
        <w:rPr>
          <w:rFonts w:ascii="Arial" w:hAnsi="Arial" w:cs="Arial"/>
        </w:rPr>
      </w:pPr>
      <w:r w:rsidRPr="00746F54">
        <w:rPr>
          <w:rFonts w:ascii="Arial" w:hAnsi="Arial" w:cs="Arial"/>
        </w:rPr>
        <w:t>Example Trade Date March 18</w:t>
      </w:r>
    </w:p>
    <w:p w14:paraId="52852110" w14:textId="77777777" w:rsidR="00382E42" w:rsidRPr="00746F54" w:rsidRDefault="00382E42" w:rsidP="00382E42">
      <w:pPr>
        <w:jc w:val="center"/>
        <w:rPr>
          <w:rFonts w:ascii="Arial" w:hAnsi="Arial" w:cs="Arial"/>
        </w:rPr>
      </w:pPr>
      <w:r w:rsidRPr="00746F54">
        <w:rPr>
          <w:rFonts w:ascii="Arial" w:hAnsi="Arial" w:cs="Arial"/>
          <w:noProof/>
        </w:rPr>
        <w:drawing>
          <wp:inline distT="0" distB="0" distL="0" distR="0" wp14:anchorId="367F11E3" wp14:editId="43DDF427">
            <wp:extent cx="5000625" cy="2867025"/>
            <wp:effectExtent l="0" t="0" r="9525" b="9525"/>
            <wp:docPr id="1647421330" name="Picture 1" descr="A calendar with text and number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7421330" name="Picture 1" descr="A calendar with text and numbers&#10;&#10;AI-generated content may be incorrect."/>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5000625" cy="2867025"/>
                    </a:xfrm>
                    <a:prstGeom prst="rect">
                      <a:avLst/>
                    </a:prstGeom>
                    <a:noFill/>
                    <a:ln>
                      <a:noFill/>
                    </a:ln>
                  </pic:spPr>
                </pic:pic>
              </a:graphicData>
            </a:graphic>
          </wp:inline>
        </w:drawing>
      </w:r>
    </w:p>
    <w:p w14:paraId="58525082" w14:textId="77777777" w:rsidR="00382E42" w:rsidRPr="00746F54" w:rsidRDefault="00382E42" w:rsidP="00B9516F">
      <w:pPr>
        <w:spacing w:line="360" w:lineRule="auto"/>
        <w:rPr>
          <w:rFonts w:ascii="Arial" w:hAnsi="Arial" w:cs="Arial"/>
        </w:rPr>
      </w:pPr>
      <w:r w:rsidRPr="00746F54">
        <w:rPr>
          <w:rFonts w:ascii="Arial" w:hAnsi="Arial" w:cs="Arial"/>
        </w:rPr>
        <w:t>All market run timelines are subject to change based on the D1 market run timing.  The start time of each market run is dependent on the completion of the previous trade date solution for initial conditions.</w:t>
      </w:r>
    </w:p>
    <w:p w14:paraId="68E76211" w14:textId="77777777" w:rsidR="00382E42" w:rsidRPr="00746F54" w:rsidRDefault="00382E42" w:rsidP="00B9516F">
      <w:pPr>
        <w:spacing w:line="360" w:lineRule="auto"/>
        <w:rPr>
          <w:rFonts w:ascii="Arial" w:hAnsi="Arial" w:cs="Arial"/>
        </w:rPr>
      </w:pPr>
      <w:r w:rsidRPr="00746F54">
        <w:rPr>
          <w:rFonts w:ascii="Arial" w:hAnsi="Arial" w:cs="Arial"/>
        </w:rPr>
        <w:t>EDAM entities should review the outputs of each market run to adjust their respective inputs and make each run of a given trade date more accurate.  The main outputs that may trigger additional review are disconnected resources, unexpected high prices, and infeasibilities.</w:t>
      </w:r>
    </w:p>
    <w:p w14:paraId="54C639B2" w14:textId="5D6CA772" w:rsidR="00AD0AEE" w:rsidRPr="00746F54" w:rsidRDefault="00AD0AEE" w:rsidP="00B9516F">
      <w:pPr>
        <w:pStyle w:val="Heading2"/>
        <w:numPr>
          <w:ilvl w:val="2"/>
          <w:numId w:val="63"/>
        </w:numPr>
        <w:rPr>
          <w:rFonts w:ascii="Arial" w:hAnsi="Arial" w:cs="Arial"/>
        </w:rPr>
      </w:pPr>
      <w:bookmarkStart w:id="405" w:name="_Toc211338007"/>
      <w:bookmarkStart w:id="406" w:name="_Toc212733114"/>
      <w:r w:rsidRPr="00746F54">
        <w:rPr>
          <w:rFonts w:ascii="Arial" w:hAnsi="Arial" w:cs="Arial"/>
        </w:rPr>
        <w:t>Centralized and Coordinated Constraint Management Process</w:t>
      </w:r>
      <w:bookmarkEnd w:id="405"/>
      <w:bookmarkEnd w:id="406"/>
    </w:p>
    <w:p w14:paraId="2F89B72B" w14:textId="038B3CE5" w:rsidR="00AD0AEE" w:rsidRPr="00746F54" w:rsidRDefault="00AD0AEE" w:rsidP="00B9516F">
      <w:pPr>
        <w:spacing w:line="360" w:lineRule="auto"/>
        <w:rPr>
          <w:rFonts w:ascii="Arial" w:hAnsi="Arial" w:cs="Arial"/>
          <w:b/>
          <w:bCs/>
        </w:rPr>
      </w:pPr>
      <w:r w:rsidRPr="00746F54">
        <w:rPr>
          <w:rFonts w:ascii="Arial" w:hAnsi="Arial" w:cs="Arial"/>
        </w:rPr>
        <w:t xml:space="preserve">The Centralized and Coordinated Constraint Management (CCCM) process </w:t>
      </w:r>
      <w:r w:rsidR="00A21524" w:rsidRPr="00746F54">
        <w:rPr>
          <w:rFonts w:ascii="Arial" w:hAnsi="Arial" w:cs="Arial"/>
        </w:rPr>
        <w:t>is executed by</w:t>
      </w:r>
      <w:r w:rsidRPr="00746F54">
        <w:rPr>
          <w:rFonts w:ascii="Arial" w:hAnsi="Arial" w:cs="Arial"/>
        </w:rPr>
        <w:t xml:space="preserve"> the </w:t>
      </w:r>
      <w:r w:rsidR="00584C03" w:rsidRPr="00746F54">
        <w:rPr>
          <w:rFonts w:ascii="Arial" w:hAnsi="Arial" w:cs="Arial"/>
        </w:rPr>
        <w:t>market operator</w:t>
      </w:r>
      <w:r w:rsidR="00A21524" w:rsidRPr="00746F54">
        <w:rPr>
          <w:rFonts w:ascii="Arial" w:hAnsi="Arial" w:cs="Arial"/>
        </w:rPr>
        <w:t xml:space="preserve"> and coordinated with EDAM entities through the iterative market runs</w:t>
      </w:r>
      <w:r w:rsidRPr="00746F54">
        <w:rPr>
          <w:rFonts w:ascii="Arial" w:hAnsi="Arial" w:cs="Arial"/>
        </w:rPr>
        <w:t xml:space="preserve">. </w:t>
      </w:r>
      <w:r w:rsidR="00E409D5" w:rsidRPr="00746F54">
        <w:rPr>
          <w:rFonts w:ascii="Arial" w:hAnsi="Arial" w:cs="Arial"/>
        </w:rPr>
        <w:t xml:space="preserve">This ensures proper market constraint setup as well as reasonable market performance based on pre-defined market run timelines. </w:t>
      </w:r>
      <w:r w:rsidRPr="00746F54">
        <w:rPr>
          <w:rFonts w:ascii="Arial" w:hAnsi="Arial" w:cs="Arial"/>
        </w:rPr>
        <w:t>This process relies on the OPA results</w:t>
      </w:r>
      <w:r w:rsidR="00A21524" w:rsidRPr="00746F54">
        <w:rPr>
          <w:rFonts w:ascii="Arial" w:hAnsi="Arial" w:cs="Arial"/>
        </w:rPr>
        <w:t>,</w:t>
      </w:r>
      <w:r w:rsidR="00FA0B7D" w:rsidRPr="00746F54">
        <w:rPr>
          <w:rFonts w:ascii="Arial" w:hAnsi="Arial" w:cs="Arial"/>
        </w:rPr>
        <w:t xml:space="preserve"> EDAM</w:t>
      </w:r>
      <w:r w:rsidR="00A21524" w:rsidRPr="00746F54">
        <w:rPr>
          <w:rFonts w:ascii="Arial" w:hAnsi="Arial" w:cs="Arial"/>
        </w:rPr>
        <w:t xml:space="preserve"> </w:t>
      </w:r>
      <w:r w:rsidR="00FA0B7D" w:rsidRPr="00746F54">
        <w:rPr>
          <w:rFonts w:ascii="Arial" w:hAnsi="Arial" w:cs="Arial"/>
        </w:rPr>
        <w:t xml:space="preserve">entity outage </w:t>
      </w:r>
      <w:r w:rsidR="00FA0B7D" w:rsidRPr="00746F54">
        <w:rPr>
          <w:rFonts w:ascii="Arial" w:hAnsi="Arial" w:cs="Arial"/>
        </w:rPr>
        <w:lastRenderedPageBreak/>
        <w:t>constraint requests</w:t>
      </w:r>
      <w:r w:rsidR="00A21524" w:rsidRPr="00746F54">
        <w:rPr>
          <w:rFonts w:ascii="Arial" w:hAnsi="Arial" w:cs="Arial"/>
        </w:rPr>
        <w:t xml:space="preserve"> and recent real time contingency analysis</w:t>
      </w:r>
      <w:r w:rsidRPr="00746F54">
        <w:rPr>
          <w:rFonts w:ascii="Arial" w:hAnsi="Arial" w:cs="Arial"/>
        </w:rPr>
        <w:t xml:space="preserve"> results</w:t>
      </w:r>
      <w:r w:rsidR="00FA0B7D" w:rsidRPr="00746F54">
        <w:rPr>
          <w:rFonts w:ascii="Arial" w:hAnsi="Arial" w:cs="Arial"/>
        </w:rPr>
        <w:t xml:space="preserve"> </w:t>
      </w:r>
      <w:r w:rsidRPr="00746F54">
        <w:rPr>
          <w:rFonts w:ascii="Arial" w:hAnsi="Arial" w:cs="Arial"/>
        </w:rPr>
        <w:t xml:space="preserve">to generate a list of constraints that are recommended for activation or deactivation in subsequent market runs. </w:t>
      </w:r>
      <w:r w:rsidR="00FA0B7D" w:rsidRPr="00746F54">
        <w:rPr>
          <w:rFonts w:ascii="Arial" w:hAnsi="Arial" w:cs="Arial"/>
        </w:rPr>
        <w:t xml:space="preserve">There is no predefined constraint limits for each EDAM entities in this process. Each constraint is </w:t>
      </w:r>
      <w:r w:rsidR="00D2528E" w:rsidRPr="00746F54">
        <w:rPr>
          <w:rFonts w:ascii="Arial" w:hAnsi="Arial" w:cs="Arial"/>
        </w:rPr>
        <w:t>ranked</w:t>
      </w:r>
      <w:r w:rsidR="00FA0B7D" w:rsidRPr="00746F54">
        <w:rPr>
          <w:rFonts w:ascii="Arial" w:hAnsi="Arial" w:cs="Arial"/>
        </w:rPr>
        <w:t xml:space="preserve"> by the </w:t>
      </w:r>
      <w:r w:rsidR="00584C03" w:rsidRPr="00746F54">
        <w:rPr>
          <w:rFonts w:ascii="Arial" w:hAnsi="Arial" w:cs="Arial"/>
        </w:rPr>
        <w:t>market operator</w:t>
      </w:r>
      <w:r w:rsidR="00FA0B7D" w:rsidRPr="00746F54">
        <w:rPr>
          <w:rFonts w:ascii="Arial" w:hAnsi="Arial" w:cs="Arial"/>
        </w:rPr>
        <w:t xml:space="preserve"> with weighted system for agreed upon criterion. </w:t>
      </w:r>
      <w:r w:rsidRPr="00746F54">
        <w:rPr>
          <w:rFonts w:ascii="Arial" w:hAnsi="Arial" w:cs="Arial"/>
        </w:rPr>
        <w:t xml:space="preserve">If action is recommended by the </w:t>
      </w:r>
      <w:r w:rsidR="00584C03" w:rsidRPr="00746F54">
        <w:rPr>
          <w:rFonts w:ascii="Arial" w:hAnsi="Arial" w:cs="Arial"/>
        </w:rPr>
        <w:t>market operator</w:t>
      </w:r>
      <w:r w:rsidRPr="00746F54">
        <w:rPr>
          <w:rFonts w:ascii="Arial" w:hAnsi="Arial" w:cs="Arial"/>
        </w:rPr>
        <w:t xml:space="preserve"> through this process they will coordinate with the EDAM entities .  </w:t>
      </w:r>
    </w:p>
    <w:p w14:paraId="0FAA1406" w14:textId="43FCE47F" w:rsidR="00382E42" w:rsidRPr="00746F54" w:rsidRDefault="00382E42" w:rsidP="00B9516F">
      <w:pPr>
        <w:pStyle w:val="Style1"/>
        <w:numPr>
          <w:ilvl w:val="0"/>
          <w:numId w:val="0"/>
        </w:numPr>
        <w:ind w:left="1080" w:hanging="1080"/>
        <w:rPr>
          <w:rFonts w:ascii="Arial" w:hAnsi="Arial"/>
        </w:rPr>
      </w:pPr>
      <w:r w:rsidRPr="00746F54">
        <w:rPr>
          <w:rFonts w:ascii="Arial" w:hAnsi="Arial"/>
        </w:rPr>
        <w:t xml:space="preserve">Standard Run Process </w:t>
      </w:r>
    </w:p>
    <w:p w14:paraId="0ACEE899" w14:textId="4D4023FE" w:rsidR="00382E42" w:rsidRPr="00746F54" w:rsidRDefault="00382E42" w:rsidP="00B9516F">
      <w:pPr>
        <w:spacing w:line="360" w:lineRule="auto"/>
        <w:rPr>
          <w:rFonts w:ascii="Arial" w:hAnsi="Arial" w:cs="Arial"/>
        </w:rPr>
      </w:pPr>
      <w:r w:rsidRPr="00746F54">
        <w:rPr>
          <w:rFonts w:ascii="Arial" w:hAnsi="Arial" w:cs="Arial"/>
        </w:rPr>
        <w:t>The following outputs are consistent across all market runs.  This section lists actions that may be taken by the EDAM entity and market operator based on the results of the D4/D2/D1 market runs.</w:t>
      </w:r>
    </w:p>
    <w:p w14:paraId="3EBDF4D2" w14:textId="694D48DE" w:rsidR="00382E42" w:rsidRPr="00746F54" w:rsidRDefault="00382E42" w:rsidP="00B9516F">
      <w:pPr>
        <w:pStyle w:val="ListParagraph"/>
        <w:numPr>
          <w:ilvl w:val="0"/>
          <w:numId w:val="86"/>
        </w:numPr>
        <w:spacing w:line="360" w:lineRule="auto"/>
        <w:contextualSpacing/>
        <w:rPr>
          <w:rFonts w:ascii="Arial" w:hAnsi="Arial" w:cs="Arial"/>
        </w:rPr>
      </w:pPr>
      <w:r w:rsidRPr="00746F54">
        <w:rPr>
          <w:rFonts w:ascii="Arial" w:hAnsi="Arial" w:cs="Arial"/>
        </w:rPr>
        <w:t xml:space="preserve">For disconnected resources, </w:t>
      </w:r>
      <w:r w:rsidR="00187DC9" w:rsidRPr="00746F54">
        <w:rPr>
          <w:rFonts w:ascii="Arial" w:hAnsi="Arial" w:cs="Arial"/>
        </w:rPr>
        <w:t>a</w:t>
      </w:r>
      <w:r w:rsidRPr="00746F54">
        <w:rPr>
          <w:rFonts w:ascii="Arial" w:hAnsi="Arial" w:cs="Arial"/>
        </w:rPr>
        <w:t>fter each D4 market run, the market operator will review all disconnected resources within the EDAM footprint that do not have an associated generator outage card in OMS</w:t>
      </w:r>
      <w:r w:rsidR="00187DC9" w:rsidRPr="00746F54">
        <w:rPr>
          <w:rFonts w:ascii="Arial" w:hAnsi="Arial" w:cs="Arial"/>
        </w:rPr>
        <w:t xml:space="preserve"> and notify the EDAM entity for evaluation</w:t>
      </w:r>
      <w:r w:rsidR="00104462" w:rsidRPr="00746F54">
        <w:rPr>
          <w:rFonts w:ascii="Arial" w:hAnsi="Arial" w:cs="Arial"/>
        </w:rPr>
        <w:t xml:space="preserve">. </w:t>
      </w:r>
      <w:r w:rsidRPr="00746F54">
        <w:rPr>
          <w:rFonts w:ascii="Arial" w:hAnsi="Arial" w:cs="Arial"/>
        </w:rPr>
        <w:t xml:space="preserve">The EDAM entity should review OMS outages (transmission and generation) </w:t>
      </w:r>
      <w:r w:rsidR="00104462" w:rsidRPr="00746F54">
        <w:rPr>
          <w:rFonts w:ascii="Arial" w:hAnsi="Arial" w:cs="Arial"/>
        </w:rPr>
        <w:t xml:space="preserve">to ensure the proper modeling </w:t>
      </w:r>
      <w:r w:rsidR="000B3FF5" w:rsidRPr="00746F54">
        <w:rPr>
          <w:rFonts w:ascii="Arial" w:hAnsi="Arial" w:cs="Arial"/>
        </w:rPr>
        <w:t>is reflected in the transmission outage card</w:t>
      </w:r>
      <w:r w:rsidR="0034657B" w:rsidRPr="00746F54">
        <w:rPr>
          <w:rFonts w:ascii="Arial" w:hAnsi="Arial" w:cs="Arial"/>
        </w:rPr>
        <w:t xml:space="preserve"> if modeling error is identified</w:t>
      </w:r>
      <w:r w:rsidR="000B3FF5" w:rsidRPr="00746F54">
        <w:rPr>
          <w:rFonts w:ascii="Arial" w:hAnsi="Arial" w:cs="Arial"/>
        </w:rPr>
        <w:t xml:space="preserve">. If the disconnected resource is </w:t>
      </w:r>
      <w:r w:rsidR="002C4B98" w:rsidRPr="00746F54">
        <w:rPr>
          <w:rFonts w:ascii="Arial" w:hAnsi="Arial" w:cs="Arial"/>
        </w:rPr>
        <w:t>the</w:t>
      </w:r>
      <w:r w:rsidR="000B3FF5" w:rsidRPr="00746F54">
        <w:rPr>
          <w:rFonts w:ascii="Arial" w:hAnsi="Arial" w:cs="Arial"/>
        </w:rPr>
        <w:t xml:space="preserve"> nature </w:t>
      </w:r>
      <w:r w:rsidR="002C4B98" w:rsidRPr="00746F54">
        <w:rPr>
          <w:rFonts w:ascii="Arial" w:hAnsi="Arial" w:cs="Arial"/>
        </w:rPr>
        <w:t>consequence</w:t>
      </w:r>
      <w:r w:rsidR="000B3FF5" w:rsidRPr="00746F54">
        <w:rPr>
          <w:rFonts w:ascii="Arial" w:hAnsi="Arial" w:cs="Arial"/>
        </w:rPr>
        <w:t xml:space="preserve"> of transmission outage, it is the EDAM entity’s responsibility to inform the corresponding generation SC for the electric disconnect</w:t>
      </w:r>
      <w:r w:rsidR="005470AB" w:rsidRPr="00746F54">
        <w:rPr>
          <w:rFonts w:ascii="Arial" w:hAnsi="Arial" w:cs="Arial"/>
        </w:rPr>
        <w:t>ion</w:t>
      </w:r>
      <w:r w:rsidR="000B3FF5" w:rsidRPr="00746F54">
        <w:rPr>
          <w:rFonts w:ascii="Arial" w:hAnsi="Arial" w:cs="Arial"/>
        </w:rPr>
        <w:t xml:space="preserve"> for the expected timeframe. </w:t>
      </w:r>
    </w:p>
    <w:p w14:paraId="186601D2" w14:textId="4B9E9361" w:rsidR="00382E42" w:rsidRPr="00746F54" w:rsidRDefault="00382E42" w:rsidP="00B9516F">
      <w:pPr>
        <w:pStyle w:val="ListParagraph"/>
        <w:numPr>
          <w:ilvl w:val="0"/>
          <w:numId w:val="86"/>
        </w:numPr>
        <w:spacing w:line="360" w:lineRule="auto"/>
        <w:contextualSpacing/>
        <w:rPr>
          <w:rFonts w:ascii="Arial" w:hAnsi="Arial" w:cs="Arial"/>
        </w:rPr>
      </w:pPr>
      <w:r w:rsidRPr="00746F54">
        <w:rPr>
          <w:rFonts w:ascii="Arial" w:hAnsi="Arial" w:cs="Arial"/>
        </w:rPr>
        <w:t xml:space="preserve">Unexpected high prices due to congestion may necessitate investigation by the EDAM entity and market operator, as these may indicate an issue with the inputs to the D4 run.  The prices may be caused by invalid congestion due to incorrect transmission modeling, incorrect resource availability (bid, forecast, or OMS data), incorrect flowgate or contingency enforcement, incorrect conformance on a flowgate or nomogram, incorrect limits on a transmission element, incorrect contingency modeling, or bad load profiles.  Although it is possible to have invalid congestion due to any of the issues listed above, there may be valid inputs in adjacent areas that the EDAM entity has not considered.  One common cause is a transmission outage in a neighboring BAA that overlaps with an internal transmission outage that have a combined effect causing unexpected congestion.  If the EDAM entity is unable to identify the inputs responsible for the unexpected congestion and validate them then they can coordinate with the market operator for additional support.  </w:t>
      </w:r>
    </w:p>
    <w:p w14:paraId="1C608D7D" w14:textId="79D0EC45" w:rsidR="00382E42" w:rsidRPr="00746F54" w:rsidRDefault="00382E42" w:rsidP="00B9516F">
      <w:pPr>
        <w:pStyle w:val="ListParagraph"/>
        <w:numPr>
          <w:ilvl w:val="0"/>
          <w:numId w:val="86"/>
        </w:numPr>
        <w:spacing w:line="360" w:lineRule="auto"/>
        <w:contextualSpacing/>
        <w:rPr>
          <w:rFonts w:ascii="Arial" w:hAnsi="Arial" w:cs="Arial"/>
        </w:rPr>
      </w:pPr>
      <w:r w:rsidRPr="00746F54">
        <w:rPr>
          <w:rFonts w:ascii="Arial" w:hAnsi="Arial" w:cs="Arial"/>
        </w:rPr>
        <w:lastRenderedPageBreak/>
        <w:t>Conversely, high loading in the D4 OPA with no accompanying congestion in the market run may indicate that a new constraint needs to be enforced in EDAM for mitigation.  The EDAM entity should review the OPA and identify any valid overloads in their area that require market mitigation and identify the appropriate flowgates, contingencies</w:t>
      </w:r>
      <w:r w:rsidR="00741D98" w:rsidRPr="00746F54">
        <w:rPr>
          <w:rFonts w:ascii="Arial" w:hAnsi="Arial" w:cs="Arial"/>
        </w:rPr>
        <w:t>, Tcors,</w:t>
      </w:r>
      <w:r w:rsidRPr="00746F54">
        <w:rPr>
          <w:rFonts w:ascii="Arial" w:hAnsi="Arial" w:cs="Arial"/>
        </w:rPr>
        <w:t xml:space="preserve"> nomograms </w:t>
      </w:r>
      <w:r w:rsidR="00741D98" w:rsidRPr="00746F54">
        <w:rPr>
          <w:rFonts w:ascii="Arial" w:hAnsi="Arial" w:cs="Arial"/>
        </w:rPr>
        <w:t>or MOC</w:t>
      </w:r>
      <w:r w:rsidRPr="00746F54">
        <w:rPr>
          <w:rFonts w:ascii="Arial" w:hAnsi="Arial" w:cs="Arial"/>
        </w:rPr>
        <w:t xml:space="preserve"> to be activated. The market operator </w:t>
      </w:r>
      <w:r w:rsidR="00483D79" w:rsidRPr="00746F54">
        <w:rPr>
          <w:rFonts w:ascii="Arial" w:hAnsi="Arial" w:cs="Arial"/>
        </w:rPr>
        <w:t>will coordinate with EDAM entities to ensure proper market constraint</w:t>
      </w:r>
      <w:r w:rsidR="00D34B53" w:rsidRPr="00746F54">
        <w:rPr>
          <w:rFonts w:ascii="Arial" w:hAnsi="Arial" w:cs="Arial"/>
        </w:rPr>
        <w:t>s</w:t>
      </w:r>
      <w:r w:rsidR="00483D79" w:rsidRPr="00746F54">
        <w:rPr>
          <w:rFonts w:ascii="Arial" w:hAnsi="Arial" w:cs="Arial"/>
        </w:rPr>
        <w:t xml:space="preserve"> </w:t>
      </w:r>
      <w:r w:rsidR="00D34B53" w:rsidRPr="00746F54">
        <w:rPr>
          <w:rFonts w:ascii="Arial" w:hAnsi="Arial" w:cs="Arial"/>
        </w:rPr>
        <w:t>are</w:t>
      </w:r>
      <w:r w:rsidR="00483D79" w:rsidRPr="00746F54">
        <w:rPr>
          <w:rFonts w:ascii="Arial" w:hAnsi="Arial" w:cs="Arial"/>
        </w:rPr>
        <w:t xml:space="preserve"> implemented in the subsequent market runs to mitigate valid reliability concerns</w:t>
      </w:r>
      <w:r w:rsidR="004D6B5F" w:rsidRPr="00746F54">
        <w:rPr>
          <w:rFonts w:ascii="Arial" w:hAnsi="Arial" w:cs="Arial"/>
        </w:rPr>
        <w:t xml:space="preserve"> based upon OPA results and other inputs</w:t>
      </w:r>
      <w:r w:rsidR="00483D79" w:rsidRPr="00746F54">
        <w:rPr>
          <w:rFonts w:ascii="Arial" w:hAnsi="Arial" w:cs="Arial"/>
        </w:rPr>
        <w:t xml:space="preserve">. </w:t>
      </w:r>
    </w:p>
    <w:p w14:paraId="6428B1E0" w14:textId="77777777" w:rsidR="00382E42" w:rsidRPr="00746F54" w:rsidRDefault="00382E42" w:rsidP="00B9516F">
      <w:pPr>
        <w:pStyle w:val="Style1"/>
        <w:numPr>
          <w:ilvl w:val="0"/>
          <w:numId w:val="0"/>
        </w:numPr>
        <w:ind w:left="1080" w:hanging="1080"/>
        <w:rPr>
          <w:rFonts w:ascii="Arial" w:hAnsi="Arial"/>
          <w:bCs/>
        </w:rPr>
      </w:pPr>
      <w:r w:rsidRPr="00746F54">
        <w:rPr>
          <w:rFonts w:ascii="Arial" w:hAnsi="Arial"/>
          <w:bCs/>
        </w:rPr>
        <w:t>D4 Market Run</w:t>
      </w:r>
    </w:p>
    <w:p w14:paraId="083CC435" w14:textId="07B4B992" w:rsidR="00382E42" w:rsidRPr="00746F54" w:rsidRDefault="00382E42" w:rsidP="00B9516F">
      <w:pPr>
        <w:spacing w:line="360" w:lineRule="auto"/>
        <w:rPr>
          <w:rFonts w:ascii="Arial" w:hAnsi="Arial" w:cs="Arial"/>
        </w:rPr>
      </w:pPr>
      <w:r w:rsidRPr="00746F54">
        <w:rPr>
          <w:rFonts w:ascii="Arial" w:hAnsi="Arial" w:cs="Arial"/>
        </w:rPr>
        <w:t>The D4 market run is the first opportunity for the EDAM entities to see the results of a full market run based on their inputs in combination with others.  The D4 run begins after the D1, D2 and D3 market runs at approximately 1900 on D4.  This run provides full</w:t>
      </w:r>
      <w:r w:rsidR="00990577" w:rsidRPr="00746F54">
        <w:rPr>
          <w:rFonts w:ascii="Arial" w:hAnsi="Arial" w:cs="Arial"/>
        </w:rPr>
        <w:t xml:space="preserve"> market and</w:t>
      </w:r>
      <w:r w:rsidRPr="00746F54">
        <w:rPr>
          <w:rFonts w:ascii="Arial" w:hAnsi="Arial" w:cs="Arial"/>
        </w:rPr>
        <w:t xml:space="preserve"> OPA results reviewed by the market operator, which leaves all of D-3 and part of D-2 (prior to the D2 market run at 1300) available for review by the EDAM entities and, if necessary, coordination between the EDAM BAA and market operator.</w:t>
      </w:r>
    </w:p>
    <w:p w14:paraId="1E3FD2F6" w14:textId="77777777" w:rsidR="00382E42" w:rsidRPr="00746F54" w:rsidRDefault="00382E42" w:rsidP="00B9516F">
      <w:pPr>
        <w:pStyle w:val="Style1"/>
        <w:numPr>
          <w:ilvl w:val="0"/>
          <w:numId w:val="0"/>
        </w:numPr>
        <w:spacing w:line="360" w:lineRule="auto"/>
        <w:ind w:left="1080" w:hanging="1080"/>
        <w:rPr>
          <w:rFonts w:ascii="Arial" w:hAnsi="Arial"/>
        </w:rPr>
      </w:pPr>
      <w:r w:rsidRPr="00746F54">
        <w:rPr>
          <w:rFonts w:ascii="Arial" w:hAnsi="Arial"/>
          <w:bCs/>
        </w:rPr>
        <w:t>D2 Market Run</w:t>
      </w:r>
    </w:p>
    <w:p w14:paraId="118CF991" w14:textId="2A7D752B" w:rsidR="00382E42" w:rsidRPr="00746F54" w:rsidRDefault="00382E42" w:rsidP="00B9516F">
      <w:pPr>
        <w:spacing w:line="360" w:lineRule="auto"/>
        <w:rPr>
          <w:rFonts w:ascii="Arial" w:hAnsi="Arial" w:cs="Arial"/>
        </w:rPr>
      </w:pPr>
      <w:r w:rsidRPr="00746F54">
        <w:rPr>
          <w:rFonts w:ascii="Arial" w:hAnsi="Arial" w:cs="Arial"/>
        </w:rPr>
        <w:t xml:space="preserve">The D2 market run begins directly after the D1 market run completes at 1300, with results typically posted around 1700.  The outputs of the D2 market run are </w:t>
      </w:r>
      <w:r w:rsidR="00F86073" w:rsidRPr="00746F54">
        <w:rPr>
          <w:rFonts w:ascii="Arial" w:hAnsi="Arial" w:cs="Arial"/>
        </w:rPr>
        <w:t>similar to</w:t>
      </w:r>
      <w:r w:rsidRPr="00746F54">
        <w:rPr>
          <w:rFonts w:ascii="Arial" w:hAnsi="Arial" w:cs="Arial"/>
        </w:rPr>
        <w:t xml:space="preserve"> those provided for the D4 run, with the added </w:t>
      </w:r>
      <w:r w:rsidR="004E58C1" w:rsidRPr="00746F54">
        <w:rPr>
          <w:rFonts w:ascii="Arial" w:hAnsi="Arial" w:cs="Arial"/>
        </w:rPr>
        <w:t>modifications</w:t>
      </w:r>
      <w:r w:rsidRPr="00746F54">
        <w:rPr>
          <w:rFonts w:ascii="Arial" w:hAnsi="Arial" w:cs="Arial"/>
        </w:rPr>
        <w:t xml:space="preserve"> made between the D4 and D2 timeframe.  If any actions were taken to correct issues from the D4 market run, then the output of the D2 run should be validated to ensure the intended result.  </w:t>
      </w:r>
      <w:r w:rsidR="00C42D07" w:rsidRPr="00746F54">
        <w:rPr>
          <w:rFonts w:ascii="Arial" w:hAnsi="Arial" w:cs="Arial"/>
        </w:rPr>
        <w:t>Any additional action out of D2 review should be coordinated with the market operator in timely manner so evaluation can be done prior to D1 market run.</w:t>
      </w:r>
    </w:p>
    <w:p w14:paraId="684EED1D" w14:textId="77777777" w:rsidR="00382E42" w:rsidRPr="00746F54" w:rsidRDefault="00382E42" w:rsidP="00B9516F">
      <w:pPr>
        <w:pStyle w:val="Style1"/>
        <w:numPr>
          <w:ilvl w:val="0"/>
          <w:numId w:val="0"/>
        </w:numPr>
        <w:spacing w:line="360" w:lineRule="auto"/>
        <w:ind w:left="1080" w:hanging="1080"/>
        <w:rPr>
          <w:rFonts w:ascii="Arial" w:hAnsi="Arial"/>
          <w:bCs/>
        </w:rPr>
      </w:pPr>
      <w:r w:rsidRPr="00746F54">
        <w:rPr>
          <w:rFonts w:ascii="Arial" w:hAnsi="Arial"/>
          <w:bCs/>
        </w:rPr>
        <w:t>D1 Market Run</w:t>
      </w:r>
    </w:p>
    <w:p w14:paraId="0126B4F5" w14:textId="02154A26" w:rsidR="00382E42" w:rsidRPr="00746F54" w:rsidRDefault="00382E42" w:rsidP="00636D40">
      <w:pPr>
        <w:pStyle w:val="Style1"/>
        <w:rPr>
          <w:rFonts w:ascii="Arial" w:hAnsi="Arial"/>
        </w:rPr>
      </w:pPr>
      <w:r w:rsidRPr="00746F54">
        <w:rPr>
          <w:rFonts w:ascii="Arial" w:hAnsi="Arial"/>
        </w:rPr>
        <w:t xml:space="preserve">The D1 market run begins at 10:00 with market results posted by 13:00.  The results of the D1 market run represent the final schedules prior to the real-time market.  After reviewing the OPA, any necessary mitigation requiring long-start resources should be acted upon outside of the market, as there are no remaining Day-Ahead runs to commit generation.  Although there are no more remaining EDAM runs for the given trade date, it can still be valuable to review the outputs closely.  If necessary, outages that span multiple trade dates could still have constraint activation or conformances changed prior to the D1 run </w:t>
      </w:r>
      <w:r w:rsidRPr="00746F54">
        <w:rPr>
          <w:rFonts w:ascii="Arial" w:hAnsi="Arial"/>
        </w:rPr>
        <w:lastRenderedPageBreak/>
        <w:t>for the next trade date.  Additionally, the EDAM entity may choose to modify the constraint activation before the real-time market runs based on the EDAM results.  Reviewing D1 market results and comparing them to real-time market results may also inform the EDAM entity’s default constraint enforcement or identify modeling issues.Criterion for D1 Market Run Re-Execution</w:t>
      </w:r>
    </w:p>
    <w:p w14:paraId="1810569E" w14:textId="3EC75424" w:rsidR="00382E42" w:rsidRPr="00746F54" w:rsidRDefault="00382E42" w:rsidP="00B9516F">
      <w:pPr>
        <w:spacing w:before="180" w:after="180" w:line="360" w:lineRule="auto"/>
        <w:rPr>
          <w:rFonts w:ascii="Arial" w:eastAsia="Times New Roman" w:hAnsi="Arial" w:cs="Arial"/>
        </w:rPr>
      </w:pPr>
      <w:r w:rsidRPr="00746F54">
        <w:rPr>
          <w:rFonts w:ascii="Arial" w:eastAsia="Times New Roman" w:hAnsi="Arial" w:cs="Arial"/>
        </w:rPr>
        <w:t xml:space="preserve">The </w:t>
      </w:r>
      <w:r w:rsidR="009825BC" w:rsidRPr="00746F54">
        <w:rPr>
          <w:rFonts w:ascii="Arial" w:eastAsia="Times New Roman" w:hAnsi="Arial" w:cs="Arial"/>
        </w:rPr>
        <w:t>m</w:t>
      </w:r>
      <w:r w:rsidRPr="00746F54">
        <w:rPr>
          <w:rFonts w:ascii="Arial" w:eastAsia="Times New Roman" w:hAnsi="Arial" w:cs="Arial"/>
        </w:rPr>
        <w:t xml:space="preserve">arket </w:t>
      </w:r>
      <w:r w:rsidR="009825BC" w:rsidRPr="00746F54">
        <w:rPr>
          <w:rFonts w:ascii="Arial" w:eastAsia="Times New Roman" w:hAnsi="Arial" w:cs="Arial"/>
        </w:rPr>
        <w:t>v</w:t>
      </w:r>
      <w:r w:rsidRPr="00746F54">
        <w:rPr>
          <w:rFonts w:ascii="Arial" w:eastAsia="Times New Roman" w:hAnsi="Arial" w:cs="Arial"/>
        </w:rPr>
        <w:t>alidat</w:t>
      </w:r>
      <w:r w:rsidR="009825BC" w:rsidRPr="00746F54">
        <w:rPr>
          <w:rFonts w:ascii="Arial" w:eastAsia="Times New Roman" w:hAnsi="Arial" w:cs="Arial"/>
        </w:rPr>
        <w:t>or</w:t>
      </w:r>
      <w:r w:rsidRPr="00746F54">
        <w:rPr>
          <w:rFonts w:ascii="Arial" w:eastAsia="Times New Roman" w:hAnsi="Arial" w:cs="Arial"/>
        </w:rPr>
        <w:t xml:space="preserve"> shall monitor the market clearing software solutions for the Day-Ahead Market, the RUC process, for all market intervals to determine whether prices are calculated accurately, consistent with the provisions of the CAISO Tariff Section 35. To the extent reasonably practicable, the team shall correct erroneous prices identified through such monitoring and re-run the relevant CAISO Markets prior to publication of prices on its Open Access Same-Time Information System (OASIS) or provision of prices directly to Market Participants, if applicable.</w:t>
      </w:r>
    </w:p>
    <w:p w14:paraId="7ED987CE" w14:textId="2F8DA967" w:rsidR="00382E42" w:rsidRPr="00746F54" w:rsidRDefault="00382E42" w:rsidP="00B9516F">
      <w:pPr>
        <w:spacing w:line="360" w:lineRule="auto"/>
        <w:rPr>
          <w:rFonts w:ascii="Arial" w:hAnsi="Arial" w:cs="Arial"/>
        </w:rPr>
      </w:pPr>
      <w:r w:rsidRPr="00746F54">
        <w:rPr>
          <w:rFonts w:ascii="Arial" w:hAnsi="Arial" w:cs="Arial"/>
        </w:rPr>
        <w:t xml:space="preserve">MPM </w:t>
      </w:r>
      <w:r w:rsidR="0096706F" w:rsidRPr="00746F54">
        <w:rPr>
          <w:rFonts w:ascii="Arial" w:hAnsi="Arial" w:cs="Arial"/>
        </w:rPr>
        <w:t>may be</w:t>
      </w:r>
      <w:r w:rsidRPr="00746F54">
        <w:rPr>
          <w:rFonts w:ascii="Arial" w:hAnsi="Arial" w:cs="Arial"/>
        </w:rPr>
        <w:t xml:space="preserve"> rerun to correct DC solutions due to bad inputs in non-EDAM areas.  These inputs are a combination of assumptions and submitted data which may have to be manually adjusted by the market operator for certain system conditions.  These changes generally have no little or direct impact on pricing.  Continuing with an AC solution is highly desirable for overall solution quality, but DC solutions are considered valid EDAM results.  If DC solutions cannot be resolved with adjustments and MPM reruns, the market operator may continue the EDAM run with DC solutions</w:t>
      </w:r>
      <w:r w:rsidRPr="00746F54" w:rsidDel="00790CAE">
        <w:rPr>
          <w:rFonts w:ascii="Arial" w:hAnsi="Arial" w:cs="Arial"/>
        </w:rPr>
        <w:t xml:space="preserve"> </w:t>
      </w:r>
      <w:r w:rsidRPr="00746F54">
        <w:rPr>
          <w:rFonts w:ascii="Arial" w:hAnsi="Arial" w:cs="Arial"/>
        </w:rPr>
        <w:t xml:space="preserve">to prioritize the EDAM publication timeline. </w:t>
      </w:r>
    </w:p>
    <w:p w14:paraId="7A3BF8A5" w14:textId="01E8B4F0" w:rsidR="00382E42" w:rsidRPr="00746F54" w:rsidRDefault="00382E42" w:rsidP="00B9516F">
      <w:pPr>
        <w:spacing w:line="360" w:lineRule="auto"/>
        <w:rPr>
          <w:rFonts w:ascii="Arial" w:hAnsi="Arial" w:cs="Arial"/>
        </w:rPr>
      </w:pPr>
      <w:r w:rsidRPr="00746F54">
        <w:rPr>
          <w:rFonts w:ascii="Arial" w:hAnsi="Arial" w:cs="Arial"/>
        </w:rPr>
        <w:t>To ensure AC solutions, Nodal Group Limit Constraints were implemented to reduce artificial injections or withdrawals at these points to an acceptable level.  In the case that these nodal limits are not able to correct a DC solution then the market operator may change the nodal limits or remove convergence bidding at that station altogether to assure solution quality.  Note that the Nodal Group Limit Constraint only applies to EDAM entities that allow convergence bidding. See Market Operations BPM Section 3.1.11 and Tariff Section 30.9.</w:t>
      </w:r>
    </w:p>
    <w:p w14:paraId="69BEDA3C" w14:textId="59C9D9CA" w:rsidR="00382E42" w:rsidRPr="00746F54" w:rsidRDefault="00382E42" w:rsidP="00B9516F">
      <w:pPr>
        <w:spacing w:line="360" w:lineRule="auto"/>
        <w:rPr>
          <w:rFonts w:ascii="Arial" w:hAnsi="Arial" w:cs="Arial"/>
        </w:rPr>
      </w:pPr>
      <w:r w:rsidRPr="00746F54">
        <w:rPr>
          <w:rFonts w:ascii="Arial" w:hAnsi="Arial" w:cs="Arial"/>
        </w:rPr>
        <w:t xml:space="preserve">MPM may also be rerun at the market operator’s discretion for significant input issues that may cause market results that could lead to a system emergency.  Note that pricing is not a valid reason for an EDAM Entity to request the market operator to initiate a rerun based on invalid inputs.  </w:t>
      </w:r>
      <w:r w:rsidR="0096706F" w:rsidRPr="00746F54">
        <w:rPr>
          <w:rFonts w:ascii="Arial" w:hAnsi="Arial" w:cs="Arial"/>
        </w:rPr>
        <w:t xml:space="preserve">The </w:t>
      </w:r>
      <w:r w:rsidR="00584C03" w:rsidRPr="00746F54">
        <w:rPr>
          <w:rFonts w:ascii="Arial" w:hAnsi="Arial" w:cs="Arial"/>
        </w:rPr>
        <w:t>market operator</w:t>
      </w:r>
      <w:r w:rsidR="0096706F" w:rsidRPr="00746F54">
        <w:rPr>
          <w:rFonts w:ascii="Arial" w:hAnsi="Arial" w:cs="Arial"/>
        </w:rPr>
        <w:t xml:space="preserve"> reviews results at each stage of the market run and may contact the EDAM entity if necessary to confirm inputs.  </w:t>
      </w:r>
      <w:r w:rsidRPr="00746F54">
        <w:rPr>
          <w:rFonts w:ascii="Arial" w:hAnsi="Arial" w:cs="Arial"/>
        </w:rPr>
        <w:t xml:space="preserve">The intent is not to hold or rerun the market to change inputs as desired after market close, but to be used in exceptional circumstances that </w:t>
      </w:r>
      <w:r w:rsidRPr="00746F54">
        <w:rPr>
          <w:rFonts w:ascii="Arial" w:hAnsi="Arial" w:cs="Arial"/>
        </w:rPr>
        <w:lastRenderedPageBreak/>
        <w:t xml:space="preserve">would prevent any </w:t>
      </w:r>
      <w:r w:rsidR="00053C32" w:rsidRPr="00746F54">
        <w:rPr>
          <w:rFonts w:ascii="Arial" w:hAnsi="Arial" w:cs="Arial"/>
        </w:rPr>
        <w:t>in</w:t>
      </w:r>
      <w:r w:rsidRPr="00746F54">
        <w:rPr>
          <w:rFonts w:ascii="Arial" w:hAnsi="Arial" w:cs="Arial"/>
        </w:rPr>
        <w:t>valid market solution from being produced. This would include the following scenarios:</w:t>
      </w:r>
    </w:p>
    <w:p w14:paraId="59C71938" w14:textId="77777777" w:rsidR="00382E42" w:rsidRPr="00746F54" w:rsidRDefault="00382E42" w:rsidP="00B9516F">
      <w:pPr>
        <w:spacing w:line="360" w:lineRule="auto"/>
        <w:ind w:left="720"/>
        <w:rPr>
          <w:rFonts w:ascii="Arial" w:hAnsi="Arial" w:cs="Arial"/>
        </w:rPr>
      </w:pPr>
      <w:r w:rsidRPr="00746F54">
        <w:rPr>
          <w:rFonts w:ascii="Arial" w:hAnsi="Arial" w:cs="Arial"/>
        </w:rPr>
        <w:t>1.</w:t>
      </w:r>
      <w:r w:rsidRPr="00746F54">
        <w:rPr>
          <w:rFonts w:ascii="Arial" w:hAnsi="Arial" w:cs="Arial"/>
        </w:rPr>
        <w:tab/>
        <w:t xml:space="preserve">Significant outage modeling issues that prevent a valid EDAM solution.  For example: inadvertently islanding a large area due to incorrect modeling disconnecting large amounts of load and generation.  </w:t>
      </w:r>
    </w:p>
    <w:p w14:paraId="461F68FD" w14:textId="407E1129" w:rsidR="00382E42" w:rsidRPr="00746F54" w:rsidRDefault="00382E42" w:rsidP="00B9516F">
      <w:pPr>
        <w:spacing w:line="360" w:lineRule="auto"/>
        <w:ind w:left="720"/>
        <w:rPr>
          <w:rFonts w:ascii="Arial" w:hAnsi="Arial" w:cs="Arial"/>
        </w:rPr>
      </w:pPr>
      <w:r w:rsidRPr="00746F54">
        <w:rPr>
          <w:rFonts w:ascii="Arial" w:hAnsi="Arial" w:cs="Arial"/>
        </w:rPr>
        <w:t>2.</w:t>
      </w:r>
      <w:r w:rsidRPr="00746F54">
        <w:rPr>
          <w:rFonts w:ascii="Arial" w:hAnsi="Arial" w:cs="Arial"/>
        </w:rPr>
        <w:tab/>
        <w:t xml:space="preserve">Situations where large resources (e.g., greater than </w:t>
      </w:r>
      <w:r w:rsidR="003F0B7D" w:rsidRPr="00746F54">
        <w:rPr>
          <w:rFonts w:ascii="Arial" w:hAnsi="Arial" w:cs="Arial"/>
        </w:rPr>
        <w:t>100</w:t>
      </w:r>
      <w:r w:rsidRPr="00746F54">
        <w:rPr>
          <w:rFonts w:ascii="Arial" w:hAnsi="Arial" w:cs="Arial"/>
        </w:rPr>
        <w:t xml:space="preserve"> MW) are inadvertently disconnected from the model due to incorrect outage modeling. Note that these should have been corrected from D4 and D2 market results, and further modeling corrections may not be allowed in D1 based on the EDAM timeline.</w:t>
      </w:r>
    </w:p>
    <w:p w14:paraId="3E0B7E1D" w14:textId="77777777" w:rsidR="00382E42" w:rsidRPr="00746F54" w:rsidRDefault="00382E42" w:rsidP="00B9516F">
      <w:pPr>
        <w:spacing w:line="360" w:lineRule="auto"/>
        <w:ind w:left="720"/>
        <w:rPr>
          <w:rFonts w:ascii="Arial" w:hAnsi="Arial" w:cs="Arial"/>
        </w:rPr>
      </w:pPr>
      <w:r w:rsidRPr="00746F54">
        <w:rPr>
          <w:rFonts w:ascii="Arial" w:hAnsi="Arial" w:cs="Arial"/>
        </w:rPr>
        <w:t>3.</w:t>
      </w:r>
      <w:r w:rsidRPr="00746F54">
        <w:rPr>
          <w:rFonts w:ascii="Arial" w:hAnsi="Arial" w:cs="Arial"/>
        </w:rPr>
        <w:tab/>
        <w:t>Situations where submitted bids are egregiously incorrect that would prevent an accurate market solution. For example, a PTO or EDAM entity failing to submit any load bids, or a typo causing a bid MW amount to be off by orders of magnitude.</w:t>
      </w:r>
    </w:p>
    <w:p w14:paraId="59F1EDF5" w14:textId="3297B989" w:rsidR="00382E42" w:rsidRPr="00746F54" w:rsidRDefault="00382E42" w:rsidP="00B9516F">
      <w:pPr>
        <w:spacing w:line="360" w:lineRule="auto"/>
        <w:ind w:left="720"/>
        <w:rPr>
          <w:rFonts w:ascii="Arial" w:hAnsi="Arial" w:cs="Arial"/>
        </w:rPr>
      </w:pPr>
      <w:r w:rsidRPr="00746F54">
        <w:rPr>
          <w:rFonts w:ascii="Arial" w:hAnsi="Arial" w:cs="Arial"/>
        </w:rPr>
        <w:t>4.</w:t>
      </w:r>
      <w:r w:rsidRPr="00746F54">
        <w:rPr>
          <w:rFonts w:ascii="Arial" w:hAnsi="Arial" w:cs="Arial"/>
        </w:rPr>
        <w:tab/>
        <w:t>Situations where invalid transmission overloads caused by EDAM entity data input errors, market software defects, or tariff inconsistencies. Invalid EDAM entity inputs may include but are not limited to outage modeling</w:t>
      </w:r>
      <w:r w:rsidR="00AE4F3A" w:rsidRPr="00746F54">
        <w:rPr>
          <w:rFonts w:ascii="Arial" w:hAnsi="Arial" w:cs="Arial"/>
        </w:rPr>
        <w:t xml:space="preserve"> or</w:t>
      </w:r>
      <w:r w:rsidRPr="00746F54">
        <w:rPr>
          <w:rFonts w:ascii="Arial" w:hAnsi="Arial" w:cs="Arial"/>
        </w:rPr>
        <w:t xml:space="preserve"> constraint enforcement.</w:t>
      </w:r>
    </w:p>
    <w:p w14:paraId="3142BE86" w14:textId="2FD9A4C0" w:rsidR="00382E42" w:rsidRPr="00746F54" w:rsidRDefault="00382E42" w:rsidP="00B9516F">
      <w:pPr>
        <w:spacing w:line="360" w:lineRule="auto"/>
        <w:rPr>
          <w:rFonts w:ascii="Arial" w:hAnsi="Arial" w:cs="Arial"/>
        </w:rPr>
      </w:pPr>
      <w:r w:rsidRPr="00746F54">
        <w:rPr>
          <w:rFonts w:ascii="Arial" w:hAnsi="Arial" w:cs="Arial"/>
        </w:rPr>
        <w:t>If the execution of the D1 experience delays that may threaten the timely publication of final schedules by 13:00, the market operator shall seek director-level approval on a case-by-case basis to re-execute.</w:t>
      </w:r>
    </w:p>
    <w:p w14:paraId="581E197B" w14:textId="75471991" w:rsidR="00E66F21" w:rsidRPr="00746F54" w:rsidRDefault="00E66F21" w:rsidP="00E66F21">
      <w:pPr>
        <w:pStyle w:val="Heading3"/>
        <w:numPr>
          <w:ilvl w:val="2"/>
          <w:numId w:val="63"/>
        </w:numPr>
        <w:rPr>
          <w:rFonts w:ascii="Arial" w:hAnsi="Arial" w:cs="Arial"/>
        </w:rPr>
      </w:pPr>
      <w:bookmarkStart w:id="407" w:name="_Toc211338008"/>
      <w:r w:rsidRPr="00746F54">
        <w:rPr>
          <w:rFonts w:ascii="Arial" w:hAnsi="Arial" w:cs="Arial"/>
        </w:rPr>
        <w:t>Extended Day-Ahead Market Elements</w:t>
      </w:r>
      <w:bookmarkEnd w:id="407"/>
      <w:r w:rsidRPr="00746F54">
        <w:rPr>
          <w:rFonts w:ascii="Arial" w:hAnsi="Arial" w:cs="Arial"/>
        </w:rPr>
        <w:t xml:space="preserve"> </w:t>
      </w:r>
    </w:p>
    <w:p w14:paraId="6FC667D5" w14:textId="66844F6E" w:rsidR="00E66F21" w:rsidRPr="00746F54" w:rsidRDefault="00E66F21" w:rsidP="003B1D4E">
      <w:pPr>
        <w:pStyle w:val="ListParagraph"/>
        <w:spacing w:line="360" w:lineRule="auto"/>
        <w:ind w:left="0"/>
        <w:contextualSpacing/>
        <w:rPr>
          <w:rFonts w:ascii="Arial" w:hAnsi="Arial" w:cs="Arial"/>
        </w:rPr>
      </w:pPr>
      <w:r w:rsidRPr="00746F54">
        <w:rPr>
          <w:rFonts w:ascii="Arial" w:hAnsi="Arial" w:cs="Arial"/>
          <w:b/>
        </w:rPr>
        <w:t>Flowgates</w:t>
      </w:r>
      <w:r w:rsidRPr="00746F54">
        <w:rPr>
          <w:rFonts w:ascii="Arial" w:hAnsi="Arial" w:cs="Arial"/>
        </w:rPr>
        <w:t xml:space="preserve"> – Flowgates are a market constraint that model a limit on a particular element of the transmission system (line segment or transformer).  If a specific flowgate is set to active for the EDAM run then flow across that element will be limited.  Each flowgate has a normal and emergency limit. The pre-contingent flow across the element will be limited to the normal limit, while the post-contingent flow will be constrained to the emergency limit.  Activation status in an OMS card can allow enforcement for only a specific timeframe corresponding to the outage condition. EDAM entities can also request a flowgate to be enforced at all times based on their engineering studies or operational experience.</w:t>
      </w:r>
    </w:p>
    <w:p w14:paraId="298A3803" w14:textId="77777777" w:rsidR="00E66F21" w:rsidRPr="00746F54" w:rsidRDefault="00E66F21" w:rsidP="003B1D4E">
      <w:pPr>
        <w:pStyle w:val="ListParagraph"/>
        <w:spacing w:line="360" w:lineRule="auto"/>
        <w:ind w:left="0"/>
        <w:contextualSpacing/>
        <w:rPr>
          <w:rFonts w:ascii="Arial" w:hAnsi="Arial" w:cs="Arial"/>
        </w:rPr>
      </w:pPr>
    </w:p>
    <w:p w14:paraId="5753A557" w14:textId="31290C2A" w:rsidR="00E66F21" w:rsidRPr="00746F54" w:rsidRDefault="00E66F21" w:rsidP="003B1D4E">
      <w:pPr>
        <w:pStyle w:val="ListParagraph"/>
        <w:spacing w:line="360" w:lineRule="auto"/>
        <w:ind w:left="0"/>
        <w:contextualSpacing/>
        <w:rPr>
          <w:rFonts w:ascii="Arial" w:hAnsi="Arial" w:cs="Arial"/>
        </w:rPr>
      </w:pPr>
      <w:r w:rsidRPr="00746F54">
        <w:rPr>
          <w:rFonts w:ascii="Arial" w:hAnsi="Arial" w:cs="Arial"/>
          <w:b/>
        </w:rPr>
        <w:lastRenderedPageBreak/>
        <w:t>Contingencies</w:t>
      </w:r>
      <w:r w:rsidRPr="00746F54">
        <w:rPr>
          <w:rFonts w:ascii="Arial" w:hAnsi="Arial" w:cs="Arial"/>
        </w:rPr>
        <w:t xml:space="preserve"> – Contingencies are activated similarly to flowgates to control N-1 flows through market congestion.  Note that in the EDAM case that any active contingency that causes an overload on an activated flowgate will be mitigated by the market, which may not be the combination of flowgate and contingency that the EDAM entity intended.  For this reason, it is very important to ensure that the activation contingency is valid during the active time period and does not violate any of the guidelines such as causing RAS activation or dropping load or generation as part of the definition.  There are technical limitations on the total number of active flowgates in EDAM and RTM for performance, which is addressed by the market operator via the Centralized and Coordinated Constraint Management (CCCM) process.</w:t>
      </w:r>
    </w:p>
    <w:p w14:paraId="3EFAEBAC" w14:textId="0EC475B6" w:rsidR="00E66F21" w:rsidRPr="00746F54" w:rsidRDefault="00E66F21" w:rsidP="003B1D4E">
      <w:pPr>
        <w:pStyle w:val="ListParagraph"/>
        <w:spacing w:line="360" w:lineRule="auto"/>
        <w:ind w:left="0"/>
        <w:contextualSpacing/>
        <w:rPr>
          <w:rFonts w:ascii="Arial" w:hAnsi="Arial" w:cs="Arial"/>
        </w:rPr>
      </w:pPr>
      <w:r w:rsidRPr="00746F54">
        <w:rPr>
          <w:rFonts w:ascii="Arial" w:hAnsi="Arial" w:cs="Arial"/>
          <w:b/>
        </w:rPr>
        <w:t>Nomograms</w:t>
      </w:r>
      <w:r w:rsidRPr="00746F54">
        <w:rPr>
          <w:rFonts w:ascii="Arial" w:hAnsi="Arial" w:cs="Arial"/>
        </w:rPr>
        <w:t xml:space="preserve"> – Nomograms are created to control flows with market congestion for constraints that require more complex modeling than can be modeled with flowgates and contingencies.  A nomogram can be used to take RAS action into account for a constraint, however it is </w:t>
      </w:r>
      <w:commentRangeStart w:id="408"/>
      <w:r w:rsidRPr="00746F54">
        <w:rPr>
          <w:rFonts w:ascii="Arial" w:hAnsi="Arial" w:cs="Arial"/>
        </w:rPr>
        <w:t>based</w:t>
      </w:r>
      <w:commentRangeEnd w:id="408"/>
      <w:r w:rsidRPr="00746F54">
        <w:rPr>
          <w:rStyle w:val="CommentReference"/>
          <w:rFonts w:ascii="Arial" w:hAnsi="Arial" w:cs="Arial"/>
        </w:rPr>
        <w:commentReference w:id="408"/>
      </w:r>
      <w:r w:rsidRPr="00746F54">
        <w:rPr>
          <w:rFonts w:ascii="Arial" w:hAnsi="Arial" w:cs="Arial"/>
        </w:rPr>
        <w:t xml:space="preserve"> on static distribution factors and limit, so is only applicable to a defined outage scenario.  These must be predefined in coordination with the market operator and may require additional modeling changes to accommodate.  </w:t>
      </w:r>
    </w:p>
    <w:p w14:paraId="3B3002FF" w14:textId="77777777" w:rsidR="00E66F21" w:rsidRPr="00746F54" w:rsidRDefault="00E66F21" w:rsidP="003B1D4E">
      <w:pPr>
        <w:spacing w:line="360" w:lineRule="auto"/>
        <w:rPr>
          <w:rFonts w:ascii="Arial" w:hAnsi="Arial" w:cs="Arial"/>
        </w:rPr>
      </w:pPr>
      <m:oMathPara>
        <m:oMath>
          <m:r>
            <w:rPr>
              <w:rFonts w:ascii="Cambria Math" w:hAnsi="Cambria Math" w:cs="Arial"/>
            </w:rPr>
            <m:t>1.0</m:t>
          </m:r>
          <m:d>
            <m:dPr>
              <m:ctrlPr>
                <w:rPr>
                  <w:rFonts w:ascii="Cambria Math" w:hAnsi="Cambria Math" w:cs="Arial"/>
                  <w:i/>
                </w:rPr>
              </m:ctrlPr>
            </m:dPr>
            <m:e>
              <m:r>
                <w:rPr>
                  <w:rFonts w:ascii="Cambria Math" w:hAnsi="Cambria Math" w:cs="Arial"/>
                </w:rPr>
                <m:t>Lin</m:t>
              </m:r>
              <m:sSub>
                <m:sSubPr>
                  <m:ctrlPr>
                    <w:rPr>
                      <w:rFonts w:ascii="Cambria Math" w:hAnsi="Cambria Math" w:cs="Arial"/>
                      <w:i/>
                    </w:rPr>
                  </m:ctrlPr>
                </m:sSubPr>
                <m:e>
                  <m:r>
                    <w:rPr>
                      <w:rFonts w:ascii="Cambria Math" w:hAnsi="Cambria Math" w:cs="Arial"/>
                    </w:rPr>
                    <m:t>e</m:t>
                  </m:r>
                </m:e>
                <m:sub>
                  <m:r>
                    <w:rPr>
                      <w:rFonts w:ascii="Cambria Math" w:hAnsi="Cambria Math" w:cs="Arial"/>
                    </w:rPr>
                    <m:t>1</m:t>
                  </m:r>
                </m:sub>
              </m:sSub>
            </m:e>
          </m:d>
          <m:r>
            <w:rPr>
              <w:rFonts w:ascii="Cambria Math" w:hAnsi="Cambria Math" w:cs="Arial"/>
            </w:rPr>
            <m:t>+0.70</m:t>
          </m:r>
          <m:d>
            <m:dPr>
              <m:ctrlPr>
                <w:rPr>
                  <w:rFonts w:ascii="Cambria Math" w:hAnsi="Cambria Math" w:cs="Arial"/>
                  <w:i/>
                </w:rPr>
              </m:ctrlPr>
            </m:dPr>
            <m:e>
              <m:r>
                <w:rPr>
                  <w:rFonts w:ascii="Cambria Math" w:hAnsi="Cambria Math" w:cs="Arial"/>
                </w:rPr>
                <m:t>Lin</m:t>
              </m:r>
              <m:sSub>
                <m:sSubPr>
                  <m:ctrlPr>
                    <w:rPr>
                      <w:rFonts w:ascii="Cambria Math" w:hAnsi="Cambria Math" w:cs="Arial"/>
                      <w:i/>
                    </w:rPr>
                  </m:ctrlPr>
                </m:sSubPr>
                <m:e>
                  <m:r>
                    <w:rPr>
                      <w:rFonts w:ascii="Cambria Math" w:hAnsi="Cambria Math" w:cs="Arial"/>
                    </w:rPr>
                    <m:t>e</m:t>
                  </m:r>
                </m:e>
                <m:sub>
                  <m:r>
                    <w:rPr>
                      <w:rFonts w:ascii="Cambria Math" w:hAnsi="Cambria Math" w:cs="Arial"/>
                    </w:rPr>
                    <m:t>2</m:t>
                  </m:r>
                </m:sub>
              </m:sSub>
            </m:e>
          </m:d>
          <m:r>
            <w:rPr>
              <w:rFonts w:ascii="Cambria Math" w:hAnsi="Cambria Math" w:cs="Arial"/>
            </w:rPr>
            <m:t>-0.45</m:t>
          </m:r>
          <m:d>
            <m:dPr>
              <m:ctrlPr>
                <w:rPr>
                  <w:rFonts w:ascii="Cambria Math" w:hAnsi="Cambria Math" w:cs="Arial"/>
                  <w:i/>
                </w:rPr>
              </m:ctrlPr>
            </m:dPr>
            <m:e>
              <m:r>
                <w:rPr>
                  <w:rFonts w:ascii="Cambria Math" w:hAnsi="Cambria Math" w:cs="Arial"/>
                </w:rPr>
                <m:t>RA</m:t>
              </m:r>
              <m:sSub>
                <m:sSubPr>
                  <m:ctrlPr>
                    <w:rPr>
                      <w:rFonts w:ascii="Cambria Math" w:hAnsi="Cambria Math" w:cs="Arial"/>
                      <w:i/>
                    </w:rPr>
                  </m:ctrlPr>
                </m:sSubPr>
                <m:e>
                  <m:r>
                    <w:rPr>
                      <w:rFonts w:ascii="Cambria Math" w:hAnsi="Cambria Math" w:cs="Arial"/>
                    </w:rPr>
                    <m:t>S</m:t>
                  </m:r>
                </m:e>
                <m:sub>
                  <m:r>
                    <w:rPr>
                      <w:rFonts w:ascii="Cambria Math" w:hAnsi="Cambria Math" w:cs="Arial"/>
                    </w:rPr>
                    <m:t>Gen</m:t>
                  </m:r>
                </m:sub>
              </m:sSub>
            </m:e>
          </m:d>
          <m:r>
            <w:rPr>
              <w:rFonts w:ascii="Cambria Math" w:hAnsi="Cambria Math" w:cs="Arial"/>
            </w:rPr>
            <m:t>-0.65</m:t>
          </m:r>
          <m:d>
            <m:dPr>
              <m:ctrlPr>
                <w:rPr>
                  <w:rFonts w:ascii="Cambria Math" w:hAnsi="Cambria Math" w:cs="Arial"/>
                  <w:i/>
                </w:rPr>
              </m:ctrlPr>
            </m:dPr>
            <m:e>
              <m:r>
                <w:rPr>
                  <w:rFonts w:ascii="Cambria Math" w:hAnsi="Cambria Math" w:cs="Arial"/>
                </w:rPr>
                <m:t>RA</m:t>
              </m:r>
              <m:sSub>
                <m:sSubPr>
                  <m:ctrlPr>
                    <w:rPr>
                      <w:rFonts w:ascii="Cambria Math" w:hAnsi="Cambria Math" w:cs="Arial"/>
                      <w:i/>
                    </w:rPr>
                  </m:ctrlPr>
                </m:sSubPr>
                <m:e>
                  <m:r>
                    <w:rPr>
                      <w:rFonts w:ascii="Cambria Math" w:hAnsi="Cambria Math" w:cs="Arial"/>
                    </w:rPr>
                    <m:t>S</m:t>
                  </m:r>
                </m:e>
                <m:sub>
                  <m:r>
                    <w:rPr>
                      <w:rFonts w:ascii="Cambria Math" w:hAnsi="Cambria Math" w:cs="Arial"/>
                    </w:rPr>
                    <m:t>Load</m:t>
                  </m:r>
                </m:sub>
              </m:sSub>
            </m:e>
          </m:d>
          <m:r>
            <w:rPr>
              <w:rFonts w:ascii="Cambria Math" w:hAnsi="Cambria Math" w:cs="Arial"/>
            </w:rPr>
            <m:t>&lt;1200 MW</m:t>
          </m:r>
        </m:oMath>
      </m:oMathPara>
    </w:p>
    <w:p w14:paraId="3BEFBE7D" w14:textId="21E4816A" w:rsidR="00E66F21" w:rsidRPr="00746F54" w:rsidRDefault="00E66F21" w:rsidP="003B1D4E">
      <w:pPr>
        <w:spacing w:line="360" w:lineRule="auto"/>
        <w:rPr>
          <w:rFonts w:ascii="Arial" w:hAnsi="Arial" w:cs="Arial"/>
        </w:rPr>
      </w:pPr>
      <w:r w:rsidRPr="00746F54">
        <w:rPr>
          <w:rFonts w:ascii="Arial" w:hAnsi="Arial" w:cs="Arial"/>
        </w:rPr>
        <w:t xml:space="preserve">In the above example, the nomogram is designed to protect for an overload on </w:t>
      </w:r>
      <m:oMath>
        <m:r>
          <w:rPr>
            <w:rFonts w:ascii="Cambria Math" w:hAnsi="Cambria Math" w:cs="Arial"/>
          </w:rPr>
          <m:t>Lin</m:t>
        </m:r>
        <m:sSub>
          <m:sSubPr>
            <m:ctrlPr>
              <w:rPr>
                <w:rFonts w:ascii="Cambria Math" w:hAnsi="Cambria Math" w:cs="Arial"/>
                <w:i/>
              </w:rPr>
            </m:ctrlPr>
          </m:sSubPr>
          <m:e>
            <m:r>
              <w:rPr>
                <w:rFonts w:ascii="Cambria Math" w:hAnsi="Cambria Math" w:cs="Arial"/>
              </w:rPr>
              <m:t>e</m:t>
            </m:r>
          </m:e>
          <m:sub>
            <m:r>
              <w:rPr>
                <w:rFonts w:ascii="Cambria Math" w:hAnsi="Cambria Math" w:cs="Arial"/>
              </w:rPr>
              <m:t>1</m:t>
            </m:r>
          </m:sub>
        </m:sSub>
      </m:oMath>
      <w:r w:rsidRPr="00746F54">
        <w:rPr>
          <w:rFonts w:ascii="Arial" w:hAnsi="Arial" w:cs="Arial"/>
        </w:rPr>
        <w:t xml:space="preserve">for the contingency of </w:t>
      </w:r>
      <m:oMath>
        <m:r>
          <w:rPr>
            <w:rFonts w:ascii="Cambria Math" w:hAnsi="Cambria Math" w:cs="Arial"/>
          </w:rPr>
          <m:t>Lin</m:t>
        </m:r>
        <m:sSub>
          <m:sSubPr>
            <m:ctrlPr>
              <w:rPr>
                <w:rFonts w:ascii="Cambria Math" w:hAnsi="Cambria Math" w:cs="Arial"/>
                <w:i/>
              </w:rPr>
            </m:ctrlPr>
          </m:sSubPr>
          <m:e>
            <m:r>
              <w:rPr>
                <w:rFonts w:ascii="Cambria Math" w:hAnsi="Cambria Math" w:cs="Arial"/>
              </w:rPr>
              <m:t>e</m:t>
            </m:r>
          </m:e>
          <m:sub>
            <m:r>
              <w:rPr>
                <w:rFonts w:ascii="Cambria Math" w:hAnsi="Cambria Math" w:cs="Arial"/>
              </w:rPr>
              <m:t>2</m:t>
            </m:r>
          </m:sub>
        </m:sSub>
      </m:oMath>
      <w:r w:rsidRPr="00746F54">
        <w:rPr>
          <w:rFonts w:ascii="Arial" w:hAnsi="Arial" w:cs="Arial"/>
        </w:rPr>
        <w:t xml:space="preserve">with a distribution factor of 70%.  However, there is additional relief in the form or RAS action, in this case loss of </w:t>
      </w:r>
      <m:oMath>
        <m:r>
          <w:rPr>
            <w:rFonts w:ascii="Cambria Math" w:hAnsi="Cambria Math" w:cs="Arial"/>
          </w:rPr>
          <m:t>RA</m:t>
        </m:r>
        <m:sSub>
          <m:sSubPr>
            <m:ctrlPr>
              <w:rPr>
                <w:rFonts w:ascii="Cambria Math" w:hAnsi="Cambria Math" w:cs="Arial"/>
                <w:i/>
              </w:rPr>
            </m:ctrlPr>
          </m:sSubPr>
          <m:e>
            <m:r>
              <w:rPr>
                <w:rFonts w:ascii="Cambria Math" w:hAnsi="Cambria Math" w:cs="Arial"/>
              </w:rPr>
              <m:t>S</m:t>
            </m:r>
          </m:e>
          <m:sub>
            <m:r>
              <w:rPr>
                <w:rFonts w:ascii="Cambria Math" w:hAnsi="Cambria Math" w:cs="Arial"/>
              </w:rPr>
              <m:t>Gen</m:t>
            </m:r>
          </m:sub>
        </m:sSub>
      </m:oMath>
      <w:r w:rsidRPr="00746F54">
        <w:rPr>
          <w:rFonts w:ascii="Arial" w:eastAsiaTheme="minorEastAsia" w:hAnsi="Arial" w:cs="Arial"/>
        </w:rPr>
        <w:t xml:space="preserve"> </w:t>
      </w:r>
      <w:r w:rsidRPr="00746F54">
        <w:rPr>
          <w:rFonts w:ascii="Arial" w:hAnsi="Arial" w:cs="Arial"/>
        </w:rPr>
        <w:t xml:space="preserve">with a distribution factor of 45%, and </w:t>
      </w:r>
      <m:oMath>
        <m:r>
          <w:rPr>
            <w:rFonts w:ascii="Cambria Math" w:hAnsi="Cambria Math" w:cs="Arial"/>
          </w:rPr>
          <m:t>RA</m:t>
        </m:r>
        <m:sSub>
          <m:sSubPr>
            <m:ctrlPr>
              <w:rPr>
                <w:rFonts w:ascii="Cambria Math" w:hAnsi="Cambria Math" w:cs="Arial"/>
                <w:i/>
              </w:rPr>
            </m:ctrlPr>
          </m:sSubPr>
          <m:e>
            <m:r>
              <w:rPr>
                <w:rFonts w:ascii="Cambria Math" w:hAnsi="Cambria Math" w:cs="Arial"/>
              </w:rPr>
              <m:t>S</m:t>
            </m:r>
          </m:e>
          <m:sub>
            <m:r>
              <w:rPr>
                <w:rFonts w:ascii="Cambria Math" w:hAnsi="Cambria Math" w:cs="Arial"/>
              </w:rPr>
              <m:t>Load</m:t>
            </m:r>
          </m:sub>
        </m:sSub>
      </m:oMath>
      <w:r w:rsidRPr="00746F54">
        <w:rPr>
          <w:rFonts w:ascii="Arial" w:hAnsi="Arial" w:cs="Arial"/>
        </w:rPr>
        <w:t xml:space="preserve"> with a distribution factor of 65%.  The right-hand side of the equation is the emergency limit of the protected </w:t>
      </w:r>
      <m:oMath>
        <m:r>
          <w:rPr>
            <w:rFonts w:ascii="Cambria Math" w:hAnsi="Cambria Math" w:cs="Arial"/>
          </w:rPr>
          <m:t>Lin</m:t>
        </m:r>
        <m:sSub>
          <m:sSubPr>
            <m:ctrlPr>
              <w:rPr>
                <w:rFonts w:ascii="Cambria Math" w:hAnsi="Cambria Math" w:cs="Arial"/>
                <w:i/>
              </w:rPr>
            </m:ctrlPr>
          </m:sSubPr>
          <m:e>
            <m:r>
              <w:rPr>
                <w:rFonts w:ascii="Cambria Math" w:hAnsi="Cambria Math" w:cs="Arial"/>
              </w:rPr>
              <m:t>e</m:t>
            </m:r>
          </m:e>
          <m:sub>
            <m:r>
              <w:rPr>
                <w:rFonts w:ascii="Cambria Math" w:hAnsi="Cambria Math" w:cs="Arial"/>
              </w:rPr>
              <m:t>1</m:t>
            </m:r>
          </m:sub>
        </m:sSub>
      </m:oMath>
      <w:r w:rsidRPr="00746F54">
        <w:rPr>
          <w:rFonts w:ascii="Arial" w:hAnsi="Arial" w:cs="Arial"/>
        </w:rPr>
        <w:t>.</w:t>
      </w:r>
    </w:p>
    <w:p w14:paraId="776B90AE" w14:textId="432AAA45" w:rsidR="00E66F21" w:rsidRPr="00746F54" w:rsidRDefault="00E66F21" w:rsidP="003B1D4E">
      <w:pPr>
        <w:pStyle w:val="ListParagraph"/>
        <w:spacing w:line="360" w:lineRule="auto"/>
        <w:ind w:left="0"/>
        <w:rPr>
          <w:rFonts w:ascii="Arial" w:hAnsi="Arial" w:cs="Arial"/>
        </w:rPr>
      </w:pPr>
      <w:r w:rsidRPr="00746F54">
        <w:rPr>
          <w:rFonts w:ascii="Arial" w:hAnsi="Arial" w:cs="Arial"/>
          <w:b/>
          <w:bCs/>
        </w:rPr>
        <w:t xml:space="preserve">TCORS </w:t>
      </w:r>
      <w:r w:rsidRPr="00746F54">
        <w:rPr>
          <w:rFonts w:ascii="Arial" w:hAnsi="Arial" w:cs="Arial"/>
        </w:rPr>
        <w:t>– Transmission Corridors can represent flow and limit on a group of transmission lines. This is typically used as a path proxy limit for overload concern as well as other predefined stability concerns.</w:t>
      </w:r>
    </w:p>
    <w:p w14:paraId="749A6A27" w14:textId="56D2E305" w:rsidR="00E66F21" w:rsidRPr="00746F54" w:rsidRDefault="00E66F21" w:rsidP="003B1D4E">
      <w:pPr>
        <w:pStyle w:val="ListParagraph"/>
        <w:spacing w:line="360" w:lineRule="auto"/>
        <w:ind w:left="0"/>
        <w:contextualSpacing/>
        <w:rPr>
          <w:rFonts w:ascii="Arial" w:hAnsi="Arial" w:cs="Arial"/>
        </w:rPr>
      </w:pPr>
      <w:r w:rsidRPr="00746F54">
        <w:rPr>
          <w:rFonts w:ascii="Arial" w:hAnsi="Arial" w:cs="Arial"/>
          <w:b/>
        </w:rPr>
        <w:t>Conformances</w:t>
      </w:r>
      <w:r w:rsidRPr="00746F54">
        <w:rPr>
          <w:rFonts w:ascii="Arial" w:hAnsi="Arial" w:cs="Arial"/>
        </w:rPr>
        <w:t xml:space="preserve"> – Conformances are a change to a constraint’s effective limit in the form of a percentage multiplier.  These are submitted in OMS by the EDAM entity for the day-ahead market, while they are managed for RTM directly in the market UI (BAAOP).  The default value in OMS is 100%, which indicates no change to the effective limit.  The conformance may be updated at any time in OMS prior to the market run.  If there is a consistent discrepancy in congestion between EDAM and the real-time market due to factors that cannot be addressed through any other means, then a conformance may be used.  Before deciding on a </w:t>
      </w:r>
      <w:r w:rsidRPr="00746F54">
        <w:rPr>
          <w:rFonts w:ascii="Arial" w:hAnsi="Arial" w:cs="Arial"/>
        </w:rPr>
        <w:lastRenderedPageBreak/>
        <w:t>conformance, it is important for an EDAM entity to compare the real-time and EDAM congestion and validate which market flows are more accurate. Note that just because EDAM and RTM congestion may be significantly different for a given timeframe, this may be due to uncontrollable factors such as changing outage schedules and unexpected real-time conditions. These factors should be investigated thoroughly before determining that a conformance is appropriate in EDAM.  The conformance is applicable only to the effective limit in the market and should not be considered a replacement for submitting appropriate physical limits to be used by real-time reliability applications (OMS ERC cards, WebLineR data).</w:t>
      </w:r>
    </w:p>
    <w:p w14:paraId="62E75F9D" w14:textId="77777777" w:rsidR="00E66F21" w:rsidRPr="00746F54" w:rsidRDefault="00E66F21" w:rsidP="003B1D4E">
      <w:pPr>
        <w:pStyle w:val="ListParagraph"/>
        <w:spacing w:line="360" w:lineRule="auto"/>
        <w:ind w:left="0"/>
        <w:contextualSpacing/>
        <w:rPr>
          <w:rFonts w:ascii="Arial" w:hAnsi="Arial" w:cs="Arial"/>
        </w:rPr>
      </w:pPr>
    </w:p>
    <w:p w14:paraId="614BF734" w14:textId="2F92DC36" w:rsidR="00E66F21" w:rsidRPr="00746F54" w:rsidRDefault="00E66F21" w:rsidP="00E66F21">
      <w:pPr>
        <w:pStyle w:val="ListParagraph"/>
        <w:spacing w:line="360" w:lineRule="auto"/>
        <w:ind w:left="0"/>
        <w:contextualSpacing/>
        <w:rPr>
          <w:rFonts w:ascii="Arial" w:hAnsi="Arial" w:cs="Arial"/>
        </w:rPr>
      </w:pPr>
      <w:r w:rsidRPr="00746F54">
        <w:rPr>
          <w:rFonts w:ascii="Arial" w:hAnsi="Arial" w:cs="Arial"/>
          <w:b/>
        </w:rPr>
        <w:t>Minimum Online Commitment (MOC)</w:t>
      </w:r>
      <w:r w:rsidRPr="00746F54">
        <w:rPr>
          <w:rFonts w:ascii="Arial" w:hAnsi="Arial" w:cs="Arial"/>
        </w:rPr>
        <w:t xml:space="preserve"> – This constraint type is used to ensure that sufficient capacity is online in specific areas to address reliability concerns.  This constraint type can be used for reliability concerns that are not easily mitigated with the other flow-based constraint types, such as voltage control, however, still have enough applicable resources to benefit from market optimization. The EDAM entity identifies a list of resources that can be used to mitigate any reliability concern and a table of times the constraint will be active with corresponding megawatt values to be procured for those intervals.  Note that the MOC functionality ensures that enough resources are online to meet the megawatt requirement, however, this does not guarantee that they will be dispatched to any specific output.  This constraint is only used to ensure capacity in EDAM and is not active in the real-time market.  The MOC constraint can only commit resources that are bid in. If there is a limited selection of resources that can mitigate the issue and there is no need for market optimization, it is preferred that the EDAM entity rely on self-schedules rather than modeling a MOC.  Note that MOC constraints should be identified and submitted in OMS as early as possible to allow adequate time for the market operator to model in market runs.  There is a limit to how many MOC’s may be activated for each trade day.  Should the number of activated MOCs reach the maximum limit between all participating EDAM entities including the CAISO BA, the Market operator may be required to coordinate selected deactivation where the MOC MWs for all hours are zero or the load forecast is not high enough to trigger non-zero MOC MW requirements.  Should additional MOCs need to be deactivated, the market operator will then coordinate directly with the EDAM entity and determine the best option on a case-by-case basis.</w:t>
      </w:r>
    </w:p>
    <w:p w14:paraId="3A5778AE" w14:textId="77777777" w:rsidR="00E66F21" w:rsidRPr="00746F54" w:rsidRDefault="00E66F21" w:rsidP="00E66F21">
      <w:pPr>
        <w:pStyle w:val="ListParagraph"/>
        <w:spacing w:line="360" w:lineRule="auto"/>
        <w:ind w:left="0"/>
        <w:contextualSpacing/>
        <w:rPr>
          <w:rFonts w:ascii="Arial" w:hAnsi="Arial" w:cs="Arial"/>
        </w:rPr>
      </w:pPr>
    </w:p>
    <w:p w14:paraId="48BD8F8A" w14:textId="77777777" w:rsidR="00E66F21" w:rsidRPr="00746F54" w:rsidRDefault="00E66F21" w:rsidP="00E66F21">
      <w:pPr>
        <w:pStyle w:val="ListParagraph"/>
        <w:spacing w:line="360" w:lineRule="auto"/>
        <w:contextualSpacing/>
        <w:rPr>
          <w:rFonts w:ascii="Arial" w:hAnsi="Arial" w:cs="Arial"/>
        </w:rPr>
      </w:pPr>
      <w:r w:rsidRPr="00746F54">
        <w:rPr>
          <w:rFonts w:ascii="Arial" w:hAnsi="Arial" w:cs="Arial"/>
        </w:rPr>
        <w:t>Example of MOC submission in OMS Market Impacts Tab:</w:t>
      </w:r>
    </w:p>
    <w:p w14:paraId="2B38834A" w14:textId="77777777" w:rsidR="00E66F21" w:rsidRPr="00746F54" w:rsidRDefault="00E66F21" w:rsidP="00E66F21">
      <w:pPr>
        <w:spacing w:after="0" w:line="240" w:lineRule="auto"/>
        <w:ind w:firstLine="720"/>
        <w:rPr>
          <w:rFonts w:ascii="Arial" w:hAnsi="Arial" w:cs="Arial"/>
        </w:rPr>
      </w:pPr>
      <w:r w:rsidRPr="00746F54">
        <w:rPr>
          <w:rFonts w:ascii="Arial" w:hAnsi="Arial" w:cs="Arial"/>
        </w:rPr>
        <w:lastRenderedPageBreak/>
        <w:t>60 MW required HE 0800 – HE 2000</w:t>
      </w:r>
    </w:p>
    <w:p w14:paraId="321185C6" w14:textId="77777777" w:rsidR="00E66F21" w:rsidRPr="00746F54" w:rsidRDefault="00E66F21" w:rsidP="00E66F21">
      <w:pPr>
        <w:spacing w:after="0" w:line="240" w:lineRule="auto"/>
        <w:ind w:left="720"/>
        <w:rPr>
          <w:rFonts w:ascii="Arial" w:hAnsi="Arial" w:cs="Arial"/>
        </w:rPr>
      </w:pPr>
      <w:r w:rsidRPr="00746F54">
        <w:rPr>
          <w:rFonts w:ascii="Arial" w:hAnsi="Arial" w:cs="Arial"/>
        </w:rPr>
        <w:t>RESOURCE_ID_01, Participation Factor = 1.0</w:t>
      </w:r>
      <w:r w:rsidRPr="00746F54">
        <w:rPr>
          <w:rFonts w:ascii="Arial" w:hAnsi="Arial" w:cs="Arial"/>
        </w:rPr>
        <w:tab/>
      </w:r>
      <w:r w:rsidRPr="00746F54">
        <w:rPr>
          <w:rFonts w:ascii="Arial" w:hAnsi="Arial" w:cs="Arial"/>
        </w:rPr>
        <w:tab/>
      </w:r>
      <w:r w:rsidRPr="00746F54">
        <w:rPr>
          <w:rFonts w:ascii="Arial" w:hAnsi="Arial" w:cs="Arial"/>
        </w:rPr>
        <w:tab/>
      </w:r>
    </w:p>
    <w:p w14:paraId="6545D93D" w14:textId="77777777" w:rsidR="00E66F21" w:rsidRPr="00746F54" w:rsidRDefault="00E66F21" w:rsidP="00E66F21">
      <w:pPr>
        <w:spacing w:after="0" w:line="240" w:lineRule="auto"/>
        <w:ind w:left="720"/>
        <w:rPr>
          <w:rFonts w:ascii="Arial" w:hAnsi="Arial" w:cs="Arial"/>
        </w:rPr>
      </w:pPr>
      <w:r w:rsidRPr="00746F54">
        <w:rPr>
          <w:rFonts w:ascii="Arial" w:hAnsi="Arial" w:cs="Arial"/>
        </w:rPr>
        <w:t>RESOURCE_ID_02, Participation Factor = 1.0</w:t>
      </w:r>
      <w:r w:rsidRPr="00746F54">
        <w:rPr>
          <w:rFonts w:ascii="Arial" w:hAnsi="Arial" w:cs="Arial"/>
        </w:rPr>
        <w:tab/>
      </w:r>
      <w:r w:rsidRPr="00746F54">
        <w:rPr>
          <w:rFonts w:ascii="Arial" w:hAnsi="Arial" w:cs="Arial"/>
        </w:rPr>
        <w:tab/>
      </w:r>
      <w:r w:rsidRPr="00746F54">
        <w:rPr>
          <w:rFonts w:ascii="Arial" w:hAnsi="Arial" w:cs="Arial"/>
        </w:rPr>
        <w:tab/>
      </w:r>
    </w:p>
    <w:p w14:paraId="43ABF0F8" w14:textId="77777777" w:rsidR="00E66F21" w:rsidRPr="00746F54" w:rsidRDefault="00E66F21" w:rsidP="00E66F21">
      <w:pPr>
        <w:spacing w:after="0" w:line="240" w:lineRule="auto"/>
        <w:ind w:left="720"/>
        <w:rPr>
          <w:rFonts w:ascii="Arial" w:hAnsi="Arial" w:cs="Arial"/>
        </w:rPr>
      </w:pPr>
      <w:r w:rsidRPr="00746F54">
        <w:rPr>
          <w:rFonts w:ascii="Arial" w:hAnsi="Arial" w:cs="Arial"/>
        </w:rPr>
        <w:t>RESOURCE_ID_03, Participation Factor = 1.0</w:t>
      </w:r>
      <w:r w:rsidRPr="00746F54">
        <w:rPr>
          <w:rFonts w:ascii="Arial" w:hAnsi="Arial" w:cs="Arial"/>
        </w:rPr>
        <w:tab/>
      </w:r>
      <w:r w:rsidRPr="00746F54">
        <w:rPr>
          <w:rFonts w:ascii="Arial" w:hAnsi="Arial" w:cs="Arial"/>
        </w:rPr>
        <w:tab/>
      </w:r>
      <w:r w:rsidRPr="00746F54">
        <w:rPr>
          <w:rFonts w:ascii="Arial" w:hAnsi="Arial" w:cs="Arial"/>
        </w:rPr>
        <w:tab/>
      </w:r>
    </w:p>
    <w:p w14:paraId="364844F1" w14:textId="77777777" w:rsidR="00E66F21" w:rsidRPr="00746F54" w:rsidRDefault="00E66F21" w:rsidP="00E66F21">
      <w:pPr>
        <w:pStyle w:val="ParaText"/>
        <w:spacing w:line="240" w:lineRule="auto"/>
        <w:ind w:firstLine="720"/>
        <w:rPr>
          <w:rFonts w:ascii="Arial" w:hAnsi="Arial" w:cs="Arial"/>
        </w:rPr>
      </w:pPr>
      <w:r w:rsidRPr="00746F54">
        <w:rPr>
          <w:rFonts w:ascii="Arial" w:hAnsi="Arial" w:cs="Arial"/>
        </w:rPr>
        <w:t>RESOURCE_ID_04, Participation Factor = 1.0</w:t>
      </w:r>
    </w:p>
    <w:p w14:paraId="3C2AD6A8" w14:textId="77777777" w:rsidR="00E66F21" w:rsidRPr="00746F54" w:rsidRDefault="00E66F21" w:rsidP="00E66F21">
      <w:pPr>
        <w:pStyle w:val="Bullet1"/>
        <w:numPr>
          <w:ilvl w:val="0"/>
          <w:numId w:val="0"/>
        </w:numPr>
        <w:rPr>
          <w:rFonts w:ascii="Arial" w:hAnsi="Arial" w:cs="Arial"/>
          <w:b/>
        </w:rPr>
      </w:pPr>
      <w:bookmarkStart w:id="409" w:name="_Toc209781041"/>
      <w:bookmarkStart w:id="410" w:name="_Toc209781042"/>
      <w:bookmarkStart w:id="411" w:name="_Toc209781043"/>
      <w:bookmarkStart w:id="412" w:name="_Toc209781044"/>
      <w:bookmarkStart w:id="413" w:name="_Toc209781045"/>
      <w:bookmarkStart w:id="414" w:name="_Toc209781046"/>
      <w:bookmarkStart w:id="415" w:name="_Toc209781047"/>
      <w:bookmarkEnd w:id="409"/>
      <w:bookmarkEnd w:id="410"/>
      <w:bookmarkEnd w:id="411"/>
      <w:bookmarkEnd w:id="412"/>
      <w:bookmarkEnd w:id="413"/>
      <w:bookmarkEnd w:id="414"/>
      <w:bookmarkEnd w:id="415"/>
    </w:p>
    <w:p w14:paraId="5279C0E6" w14:textId="00745089" w:rsidR="00E66F21" w:rsidRPr="00746F54" w:rsidRDefault="00E66F21" w:rsidP="00E66F21">
      <w:pPr>
        <w:pStyle w:val="Style1"/>
        <w:numPr>
          <w:ilvl w:val="2"/>
          <w:numId w:val="63"/>
        </w:numPr>
        <w:rPr>
          <w:rFonts w:ascii="Arial" w:hAnsi="Arial"/>
        </w:rPr>
      </w:pPr>
      <w:r w:rsidRPr="00746F54">
        <w:rPr>
          <w:rFonts w:ascii="Arial" w:hAnsi="Arial"/>
        </w:rPr>
        <w:t xml:space="preserve">Transmission Constraint </w:t>
      </w:r>
      <w:commentRangeStart w:id="416"/>
      <w:r w:rsidRPr="00746F54">
        <w:rPr>
          <w:rFonts w:ascii="Arial" w:hAnsi="Arial"/>
        </w:rPr>
        <w:t>Activation</w:t>
      </w:r>
      <w:commentRangeEnd w:id="416"/>
      <w:r w:rsidRPr="00746F54">
        <w:rPr>
          <w:rStyle w:val="CommentReference"/>
          <w:rFonts w:ascii="Arial" w:hAnsi="Arial"/>
          <w:b w:val="0"/>
        </w:rPr>
        <w:commentReference w:id="416"/>
      </w:r>
      <w:r w:rsidRPr="00746F54">
        <w:rPr>
          <w:rFonts w:ascii="Arial" w:hAnsi="Arial"/>
        </w:rPr>
        <w:t xml:space="preserve"> </w:t>
      </w:r>
    </w:p>
    <w:p w14:paraId="6695D6C2" w14:textId="5E18ABEB" w:rsidR="00E66F21" w:rsidRPr="00746F54" w:rsidRDefault="00E66F21" w:rsidP="00E66F21">
      <w:pPr>
        <w:spacing w:line="360" w:lineRule="auto"/>
        <w:rPr>
          <w:rFonts w:ascii="Arial" w:hAnsi="Arial" w:cs="Arial"/>
        </w:rPr>
      </w:pPr>
      <w:r w:rsidRPr="00746F54">
        <w:rPr>
          <w:rFonts w:ascii="Arial" w:hAnsi="Arial" w:cs="Arial"/>
        </w:rPr>
        <w:t>Transmission constraints may be selected as default enforced or unenforced based on the EDAM entity’s preference. The EDAM entity should coordinate with the market operator in advance via a CIDI ticket if a list of flowgates, Tcor, contingency, nomogram and MOC are desired to be activated in EDAM by default.  The EDAM entity can elect to activate a constraint for specific areas or outage in OMS when predefined. The OMS record must be received and approved prior to 10:00. During the interactive market run process, the market operator will advise additional market constraints based on OPA reliability concern review process and shall coordinate with the EDAM entity if decision is made differently than the EDAM entity requests.  See Market Operations BPM Section 6.6.2.5 for more information on the enforcement of constraints</w:t>
      </w:r>
      <w:commentRangeStart w:id="417"/>
      <w:commentRangeEnd w:id="417"/>
      <w:r w:rsidRPr="00746F54">
        <w:rPr>
          <w:rStyle w:val="CommentReference"/>
          <w:rFonts w:ascii="Arial" w:hAnsi="Arial" w:cs="Arial"/>
        </w:rPr>
        <w:commentReference w:id="417"/>
      </w:r>
      <w:r w:rsidRPr="00746F54">
        <w:rPr>
          <w:rFonts w:ascii="Arial" w:hAnsi="Arial" w:cs="Arial"/>
        </w:rPr>
        <w:t xml:space="preserve">.  </w:t>
      </w:r>
    </w:p>
    <w:p w14:paraId="1D5CB136" w14:textId="77777777" w:rsidR="00E66F21" w:rsidRPr="00746F54" w:rsidRDefault="00E66F21" w:rsidP="00E66F21">
      <w:pPr>
        <w:numPr>
          <w:ilvl w:val="0"/>
          <w:numId w:val="19"/>
        </w:numPr>
        <w:spacing w:after="0"/>
        <w:ind w:left="1620"/>
        <w:textAlignment w:val="center"/>
        <w:rPr>
          <w:rFonts w:ascii="Arial" w:hAnsi="Arial" w:cs="Arial"/>
        </w:rPr>
      </w:pPr>
      <w:r w:rsidRPr="00746F54">
        <w:rPr>
          <w:rFonts w:ascii="Arial" w:hAnsi="Arial" w:cs="Arial"/>
        </w:rPr>
        <w:t>EDAM entities may elect to un-enforce IR up/down on their flowgates and contingencies</w:t>
      </w:r>
    </w:p>
    <w:p w14:paraId="08072B34" w14:textId="77777777" w:rsidR="00E66F21" w:rsidRPr="00746F54" w:rsidRDefault="00E66F21" w:rsidP="00E66F21">
      <w:pPr>
        <w:numPr>
          <w:ilvl w:val="0"/>
          <w:numId w:val="19"/>
        </w:numPr>
        <w:spacing w:after="0"/>
        <w:ind w:left="1620"/>
        <w:textAlignment w:val="center"/>
        <w:rPr>
          <w:rFonts w:ascii="Arial" w:hAnsi="Arial" w:cs="Arial"/>
        </w:rPr>
      </w:pPr>
      <w:r w:rsidRPr="00746F54">
        <w:rPr>
          <w:rFonts w:ascii="Arial" w:hAnsi="Arial" w:cs="Arial"/>
        </w:rPr>
        <w:t>By default, any active flowgate and contingency is active for both energy and IR Up/Down</w:t>
      </w:r>
    </w:p>
    <w:p w14:paraId="1611216A" w14:textId="77777777" w:rsidR="00E66F21" w:rsidRPr="007F4695" w:rsidRDefault="00E66F21" w:rsidP="00E66F21">
      <w:pPr>
        <w:spacing w:after="0"/>
        <w:ind w:left="1620"/>
        <w:textAlignment w:val="center"/>
        <w:rPr>
          <w:rFonts w:ascii="Calibri" w:hAnsi="Calibri" w:cs="Calibri"/>
        </w:rPr>
      </w:pPr>
    </w:p>
    <w:p w14:paraId="0C2E5010" w14:textId="25C9E79E" w:rsidR="003B5909" w:rsidRDefault="003B5909" w:rsidP="00212FCB">
      <w:pPr>
        <w:pStyle w:val="ListParagraph"/>
      </w:pPr>
    </w:p>
    <w:sectPr w:rsidR="003B5909" w:rsidSect="009003C0">
      <w:footerReference w:type="default" r:id="rId35"/>
      <w:pgSz w:w="12240" w:h="15840"/>
      <w:pgMar w:top="1728" w:right="1440" w:bottom="1728" w:left="1440" w:header="720" w:footer="720"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28" w:author="Kott, Bob" w:date="2025-08-19T13:13:00Z" w:initials="RK">
    <w:p w14:paraId="6887DE41" w14:textId="2774400F" w:rsidR="00A960C4" w:rsidRDefault="00A960C4" w:rsidP="00A960C4">
      <w:pPr>
        <w:pStyle w:val="CommentText"/>
      </w:pPr>
      <w:r>
        <w:rPr>
          <w:rStyle w:val="CommentReference"/>
        </w:rPr>
        <w:annotationRef/>
      </w:r>
      <w:r>
        <w:t>Was this deleted on accident? Or was there a replacement?  Either need to reject delete or add a replacement.</w:t>
      </w:r>
    </w:p>
  </w:comment>
  <w:comment w:id="29" w:author="Anders, John" w:date="2025-07-29T09:41:00Z" w:initials="JA">
    <w:p w14:paraId="443DEB16" w14:textId="11D2EBEB" w:rsidR="001B2249" w:rsidRDefault="001B2249" w:rsidP="001B2249">
      <w:pPr>
        <w:pStyle w:val="CommentText"/>
      </w:pPr>
      <w:r>
        <w:rPr>
          <w:rStyle w:val="CommentReference"/>
        </w:rPr>
        <w:annotationRef/>
      </w:r>
      <w:r>
        <w:t>The use of “EIM” is consistent with the CAISO tariff; however, other materials use the term “WEIM”.  We should use “EIM” if it is part of a defined term as here, and may use “WEIM” to refer to the market if we wish.  It may be worth a short notation somewhere to make this point clear to the reader.</w:t>
      </w:r>
    </w:p>
  </w:comment>
  <w:comment w:id="35" w:author="Anders, John" w:date="2025-09-24T13:47:00Z" w:initials="JA">
    <w:p w14:paraId="67D9368A" w14:textId="77777777" w:rsidR="0002285D" w:rsidRDefault="0002285D" w:rsidP="0002285D">
      <w:pPr>
        <w:pStyle w:val="CommentText"/>
      </w:pPr>
      <w:r>
        <w:rPr>
          <w:rStyle w:val="CommentReference"/>
        </w:rPr>
        <w:annotationRef/>
      </w:r>
      <w:r>
        <w:t xml:space="preserve">I believe considerable time was spent preparing a table detailing each requirement.  My recommendation would be to include that table in the BPM here, rather than the narrative suggested.  My understanding is that table has been signed off as complete and accurate.  Further, it may be possible to include links to the training materials or other relevant information as supplemental materials.  Please let me know if I am missing something about any of this..  </w:t>
      </w:r>
    </w:p>
  </w:comment>
  <w:comment w:id="36" w:author="Curlee, Heather" w:date="2025-09-29T16:01:00Z" w:initials="HC">
    <w:p w14:paraId="10BE5EDB" w14:textId="77777777" w:rsidR="00DC1A68" w:rsidRDefault="00DC1A68" w:rsidP="00DC1A68">
      <w:pPr>
        <w:pStyle w:val="CommentText"/>
      </w:pPr>
      <w:r>
        <w:rPr>
          <w:rStyle w:val="CommentReference"/>
        </w:rPr>
        <w:annotationRef/>
      </w:r>
      <w:r>
        <w:t xml:space="preserve">Decided to remove text, if others think a table link will help we can add, but if it already exists somewhere we are set.  </w:t>
      </w:r>
    </w:p>
  </w:comment>
  <w:comment w:id="37" w:author="Delsohn, Gary" w:date="2025-08-04T12:57:00Z" w:initials="GD">
    <w:p w14:paraId="2E60D06F" w14:textId="0D257C7C" w:rsidR="003D7AEA" w:rsidRDefault="003D7AEA" w:rsidP="003D7AEA">
      <w:pPr>
        <w:pStyle w:val="CommentText"/>
      </w:pPr>
      <w:r>
        <w:rPr>
          <w:rStyle w:val="CommentReference"/>
        </w:rPr>
        <w:annotationRef/>
      </w:r>
      <w:r>
        <w:t>No reason to uppercase entity</w:t>
      </w:r>
    </w:p>
  </w:comment>
  <w:comment w:id="38" w:author="Curlee, Heather" w:date="2025-07-29T09:24:00Z" w:initials="HC">
    <w:p w14:paraId="56AFCDEA" w14:textId="77777777" w:rsidR="007C02B9" w:rsidRDefault="007C02B9" w:rsidP="007C02B9">
      <w:pPr>
        <w:pStyle w:val="CommentText"/>
      </w:pPr>
      <w:r>
        <w:rPr>
          <w:rStyle w:val="CommentReference"/>
        </w:rPr>
        <w:annotationRef/>
      </w:r>
      <w:r>
        <w:t>What is a participating resource scheduling coordinator registered with the prospective EDAM Entity?  I think we need to link this to our defined terms so we are clear who these entities are.</w:t>
      </w:r>
    </w:p>
  </w:comment>
  <w:comment w:id="40" w:author="Bosanac, Milos" w:date="2025-10-08T10:45:00Z" w:initials="MB">
    <w:p w14:paraId="0F3AC172" w14:textId="77777777" w:rsidR="00687063" w:rsidRDefault="00687063" w:rsidP="00687063">
      <w:pPr>
        <w:pStyle w:val="CommentText"/>
      </w:pPr>
      <w:r>
        <w:rPr>
          <w:rStyle w:val="CommentReference"/>
        </w:rPr>
        <w:annotationRef/>
      </w:r>
      <w:r>
        <w:t>Double check if there is a BPM section on this for this reference.</w:t>
      </w:r>
    </w:p>
  </w:comment>
  <w:comment w:id="43" w:author="Delsohn, Gary" w:date="2025-08-04T13:08:00Z" w:initials="GD">
    <w:p w14:paraId="73377EF2" w14:textId="61F04204" w:rsidR="00CC63A2" w:rsidRDefault="00CC63A2" w:rsidP="00CC63A2">
      <w:pPr>
        <w:pStyle w:val="CommentText"/>
      </w:pPr>
      <w:r>
        <w:rPr>
          <w:rStyle w:val="CommentReference"/>
        </w:rPr>
        <w:annotationRef/>
      </w:r>
      <w:r>
        <w:t>We have enough acronyms already without adding these.</w:t>
      </w:r>
    </w:p>
  </w:comment>
  <w:comment w:id="83" w:author="Freed, Adam" w:date="2025-07-15T14:58:00Z" w:initials="AF">
    <w:p w14:paraId="43E6A5D4" w14:textId="77777777" w:rsidR="000B47C0" w:rsidRDefault="000B47C0" w:rsidP="000B47C0">
      <w:pPr>
        <w:pStyle w:val="CommentText"/>
      </w:pPr>
      <w:r>
        <w:rPr>
          <w:rStyle w:val="CommentReference"/>
        </w:rPr>
        <w:annotationRef/>
      </w:r>
      <w:r>
        <w:t>Not sure this level of detail is needed for the BPM. This information is included in the BRQs.</w:t>
      </w:r>
    </w:p>
  </w:comment>
  <w:comment w:id="93" w:author="Delsohn, Gary" w:date="2025-08-04T16:04:00Z" w:initials="GD">
    <w:p w14:paraId="0C365413" w14:textId="022AC666" w:rsidR="00E64FF1" w:rsidRDefault="00E64FF1" w:rsidP="00E64FF1">
      <w:pPr>
        <w:pStyle w:val="CommentText"/>
      </w:pPr>
      <w:r>
        <w:rPr>
          <w:rStyle w:val="CommentReference"/>
        </w:rPr>
        <w:annotationRef/>
      </w:r>
      <w:r>
        <w:t xml:space="preserve">SIBR? Unless I missed it, this is first reference. Needs to be spelled out. </w:t>
      </w:r>
    </w:p>
  </w:comment>
  <w:comment w:id="94" w:author="Delsohn, Gary" w:date="2025-08-04T16:05:00Z" w:initials="GD">
    <w:p w14:paraId="1B442523" w14:textId="77777777" w:rsidR="00E64FF1" w:rsidRDefault="00E64FF1" w:rsidP="00E64FF1">
      <w:pPr>
        <w:pStyle w:val="CommentText"/>
      </w:pPr>
      <w:r>
        <w:rPr>
          <w:rStyle w:val="CommentReference"/>
        </w:rPr>
        <w:annotationRef/>
      </w:r>
      <w:r>
        <w:t>Word missing? Sentence does not track.</w:t>
      </w:r>
    </w:p>
  </w:comment>
  <w:comment w:id="95" w:author="Ulmer, Andrew" w:date="2025-08-03T10:49:00Z" w:initials="AU">
    <w:p w14:paraId="20516717" w14:textId="77777777" w:rsidR="00E64FF1" w:rsidRDefault="00E64FF1" w:rsidP="00E64FF1">
      <w:pPr>
        <w:pStyle w:val="CommentText"/>
      </w:pPr>
      <w:r>
        <w:rPr>
          <w:rStyle w:val="CommentReference"/>
        </w:rPr>
        <w:annotationRef/>
      </w:r>
      <w:r>
        <w:t>Please consider what we should say about refreshing these self-schedules if capacity becomes un available.  Is that necessary?</w:t>
      </w:r>
    </w:p>
  </w:comment>
  <w:comment w:id="100" w:author="Curlee, Heather" w:date="2025-06-25T12:49:00Z" w:initials="HC">
    <w:p w14:paraId="2DD9661D" w14:textId="77777777" w:rsidR="005B69F3" w:rsidRDefault="005B69F3" w:rsidP="005B69F3">
      <w:pPr>
        <w:pStyle w:val="CommentText"/>
      </w:pPr>
      <w:r>
        <w:rPr>
          <w:rStyle w:val="CommentReference"/>
        </w:rPr>
        <w:annotationRef/>
      </w:r>
      <w:r>
        <w:t xml:space="preserve">Where is the hook to Section 33?  This does not seem like it belongs in EDAM BPM.  </w:t>
      </w:r>
    </w:p>
  </w:comment>
  <w:comment w:id="101" w:author="Martin, Michael" w:date="2025-07-07T10:17:00Z" w:initials="MM">
    <w:p w14:paraId="082F204F" w14:textId="77777777" w:rsidR="005B69F3" w:rsidRDefault="005B69F3" w:rsidP="005B69F3">
      <w:pPr>
        <w:pStyle w:val="CommentText"/>
      </w:pPr>
      <w:r>
        <w:rPr>
          <w:rStyle w:val="CommentReference"/>
        </w:rPr>
        <w:annotationRef/>
      </w:r>
      <w:r>
        <w:t>Seems like it is hooked to 34.19.4Dispatch Information to be Supplied by PTOs   We ask for outage information.  This is how you get the hours correct in Day Ahead.</w:t>
      </w:r>
    </w:p>
  </w:comment>
  <w:comment w:id="105" w:author="Martin, Michael" w:date="2025-07-10T14:31:00Z" w:initials="MM">
    <w:p w14:paraId="0AE8C972" w14:textId="77777777" w:rsidR="00FA2852" w:rsidRDefault="00FA2852" w:rsidP="00FA2852">
      <w:pPr>
        <w:pStyle w:val="CommentText"/>
      </w:pPr>
      <w:r>
        <w:rPr>
          <w:rStyle w:val="CommentReference"/>
        </w:rPr>
        <w:annotationRef/>
      </w:r>
      <w:r>
        <w:t>This is related to and important in the market separation section.</w:t>
      </w:r>
    </w:p>
  </w:comment>
  <w:comment w:id="108" w:author="Motley, Amber" w:date="2025-07-30T14:36:00Z" w:initials="AM">
    <w:p w14:paraId="58E9D8BE" w14:textId="77777777" w:rsidR="007B4DDD" w:rsidRDefault="007B4DDD" w:rsidP="007B4DDD">
      <w:pPr>
        <w:pStyle w:val="CommentText"/>
      </w:pPr>
      <w:r>
        <w:rPr>
          <w:rStyle w:val="CommentReference"/>
        </w:rPr>
        <w:annotationRef/>
      </w:r>
      <w:r>
        <w:t>We may need to flag Appendix Q if it is not referenced in section 10.  Hybrid resources have requirements for the EDAM entities.</w:t>
      </w:r>
    </w:p>
  </w:comment>
  <w:comment w:id="109" w:author="Bosanac, Milos" w:date="2025-10-08T15:23:00Z" w:initials="MB">
    <w:p w14:paraId="18C6C7CB" w14:textId="77777777" w:rsidR="00BA09C1" w:rsidRDefault="00BA09C1" w:rsidP="00BA09C1">
      <w:pPr>
        <w:pStyle w:val="CommentText"/>
      </w:pPr>
      <w:r>
        <w:rPr>
          <w:rStyle w:val="CommentReference"/>
        </w:rPr>
        <w:annotationRef/>
      </w:r>
      <w:r>
        <w:t>Tried to capture it - see if that works.</w:t>
      </w:r>
    </w:p>
  </w:comment>
  <w:comment w:id="118" w:author="Bosanac, Milos" w:date="2025-10-08T16:09:00Z" w:initials="MB">
    <w:p w14:paraId="6D8DDF7E" w14:textId="77777777" w:rsidR="007679BE" w:rsidRDefault="009F44E1" w:rsidP="007679BE">
      <w:pPr>
        <w:pStyle w:val="CommentText"/>
      </w:pPr>
      <w:r>
        <w:rPr>
          <w:rStyle w:val="CommentReference"/>
        </w:rPr>
        <w:annotationRef/>
      </w:r>
      <w:r w:rsidR="007679BE">
        <w:t>The tariff section on this seems to suffice - we don’t have anything on this concept in WEIM or other BPMs that I can point to or reference.  Suggest we don’t cover this section in BPM as Tariff provides the most detail and procedures that BPM cannot add to.</w:t>
      </w:r>
    </w:p>
    <w:p w14:paraId="76C3CD38" w14:textId="77777777" w:rsidR="007679BE" w:rsidRDefault="007679BE" w:rsidP="007679BE">
      <w:pPr>
        <w:pStyle w:val="CommentText"/>
      </w:pPr>
    </w:p>
    <w:p w14:paraId="23ECBE79" w14:textId="77777777" w:rsidR="007679BE" w:rsidRDefault="007679BE" w:rsidP="007679BE">
      <w:pPr>
        <w:pStyle w:val="CommentText"/>
      </w:pPr>
      <w:r>
        <w:t xml:space="preserve">Same with section 33.15 of tariff does not seem necessary.  </w:t>
      </w:r>
    </w:p>
  </w:comment>
  <w:comment w:id="119" w:author="Curlee, Heather" w:date="2025-10-14T17:14:00Z" w:initials="HC">
    <w:p w14:paraId="09E73790" w14:textId="77777777" w:rsidR="0072123C" w:rsidRDefault="0072123C" w:rsidP="0072123C">
      <w:pPr>
        <w:pStyle w:val="CommentText"/>
      </w:pPr>
      <w:r>
        <w:rPr>
          <w:rStyle w:val="CommentReference"/>
        </w:rPr>
        <w:annotationRef/>
      </w:r>
      <w:r>
        <w:t xml:space="preserve">I say we leave for now and remove later?  It helps with tracking the “we got every section”, but I agree substantively not needed.  Though arguably the same for Dispute Resolution and Creditworthiness, but removing those seems less advisable.  </w:t>
      </w:r>
    </w:p>
  </w:comment>
  <w:comment w:id="120" w:author="Delsohn, Gary" w:date="2025-08-05T08:31:00Z" w:initials="GD">
    <w:p w14:paraId="362E8BB3" w14:textId="610A87A3" w:rsidR="00E7663B" w:rsidRDefault="00E7663B" w:rsidP="00E7663B">
      <w:pPr>
        <w:pStyle w:val="CommentText"/>
      </w:pPr>
      <w:r>
        <w:rPr>
          <w:rStyle w:val="CommentReference"/>
        </w:rPr>
        <w:annotationRef/>
      </w:r>
      <w:r>
        <w:t xml:space="preserve">Why capitalize uncontrollable force and not the other categories? </w:t>
      </w:r>
    </w:p>
  </w:comment>
  <w:comment w:id="143" w:author="Bosanac, Milos" w:date="2025-07-07T21:58:00Z" w:initials="MB">
    <w:p w14:paraId="1A7ACACD" w14:textId="77777777" w:rsidR="007679BE" w:rsidRDefault="007679BE" w:rsidP="007679BE">
      <w:pPr>
        <w:pStyle w:val="CommentText"/>
      </w:pPr>
      <w:r>
        <w:rPr>
          <w:rStyle w:val="CommentReference"/>
        </w:rPr>
        <w:annotationRef/>
      </w:r>
      <w:r>
        <w:t>Need to capture somewhere - ideally here - mechanically how this release is communicated.  I have to look at the BRQ or may reach out to YT or Jamil.</w:t>
      </w:r>
    </w:p>
  </w:comment>
  <w:comment w:id="144" w:author="Martin, Michael" w:date="2025-07-29T08:14:00Z" w:initials="MM">
    <w:p w14:paraId="73C2C867" w14:textId="77777777" w:rsidR="007679BE" w:rsidRDefault="007679BE" w:rsidP="007679BE">
      <w:pPr>
        <w:pStyle w:val="CommentText"/>
      </w:pPr>
      <w:r>
        <w:rPr>
          <w:rStyle w:val="CommentReference"/>
        </w:rPr>
        <w:annotationRef/>
      </w:r>
      <w:r>
        <w:t>Let’s point the reader to section 17.  This is an automated process but the wording makes it sound like it is a manual communication to a person.</w:t>
      </w:r>
    </w:p>
  </w:comment>
  <w:comment w:id="153" w:author="Curlee, Heather" w:date="2025-07-02T08:37:00Z" w:initials="HC">
    <w:p w14:paraId="70878597" w14:textId="77777777" w:rsidR="00903C3A" w:rsidRDefault="00903C3A" w:rsidP="00903C3A">
      <w:pPr>
        <w:pStyle w:val="CommentText"/>
      </w:pPr>
      <w:r>
        <w:rPr>
          <w:rStyle w:val="CommentReference"/>
        </w:rPr>
        <w:annotationRef/>
      </w:r>
      <w:r>
        <w:t xml:space="preserve">Bill’s comment on renumbering needs to be addressed.  If we are matching section numbers of BPM to tariff precisely, then this section belongs here.  However, if we add sections for introduction to BPM, etc, then the BPM sections cannot exactly track the tariff.  </w:t>
      </w:r>
    </w:p>
    <w:p w14:paraId="1A1CE77F" w14:textId="77777777" w:rsidR="00903C3A" w:rsidRDefault="00903C3A" w:rsidP="00903C3A">
      <w:pPr>
        <w:pStyle w:val="CommentText"/>
      </w:pPr>
    </w:p>
    <w:p w14:paraId="61E9AD81" w14:textId="77777777" w:rsidR="00903C3A" w:rsidRDefault="00903C3A" w:rsidP="00903C3A">
      <w:pPr>
        <w:pStyle w:val="CommentText"/>
      </w:pPr>
      <w:r>
        <w:t xml:space="preserve">Bill’s section he inserted here could also be put in what I numbered as 19.  The key identifier is the tariff, reference – 33.26.  </w:t>
      </w:r>
    </w:p>
    <w:p w14:paraId="5CB21ACF" w14:textId="77777777" w:rsidR="00903C3A" w:rsidRDefault="00903C3A" w:rsidP="00903C3A">
      <w:pPr>
        <w:pStyle w:val="CommentText"/>
      </w:pPr>
    </w:p>
    <w:p w14:paraId="37BB5516" w14:textId="77777777" w:rsidR="00903C3A" w:rsidRDefault="00903C3A" w:rsidP="00903C3A">
      <w:pPr>
        <w:pStyle w:val="CommentText"/>
      </w:pPr>
      <w:r>
        <w:t xml:space="preserve">Final BPM editor to complete numbering decisions and place this section where it belongs.  </w:t>
      </w:r>
    </w:p>
  </w:comment>
  <w:comment w:id="170" w:author="Delsohn, Gary" w:date="2025-08-08T15:25:00Z" w:initials="GD">
    <w:p w14:paraId="28BBF753" w14:textId="77777777" w:rsidR="00903C3A" w:rsidRDefault="00903C3A" w:rsidP="00903C3A">
      <w:pPr>
        <w:pStyle w:val="CommentText"/>
      </w:pPr>
      <w:r>
        <w:rPr>
          <w:rStyle w:val="CommentReference"/>
        </w:rPr>
        <w:annotationRef/>
      </w:r>
      <w:r>
        <w:t xml:space="preserve">I have to say, it is a relief to get to a section where random words are not capitalized for no apparent reason. </w:t>
      </w:r>
    </w:p>
  </w:comment>
  <w:comment w:id="183" w:author="Delsohn, Gary" w:date="2025-08-05T14:51:00Z" w:initials="GD">
    <w:p w14:paraId="7AEBCE9E" w14:textId="77777777" w:rsidR="004D29D1" w:rsidRDefault="004D29D1" w:rsidP="004D29D1">
      <w:pPr>
        <w:pStyle w:val="CommentText"/>
      </w:pPr>
      <w:r>
        <w:rPr>
          <w:rStyle w:val="CommentReference"/>
        </w:rPr>
        <w:annotationRef/>
      </w:r>
      <w:r>
        <w:t>What is under-gen? I assume it refers to “under-generation..” write it out in full</w:t>
      </w:r>
    </w:p>
  </w:comment>
  <w:comment w:id="184" w:author="Delsohn, Gary" w:date="2025-08-04T15:50:00Z" w:initials="GD">
    <w:p w14:paraId="3320968F" w14:textId="77777777" w:rsidR="004D29D1" w:rsidRDefault="004D29D1" w:rsidP="004D29D1">
      <w:pPr>
        <w:pStyle w:val="CommentText"/>
      </w:pPr>
      <w:r>
        <w:rPr>
          <w:rStyle w:val="CommentReference"/>
        </w:rPr>
        <w:annotationRef/>
      </w:r>
      <w:r>
        <w:t>Wrong font</w:t>
      </w:r>
    </w:p>
  </w:comment>
  <w:comment w:id="185" w:author="Delsohn, Gary" w:date="2025-08-04T15:50:00Z" w:initials="GD">
    <w:p w14:paraId="043CB888" w14:textId="77777777" w:rsidR="004D29D1" w:rsidRDefault="004D29D1" w:rsidP="004D29D1">
      <w:pPr>
        <w:pStyle w:val="CommentText"/>
      </w:pPr>
      <w:r>
        <w:rPr>
          <w:rStyle w:val="CommentReference"/>
        </w:rPr>
        <w:annotationRef/>
      </w:r>
      <w:r>
        <w:t>Write it out on first ref</w:t>
      </w:r>
    </w:p>
  </w:comment>
  <w:comment w:id="194" w:author="Bosanac, Milos" w:date="2025-10-09T13:42:00Z" w:initials="MB">
    <w:p w14:paraId="0895BE1C" w14:textId="77777777" w:rsidR="00E73BFD" w:rsidRDefault="00E73BFD" w:rsidP="00E73BFD">
      <w:pPr>
        <w:pStyle w:val="CommentText"/>
      </w:pPr>
      <w:r>
        <w:rPr>
          <w:rStyle w:val="CommentReference"/>
        </w:rPr>
        <w:annotationRef/>
      </w:r>
      <w:r>
        <w:t>We need to capture demand bids</w:t>
      </w:r>
    </w:p>
  </w:comment>
  <w:comment w:id="197" w:author="Bosanac, Milos" w:date="2025-10-09T14:46:00Z" w:initials="MB">
    <w:p w14:paraId="4356033C" w14:textId="77777777" w:rsidR="00C932BC" w:rsidRDefault="00C932BC" w:rsidP="00C932BC">
      <w:pPr>
        <w:pStyle w:val="CommentText"/>
      </w:pPr>
      <w:r>
        <w:rPr>
          <w:rStyle w:val="CommentReference"/>
        </w:rPr>
        <w:annotationRef/>
      </w:r>
      <w:r>
        <w:t>Confirm with George Angelidis on this framing.</w:t>
      </w:r>
    </w:p>
  </w:comment>
  <w:comment w:id="219" w:author="Bosanac, Milos" w:date="2025-10-15T11:39:00Z" w:initials="MB">
    <w:p w14:paraId="6ABD5ED8" w14:textId="77777777" w:rsidR="00762188" w:rsidRDefault="00762188" w:rsidP="00762188">
      <w:pPr>
        <w:pStyle w:val="CommentText"/>
      </w:pPr>
      <w:r>
        <w:rPr>
          <w:rStyle w:val="CommentReference"/>
        </w:rPr>
        <w:annotationRef/>
      </w:r>
      <w:r>
        <w:t>This process is in active stakeholder discussions describing that will take place in early November.  We don’t want to preempt that here due to sensitive nature, so put it as a “reserved” section.</w:t>
      </w:r>
    </w:p>
  </w:comment>
  <w:comment w:id="226" w:author="Curlee, Heather" w:date="2025-10-14T17:09:00Z" w:initials="HC">
    <w:p w14:paraId="1859A80D" w14:textId="1F11FFEF" w:rsidR="000D11B2" w:rsidRDefault="000D11B2" w:rsidP="000D11B2">
      <w:pPr>
        <w:pStyle w:val="CommentText"/>
      </w:pPr>
      <w:r>
        <w:rPr>
          <w:rStyle w:val="CommentReference"/>
        </w:rPr>
        <w:annotationRef/>
      </w:r>
      <w:r>
        <w:t xml:space="preserve">This section only has 21.1 … no 21.2, so we’ll renumber at the right time, but doesn’t need to be now.  </w:t>
      </w:r>
    </w:p>
  </w:comment>
  <w:comment w:id="230" w:author="Motley, Amber" w:date="2025-07-30T14:44:00Z" w:initials="AM">
    <w:p w14:paraId="73500627" w14:textId="77777777" w:rsidR="00691D5E" w:rsidRDefault="00691D5E" w:rsidP="00691D5E">
      <w:pPr>
        <w:pStyle w:val="CommentText"/>
      </w:pPr>
      <w:r>
        <w:rPr>
          <w:rStyle w:val="CommentReference"/>
        </w:rPr>
        <w:annotationRef/>
      </w:r>
      <w:r>
        <w:t>Was there a recent request in the BRS to change this to 5:30am?  Just flagging in case this needs to get updated to align with BRS.</w:t>
      </w:r>
    </w:p>
  </w:comment>
  <w:comment w:id="231" w:author="Webb, Rebecca" w:date="2025-08-04T12:41:00Z" w:initials="RW">
    <w:p w14:paraId="6008EDF1" w14:textId="77777777" w:rsidR="00691D5E" w:rsidRDefault="00691D5E" w:rsidP="00691D5E">
      <w:pPr>
        <w:pStyle w:val="CommentText"/>
      </w:pPr>
      <w:r>
        <w:rPr>
          <w:rStyle w:val="CommentReference"/>
        </w:rPr>
        <w:annotationRef/>
      </w:r>
      <w:r>
        <w:t xml:space="preserve">This may have just been to have the forecast available (on OASIS or somewhere?) but not start RSE tests? </w:t>
      </w:r>
    </w:p>
  </w:comment>
  <w:comment w:id="232" w:author="Martin, Michael" w:date="2025-08-07T14:21:00Z" w:initials="MM">
    <w:p w14:paraId="519D266B" w14:textId="77777777" w:rsidR="00691D5E" w:rsidRDefault="00691D5E" w:rsidP="00691D5E">
      <w:pPr>
        <w:pStyle w:val="CommentText"/>
      </w:pPr>
      <w:r>
        <w:rPr>
          <w:rStyle w:val="CommentReference"/>
        </w:rPr>
        <w:annotationRef/>
      </w:r>
      <w:r>
        <w:t>This is correct usage of market operator as it is a person doing the action</w:t>
      </w:r>
    </w:p>
  </w:comment>
  <w:comment w:id="233" w:author="Motley, Amber" w:date="2025-07-30T14:46:00Z" w:initials="AM">
    <w:p w14:paraId="14D7B7FB" w14:textId="77777777" w:rsidR="00691D5E" w:rsidRDefault="00691D5E" w:rsidP="00691D5E">
      <w:pPr>
        <w:pStyle w:val="CommentText"/>
      </w:pPr>
      <w:r>
        <w:rPr>
          <w:rStyle w:val="CommentReference"/>
        </w:rPr>
        <w:annotationRef/>
      </w:r>
      <w:r>
        <w:t xml:space="preserve">Looking at the graphic what is the timing assumption that the forecasts are no longer changing?  Pre 6am?  May be worth clarifying in the graphic more that forecasts are changing until 9am.  </w:t>
      </w:r>
    </w:p>
  </w:comment>
  <w:comment w:id="234" w:author="Curlee, Heather" w:date="2025-10-14T17:05:00Z" w:initials="HC">
    <w:p w14:paraId="4A5AE57B" w14:textId="77777777" w:rsidR="000D11B2" w:rsidRDefault="000D11B2" w:rsidP="000D11B2">
      <w:pPr>
        <w:pStyle w:val="CommentText"/>
      </w:pPr>
      <w:r>
        <w:rPr>
          <w:rStyle w:val="CommentReference"/>
        </w:rPr>
        <w:annotationRef/>
      </w:r>
      <w:r>
        <w:t>This is “summarizing” content that is in 21.1.4 – I suggest we remove it here so that later, if/when we need to revise, we only need to worry about the substantive sections.  See also 21.1.4.2 (tagging requirements to remain in pool).  This</w:t>
      </w:r>
    </w:p>
  </w:comment>
  <w:comment w:id="235" w:author="Johnson, Daniel" w:date="2025-09-24T19:56:00Z" w:initials="DJ">
    <w:p w14:paraId="1F1CC92B" w14:textId="77777777" w:rsidR="00691D5E" w:rsidRDefault="00691D5E" w:rsidP="00691D5E">
      <w:pPr>
        <w:pStyle w:val="CommentText"/>
      </w:pPr>
      <w:r>
        <w:rPr>
          <w:rStyle w:val="CommentReference"/>
        </w:rPr>
        <w:annotationRef/>
      </w:r>
      <w:r>
        <w:t>Emergency DR type programs can be used and this better captures that in meeting the 10AM obligation</w:t>
      </w:r>
    </w:p>
  </w:comment>
  <w:comment w:id="239" w:author="Curlee, Heather" w:date="2025-10-14T16:53:00Z" w:initials="HC">
    <w:p w14:paraId="4D10F525" w14:textId="77777777" w:rsidR="002E1230" w:rsidRDefault="002E1230" w:rsidP="002E1230">
      <w:pPr>
        <w:pStyle w:val="CommentText"/>
      </w:pPr>
      <w:r>
        <w:rPr>
          <w:rStyle w:val="CommentReference"/>
        </w:rPr>
        <w:annotationRef/>
      </w:r>
      <w:r>
        <w:t>Is this really 9 am?  Read above and we say how the 9 am results can be used to make a decision.  Should this be by 9:15 a.m.?</w:t>
      </w:r>
    </w:p>
  </w:comment>
  <w:comment w:id="240" w:author="Curlee, Heather" w:date="2025-10-14T17:07:00Z" w:initials="HC">
    <w:p w14:paraId="144177ED" w14:textId="77777777" w:rsidR="000D11B2" w:rsidRDefault="000D11B2" w:rsidP="000D11B2">
      <w:pPr>
        <w:pStyle w:val="CommentText"/>
      </w:pPr>
      <w:r>
        <w:rPr>
          <w:rStyle w:val="CommentReference"/>
        </w:rPr>
        <w:annotationRef/>
      </w:r>
      <w:r>
        <w:t xml:space="preserve">This is duplicative/conflicting with 21.1.4.2.  Can we move these graphics to that section but cut this text? </w:t>
      </w:r>
    </w:p>
  </w:comment>
  <w:comment w:id="241" w:author="Curlee, Heather" w:date="2025-10-14T17:07:00Z" w:initials="HC">
    <w:p w14:paraId="503DA3CC" w14:textId="77777777" w:rsidR="000D11B2" w:rsidRDefault="000D11B2" w:rsidP="000D11B2">
      <w:pPr>
        <w:pStyle w:val="CommentText"/>
      </w:pPr>
      <w:r>
        <w:rPr>
          <w:rStyle w:val="CommentReference"/>
        </w:rPr>
        <w:annotationRef/>
      </w:r>
      <w:r>
        <w:t>Move graphic to 21.1.4.2.</w:t>
      </w:r>
    </w:p>
  </w:comment>
  <w:comment w:id="243" w:author="Curlee, Heather" w:date="2025-06-19T11:47:00Z" w:initials="HC">
    <w:p w14:paraId="2E5E42D3" w14:textId="77777777" w:rsidR="00691D5E" w:rsidRDefault="00691D5E" w:rsidP="00691D5E">
      <w:pPr>
        <w:pStyle w:val="CommentText"/>
      </w:pPr>
      <w:r>
        <w:rPr>
          <w:rStyle w:val="CommentReference"/>
        </w:rPr>
        <w:annotationRef/>
      </w:r>
      <w:r>
        <w:t xml:space="preserve">SME Team - who is doing this function?  Is it the scheduling coordinator for the EDAM entity?  Do we have cross-reference for the SC BPM materials that provide further detail on registering supply, if it is an SC function?  </w:t>
      </w:r>
    </w:p>
  </w:comment>
  <w:comment w:id="244" w:author="Curlee, Heather" w:date="2025-06-19T12:23:00Z" w:initials="HC">
    <w:p w14:paraId="71366813" w14:textId="77777777" w:rsidR="00691D5E" w:rsidRDefault="00691D5E" w:rsidP="00691D5E">
      <w:pPr>
        <w:pStyle w:val="CommentText"/>
      </w:pPr>
      <w:r>
        <w:rPr>
          <w:rStyle w:val="CommentReference"/>
        </w:rPr>
        <w:annotationRef/>
      </w:r>
      <w:r>
        <w:t xml:space="preserve">SME team – does this sound right?  Do we need more details about applicable scheduling coordinator and/or how that scheduling coordinator will register or communicate this information?  </w:t>
      </w:r>
    </w:p>
  </w:comment>
  <w:comment w:id="245" w:author="Curlee, Heather" w:date="2025-06-19T12:06:00Z" w:initials="HC">
    <w:p w14:paraId="4F438F6C" w14:textId="77777777" w:rsidR="00691D5E" w:rsidRDefault="00691D5E" w:rsidP="00691D5E">
      <w:pPr>
        <w:pStyle w:val="CommentText"/>
      </w:pPr>
      <w:r>
        <w:rPr>
          <w:rStyle w:val="CommentReference"/>
        </w:rPr>
        <w:annotationRef/>
      </w:r>
      <w:r>
        <w:t>SME team – make sure this sounds right.  We also need to make sure the right team is prepared to have a check box for receipt of this affidavit.  Do we need to expressly address changed circumstances and the obligation to de-register if the facts relied on changed?</w:t>
      </w:r>
    </w:p>
    <w:p w14:paraId="6DE1F913" w14:textId="77777777" w:rsidR="00691D5E" w:rsidRDefault="00691D5E" w:rsidP="00691D5E">
      <w:pPr>
        <w:pStyle w:val="CommentText"/>
      </w:pPr>
    </w:p>
    <w:p w14:paraId="111D3BC0" w14:textId="77777777" w:rsidR="00691D5E" w:rsidRDefault="00691D5E" w:rsidP="00691D5E">
      <w:pPr>
        <w:pStyle w:val="CommentText"/>
      </w:pPr>
      <w:r>
        <w:t xml:space="preserve">Note I am not proposing a pro forma affidavit and like the GIA context, we’ll rely on the entity to put together the affidavit they are comfortable with and we will accept it so long as it is authorized signatory and has the appropriate reps.  </w:t>
      </w:r>
    </w:p>
  </w:comment>
  <w:comment w:id="247" w:author="Motley, Amber" w:date="2025-07-30T15:19:00Z" w:initials="AM">
    <w:p w14:paraId="2989F351" w14:textId="77777777" w:rsidR="00691D5E" w:rsidRDefault="00691D5E" w:rsidP="00691D5E">
      <w:pPr>
        <w:pStyle w:val="CommentText"/>
      </w:pPr>
      <w:r>
        <w:rPr>
          <w:rStyle w:val="CommentReference"/>
        </w:rPr>
        <w:annotationRef/>
      </w:r>
      <w:r>
        <w:t>This wording is throwing me off a bit; forecasting will provide demand and IR (if demand is elected by EDAM entity).  AS requirement is provided by the BAA</w:t>
      </w:r>
    </w:p>
  </w:comment>
  <w:comment w:id="248" w:author="Motley, Amber" w:date="2025-07-30T15:19:00Z" w:initials="AM">
    <w:p w14:paraId="2C48379A" w14:textId="77777777" w:rsidR="00691D5E" w:rsidRDefault="00691D5E" w:rsidP="00691D5E">
      <w:pPr>
        <w:pStyle w:val="CommentText"/>
      </w:pPr>
      <w:r>
        <w:rPr>
          <w:rStyle w:val="CommentReference"/>
        </w:rPr>
        <w:annotationRef/>
      </w:r>
      <w:r>
        <w:t xml:space="preserve">I think we need to update wording here. </w:t>
      </w:r>
    </w:p>
  </w:comment>
  <w:comment w:id="249" w:author="Motley, Amber" w:date="2025-07-30T15:17:00Z" w:initials="AM">
    <w:p w14:paraId="6989EC3B" w14:textId="77777777" w:rsidR="00691D5E" w:rsidRDefault="00691D5E" w:rsidP="00691D5E">
      <w:pPr>
        <w:pStyle w:val="CommentText"/>
      </w:pPr>
      <w:r>
        <w:rPr>
          <w:rStyle w:val="CommentReference"/>
        </w:rPr>
        <w:annotationRef/>
      </w:r>
      <w:r>
        <w:t>For this the demand forecast to be utilized in the obligation could be coming from the entity through ALFS or the short term forecasting team due to election.  Do we need to alter this language?</w:t>
      </w:r>
    </w:p>
  </w:comment>
  <w:comment w:id="250" w:author="Curlee, Heather" w:date="2025-09-29T15:43:00Z" w:initials="HC">
    <w:p w14:paraId="6B3872BD" w14:textId="77777777" w:rsidR="00691D5E" w:rsidRDefault="00691D5E" w:rsidP="00691D5E">
      <w:pPr>
        <w:pStyle w:val="CommentText"/>
      </w:pPr>
      <w:r>
        <w:rPr>
          <w:rStyle w:val="CommentReference"/>
        </w:rPr>
        <w:annotationRef/>
      </w:r>
      <w:r>
        <w:t>Michael - -check this cross reference, I think we want 3.1.4, yes?</w:t>
      </w:r>
    </w:p>
  </w:comment>
  <w:comment w:id="253" w:author="Curlee, Heather" w:date="2025-09-29T15:46:00Z" w:initials="HC">
    <w:p w14:paraId="6F96BEA8" w14:textId="77777777" w:rsidR="00691D5E" w:rsidRDefault="00691D5E" w:rsidP="00691D5E">
      <w:pPr>
        <w:pStyle w:val="CommentText"/>
      </w:pPr>
      <w:r>
        <w:rPr>
          <w:rStyle w:val="CommentReference"/>
        </w:rPr>
        <w:annotationRef/>
      </w:r>
      <w:r>
        <w:t>Is this cross-reference right?  It is to the GHG section, which does not seem right.</w:t>
      </w:r>
    </w:p>
  </w:comment>
  <w:comment w:id="254" w:author="Martin, Michael" w:date="2025-06-23T12:25:00Z" w:initials="MM">
    <w:p w14:paraId="051D38EF" w14:textId="77777777" w:rsidR="00691D5E" w:rsidRDefault="00691D5E" w:rsidP="00691D5E">
      <w:pPr>
        <w:pStyle w:val="CommentText"/>
      </w:pPr>
      <w:r>
        <w:rPr>
          <w:rStyle w:val="CommentReference"/>
        </w:rPr>
        <w:annotationRef/>
      </w:r>
      <w:r>
        <w:t>We describe this in an above section “Co-optimization of Energy &amp; Ancillary Services”</w:t>
      </w:r>
    </w:p>
  </w:comment>
  <w:comment w:id="255" w:author="Motley, Amber" w:date="2025-08-04T07:35:00Z" w:initials="AM">
    <w:p w14:paraId="4D1DCCB7" w14:textId="77777777" w:rsidR="00691D5E" w:rsidRDefault="00691D5E" w:rsidP="00691D5E">
      <w:pPr>
        <w:pStyle w:val="CommentText"/>
      </w:pPr>
      <w:r>
        <w:rPr>
          <w:rStyle w:val="CommentReference"/>
        </w:rPr>
        <w:annotationRef/>
      </w:r>
      <w:r>
        <w:t xml:space="preserve">Do we need to reference the attestation needed to do this more directly?  </w:t>
      </w:r>
    </w:p>
  </w:comment>
  <w:comment w:id="256" w:author="Rudolph, John" w:date="2025-08-04T10:27:00Z" w:initials="JR">
    <w:p w14:paraId="33285513" w14:textId="77777777" w:rsidR="00691D5E" w:rsidRDefault="00691D5E" w:rsidP="00691D5E">
      <w:pPr>
        <w:pStyle w:val="CommentText"/>
      </w:pPr>
      <w:r>
        <w:rPr>
          <w:rStyle w:val="CommentReference"/>
        </w:rPr>
        <w:annotationRef/>
      </w:r>
      <w:r>
        <w:t>We set 0700 as the DR submittal deadline for automated inclusion into ALFS. Submittals received between 0700-0800 could be included on case-by-case basis if time allows. No inclusion if submittal received after 0800.</w:t>
      </w:r>
    </w:p>
  </w:comment>
  <w:comment w:id="257" w:author="Curlee, Heather" w:date="2025-06-25T13:07:00Z" w:initials="HC">
    <w:p w14:paraId="2D5486EE" w14:textId="77777777" w:rsidR="00691D5E" w:rsidRDefault="00691D5E" w:rsidP="00691D5E">
      <w:pPr>
        <w:pStyle w:val="CommentText"/>
      </w:pPr>
      <w:r>
        <w:rPr>
          <w:rStyle w:val="CommentReference"/>
        </w:rPr>
        <w:annotationRef/>
      </w:r>
      <w:r>
        <w:t xml:space="preserve">Is the 10 am time correct?  Need to synthesize with above DR adjustment text in 5.1.10.  </w:t>
      </w:r>
    </w:p>
  </w:comment>
  <w:comment w:id="258" w:author="Martin, Michael" w:date="2025-07-14T11:27:00Z" w:initials="MM">
    <w:p w14:paraId="1EC927D0" w14:textId="77777777" w:rsidR="00691D5E" w:rsidRDefault="00691D5E" w:rsidP="00691D5E">
      <w:pPr>
        <w:pStyle w:val="CommentText"/>
      </w:pPr>
      <w:r>
        <w:rPr>
          <w:rStyle w:val="CommentReference"/>
        </w:rPr>
        <w:annotationRef/>
      </w:r>
      <w:r>
        <w:t>Corrected to 09:00</w:t>
      </w:r>
    </w:p>
  </w:comment>
  <w:comment w:id="259" w:author="Curlee, Heather" w:date="2025-07-29T10:09:00Z" w:initials="HC">
    <w:p w14:paraId="260917C1" w14:textId="77777777" w:rsidR="00691D5E" w:rsidRDefault="00691D5E" w:rsidP="00691D5E">
      <w:pPr>
        <w:pStyle w:val="CommentText"/>
      </w:pPr>
      <w:r>
        <w:rPr>
          <w:rStyle w:val="CommentReference"/>
        </w:rPr>
        <w:annotationRef/>
      </w:r>
      <w:r>
        <w:t>What is this cross reference?  6.7.2.5?</w:t>
      </w:r>
    </w:p>
  </w:comment>
  <w:comment w:id="260" w:author="Curlee, Heather" w:date="2025-06-19T13:55:00Z" w:initials="HC">
    <w:p w14:paraId="45E0FBA3" w14:textId="77777777" w:rsidR="00691D5E" w:rsidRDefault="00691D5E" w:rsidP="00691D5E">
      <w:pPr>
        <w:pStyle w:val="CommentText"/>
      </w:pPr>
      <w:r>
        <w:rPr>
          <w:rStyle w:val="CommentReference"/>
        </w:rPr>
        <w:annotationRef/>
      </w:r>
      <w:r>
        <w:t>SME team – is this correct or is there manual action/submission required on behalf of entity?  If submission required, who submits - SC for which entity?</w:t>
      </w:r>
    </w:p>
  </w:comment>
  <w:comment w:id="261" w:author="Curlee, Heather" w:date="2025-06-19T13:36:00Z" w:initials="HC">
    <w:p w14:paraId="632282B7" w14:textId="77777777" w:rsidR="00691D5E" w:rsidRDefault="00691D5E" w:rsidP="00691D5E">
      <w:pPr>
        <w:pStyle w:val="CommentText"/>
      </w:pPr>
      <w:r>
        <w:rPr>
          <w:rStyle w:val="CommentReference"/>
        </w:rPr>
        <w:annotationRef/>
      </w:r>
      <w:r>
        <w:t xml:space="preserve">SME team – is it right that no reflecting of additional transfers after 9 am?  </w:t>
      </w:r>
    </w:p>
  </w:comment>
  <w:comment w:id="262" w:author="Martin, Michael" w:date="2025-07-01T13:05:00Z" w:initials="MM">
    <w:p w14:paraId="3DFD92E7" w14:textId="77777777" w:rsidR="00691D5E" w:rsidRDefault="00691D5E" w:rsidP="00691D5E">
      <w:pPr>
        <w:pStyle w:val="CommentText"/>
      </w:pPr>
      <w:r>
        <w:rPr>
          <w:rStyle w:val="CommentReference"/>
        </w:rPr>
        <w:annotationRef/>
      </w:r>
      <w:r>
        <w:t>Correct.  These are frozen</w:t>
      </w:r>
    </w:p>
  </w:comment>
  <w:comment w:id="264" w:author="Martin, Michael" w:date="2025-08-14T15:53:00Z" w:initials="MM">
    <w:p w14:paraId="43F97B63" w14:textId="77777777" w:rsidR="00691D5E" w:rsidRDefault="00691D5E" w:rsidP="00691D5E">
      <w:pPr>
        <w:pStyle w:val="CommentText"/>
      </w:pPr>
      <w:r>
        <w:rPr>
          <w:rStyle w:val="CommentReference"/>
        </w:rPr>
        <w:annotationRef/>
      </w:r>
      <w:r>
        <w:t>This is technically correct.  When the RSE is run manually it is the binding run.  When automatic, it is an advisory run (just the way Siemens built it)</w:t>
      </w:r>
    </w:p>
  </w:comment>
  <w:comment w:id="277" w:author="Delsohn, Gary" w:date="2025-08-08T15:34:00Z" w:initials="GD">
    <w:p w14:paraId="3804A2F9" w14:textId="77777777" w:rsidR="00BA239B" w:rsidRDefault="00BA239B" w:rsidP="00BA239B">
      <w:pPr>
        <w:pStyle w:val="CommentText"/>
      </w:pPr>
      <w:r>
        <w:rPr>
          <w:rStyle w:val="CommentReference"/>
        </w:rPr>
        <w:annotationRef/>
      </w:r>
      <w:r>
        <w:t>Reference to a reference?  Sounds awkward. Can we find a better word for the first usage?</w:t>
      </w:r>
    </w:p>
  </w:comment>
  <w:comment w:id="276" w:author="Friedrich, James" w:date="2025-09-22T08:40:00Z" w:initials="JF">
    <w:p w14:paraId="24ECF8D6" w14:textId="77777777" w:rsidR="00BA239B" w:rsidRDefault="00BA239B" w:rsidP="00BA239B">
      <w:pPr>
        <w:pStyle w:val="CommentText"/>
      </w:pPr>
      <w:r>
        <w:rPr>
          <w:rStyle w:val="CommentReference"/>
        </w:rPr>
        <w:annotationRef/>
      </w:r>
      <w:r>
        <w:t xml:space="preserve">Confirm with PSTD. </w:t>
      </w:r>
    </w:p>
  </w:comment>
  <w:comment w:id="281" w:author="Friedrich, James" w:date="2025-10-14T14:33:00Z" w:initials="JF">
    <w:p w14:paraId="79F01EE3" w14:textId="77777777" w:rsidR="002F6E03" w:rsidRDefault="002F6E03" w:rsidP="002F6E03">
      <w:pPr>
        <w:pStyle w:val="CommentText"/>
      </w:pPr>
      <w:r>
        <w:rPr>
          <w:rStyle w:val="CommentReference"/>
        </w:rPr>
        <w:annotationRef/>
      </w:r>
      <w:r>
        <w:t xml:space="preserve">I suggest a tighter version. </w:t>
      </w:r>
    </w:p>
  </w:comment>
  <w:comment w:id="288" w:author="Datla, Sravya" w:date="2025-10-20T09:22:00Z" w:initials="SD">
    <w:p w14:paraId="32C941EF" w14:textId="77777777" w:rsidR="008B170E" w:rsidRDefault="008B170E" w:rsidP="008B170E">
      <w:pPr>
        <w:pStyle w:val="CommentText"/>
      </w:pPr>
      <w:r>
        <w:rPr>
          <w:rStyle w:val="CommentReference"/>
        </w:rPr>
        <w:annotationRef/>
      </w:r>
      <w:r>
        <w:t xml:space="preserve">The terminology for final demand forecast </w:t>
      </w:r>
    </w:p>
  </w:comment>
  <w:comment w:id="287" w:author="Friedrich, James" w:date="2025-10-14T13:40:00Z" w:initials="JF">
    <w:p w14:paraId="204F742D" w14:textId="173E46EF" w:rsidR="005453CD" w:rsidRDefault="00FC5A62" w:rsidP="005453CD">
      <w:pPr>
        <w:pStyle w:val="CommentText"/>
      </w:pPr>
      <w:r>
        <w:rPr>
          <w:rStyle w:val="CommentReference"/>
        </w:rPr>
        <w:annotationRef/>
      </w:r>
      <w:r w:rsidR="005453CD">
        <w:t xml:space="preserve">Combined the paragraphs and clarified that the RCU/RCD targets are determined for each BAA individually. </w:t>
      </w:r>
    </w:p>
  </w:comment>
  <w:comment w:id="290" w:author="Rudolph, John" w:date="2025-08-06T10:17:00Z" w:initials="JR">
    <w:p w14:paraId="0828183F" w14:textId="77777777" w:rsidR="0053013C" w:rsidRDefault="0053013C" w:rsidP="0053013C">
      <w:pPr>
        <w:pStyle w:val="CommentText"/>
      </w:pPr>
      <w:r>
        <w:rPr>
          <w:rStyle w:val="CommentReference"/>
        </w:rPr>
        <w:annotationRef/>
      </w:r>
      <w:r>
        <w:t>From discussion with @Michael Martin sounds like we need to remove reference to demand response for RUC net short adjustment since this should be incorporated automatically via the UI into Day-Ahead demand forecast used in Day-Ahead RUC.</w:t>
      </w:r>
    </w:p>
  </w:comment>
  <w:comment w:id="291" w:author="Friedrich, James" w:date="2025-10-14T13:45:00Z" w:initials="JF">
    <w:p w14:paraId="3D720832" w14:textId="77777777" w:rsidR="005B0A77" w:rsidRDefault="005B0A77" w:rsidP="005B0A77">
      <w:pPr>
        <w:pStyle w:val="CommentText"/>
      </w:pPr>
      <w:r>
        <w:rPr>
          <w:rStyle w:val="CommentReference"/>
        </w:rPr>
        <w:annotationRef/>
      </w:r>
      <w:r>
        <w:t xml:space="preserve">Just a note the term “RUC net short” is not used in any policy, tariff, or BRS documents.  “RUC load adjustment” is the term used. </w:t>
      </w:r>
    </w:p>
  </w:comment>
  <w:comment w:id="292" w:author="Datla, Sravya" w:date="2025-10-20T09:25:00Z" w:initials="SD">
    <w:p w14:paraId="3FC8827D" w14:textId="77777777" w:rsidR="008B170E" w:rsidRDefault="008B170E" w:rsidP="008B170E">
      <w:pPr>
        <w:pStyle w:val="CommentText"/>
      </w:pPr>
      <w:r>
        <w:rPr>
          <w:rStyle w:val="CommentReference"/>
        </w:rPr>
        <w:annotationRef/>
      </w:r>
      <w:r>
        <w:t>@Heather &amp; Guillermo would be ok with ‘RUC Adjustment’ to replace load adjustment?</w:t>
      </w:r>
    </w:p>
  </w:comment>
  <w:comment w:id="293" w:author="Steckel, Tobiah" w:date="2025-08-06T10:25:00Z" w:initials="TS">
    <w:p w14:paraId="248E3D63" w14:textId="713BF143" w:rsidR="0053013C" w:rsidRDefault="0053013C" w:rsidP="0053013C">
      <w:pPr>
        <w:pStyle w:val="CommentText"/>
      </w:pPr>
      <w:r>
        <w:rPr>
          <w:rStyle w:val="CommentReference"/>
        </w:rPr>
        <w:annotationRef/>
      </w:r>
      <w:r>
        <w:t xml:space="preserve">Percentage based on imbalance reserve magnitude not on magnitude of deficiency … I gave a crack at this to make it more precise </w:t>
      </w:r>
    </w:p>
  </w:comment>
  <w:comment w:id="294" w:author="Steckel, Tobiah" w:date="2025-07-31T09:37:00Z" w:initials="TS">
    <w:p w14:paraId="7FD5CF63" w14:textId="77777777" w:rsidR="0053013C" w:rsidRDefault="0053013C" w:rsidP="0053013C">
      <w:pPr>
        <w:pStyle w:val="CommentText"/>
      </w:pPr>
      <w:r>
        <w:rPr>
          <w:rStyle w:val="CommentReference"/>
        </w:rPr>
        <w:annotationRef/>
      </w:r>
      <w:r>
        <w:t xml:space="preserve">Thanks Michael, the market operator applies the adjustment. Do we want to outline a procedure for how EDAM BAA submit multiplier, e.g., some template spreadsheet to the market operator on monthly/quarterly basis? </w:t>
      </w:r>
    </w:p>
  </w:comment>
  <w:comment w:id="295" w:author="Steckel, Tobiah" w:date="2025-08-06T10:15:00Z" w:initials="TS">
    <w:p w14:paraId="48820CC3" w14:textId="77777777" w:rsidR="0053013C" w:rsidRDefault="0053013C" w:rsidP="0053013C">
      <w:pPr>
        <w:pStyle w:val="CommentText"/>
      </w:pPr>
      <w:r>
        <w:rPr>
          <w:rStyle w:val="CommentReference"/>
        </w:rPr>
        <w:annotationRef/>
      </w:r>
      <w:r>
        <w:t xml:space="preserve">Good with this wording </w:t>
      </w:r>
    </w:p>
  </w:comment>
  <w:comment w:id="296" w:author="Martin, Michael" w:date="2025-08-07T09:59:00Z" w:initials="MM">
    <w:p w14:paraId="40308229" w14:textId="77777777" w:rsidR="0053013C" w:rsidRDefault="0053013C" w:rsidP="0053013C">
      <w:pPr>
        <w:pStyle w:val="CommentText"/>
      </w:pPr>
      <w:r>
        <w:rPr>
          <w:rStyle w:val="CommentReference"/>
        </w:rPr>
        <w:annotationRef/>
      </w:r>
      <w:r>
        <w:t>Agreed.  We don’t have the site or details ironed out as yet</w:t>
      </w:r>
    </w:p>
  </w:comment>
  <w:comment w:id="300" w:author="Johnson, Daniel" w:date="2025-09-23T10:59:00Z" w:initials="DJ">
    <w:p w14:paraId="218C24CC" w14:textId="77777777" w:rsidR="00721A81" w:rsidRDefault="00721A81" w:rsidP="00721A81">
      <w:pPr>
        <w:pStyle w:val="CommentText"/>
      </w:pPr>
      <w:r>
        <w:rPr>
          <w:rStyle w:val="CommentReference"/>
        </w:rPr>
        <w:annotationRef/>
      </w:r>
      <w:r>
        <w:t xml:space="preserve">Sign off on section pending resolution to the outstanding comments </w:t>
      </w:r>
    </w:p>
  </w:comment>
  <w:comment w:id="306" w:author="Webb, Rebecca" w:date="2025-08-07T10:41:00Z" w:initials="RW">
    <w:p w14:paraId="56E71493" w14:textId="77777777" w:rsidR="0078756A" w:rsidRDefault="0078756A" w:rsidP="0078756A">
      <w:pPr>
        <w:pStyle w:val="CommentText"/>
      </w:pPr>
      <w:r>
        <w:rPr>
          <w:rStyle w:val="CommentReference"/>
        </w:rPr>
        <w:annotationRef/>
      </w:r>
      <w:r>
        <w:t xml:space="preserve">Should this be market operator? When do we use market operator, CAISO, and how do we refer to system? Ie CAISO system.. </w:t>
      </w:r>
    </w:p>
  </w:comment>
  <w:comment w:id="307" w:author="Webb, Rebecca" w:date="2025-08-07T10:45:00Z" w:initials="RW">
    <w:p w14:paraId="7A0D3D71" w14:textId="77777777" w:rsidR="0078756A" w:rsidRDefault="0078756A" w:rsidP="0078756A">
      <w:pPr>
        <w:pStyle w:val="CommentText"/>
      </w:pPr>
      <w:r>
        <w:rPr>
          <w:rStyle w:val="CommentReference"/>
        </w:rPr>
        <w:annotationRef/>
      </w:r>
      <w:r>
        <w:t>(match rest of document if changes)</w:t>
      </w:r>
    </w:p>
  </w:comment>
  <w:comment w:id="308" w:author="Webb, Rebecca" w:date="2025-08-07T10:55:00Z" w:initials="RW">
    <w:p w14:paraId="68FB036C" w14:textId="77777777" w:rsidR="0078756A" w:rsidRDefault="0078756A" w:rsidP="0078756A">
      <w:pPr>
        <w:pStyle w:val="CommentText"/>
      </w:pPr>
      <w:r>
        <w:rPr>
          <w:rStyle w:val="CommentReference"/>
        </w:rPr>
        <w:annotationRef/>
      </w:r>
      <w:r>
        <w:t>DA portion updated at 6 and 9</w:t>
      </w:r>
    </w:p>
  </w:comment>
  <w:comment w:id="309" w:author="Bosanac, Milos" w:date="2025-10-09T22:01:00Z" w:initials="MB">
    <w:p w14:paraId="49649B63" w14:textId="77777777" w:rsidR="0004571C" w:rsidRDefault="0004571C" w:rsidP="0004571C">
      <w:pPr>
        <w:pStyle w:val="CommentText"/>
      </w:pPr>
      <w:r>
        <w:rPr>
          <w:rStyle w:val="CommentReference"/>
        </w:rPr>
        <w:annotationRef/>
      </w:r>
      <w:r>
        <w:t>Validate section reference.</w:t>
      </w:r>
    </w:p>
  </w:comment>
  <w:comment w:id="303" w:author="Motley, Amber" w:date="2025-08-04T07:52:00Z" w:initials="AM">
    <w:p w14:paraId="00BF2B51" w14:textId="49D9A332" w:rsidR="0078756A" w:rsidRDefault="0078756A" w:rsidP="0078756A">
      <w:pPr>
        <w:pStyle w:val="CommentText"/>
      </w:pPr>
      <w:r>
        <w:rPr>
          <w:rStyle w:val="CommentReference"/>
        </w:rPr>
        <w:annotationRef/>
      </w:r>
      <w:r>
        <w:t xml:space="preserve">Rebecca can you draft per what we have in WEIM BPM? </w:t>
      </w:r>
    </w:p>
  </w:comment>
  <w:comment w:id="304" w:author="Webb, Rebecca" w:date="2025-08-04T11:51:00Z" w:initials="RW">
    <w:p w14:paraId="40ED772D" w14:textId="77777777" w:rsidR="0078756A" w:rsidRDefault="0078756A" w:rsidP="0078756A">
      <w:pPr>
        <w:pStyle w:val="CommentText"/>
      </w:pPr>
      <w:r>
        <w:rPr>
          <w:rStyle w:val="CommentReference"/>
        </w:rPr>
        <w:annotationRef/>
      </w:r>
      <w:r>
        <w:t xml:space="preserve">Draft here; there is not much on self-provided load forecast in the EIM BPM. The self-provided VER forecast is very similar to the EIM BPM with granularity/timing changed. </w:t>
      </w:r>
    </w:p>
  </w:comment>
  <w:comment w:id="312" w:author="Motley, Amber" w:date="2025-08-04T07:55:00Z" w:initials="AM">
    <w:p w14:paraId="2E545137" w14:textId="77777777" w:rsidR="008F7E1E" w:rsidRDefault="008F7E1E" w:rsidP="008F7E1E">
      <w:pPr>
        <w:pStyle w:val="CommentText"/>
      </w:pPr>
      <w:r>
        <w:rPr>
          <w:rStyle w:val="CommentReference"/>
        </w:rPr>
        <w:annotationRef/>
      </w:r>
      <w:r>
        <w:t xml:space="preserve">May want to point two previous mentions of DR to this section above.  Both in 15.1.1.3 and 16.1.3; ensure consistency between sections. </w:t>
      </w:r>
    </w:p>
  </w:comment>
  <w:comment w:id="313" w:author="Curlee, Heather" w:date="2025-08-15T12:59:00Z" w:initials="HC">
    <w:p w14:paraId="73BC7202" w14:textId="77777777" w:rsidR="008F7E1E" w:rsidRDefault="008F7E1E" w:rsidP="008F7E1E">
      <w:pPr>
        <w:pStyle w:val="CommentText"/>
      </w:pPr>
      <w:r>
        <w:rPr>
          <w:rStyle w:val="CommentReference"/>
        </w:rPr>
        <w:annotationRef/>
      </w:r>
      <w:r>
        <w:t>I’m signed off on this section for publication.</w:t>
      </w:r>
    </w:p>
  </w:comment>
  <w:comment w:id="314" w:author="Motley, Amber" w:date="2025-08-04T07:58:00Z" w:initials="AM">
    <w:p w14:paraId="1F6EBE6D" w14:textId="77777777" w:rsidR="008F7E1E" w:rsidRDefault="008F7E1E" w:rsidP="008F7E1E">
      <w:pPr>
        <w:pStyle w:val="CommentText"/>
      </w:pPr>
      <w:r>
        <w:rPr>
          <w:rStyle w:val="CommentReference"/>
        </w:rPr>
        <w:annotationRef/>
      </w:r>
      <w:r>
        <w:t xml:space="preserve">What is reference to where attestation details are? </w:t>
      </w:r>
    </w:p>
  </w:comment>
  <w:comment w:id="315" w:author="Curlee, Heather" w:date="2025-06-09T15:20:00Z" w:initials="HC">
    <w:p w14:paraId="768C0D46" w14:textId="77777777" w:rsidR="008F7E1E" w:rsidRDefault="008F7E1E" w:rsidP="008F7E1E">
      <w:pPr>
        <w:pStyle w:val="CommentText"/>
      </w:pPr>
      <w:r>
        <w:rPr>
          <w:rStyle w:val="CommentReference"/>
        </w:rPr>
        <w:annotationRef/>
      </w:r>
      <w:r>
        <w:t xml:space="preserve">Where will one be able to find this attestation?  Who is drafting it?  Is it an appendix to this BPM in </w:t>
      </w:r>
      <w:r>
        <w:rPr>
          <w:i/>
          <w:iCs/>
        </w:rPr>
        <w:t xml:space="preserve">pro forma </w:t>
      </w:r>
      <w:r>
        <w:t>or how will the entities access it?  Do we have a flow for how managing the submitted form?  Reference BRQ 02042.</w:t>
      </w:r>
    </w:p>
  </w:comment>
  <w:comment w:id="316" w:author="Martin, Michael" w:date="2025-06-23T09:57:00Z" w:initials="MM">
    <w:p w14:paraId="75E620AD" w14:textId="77777777" w:rsidR="008F7E1E" w:rsidRDefault="008F7E1E" w:rsidP="008F7E1E">
      <w:pPr>
        <w:pStyle w:val="CommentText"/>
      </w:pPr>
      <w:r>
        <w:rPr>
          <w:rStyle w:val="CommentReference"/>
        </w:rPr>
        <w:annotationRef/>
      </w:r>
      <w:r>
        <w:t xml:space="preserve">Can we modify the existing WEIM attestation with the option for an EDAM adjust should the entity be in EDAM,  The process is already defined and trained and would be easier.  </w:t>
      </w:r>
    </w:p>
  </w:comment>
  <w:comment w:id="317" w:author="Motley, Amber" w:date="2025-08-04T07:57:00Z" w:initials="AM">
    <w:p w14:paraId="18807C92" w14:textId="77777777" w:rsidR="008F7E1E" w:rsidRDefault="008F7E1E" w:rsidP="008F7E1E">
      <w:pPr>
        <w:pStyle w:val="CommentText"/>
      </w:pPr>
      <w:r>
        <w:rPr>
          <w:rStyle w:val="CommentReference"/>
        </w:rPr>
        <w:annotationRef/>
      </w:r>
      <w:r>
        <w:t xml:space="preserve">Michael I am not sure I understand the ask here can you further clarify?  At this time an attestation is required to submit non market DR into RSE.  I don’t believe this can be modified without a policy process. </w:t>
      </w:r>
    </w:p>
  </w:comment>
  <w:comment w:id="318" w:author="Rudolph, John" w:date="2025-08-04T10:17:00Z" w:initials="JR">
    <w:p w14:paraId="143799ED" w14:textId="77777777" w:rsidR="008F7E1E" w:rsidRDefault="008F7E1E" w:rsidP="008F7E1E">
      <w:pPr>
        <w:pStyle w:val="CommentText"/>
      </w:pPr>
      <w:r>
        <w:rPr>
          <w:rStyle w:val="CommentReference"/>
        </w:rPr>
        <w:annotationRef/>
      </w:r>
      <w:r>
        <w:t>The form doesn’t exist yet but the process will be nearly identical to the existing WEIM DR attestation.</w:t>
      </w:r>
    </w:p>
  </w:comment>
  <w:comment w:id="319" w:author="Martin, Michael" w:date="2025-08-07T14:16:00Z" w:initials="MM">
    <w:p w14:paraId="3418C502" w14:textId="77777777" w:rsidR="008F7E1E" w:rsidRDefault="008F7E1E" w:rsidP="008F7E1E">
      <w:pPr>
        <w:pStyle w:val="CommentText"/>
      </w:pPr>
      <w:r>
        <w:rPr>
          <w:rStyle w:val="CommentReference"/>
        </w:rPr>
        <w:annotationRef/>
      </w:r>
      <w:r>
        <w:t>Yes, agreed it is different as it will apply to RSE as well as the load forecast.  Would there be a reason to have two forms, the existing and new one?  Maybe make them generic. Legal will need to chime in.  I will defer this effort to Legal for the drafting and such.</w:t>
      </w:r>
    </w:p>
  </w:comment>
  <w:comment w:id="320" w:author="Rudolph, John" w:date="2025-07-22T12:02:00Z" w:initials="JR">
    <w:p w14:paraId="354AA223" w14:textId="77777777" w:rsidR="008F7E1E" w:rsidRDefault="008F7E1E" w:rsidP="008F7E1E">
      <w:pPr>
        <w:pStyle w:val="CommentText"/>
      </w:pPr>
      <w:r>
        <w:rPr>
          <w:rStyle w:val="CommentReference"/>
        </w:rPr>
        <w:annotationRef/>
      </w:r>
      <w:r>
        <w:t>Will want to reference technical specs when available for building the API payload</w:t>
      </w:r>
    </w:p>
  </w:comment>
  <w:comment w:id="321" w:author="Motley, Amber" w:date="2025-08-04T09:11:00Z" w:initials="AM">
    <w:p w14:paraId="0B3AEC57" w14:textId="77777777" w:rsidR="008F7E1E" w:rsidRDefault="008F7E1E" w:rsidP="008F7E1E">
      <w:pPr>
        <w:pStyle w:val="CommentText"/>
      </w:pPr>
      <w:r>
        <w:rPr>
          <w:rStyle w:val="CommentReference"/>
        </w:rPr>
        <w:annotationRef/>
      </w:r>
      <w:r>
        <w:t>Is this CAISO or Market Operator?</w:t>
      </w:r>
    </w:p>
  </w:comment>
  <w:comment w:id="322" w:author="Martin, Michael" w:date="2025-08-07T10:01:00Z" w:initials="MM">
    <w:p w14:paraId="6E896DFD" w14:textId="77777777" w:rsidR="008F7E1E" w:rsidRDefault="008F7E1E" w:rsidP="008F7E1E">
      <w:pPr>
        <w:pStyle w:val="CommentText"/>
      </w:pPr>
      <w:r>
        <w:rPr>
          <w:rStyle w:val="CommentReference"/>
        </w:rPr>
        <w:annotationRef/>
      </w:r>
      <w:r>
        <w:t xml:space="preserve">This is STF team, correct?  </w:t>
      </w:r>
    </w:p>
  </w:comment>
  <w:comment w:id="323" w:author="Martin, Michael" w:date="2025-08-13T07:58:00Z" w:initials="MM">
    <w:p w14:paraId="294D7F71" w14:textId="77777777" w:rsidR="008F7E1E" w:rsidRDefault="008F7E1E" w:rsidP="008F7E1E">
      <w:pPr>
        <w:pStyle w:val="CommentText"/>
      </w:pPr>
      <w:r>
        <w:rPr>
          <w:rStyle w:val="CommentReference"/>
        </w:rPr>
        <w:annotationRef/>
      </w:r>
      <w:r>
        <w:t>STF Team.  Do you want to be referred to as CAISO staff or STF Team.  This is not the market operator and is a manual review.</w:t>
      </w:r>
    </w:p>
  </w:comment>
  <w:comment w:id="324" w:author="Webb, Rebecca" w:date="2025-08-15T08:24:00Z" w:initials="RW">
    <w:p w14:paraId="1D1EE7B2" w14:textId="77777777" w:rsidR="008F7E1E" w:rsidRDefault="008F7E1E" w:rsidP="008F7E1E">
      <w:pPr>
        <w:pStyle w:val="CommentText"/>
      </w:pPr>
      <w:r>
        <w:rPr>
          <w:rStyle w:val="CommentReference"/>
        </w:rPr>
        <w:annotationRef/>
      </w:r>
      <w:r>
        <w:t>Updated to STF analyst based on latest email</w:t>
      </w:r>
    </w:p>
  </w:comment>
  <w:comment w:id="325" w:author="Rudolph, John" w:date="2025-08-05T11:35:00Z" w:initials="JR">
    <w:p w14:paraId="45AB62BE" w14:textId="77777777" w:rsidR="008F7E1E" w:rsidRDefault="008F7E1E" w:rsidP="008F7E1E">
      <w:pPr>
        <w:pStyle w:val="CommentText"/>
      </w:pPr>
      <w:r>
        <w:rPr>
          <w:rStyle w:val="CommentReference"/>
        </w:rPr>
        <w:annotationRef/>
      </w:r>
      <w:r>
        <w:t>Not sure if ALFS (Automated Load Forecast System) is already defined in this document?</w:t>
      </w:r>
    </w:p>
  </w:comment>
  <w:comment w:id="326" w:author="Rudolph, John" w:date="2025-08-05T11:38:00Z" w:initials="JR">
    <w:p w14:paraId="5AF7ED03" w14:textId="77777777" w:rsidR="008F7E1E" w:rsidRDefault="008F7E1E" w:rsidP="008F7E1E">
      <w:pPr>
        <w:pStyle w:val="CommentText"/>
      </w:pPr>
      <w:r>
        <w:rPr>
          <w:rStyle w:val="CommentReference"/>
        </w:rPr>
        <w:annotationRef/>
      </w:r>
      <w:r>
        <w:t>CAISO STF staff will verify that ALFS has received the submittal. Flagging since this might not be correct naming convention: Market Operator vs STF Analyst...etc.</w:t>
      </w:r>
    </w:p>
  </w:comment>
  <w:comment w:id="327" w:author="Martin, Michael" w:date="2025-08-07T10:02:00Z" w:initials="MM">
    <w:p w14:paraId="744C6BB2" w14:textId="77777777" w:rsidR="008F7E1E" w:rsidRDefault="008F7E1E" w:rsidP="008F7E1E">
      <w:pPr>
        <w:pStyle w:val="CommentText"/>
      </w:pPr>
      <w:r>
        <w:rPr>
          <w:rStyle w:val="CommentReference"/>
        </w:rPr>
        <w:annotationRef/>
      </w:r>
      <w:r>
        <w:t xml:space="preserve">Up to your team, STF Team, STF Staff? </w:t>
      </w:r>
    </w:p>
  </w:comment>
  <w:comment w:id="328" w:author="Rudolph, John" w:date="2025-07-22T12:05:00Z" w:initials="JR">
    <w:p w14:paraId="32CC832D" w14:textId="77777777" w:rsidR="008F7E1E" w:rsidRDefault="008F7E1E" w:rsidP="008F7E1E">
      <w:pPr>
        <w:pStyle w:val="CommentText"/>
      </w:pPr>
      <w:r>
        <w:rPr>
          <w:rStyle w:val="CommentReference"/>
        </w:rPr>
        <w:annotationRef/>
      </w:r>
      <w:r>
        <w:t>Reporting requirements were left out of EDAM BRS for Day 1 so EDAM entities can only view the DR schedule inclusion via the demand forecast shown in the DA RSE UI tool. Future enhancement could be to also show received DR schedules via this same tool?</w:t>
      </w:r>
    </w:p>
  </w:comment>
  <w:comment w:id="333" w:author="Bosanac, Milos" w:date="2025-10-09T22:13:00Z" w:initials="MB">
    <w:p w14:paraId="6C7862A1" w14:textId="77777777" w:rsidR="00E4601F" w:rsidRDefault="00E4601F" w:rsidP="00E4601F">
      <w:pPr>
        <w:pStyle w:val="CommentText"/>
      </w:pPr>
      <w:r>
        <w:rPr>
          <w:rStyle w:val="CommentReference"/>
        </w:rPr>
        <w:annotationRef/>
      </w:r>
      <w:r>
        <w:t>Michael to help with this?</w:t>
      </w:r>
    </w:p>
  </w:comment>
  <w:comment w:id="346" w:author="Ulmer, Andrew" w:date="2025-05-25T15:02:00Z" w:initials="AU">
    <w:p w14:paraId="50D0F73F" w14:textId="77777777" w:rsidR="00E4601F" w:rsidRDefault="00E4601F" w:rsidP="00E4601F">
      <w:pPr>
        <w:pStyle w:val="CommentText"/>
      </w:pPr>
      <w:r>
        <w:rPr>
          <w:rStyle w:val="CommentReference"/>
        </w:rPr>
        <w:annotationRef/>
      </w:r>
      <w:r>
        <w:t>True?  Not rejected?</w:t>
      </w:r>
    </w:p>
  </w:comment>
  <w:comment w:id="347" w:author="Spewak, Sylvie" w:date="2025-05-28T14:35:00Z" w:initials="SS">
    <w:p w14:paraId="7BAA1DC6" w14:textId="77777777" w:rsidR="00E4601F" w:rsidRDefault="00E4601F" w:rsidP="00E4601F">
      <w:pPr>
        <w:pStyle w:val="CommentText"/>
      </w:pPr>
      <w:r>
        <w:rPr>
          <w:rStyle w:val="CommentReference"/>
        </w:rPr>
        <w:annotationRef/>
      </w:r>
      <w:r>
        <w:t>Might be a wendel question to find out the SIBR rule</w:t>
      </w:r>
    </w:p>
  </w:comment>
  <w:comment w:id="348" w:author="Ulmer, Andrew" w:date="2025-05-25T15:23:00Z" w:initials="AU">
    <w:p w14:paraId="484538BA" w14:textId="77777777" w:rsidR="00E4601F" w:rsidRDefault="00E4601F" w:rsidP="00E4601F">
      <w:pPr>
        <w:pStyle w:val="CommentText"/>
      </w:pPr>
      <w:r>
        <w:rPr>
          <w:rStyle w:val="CommentReference"/>
        </w:rPr>
        <w:annotationRef/>
      </w:r>
      <w:r>
        <w:t>True?  I thought default was always not to accept the GHG bid or is that only if no MW value is submitted?</w:t>
      </w:r>
    </w:p>
  </w:comment>
  <w:comment w:id="349" w:author="Gilbert, Anja" w:date="2025-10-07T16:02:00Z" w:initials="AG">
    <w:p w14:paraId="229E24E5" w14:textId="77777777" w:rsidR="00E4601F" w:rsidRDefault="00E4601F" w:rsidP="00E4601F">
      <w:pPr>
        <w:pStyle w:val="CommentText"/>
      </w:pPr>
      <w:r>
        <w:rPr>
          <w:rStyle w:val="CommentReference"/>
        </w:rPr>
        <w:annotationRef/>
      </w:r>
      <w:r>
        <w:t xml:space="preserve">YT, could you confirm? </w:t>
      </w:r>
    </w:p>
  </w:comment>
  <w:comment w:id="354" w:author="Head, Kevin" w:date="2024-02-02T11:14:00Z" w:initials="HK">
    <w:p w14:paraId="27FA1932" w14:textId="77777777" w:rsidR="00E4601F" w:rsidRDefault="00E4601F" w:rsidP="00E4601F">
      <w:pPr>
        <w:pStyle w:val="CommentText"/>
      </w:pPr>
      <w:r>
        <w:rPr>
          <w:rStyle w:val="CommentReference"/>
        </w:rPr>
        <w:annotationRef/>
      </w:r>
      <w:r>
        <w:t>Check whether this is in the BRS</w:t>
      </w:r>
    </w:p>
  </w:comment>
  <w:comment w:id="355" w:author="Head, Kevin [2]" w:date="2025-09-30T12:03:00Z" w:initials="KH">
    <w:p w14:paraId="40A548E3" w14:textId="77777777" w:rsidR="00E4601F" w:rsidRDefault="00E4601F" w:rsidP="00E4601F">
      <w:pPr>
        <w:pStyle w:val="CommentText"/>
      </w:pPr>
      <w:r>
        <w:rPr>
          <w:rStyle w:val="CommentReference"/>
        </w:rPr>
        <w:annotationRef/>
      </w:r>
      <w:r>
        <w:rPr>
          <w:highlight w:val="yellow"/>
        </w:rPr>
        <w:t>YT/Miheer</w:t>
      </w:r>
      <w:r>
        <w:t>, is this formula still correct for how GHG awards work if there are awards to multiple GHG areas?</w:t>
      </w:r>
    </w:p>
  </w:comment>
  <w:comment w:id="356" w:author="Pelham, Kyle" w:date="2025-10-10T14:25:00Z" w:initials="KP">
    <w:p w14:paraId="723CE8BD" w14:textId="77777777" w:rsidR="00451674" w:rsidRDefault="00451674" w:rsidP="00451674">
      <w:pPr>
        <w:pStyle w:val="CommentText"/>
      </w:pPr>
      <w:r>
        <w:rPr>
          <w:rStyle w:val="CommentReference"/>
        </w:rPr>
        <w:annotationRef/>
      </w:r>
      <w:r>
        <w:t xml:space="preserve">Market Analysis took a look at this and agree that this makes sense for two GHG areas as is. However, beyond two, it would need to be changed to be a summation of all GHG awards for all other GHG areas </w:t>
      </w:r>
    </w:p>
    <w:p w14:paraId="69B64E3C" w14:textId="77777777" w:rsidR="00451674" w:rsidRDefault="00451674" w:rsidP="00451674">
      <w:pPr>
        <w:pStyle w:val="CommentText"/>
      </w:pPr>
      <w:r>
        <w:t>e.g. Eligible GHG capacityA (MW) = max(0, min[Optimal Dispatch, GHG BidA, UEL - baseline] – sum(GHG AwardB:GHG AwardZ)</w:t>
      </w:r>
    </w:p>
  </w:comment>
  <w:comment w:id="367" w:author="Head, Kevin" w:date="2024-02-27T08:07:00Z" w:initials="HK">
    <w:p w14:paraId="1FEA0F5F" w14:textId="5BCA69CA" w:rsidR="00E4601F" w:rsidRDefault="00E4601F" w:rsidP="00E4601F">
      <w:pPr>
        <w:pStyle w:val="CommentText"/>
      </w:pPr>
      <w:r>
        <w:rPr>
          <w:rStyle w:val="CommentReference"/>
        </w:rPr>
        <w:annotationRef/>
      </w:r>
      <w:r>
        <w:t>Probably a good idea to confirm this wording with George or another PSTD teammember</w:t>
      </w:r>
    </w:p>
  </w:comment>
  <w:comment w:id="368" w:author="Head, Kevin [2]" w:date="2025-09-30T12:04:00Z" w:initials="KH">
    <w:p w14:paraId="715C805B" w14:textId="77777777" w:rsidR="00E4601F" w:rsidRDefault="00E4601F" w:rsidP="00E4601F">
      <w:pPr>
        <w:pStyle w:val="CommentText"/>
      </w:pPr>
      <w:r>
        <w:rPr>
          <w:rStyle w:val="CommentReference"/>
        </w:rPr>
        <w:annotationRef/>
      </w:r>
      <w:r>
        <w:rPr>
          <w:highlight w:val="yellow"/>
        </w:rPr>
        <w:t>YT/Miheer</w:t>
      </w:r>
      <w:r>
        <w:t>, is this paragraph accurate for how the gross attribution limit works?</w:t>
      </w:r>
    </w:p>
  </w:comment>
  <w:comment w:id="369" w:author="Head, Kevin" w:date="2024-02-26T09:45:00Z" w:initials="HK">
    <w:p w14:paraId="04B522E4" w14:textId="77777777" w:rsidR="00E4601F" w:rsidRDefault="00E4601F" w:rsidP="00E4601F">
      <w:pPr>
        <w:pStyle w:val="CommentText"/>
      </w:pPr>
      <w:r>
        <w:rPr>
          <w:rStyle w:val="CommentReference"/>
        </w:rPr>
        <w:annotationRef/>
      </w:r>
      <w:r>
        <w:t>Confirm that this is how it has been implemented once functionality is delivered</w:t>
      </w:r>
    </w:p>
  </w:comment>
  <w:comment w:id="370" w:author="Head, Kevin [2]" w:date="2025-09-30T12:06:00Z" w:initials="KH">
    <w:p w14:paraId="340833CF" w14:textId="77777777" w:rsidR="00E4601F" w:rsidRDefault="00E4601F" w:rsidP="00E4601F">
      <w:pPr>
        <w:pStyle w:val="CommentText"/>
      </w:pPr>
      <w:r>
        <w:rPr>
          <w:rStyle w:val="CommentReference"/>
        </w:rPr>
        <w:annotationRef/>
      </w:r>
      <w:r>
        <w:rPr>
          <w:highlight w:val="yellow"/>
        </w:rPr>
        <w:t>YT/Miheer</w:t>
      </w:r>
      <w:r>
        <w:t>, did we implement this constraint? If so, is it described correctly?</w:t>
      </w:r>
    </w:p>
  </w:comment>
  <w:comment w:id="373" w:author="Curlee, Heather" w:date="2025-09-29T16:30:00Z" w:initials="HC">
    <w:p w14:paraId="39B861C5" w14:textId="77777777" w:rsidR="00E4601F" w:rsidRDefault="00E4601F" w:rsidP="00E4601F">
      <w:pPr>
        <w:pStyle w:val="CommentText"/>
      </w:pPr>
      <w:r>
        <w:rPr>
          <w:rStyle w:val="CommentReference"/>
        </w:rPr>
        <w:annotationRef/>
      </w:r>
      <w:r>
        <w:t>Not in RSE section - may be in transmission section?</w:t>
      </w:r>
    </w:p>
  </w:comment>
  <w:comment w:id="372" w:author="Head, Kevin" w:date="2024-02-26T09:48:00Z" w:initials="HK">
    <w:p w14:paraId="718B86AC" w14:textId="77777777" w:rsidR="00E4601F" w:rsidRDefault="00E4601F" w:rsidP="00E4601F">
      <w:pPr>
        <w:pStyle w:val="CommentText"/>
      </w:pPr>
      <w:r>
        <w:rPr>
          <w:rStyle w:val="CommentReference"/>
        </w:rPr>
        <w:annotationRef/>
      </w:r>
      <w:r>
        <w:t>Confirm this language with someone (e.g. George, Milos) and add in reference to the related BPM section</w:t>
      </w:r>
    </w:p>
  </w:comment>
  <w:comment w:id="376" w:author="Delsohn, Gary" w:date="2025-08-08T09:37:00Z" w:initials="GD">
    <w:p w14:paraId="10BA78F6" w14:textId="77777777" w:rsidR="00E4601F" w:rsidRDefault="00E4601F" w:rsidP="00E4601F">
      <w:pPr>
        <w:pStyle w:val="CommentText"/>
      </w:pPr>
      <w:r>
        <w:rPr>
          <w:rStyle w:val="CommentReference"/>
        </w:rPr>
        <w:annotationRef/>
      </w:r>
      <w:r>
        <w:t>Should this be 15-minute market intervals?  Word missing?</w:t>
      </w:r>
    </w:p>
  </w:comment>
  <w:comment w:id="385" w:author="Delsohn, Gary" w:date="2025-08-08T09:47:00Z" w:initials="GD">
    <w:p w14:paraId="617E4FD9" w14:textId="77777777" w:rsidR="003434D5" w:rsidRDefault="003434D5" w:rsidP="003434D5">
      <w:pPr>
        <w:pStyle w:val="CommentText"/>
      </w:pPr>
      <w:r>
        <w:rPr>
          <w:rStyle w:val="CommentReference"/>
        </w:rPr>
        <w:annotationRef/>
      </w:r>
      <w:r>
        <w:t>SCUC needs to be spelled out. I don’t see it references earlier.</w:t>
      </w:r>
    </w:p>
  </w:comment>
  <w:comment w:id="386" w:author="Delsohn, Gary" w:date="2025-08-08T09:50:00Z" w:initials="GD">
    <w:p w14:paraId="45CA33B0" w14:textId="77777777" w:rsidR="003434D5" w:rsidRDefault="003434D5" w:rsidP="003434D5">
      <w:pPr>
        <w:pStyle w:val="CommentText"/>
      </w:pPr>
      <w:r>
        <w:rPr>
          <w:rStyle w:val="CommentReference"/>
        </w:rPr>
        <w:annotationRef/>
      </w:r>
      <w:r>
        <w:t>Attempting to be consistent with upper or lower case of pnode. One or the other is fine but not good to keep switching back and forth.</w:t>
      </w:r>
    </w:p>
  </w:comment>
  <w:comment w:id="390" w:author="Bautista Alderete, Guillermo" w:date="2025-09-29T11:59:00Z" w:initials="GB">
    <w:p w14:paraId="792DCA70" w14:textId="77777777" w:rsidR="003434D5" w:rsidRDefault="003434D5" w:rsidP="003434D5">
      <w:pPr>
        <w:pStyle w:val="CommentText"/>
      </w:pPr>
      <w:r>
        <w:rPr>
          <w:rStyle w:val="CommentReference"/>
        </w:rPr>
        <w:annotationRef/>
      </w:r>
      <w:r>
        <w:t>There are at least two different types of fonts used in the document; let’ stick to one</w:t>
      </w:r>
    </w:p>
  </w:comment>
  <w:comment w:id="408" w:author="Delsohn, Gary" w:date="2025-08-05T13:34:00Z" w:initials="GD">
    <w:p w14:paraId="72072962" w14:textId="77777777" w:rsidR="00E66F21" w:rsidRDefault="00E66F21" w:rsidP="00E66F21">
      <w:pPr>
        <w:pStyle w:val="CommentText"/>
      </w:pPr>
      <w:r>
        <w:rPr>
          <w:rStyle w:val="CommentReference"/>
        </w:rPr>
        <w:annotationRef/>
      </w:r>
      <w:r>
        <w:t>Missing word(s). Does not track.</w:t>
      </w:r>
    </w:p>
  </w:comment>
  <w:comment w:id="416" w:author="Curlee, Heather" w:date="2025-06-25T12:57:00Z" w:initials="HC">
    <w:p w14:paraId="17CB885E" w14:textId="77777777" w:rsidR="00E66F21" w:rsidRDefault="00E66F21" w:rsidP="00E66F21">
      <w:pPr>
        <w:pStyle w:val="CommentText"/>
      </w:pPr>
      <w:r>
        <w:rPr>
          <w:rStyle w:val="CommentReference"/>
        </w:rPr>
        <w:annotationRef/>
      </w:r>
      <w:r>
        <w:t xml:space="preserve">What does this tie to for Section 33?  Need further text clarified prior to publication.  </w:t>
      </w:r>
    </w:p>
  </w:comment>
  <w:comment w:id="417" w:author="Curlee, Heather" w:date="2025-06-25T12:58:00Z" w:initials="HC">
    <w:p w14:paraId="71FC7BDA" w14:textId="77777777" w:rsidR="00E66F21" w:rsidRDefault="00E66F21" w:rsidP="00E66F21">
      <w:pPr>
        <w:pStyle w:val="CommentText"/>
      </w:pPr>
      <w:r>
        <w:rPr>
          <w:rStyle w:val="CommentReference"/>
        </w:rPr>
        <w:annotationRef/>
      </w:r>
      <w:r>
        <w:t xml:space="preserve">Should this be moved up to re-numbered BPM section 3.5 (outages)?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6887DE41" w15:done="1"/>
  <w15:commentEx w15:paraId="443DEB16" w15:done="1"/>
  <w15:commentEx w15:paraId="67D9368A" w15:done="1"/>
  <w15:commentEx w15:paraId="10BE5EDB" w15:paraIdParent="67D9368A" w15:done="1"/>
  <w15:commentEx w15:paraId="2E60D06F" w15:done="1"/>
  <w15:commentEx w15:paraId="56AFCDEA" w15:done="1"/>
  <w15:commentEx w15:paraId="0F3AC172" w15:done="1"/>
  <w15:commentEx w15:paraId="73377EF2" w15:done="1"/>
  <w15:commentEx w15:paraId="43E6A5D4" w15:done="1"/>
  <w15:commentEx w15:paraId="0C365413" w15:done="1"/>
  <w15:commentEx w15:paraId="1B442523" w15:done="1"/>
  <w15:commentEx w15:paraId="20516717" w15:done="1"/>
  <w15:commentEx w15:paraId="2DD9661D" w15:done="1"/>
  <w15:commentEx w15:paraId="082F204F" w15:paraIdParent="2DD9661D" w15:done="1"/>
  <w15:commentEx w15:paraId="0AE8C972" w15:done="1"/>
  <w15:commentEx w15:paraId="58E9D8BE" w15:done="1"/>
  <w15:commentEx w15:paraId="18C6C7CB" w15:paraIdParent="58E9D8BE" w15:done="1"/>
  <w15:commentEx w15:paraId="23ECBE79" w15:done="1"/>
  <w15:commentEx w15:paraId="09E73790" w15:paraIdParent="23ECBE79" w15:done="1"/>
  <w15:commentEx w15:paraId="362E8BB3" w15:done="1"/>
  <w15:commentEx w15:paraId="1A7ACACD" w15:done="1"/>
  <w15:commentEx w15:paraId="73C2C867" w15:paraIdParent="1A7ACACD" w15:done="1"/>
  <w15:commentEx w15:paraId="37BB5516" w15:done="1"/>
  <w15:commentEx w15:paraId="28BBF753" w15:done="1"/>
  <w15:commentEx w15:paraId="7AEBCE9E" w15:done="1"/>
  <w15:commentEx w15:paraId="3320968F" w15:done="1"/>
  <w15:commentEx w15:paraId="043CB888" w15:done="1"/>
  <w15:commentEx w15:paraId="0895BE1C" w15:done="1"/>
  <w15:commentEx w15:paraId="4356033C" w15:done="1"/>
  <w15:commentEx w15:paraId="6ABD5ED8" w15:done="1"/>
  <w15:commentEx w15:paraId="1859A80D" w15:done="1"/>
  <w15:commentEx w15:paraId="73500627" w15:done="1"/>
  <w15:commentEx w15:paraId="6008EDF1" w15:paraIdParent="73500627" w15:done="1"/>
  <w15:commentEx w15:paraId="519D266B" w15:done="1"/>
  <w15:commentEx w15:paraId="14D7B7FB" w15:done="1"/>
  <w15:commentEx w15:paraId="4A5AE57B" w15:done="1"/>
  <w15:commentEx w15:paraId="1F1CC92B" w15:done="1"/>
  <w15:commentEx w15:paraId="4D10F525" w15:done="1"/>
  <w15:commentEx w15:paraId="144177ED" w15:done="1"/>
  <w15:commentEx w15:paraId="503DA3CC" w15:done="1"/>
  <w15:commentEx w15:paraId="2E5E42D3" w15:done="1"/>
  <w15:commentEx w15:paraId="71366813" w15:done="1"/>
  <w15:commentEx w15:paraId="111D3BC0" w15:done="1"/>
  <w15:commentEx w15:paraId="2989F351" w15:done="1"/>
  <w15:commentEx w15:paraId="2C48379A" w15:paraIdParent="2989F351" w15:done="1"/>
  <w15:commentEx w15:paraId="6989EC3B" w15:done="1"/>
  <w15:commentEx w15:paraId="6B3872BD" w15:done="1"/>
  <w15:commentEx w15:paraId="6F96BEA8" w15:done="1"/>
  <w15:commentEx w15:paraId="051D38EF" w15:done="1"/>
  <w15:commentEx w15:paraId="4D1DCCB7" w15:done="1"/>
  <w15:commentEx w15:paraId="33285513" w15:done="1"/>
  <w15:commentEx w15:paraId="2D5486EE" w15:done="1"/>
  <w15:commentEx w15:paraId="1EC927D0" w15:paraIdParent="2D5486EE" w15:done="1"/>
  <w15:commentEx w15:paraId="260917C1" w15:done="1"/>
  <w15:commentEx w15:paraId="45E0FBA3" w15:done="1"/>
  <w15:commentEx w15:paraId="632282B7" w15:done="1"/>
  <w15:commentEx w15:paraId="3DFD92E7" w15:paraIdParent="632282B7" w15:done="1"/>
  <w15:commentEx w15:paraId="43F97B63" w15:done="1"/>
  <w15:commentEx w15:paraId="3804A2F9" w15:done="1"/>
  <w15:commentEx w15:paraId="24ECF8D6" w15:done="1"/>
  <w15:commentEx w15:paraId="79F01EE3" w15:done="1"/>
  <w15:commentEx w15:paraId="32C941EF" w15:done="1"/>
  <w15:commentEx w15:paraId="204F742D" w15:done="1"/>
  <w15:commentEx w15:paraId="0828183F" w15:done="1"/>
  <w15:commentEx w15:paraId="3D720832" w15:done="1"/>
  <w15:commentEx w15:paraId="3FC8827D" w15:paraIdParent="3D720832" w15:done="1"/>
  <w15:commentEx w15:paraId="248E3D63" w15:done="1"/>
  <w15:commentEx w15:paraId="7FD5CF63" w15:done="1"/>
  <w15:commentEx w15:paraId="48820CC3" w15:paraIdParent="7FD5CF63" w15:done="1"/>
  <w15:commentEx w15:paraId="40308229" w15:paraIdParent="7FD5CF63" w15:done="1"/>
  <w15:commentEx w15:paraId="218C24CC" w15:done="1"/>
  <w15:commentEx w15:paraId="56E71493" w15:done="1"/>
  <w15:commentEx w15:paraId="7A0D3D71" w15:paraIdParent="56E71493" w15:done="1"/>
  <w15:commentEx w15:paraId="68FB036C" w15:done="1"/>
  <w15:commentEx w15:paraId="49649B63" w15:done="1"/>
  <w15:commentEx w15:paraId="00BF2B51" w15:done="1"/>
  <w15:commentEx w15:paraId="40ED772D" w15:paraIdParent="00BF2B51" w15:done="1"/>
  <w15:commentEx w15:paraId="2E545137" w15:done="1"/>
  <w15:commentEx w15:paraId="73BC7202" w15:done="1"/>
  <w15:commentEx w15:paraId="1F6EBE6D" w15:done="1"/>
  <w15:commentEx w15:paraId="768C0D46" w15:done="1"/>
  <w15:commentEx w15:paraId="75E620AD" w15:paraIdParent="768C0D46" w15:done="1"/>
  <w15:commentEx w15:paraId="18807C92" w15:paraIdParent="768C0D46" w15:done="1"/>
  <w15:commentEx w15:paraId="143799ED" w15:paraIdParent="768C0D46" w15:done="1"/>
  <w15:commentEx w15:paraId="3418C502" w15:paraIdParent="768C0D46" w15:done="1"/>
  <w15:commentEx w15:paraId="354AA223" w15:done="1"/>
  <w15:commentEx w15:paraId="0B3AEC57" w15:done="1"/>
  <w15:commentEx w15:paraId="6E896DFD" w15:paraIdParent="0B3AEC57" w15:done="1"/>
  <w15:commentEx w15:paraId="294D7F71" w15:paraIdParent="0B3AEC57" w15:done="1"/>
  <w15:commentEx w15:paraId="1D1EE7B2" w15:paraIdParent="0B3AEC57" w15:done="1"/>
  <w15:commentEx w15:paraId="45AB62BE" w15:done="1"/>
  <w15:commentEx w15:paraId="5AF7ED03" w15:done="1"/>
  <w15:commentEx w15:paraId="744C6BB2" w15:paraIdParent="5AF7ED03" w15:done="1"/>
  <w15:commentEx w15:paraId="32CC832D" w15:done="1"/>
  <w15:commentEx w15:paraId="6C7862A1" w15:done="1"/>
  <w15:commentEx w15:paraId="50D0F73F" w15:done="1"/>
  <w15:commentEx w15:paraId="7BAA1DC6" w15:paraIdParent="50D0F73F" w15:done="1"/>
  <w15:commentEx w15:paraId="484538BA" w15:done="1"/>
  <w15:commentEx w15:paraId="229E24E5" w15:paraIdParent="484538BA" w15:done="1"/>
  <w15:commentEx w15:paraId="27FA1932" w15:done="1"/>
  <w15:commentEx w15:paraId="40A548E3" w15:paraIdParent="27FA1932" w15:done="1"/>
  <w15:commentEx w15:paraId="69B64E3C" w15:paraIdParent="27FA1932" w15:done="1"/>
  <w15:commentEx w15:paraId="1FEA0F5F" w15:done="1"/>
  <w15:commentEx w15:paraId="715C805B" w15:paraIdParent="1FEA0F5F" w15:done="1"/>
  <w15:commentEx w15:paraId="04B522E4" w15:done="1"/>
  <w15:commentEx w15:paraId="340833CF" w15:paraIdParent="04B522E4" w15:done="1"/>
  <w15:commentEx w15:paraId="39B861C5" w15:done="1"/>
  <w15:commentEx w15:paraId="718B86AC" w15:done="1"/>
  <w15:commentEx w15:paraId="10BA78F6" w15:done="1"/>
  <w15:commentEx w15:paraId="617E4FD9" w15:done="1"/>
  <w15:commentEx w15:paraId="45CA33B0" w15:done="1"/>
  <w15:commentEx w15:paraId="792DCA70" w15:done="1"/>
  <w15:commentEx w15:paraId="72072962" w15:done="1"/>
  <w15:commentEx w15:paraId="17CB885E" w15:done="1"/>
  <w15:commentEx w15:paraId="71FC7BDA"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17A715E3" w16cex:dateUtc="2025-08-19T20:13:00Z"/>
  <w16cex:commentExtensible w16cex:durableId="6B74861A" w16cex:dateUtc="2025-07-29T16:41:00Z"/>
  <w16cex:commentExtensible w16cex:durableId="1F814BA9" w16cex:dateUtc="2025-09-24T20:47:00Z">
    <w16cex:extLst>
      <w16:ext w16:uri="{CE6994B0-6A32-4C9F-8C6B-6E91EDA988CE}">
        <cr:reactions xmlns:cr="http://schemas.microsoft.com/office/comments/2020/reactions">
          <cr:reaction reactionType="1">
            <cr:reactionInfo dateUtc="2025-09-29T23:02:29Z">
              <cr:user userId="S::hcurlee@caiso.com::931ece83-5528-4c74-963a-63fa04cac457" userProvider="AD" userName="Curlee, Heather"/>
            </cr:reactionInfo>
          </cr:reaction>
        </cr:reactions>
      </w16:ext>
    </w16cex:extLst>
  </w16cex:commentExtensible>
  <w16cex:commentExtensible w16cex:durableId="79BCDD22" w16cex:dateUtc="2025-09-29T23:01:00Z"/>
  <w16cex:commentExtensible w16cex:durableId="1728CF22" w16cex:dateUtc="2025-08-04T19:57:00Z"/>
  <w16cex:commentExtensible w16cex:durableId="551350EE" w16cex:dateUtc="2025-07-29T16:24:00Z"/>
  <w16cex:commentExtensible w16cex:durableId="63F15DEC" w16cex:dateUtc="2025-10-08T17:45:00Z"/>
  <w16cex:commentExtensible w16cex:durableId="6FA7167F" w16cex:dateUtc="2025-08-04T20:08:00Z"/>
  <w16cex:commentExtensible w16cex:durableId="24F65C87" w16cex:dateUtc="2025-07-15T21:58:00Z"/>
  <w16cex:commentExtensible w16cex:durableId="3B6C6AD0" w16cex:dateUtc="2025-08-04T23:04:00Z"/>
  <w16cex:commentExtensible w16cex:durableId="32B5F8EF" w16cex:dateUtc="2025-08-04T23:05:00Z"/>
  <w16cex:commentExtensible w16cex:durableId="5375A314" w16cex:dateUtc="2025-08-03T17:49:00Z"/>
  <w16cex:commentExtensible w16cex:durableId="7F09BD2D" w16cex:dateUtc="2025-06-25T19:49:00Z"/>
  <w16cex:commentExtensible w16cex:durableId="7B876611" w16cex:dateUtc="2025-07-07T17:17:00Z"/>
  <w16cex:commentExtensible w16cex:durableId="4C505F04" w16cex:dateUtc="2025-07-10T21:31:00Z"/>
  <w16cex:commentExtensible w16cex:durableId="0D37A9EA" w16cex:dateUtc="2025-07-30T21:36:00Z"/>
  <w16cex:commentExtensible w16cex:durableId="7AEE45D8" w16cex:dateUtc="2025-10-08T22:23:00Z"/>
  <w16cex:commentExtensible w16cex:durableId="2CAA6BF0" w16cex:dateUtc="2025-10-08T23:09:00Z"/>
  <w16cex:commentExtensible w16cex:durableId="6929D8B2" w16cex:dateUtc="2025-10-15T00:14:00Z"/>
  <w16cex:commentExtensible w16cex:durableId="3499A4AA" w16cex:dateUtc="2025-08-05T15:31:00Z"/>
  <w16cex:commentExtensible w16cex:durableId="4899E1D2" w16cex:dateUtc="2025-07-08T04:58:00Z"/>
  <w16cex:commentExtensible w16cex:durableId="452AD38A" w16cex:dateUtc="2025-07-29T15:14:00Z"/>
  <w16cex:commentExtensible w16cex:durableId="4983DF55" w16cex:dateUtc="2025-07-02T15:37:00Z"/>
  <w16cex:commentExtensible w16cex:durableId="68367F3F" w16cex:dateUtc="2025-08-08T22:25:00Z"/>
  <w16cex:commentExtensible w16cex:durableId="54F97912" w16cex:dateUtc="2025-08-05T21:51:00Z"/>
  <w16cex:commentExtensible w16cex:durableId="655A81C4" w16cex:dateUtc="2025-08-04T22:50:00Z"/>
  <w16cex:commentExtensible w16cex:durableId="2C7B87FC" w16cex:dateUtc="2025-08-04T22:50:00Z"/>
  <w16cex:commentExtensible w16cex:durableId="115B2F6B" w16cex:dateUtc="2025-10-09T20:42:00Z"/>
  <w16cex:commentExtensible w16cex:durableId="2758F679" w16cex:dateUtc="2025-10-09T21:46:00Z"/>
  <w16cex:commentExtensible w16cex:durableId="0DB59AF6" w16cex:dateUtc="2025-10-15T18:39:00Z"/>
  <w16cex:commentExtensible w16cex:durableId="2EFC7FB8" w16cex:dateUtc="2025-10-15T00:09:00Z"/>
  <w16cex:commentExtensible w16cex:durableId="0B5DF585" w16cex:dateUtc="2025-07-30T21:44:00Z"/>
  <w16cex:commentExtensible w16cex:durableId="335EE2C7" w16cex:dateUtc="2025-08-04T19:41:00Z"/>
  <w16cex:commentExtensible w16cex:durableId="00A855C4" w16cex:dateUtc="2025-08-07T21:21:00Z"/>
  <w16cex:commentExtensible w16cex:durableId="44148698" w16cex:dateUtc="2025-07-30T21:46:00Z"/>
  <w16cex:commentExtensible w16cex:durableId="38E4960C" w16cex:dateUtc="2025-10-15T00:05:00Z"/>
  <w16cex:commentExtensible w16cex:durableId="0936B54D" w16cex:dateUtc="2025-09-25T02:56:00Z">
    <w16cex:extLst>
      <w16:ext w16:uri="{CE6994B0-6A32-4C9F-8C6B-6E91EDA988CE}">
        <cr:reactions xmlns:cr="http://schemas.microsoft.com/office/comments/2020/reactions">
          <cr:reaction reactionType="1">
            <cr:reactionInfo dateUtc="2025-09-29T22:55:52Z">
              <cr:user userId="S::hcurlee@caiso.com::931ece83-5528-4c74-963a-63fa04cac457" userProvider="AD" userName="Curlee, Heather"/>
            </cr:reactionInfo>
          </cr:reaction>
        </cr:reactions>
      </w16:ext>
    </w16cex:extLst>
  </w16cex:commentExtensible>
  <w16cex:commentExtensible w16cex:durableId="47A48BE0" w16cex:dateUtc="2025-10-14T23:53:00Z"/>
  <w16cex:commentExtensible w16cex:durableId="4CB70DFB" w16cex:dateUtc="2025-10-15T00:07:00Z"/>
  <w16cex:commentExtensible w16cex:durableId="355CF983" w16cex:dateUtc="2025-10-15T00:07:00Z"/>
  <w16cex:commentExtensible w16cex:durableId="0207AD5E" w16cex:dateUtc="2025-06-19T18:47:00Z"/>
  <w16cex:commentExtensible w16cex:durableId="6868E0AD" w16cex:dateUtc="2025-06-19T19:23:00Z"/>
  <w16cex:commentExtensible w16cex:durableId="75F50682" w16cex:dateUtc="2025-06-19T19:06:00Z"/>
  <w16cex:commentExtensible w16cex:durableId="1A75D4BA" w16cex:dateUtc="2025-07-30T22:19:00Z"/>
  <w16cex:commentExtensible w16cex:durableId="24D11604" w16cex:dateUtc="2025-07-30T22:19:00Z"/>
  <w16cex:commentExtensible w16cex:durableId="1A61C5FD" w16cex:dateUtc="2025-07-30T22:17:00Z"/>
  <w16cex:commentExtensible w16cex:durableId="01763346" w16cex:dateUtc="2025-09-29T22:43:00Z"/>
  <w16cex:commentExtensible w16cex:durableId="35F747C4" w16cex:dateUtc="2025-09-29T22:46:00Z"/>
  <w16cex:commentExtensible w16cex:durableId="327C36D1" w16cex:dateUtc="2025-06-23T19:25:00Z">
    <w16cex:extLst>
      <w16:ext w16:uri="{CE6994B0-6A32-4C9F-8C6B-6E91EDA988CE}">
        <cr:reactions xmlns:cr="http://schemas.microsoft.com/office/comments/2020/reactions">
          <cr:reaction reactionType="1">
            <cr:reactionInfo dateUtc="2025-06-25T20:05:51Z">
              <cr:user userId="S::hcurlee@caiso.com::931ece83-5528-4c74-963a-63fa04cac457" userProvider="AD" userName="Curlee, Heather"/>
            </cr:reactionInfo>
          </cr:reaction>
        </cr:reactions>
      </w16:ext>
    </w16cex:extLst>
  </w16cex:commentExtensible>
  <w16cex:commentExtensible w16cex:durableId="62575E3F" w16cex:dateUtc="2025-08-04T14:35:00Z"/>
  <w16cex:commentExtensible w16cex:durableId="67789ED0" w16cex:dateUtc="2025-08-04T17:27:00Z"/>
  <w16cex:commentExtensible w16cex:durableId="3DA3A142" w16cex:dateUtc="2025-06-25T20:07:00Z"/>
  <w16cex:commentExtensible w16cex:durableId="5E7C185D" w16cex:dateUtc="2025-07-14T18:27:00Z"/>
  <w16cex:commentExtensible w16cex:durableId="1FFE0815" w16cex:dateUtc="2025-07-29T17:09:00Z"/>
  <w16cex:commentExtensible w16cex:durableId="2A423401" w16cex:dateUtc="2025-06-19T20:55:00Z"/>
  <w16cex:commentExtensible w16cex:durableId="50D7F1BC" w16cex:dateUtc="2025-06-19T20:36:00Z"/>
  <w16cex:commentExtensible w16cex:durableId="5A00CAB3" w16cex:dateUtc="2025-07-01T20:05:00Z"/>
  <w16cex:commentExtensible w16cex:durableId="1E44EDFF" w16cex:dateUtc="2025-08-14T22:53:00Z"/>
  <w16cex:commentExtensible w16cex:durableId="2B74BA12" w16cex:dateUtc="2025-08-08T22:34:00Z"/>
  <w16cex:commentExtensible w16cex:durableId="2B5847A8" w16cex:dateUtc="2025-09-22T15:40:00Z"/>
  <w16cex:commentExtensible w16cex:durableId="182A69B6" w16cex:dateUtc="2025-10-14T21:33:00Z"/>
  <w16cex:commentExtensible w16cex:durableId="00D258A5" w16cex:dateUtc="2025-10-20T16:22:00Z"/>
  <w16cex:commentExtensible w16cex:durableId="62E3840C" w16cex:dateUtc="2025-10-14T20:40:00Z"/>
  <w16cex:commentExtensible w16cex:durableId="2BA0BF04" w16cex:dateUtc="2025-08-06T17:17:00Z"/>
  <w16cex:commentExtensible w16cex:durableId="7DF92495" w16cex:dateUtc="2025-10-14T20:45:00Z"/>
  <w16cex:commentExtensible w16cex:durableId="24F69C9B" w16cex:dateUtc="2025-10-20T16:25:00Z"/>
  <w16cex:commentExtensible w16cex:durableId="2F74C85A" w16cex:dateUtc="2025-08-06T17:25:00Z"/>
  <w16cex:commentExtensible w16cex:durableId="04ED50B7" w16cex:dateUtc="2025-07-31T16:37:00Z"/>
  <w16cex:commentExtensible w16cex:durableId="301A67E9" w16cex:dateUtc="2025-08-06T17:15:00Z"/>
  <w16cex:commentExtensible w16cex:durableId="4ED3637C" w16cex:dateUtc="2025-08-07T16:59:00Z"/>
  <w16cex:commentExtensible w16cex:durableId="1C2F5498" w16cex:dateUtc="2025-09-23T17:59:00Z"/>
  <w16cex:commentExtensible w16cex:durableId="69D53150" w16cex:dateUtc="2025-08-07T17:41:00Z"/>
  <w16cex:commentExtensible w16cex:durableId="3B3B6632" w16cex:dateUtc="2025-08-07T17:45:00Z"/>
  <w16cex:commentExtensible w16cex:durableId="6C098D7A" w16cex:dateUtc="2025-08-07T17:55:00Z"/>
  <w16cex:commentExtensible w16cex:durableId="05E3194A" w16cex:dateUtc="2025-10-10T05:01:00Z"/>
  <w16cex:commentExtensible w16cex:durableId="2C15A6F8" w16cex:dateUtc="2025-08-04T14:52:00Z"/>
  <w16cex:commentExtensible w16cex:durableId="66088E08" w16cex:dateUtc="2025-08-04T18:51:00Z"/>
  <w16cex:commentExtensible w16cex:durableId="32A3037A" w16cex:dateUtc="2025-08-04T14:55:00Z"/>
  <w16cex:commentExtensible w16cex:durableId="0A362EB9" w16cex:dateUtc="2025-08-15T19:59:00Z"/>
  <w16cex:commentExtensible w16cex:durableId="57548AC0" w16cex:dateUtc="2025-08-04T14:58:00Z"/>
  <w16cex:commentExtensible w16cex:durableId="2834B0CC" w16cex:dateUtc="2025-06-09T22:20:00Z"/>
  <w16cex:commentExtensible w16cex:durableId="480CEB43" w16cex:dateUtc="2025-06-23T16:57:00Z"/>
  <w16cex:commentExtensible w16cex:durableId="2406AD6D" w16cex:dateUtc="2025-08-04T14:57:00Z"/>
  <w16cex:commentExtensible w16cex:durableId="152B3BA9" w16cex:dateUtc="2025-08-04T17:17:00Z"/>
  <w16cex:commentExtensible w16cex:durableId="021B3811" w16cex:dateUtc="2025-08-07T21:16:00Z"/>
  <w16cex:commentExtensible w16cex:durableId="5EF3342C" w16cex:dateUtc="2025-07-22T19:02:00Z"/>
  <w16cex:commentExtensible w16cex:durableId="2D8B0614" w16cex:dateUtc="2025-08-04T16:11:00Z"/>
  <w16cex:commentExtensible w16cex:durableId="38A02AA8" w16cex:dateUtc="2025-08-07T17:01:00Z"/>
  <w16cex:commentExtensible w16cex:durableId="466B492A" w16cex:dateUtc="2025-08-13T14:58:00Z"/>
  <w16cex:commentExtensible w16cex:durableId="6ABA44A2" w16cex:dateUtc="2025-08-15T15:24:00Z"/>
  <w16cex:commentExtensible w16cex:durableId="6C6FCA10" w16cex:dateUtc="2025-08-05T18:35:00Z"/>
  <w16cex:commentExtensible w16cex:durableId="2209C154" w16cex:dateUtc="2025-08-05T18:38:00Z"/>
  <w16cex:commentExtensible w16cex:durableId="05262D08" w16cex:dateUtc="2025-08-07T17:02:00Z"/>
  <w16cex:commentExtensible w16cex:durableId="289E8CE8" w16cex:dateUtc="2025-07-22T19:05:00Z"/>
  <w16cex:commentExtensible w16cex:durableId="3CAA4CC9" w16cex:dateUtc="2025-10-10T05:13:00Z"/>
  <w16cex:commentExtensible w16cex:durableId="388C47F5" w16cex:dateUtc="2025-05-25T22:02:00Z"/>
  <w16cex:commentExtensible w16cex:durableId="7AED55C3" w16cex:dateUtc="2025-05-28T21:35:00Z"/>
  <w16cex:commentExtensible w16cex:durableId="2D62A6A3" w16cex:dateUtc="2025-05-25T22:23:00Z"/>
  <w16cex:commentExtensible w16cex:durableId="0AC9BB81" w16cex:dateUtc="2025-10-07T23:02:00Z"/>
  <w16cex:commentExtensible w16cex:durableId="42BC3D7E" w16cex:dateUtc="2025-09-30T19:03:00Z"/>
  <w16cex:commentExtensible w16cex:durableId="5574E0C2" w16cex:dateUtc="2025-10-10T21:25:00Z"/>
  <w16cex:commentExtensible w16cex:durableId="635E9288" w16cex:dateUtc="2025-09-30T19:04:00Z"/>
  <w16cex:commentExtensible w16cex:durableId="024F980A" w16cex:dateUtc="2025-09-30T19:06:00Z"/>
  <w16cex:commentExtensible w16cex:durableId="52D5DE05" w16cex:dateUtc="2025-09-29T23:30:00Z"/>
  <w16cex:commentExtensible w16cex:durableId="18896864" w16cex:dateUtc="2025-08-08T16:37:00Z"/>
  <w16cex:commentExtensible w16cex:durableId="4E1AE781" w16cex:dateUtc="2025-08-08T16:47:00Z"/>
  <w16cex:commentExtensible w16cex:durableId="66903C54" w16cex:dateUtc="2025-08-08T16:50:00Z"/>
  <w16cex:commentExtensible w16cex:durableId="6C8ADF31" w16cex:dateUtc="2025-09-29T18:59:00Z"/>
  <w16cex:commentExtensible w16cex:durableId="7966EB92" w16cex:dateUtc="2025-08-05T20:34:00Z"/>
  <w16cex:commentExtensible w16cex:durableId="431C7F70" w16cex:dateUtc="2025-06-25T19:57:00Z"/>
  <w16cex:commentExtensible w16cex:durableId="230D2C9E" w16cex:dateUtc="2025-06-25T19:5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6887DE41" w16cid:durableId="17A715E3"/>
  <w16cid:commentId w16cid:paraId="443DEB16" w16cid:durableId="6B74861A"/>
  <w16cid:commentId w16cid:paraId="67D9368A" w16cid:durableId="1F814BA9"/>
  <w16cid:commentId w16cid:paraId="10BE5EDB" w16cid:durableId="79BCDD22"/>
  <w16cid:commentId w16cid:paraId="2E60D06F" w16cid:durableId="1728CF22"/>
  <w16cid:commentId w16cid:paraId="56AFCDEA" w16cid:durableId="551350EE"/>
  <w16cid:commentId w16cid:paraId="0F3AC172" w16cid:durableId="63F15DEC"/>
  <w16cid:commentId w16cid:paraId="73377EF2" w16cid:durableId="6FA7167F"/>
  <w16cid:commentId w16cid:paraId="43E6A5D4" w16cid:durableId="24F65C87"/>
  <w16cid:commentId w16cid:paraId="0C365413" w16cid:durableId="3B6C6AD0"/>
  <w16cid:commentId w16cid:paraId="1B442523" w16cid:durableId="32B5F8EF"/>
  <w16cid:commentId w16cid:paraId="20516717" w16cid:durableId="5375A314"/>
  <w16cid:commentId w16cid:paraId="2DD9661D" w16cid:durableId="7F09BD2D"/>
  <w16cid:commentId w16cid:paraId="082F204F" w16cid:durableId="7B876611"/>
  <w16cid:commentId w16cid:paraId="0AE8C972" w16cid:durableId="4C505F04"/>
  <w16cid:commentId w16cid:paraId="58E9D8BE" w16cid:durableId="0D37A9EA"/>
  <w16cid:commentId w16cid:paraId="18C6C7CB" w16cid:durableId="7AEE45D8"/>
  <w16cid:commentId w16cid:paraId="23ECBE79" w16cid:durableId="2CAA6BF0"/>
  <w16cid:commentId w16cid:paraId="09E73790" w16cid:durableId="6929D8B2"/>
  <w16cid:commentId w16cid:paraId="362E8BB3" w16cid:durableId="3499A4AA"/>
  <w16cid:commentId w16cid:paraId="1A7ACACD" w16cid:durableId="4899E1D2"/>
  <w16cid:commentId w16cid:paraId="73C2C867" w16cid:durableId="452AD38A"/>
  <w16cid:commentId w16cid:paraId="37BB5516" w16cid:durableId="4983DF55"/>
  <w16cid:commentId w16cid:paraId="28BBF753" w16cid:durableId="68367F3F"/>
  <w16cid:commentId w16cid:paraId="7AEBCE9E" w16cid:durableId="54F97912"/>
  <w16cid:commentId w16cid:paraId="3320968F" w16cid:durableId="655A81C4"/>
  <w16cid:commentId w16cid:paraId="043CB888" w16cid:durableId="2C7B87FC"/>
  <w16cid:commentId w16cid:paraId="0895BE1C" w16cid:durableId="115B2F6B"/>
  <w16cid:commentId w16cid:paraId="4356033C" w16cid:durableId="2758F679"/>
  <w16cid:commentId w16cid:paraId="6ABD5ED8" w16cid:durableId="0DB59AF6"/>
  <w16cid:commentId w16cid:paraId="1859A80D" w16cid:durableId="2EFC7FB8"/>
  <w16cid:commentId w16cid:paraId="73500627" w16cid:durableId="0B5DF585"/>
  <w16cid:commentId w16cid:paraId="6008EDF1" w16cid:durableId="335EE2C7"/>
  <w16cid:commentId w16cid:paraId="519D266B" w16cid:durableId="00A855C4"/>
  <w16cid:commentId w16cid:paraId="14D7B7FB" w16cid:durableId="44148698"/>
  <w16cid:commentId w16cid:paraId="4A5AE57B" w16cid:durableId="38E4960C"/>
  <w16cid:commentId w16cid:paraId="1F1CC92B" w16cid:durableId="0936B54D"/>
  <w16cid:commentId w16cid:paraId="4D10F525" w16cid:durableId="47A48BE0"/>
  <w16cid:commentId w16cid:paraId="144177ED" w16cid:durableId="4CB70DFB"/>
  <w16cid:commentId w16cid:paraId="503DA3CC" w16cid:durableId="355CF983"/>
  <w16cid:commentId w16cid:paraId="2E5E42D3" w16cid:durableId="0207AD5E"/>
  <w16cid:commentId w16cid:paraId="71366813" w16cid:durableId="6868E0AD"/>
  <w16cid:commentId w16cid:paraId="111D3BC0" w16cid:durableId="75F50682"/>
  <w16cid:commentId w16cid:paraId="2989F351" w16cid:durableId="1A75D4BA"/>
  <w16cid:commentId w16cid:paraId="2C48379A" w16cid:durableId="24D11604"/>
  <w16cid:commentId w16cid:paraId="6989EC3B" w16cid:durableId="1A61C5FD"/>
  <w16cid:commentId w16cid:paraId="6B3872BD" w16cid:durableId="01763346"/>
  <w16cid:commentId w16cid:paraId="6F96BEA8" w16cid:durableId="35F747C4"/>
  <w16cid:commentId w16cid:paraId="051D38EF" w16cid:durableId="327C36D1"/>
  <w16cid:commentId w16cid:paraId="4D1DCCB7" w16cid:durableId="62575E3F"/>
  <w16cid:commentId w16cid:paraId="33285513" w16cid:durableId="67789ED0"/>
  <w16cid:commentId w16cid:paraId="2D5486EE" w16cid:durableId="3DA3A142"/>
  <w16cid:commentId w16cid:paraId="1EC927D0" w16cid:durableId="5E7C185D"/>
  <w16cid:commentId w16cid:paraId="260917C1" w16cid:durableId="1FFE0815"/>
  <w16cid:commentId w16cid:paraId="45E0FBA3" w16cid:durableId="2A423401"/>
  <w16cid:commentId w16cid:paraId="632282B7" w16cid:durableId="50D7F1BC"/>
  <w16cid:commentId w16cid:paraId="3DFD92E7" w16cid:durableId="5A00CAB3"/>
  <w16cid:commentId w16cid:paraId="43F97B63" w16cid:durableId="1E44EDFF"/>
  <w16cid:commentId w16cid:paraId="3804A2F9" w16cid:durableId="2B74BA12"/>
  <w16cid:commentId w16cid:paraId="24ECF8D6" w16cid:durableId="2B5847A8"/>
  <w16cid:commentId w16cid:paraId="79F01EE3" w16cid:durableId="182A69B6"/>
  <w16cid:commentId w16cid:paraId="32C941EF" w16cid:durableId="00D258A5"/>
  <w16cid:commentId w16cid:paraId="204F742D" w16cid:durableId="62E3840C"/>
  <w16cid:commentId w16cid:paraId="0828183F" w16cid:durableId="2BA0BF04"/>
  <w16cid:commentId w16cid:paraId="3D720832" w16cid:durableId="7DF92495"/>
  <w16cid:commentId w16cid:paraId="3FC8827D" w16cid:durableId="24F69C9B"/>
  <w16cid:commentId w16cid:paraId="248E3D63" w16cid:durableId="2F74C85A"/>
  <w16cid:commentId w16cid:paraId="7FD5CF63" w16cid:durableId="04ED50B7"/>
  <w16cid:commentId w16cid:paraId="48820CC3" w16cid:durableId="301A67E9"/>
  <w16cid:commentId w16cid:paraId="40308229" w16cid:durableId="4ED3637C"/>
  <w16cid:commentId w16cid:paraId="218C24CC" w16cid:durableId="1C2F5498"/>
  <w16cid:commentId w16cid:paraId="56E71493" w16cid:durableId="69D53150"/>
  <w16cid:commentId w16cid:paraId="7A0D3D71" w16cid:durableId="3B3B6632"/>
  <w16cid:commentId w16cid:paraId="68FB036C" w16cid:durableId="6C098D7A"/>
  <w16cid:commentId w16cid:paraId="49649B63" w16cid:durableId="05E3194A"/>
  <w16cid:commentId w16cid:paraId="00BF2B51" w16cid:durableId="2C15A6F8"/>
  <w16cid:commentId w16cid:paraId="40ED772D" w16cid:durableId="66088E08"/>
  <w16cid:commentId w16cid:paraId="2E545137" w16cid:durableId="32A3037A"/>
  <w16cid:commentId w16cid:paraId="73BC7202" w16cid:durableId="0A362EB9"/>
  <w16cid:commentId w16cid:paraId="1F6EBE6D" w16cid:durableId="57548AC0"/>
  <w16cid:commentId w16cid:paraId="768C0D46" w16cid:durableId="2834B0CC"/>
  <w16cid:commentId w16cid:paraId="75E620AD" w16cid:durableId="480CEB43"/>
  <w16cid:commentId w16cid:paraId="18807C92" w16cid:durableId="2406AD6D"/>
  <w16cid:commentId w16cid:paraId="143799ED" w16cid:durableId="152B3BA9"/>
  <w16cid:commentId w16cid:paraId="3418C502" w16cid:durableId="021B3811"/>
  <w16cid:commentId w16cid:paraId="354AA223" w16cid:durableId="5EF3342C"/>
  <w16cid:commentId w16cid:paraId="0B3AEC57" w16cid:durableId="2D8B0614"/>
  <w16cid:commentId w16cid:paraId="6E896DFD" w16cid:durableId="38A02AA8"/>
  <w16cid:commentId w16cid:paraId="294D7F71" w16cid:durableId="466B492A"/>
  <w16cid:commentId w16cid:paraId="1D1EE7B2" w16cid:durableId="6ABA44A2"/>
  <w16cid:commentId w16cid:paraId="45AB62BE" w16cid:durableId="6C6FCA10"/>
  <w16cid:commentId w16cid:paraId="5AF7ED03" w16cid:durableId="2209C154"/>
  <w16cid:commentId w16cid:paraId="744C6BB2" w16cid:durableId="05262D08"/>
  <w16cid:commentId w16cid:paraId="32CC832D" w16cid:durableId="289E8CE8"/>
  <w16cid:commentId w16cid:paraId="6C7862A1" w16cid:durableId="3CAA4CC9"/>
  <w16cid:commentId w16cid:paraId="50D0F73F" w16cid:durableId="388C47F5"/>
  <w16cid:commentId w16cid:paraId="7BAA1DC6" w16cid:durableId="7AED55C3"/>
  <w16cid:commentId w16cid:paraId="484538BA" w16cid:durableId="2D62A6A3"/>
  <w16cid:commentId w16cid:paraId="229E24E5" w16cid:durableId="0AC9BB81"/>
  <w16cid:commentId w16cid:paraId="27FA1932" w16cid:durableId="0629C160"/>
  <w16cid:commentId w16cid:paraId="40A548E3" w16cid:durableId="42BC3D7E"/>
  <w16cid:commentId w16cid:paraId="69B64E3C" w16cid:durableId="5574E0C2"/>
  <w16cid:commentId w16cid:paraId="1FEA0F5F" w16cid:durableId="3046BCDC"/>
  <w16cid:commentId w16cid:paraId="715C805B" w16cid:durableId="635E9288"/>
  <w16cid:commentId w16cid:paraId="04B522E4" w16cid:durableId="31AC0BC8"/>
  <w16cid:commentId w16cid:paraId="340833CF" w16cid:durableId="024F980A"/>
  <w16cid:commentId w16cid:paraId="39B861C5" w16cid:durableId="52D5DE05"/>
  <w16cid:commentId w16cid:paraId="718B86AC" w16cid:durableId="4F5A63BF"/>
  <w16cid:commentId w16cid:paraId="10BA78F6" w16cid:durableId="18896864"/>
  <w16cid:commentId w16cid:paraId="617E4FD9" w16cid:durableId="4E1AE781"/>
  <w16cid:commentId w16cid:paraId="45CA33B0" w16cid:durableId="66903C54"/>
  <w16cid:commentId w16cid:paraId="792DCA70" w16cid:durableId="6C8ADF31"/>
  <w16cid:commentId w16cid:paraId="72072962" w16cid:durableId="7966EB92"/>
  <w16cid:commentId w16cid:paraId="17CB885E" w16cid:durableId="431C7F70"/>
  <w16cid:commentId w16cid:paraId="71FC7BDA" w16cid:durableId="230D2C9E"/>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3DEF3D" w14:textId="77777777" w:rsidR="00B83728" w:rsidRDefault="00B83728" w:rsidP="00E14135">
      <w:pPr>
        <w:spacing w:after="0" w:line="240" w:lineRule="auto"/>
      </w:pPr>
      <w:r>
        <w:separator/>
      </w:r>
    </w:p>
  </w:endnote>
  <w:endnote w:type="continuationSeparator" w:id="0">
    <w:p w14:paraId="2253C6E5" w14:textId="77777777" w:rsidR="00B83728" w:rsidRDefault="00B83728" w:rsidP="00E14135">
      <w:pPr>
        <w:spacing w:after="0" w:line="240" w:lineRule="auto"/>
      </w:pPr>
      <w:r>
        <w:continuationSeparator/>
      </w:r>
    </w:p>
  </w:endnote>
  <w:endnote w:type="continuationNotice" w:id="1">
    <w:p w14:paraId="7F0EE189" w14:textId="77777777" w:rsidR="00B83728" w:rsidRDefault="00B8372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DC0632" w14:textId="77777777" w:rsidR="00B83728" w:rsidRDefault="00B83728">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6E66CC0" w14:textId="77777777" w:rsidR="00B83728" w:rsidRDefault="00B83728">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D01B82" w14:textId="77777777" w:rsidR="00B83728" w:rsidRDefault="00B83728">
    <w:pPr>
      <w:pStyle w:val="Footer"/>
      <w:pBdr>
        <w:top w:val="none" w:sz="0" w:space="0" w:color="auto"/>
      </w:pBdr>
      <w:rPr>
        <w:i w:val="0"/>
        <w:iC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6AFA5D" w14:textId="5437BFD4" w:rsidR="00B83728" w:rsidRDefault="00B83728">
    <w:pPr>
      <w:pStyle w:val="Footer"/>
    </w:pPr>
    <w:r>
      <w:rPr>
        <w:noProof/>
      </w:rPr>
      <mc:AlternateContent>
        <mc:Choice Requires="wps">
          <w:drawing>
            <wp:anchor distT="0" distB="0" distL="114300" distR="114300" simplePos="0" relativeHeight="251657216" behindDoc="0" locked="0" layoutInCell="0" allowOverlap="1" wp14:anchorId="3A1624DE" wp14:editId="7E911F01">
              <wp:simplePos x="0" y="0"/>
              <wp:positionH relativeFrom="column">
                <wp:posOffset>-31750</wp:posOffset>
              </wp:positionH>
              <wp:positionV relativeFrom="paragraph">
                <wp:posOffset>-32385</wp:posOffset>
              </wp:positionV>
              <wp:extent cx="5986145" cy="0"/>
              <wp:effectExtent l="15875" t="15240" r="17780" b="22860"/>
              <wp:wrapNone/>
              <wp:docPr id="2"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86145" cy="0"/>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515BD00" id="Line 3"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5pt,-2.55pt" to="468.85pt,-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" o:allowincell="f" strokeweight="2.25pt"/>
          </w:pict>
        </mc:Fallback>
      </mc:AlternateContent>
    </w:r>
    <w:r>
      <w:tab/>
      <w:t>Proprietary</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A718E9" w14:textId="3AC032E0" w:rsidR="00B83728" w:rsidRDefault="00B83728" w:rsidP="009003C0">
    <w:pPr>
      <w:pStyle w:val="Footer"/>
      <w:framePr w:w="705" w:wrap="around" w:vAnchor="text" w:hAnchor="page" w:x="10115" w:y="68"/>
      <w:pBdr>
        <w:top w:val="none" w:sz="0" w:space="0" w:color="auto"/>
      </w:pBdr>
      <w:rPr>
        <w:rStyle w:val="PageNumber"/>
        <w:i w:val="0"/>
        <w:iCs/>
        <w:sz w:val="16"/>
      </w:rPr>
    </w:pPr>
    <w:r>
      <w:rPr>
        <w:rStyle w:val="PageNumber"/>
        <w:i w:val="0"/>
        <w:iCs/>
        <w:sz w:val="16"/>
      </w:rPr>
      <w:t xml:space="preserve">Page </w:t>
    </w:r>
    <w:r>
      <w:rPr>
        <w:rStyle w:val="PageNumber"/>
        <w:i w:val="0"/>
        <w:iCs/>
        <w:sz w:val="16"/>
      </w:rPr>
      <w:fldChar w:fldCharType="begin"/>
    </w:r>
    <w:r>
      <w:rPr>
        <w:rStyle w:val="PageNumber"/>
        <w:i w:val="0"/>
        <w:iCs/>
        <w:sz w:val="16"/>
      </w:rPr>
      <w:instrText xml:space="preserve">PAGE  </w:instrText>
    </w:r>
    <w:r>
      <w:rPr>
        <w:rStyle w:val="PageNumber"/>
        <w:i w:val="0"/>
        <w:iCs/>
        <w:sz w:val="16"/>
      </w:rPr>
      <w:fldChar w:fldCharType="separate"/>
    </w:r>
    <w:r w:rsidR="008106FC">
      <w:rPr>
        <w:rStyle w:val="PageNumber"/>
        <w:i w:val="0"/>
        <w:iCs/>
        <w:noProof/>
        <w:sz w:val="16"/>
      </w:rPr>
      <w:t>ii</w:t>
    </w:r>
    <w:r>
      <w:rPr>
        <w:rStyle w:val="PageNumber"/>
        <w:i w:val="0"/>
        <w:iCs/>
        <w:sz w:val="16"/>
      </w:rPr>
      <w:fldChar w:fldCharType="end"/>
    </w:r>
  </w:p>
  <w:p w14:paraId="4E7371EB" w14:textId="79A4C616" w:rsidR="00B83728" w:rsidRDefault="00B83728">
    <w:pPr>
      <w:pStyle w:val="Footer"/>
      <w:tabs>
        <w:tab w:val="center" w:pos="4680"/>
      </w:tabs>
      <w:rPr>
        <w:i w:val="0"/>
        <w:iCs/>
        <w:sz w:val="16"/>
      </w:rPr>
    </w:pPr>
    <w:r>
      <w:rPr>
        <w:i w:val="0"/>
        <w:iCs/>
        <w:sz w:val="16"/>
      </w:rPr>
      <w:t>Version 1</w:t>
    </w:r>
    <w:r>
      <w:rPr>
        <w:i w:val="0"/>
        <w:iCs/>
        <w:sz w:val="16"/>
      </w:rPr>
      <w:tab/>
      <w:t xml:space="preserve">Revised: </w:t>
    </w:r>
    <w:r w:rsidR="00681E96">
      <w:rPr>
        <w:i w:val="0"/>
        <w:iCs/>
        <w:sz w:val="16"/>
      </w:rPr>
      <w:t>October 30, 2025</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7C477C" w14:textId="7E4377E9" w:rsidR="00B83728" w:rsidRDefault="00B83728">
    <w:pPr>
      <w:pStyle w:val="Footer"/>
      <w:framePr w:wrap="around" w:vAnchor="text" w:hAnchor="margin" w:xAlign="right" w:y="74"/>
      <w:pBdr>
        <w:top w:val="none" w:sz="0" w:space="0" w:color="auto"/>
      </w:pBdr>
      <w:rPr>
        <w:rStyle w:val="PageNumber"/>
        <w:i w:val="0"/>
        <w:iCs/>
        <w:sz w:val="16"/>
      </w:rPr>
    </w:pPr>
    <w:r>
      <w:rPr>
        <w:rStyle w:val="PageNumber"/>
        <w:i w:val="0"/>
        <w:iCs/>
        <w:sz w:val="16"/>
      </w:rPr>
      <w:t xml:space="preserve">Page </w:t>
    </w:r>
    <w:r>
      <w:rPr>
        <w:rStyle w:val="PageNumber"/>
        <w:i w:val="0"/>
        <w:iCs/>
        <w:sz w:val="16"/>
      </w:rPr>
      <w:fldChar w:fldCharType="begin"/>
    </w:r>
    <w:r>
      <w:rPr>
        <w:rStyle w:val="PageNumber"/>
        <w:i w:val="0"/>
        <w:iCs/>
        <w:sz w:val="16"/>
      </w:rPr>
      <w:instrText xml:space="preserve">PAGE  </w:instrText>
    </w:r>
    <w:r>
      <w:rPr>
        <w:rStyle w:val="PageNumber"/>
        <w:i w:val="0"/>
        <w:iCs/>
        <w:sz w:val="16"/>
      </w:rPr>
      <w:fldChar w:fldCharType="separate"/>
    </w:r>
    <w:r w:rsidR="008106FC">
      <w:rPr>
        <w:rStyle w:val="PageNumber"/>
        <w:i w:val="0"/>
        <w:iCs/>
        <w:noProof/>
        <w:sz w:val="16"/>
      </w:rPr>
      <w:t>12</w:t>
    </w:r>
    <w:r>
      <w:rPr>
        <w:rStyle w:val="PageNumber"/>
        <w:i w:val="0"/>
        <w:iCs/>
        <w:sz w:val="16"/>
      </w:rPr>
      <w:fldChar w:fldCharType="end"/>
    </w:r>
  </w:p>
  <w:p w14:paraId="3CE743BC" w14:textId="77777777" w:rsidR="00C84AF8" w:rsidRPr="00C84AF8" w:rsidRDefault="00B83728" w:rsidP="00C84AF8">
    <w:pPr>
      <w:pStyle w:val="Footer"/>
      <w:tabs>
        <w:tab w:val="center" w:pos="4680"/>
      </w:tabs>
      <w:rPr>
        <w:i w:val="0"/>
        <w:iCs/>
        <w:sz w:val="16"/>
      </w:rPr>
    </w:pPr>
    <w:r w:rsidRPr="00EE3633">
      <w:rPr>
        <w:i w:val="0"/>
        <w:sz w:val="16"/>
      </w:rPr>
      <w:t>Version 1</w:t>
    </w:r>
    <w:r>
      <w:rPr>
        <w:i w:val="0"/>
        <w:iCs/>
        <w:sz w:val="16"/>
      </w:rPr>
      <w:tab/>
    </w:r>
    <w:r w:rsidR="00C84AF8" w:rsidRPr="00C84AF8">
      <w:rPr>
        <w:i w:val="0"/>
        <w:iCs/>
        <w:sz w:val="16"/>
      </w:rPr>
      <w:t>ISO LIMITED DISTRIBUTION</w:t>
    </w:r>
  </w:p>
  <w:p w14:paraId="44CF26EE" w14:textId="1CC7E3CB" w:rsidR="00B83728" w:rsidRDefault="00C84AF8" w:rsidP="00C84AF8">
    <w:pPr>
      <w:pStyle w:val="Footer"/>
      <w:tabs>
        <w:tab w:val="center" w:pos="4680"/>
      </w:tabs>
      <w:jc w:val="center"/>
      <w:rPr>
        <w:i w:val="0"/>
        <w:iCs/>
        <w:sz w:val="16"/>
      </w:rPr>
    </w:pPr>
    <w:r w:rsidRPr="00C84AF8">
      <w:rPr>
        <w:i w:val="0"/>
        <w:iCs/>
        <w:sz w:val="16"/>
      </w:rPr>
      <w:t>WORKING DRAFT – SUBJECT TO ONGOING REVIEW AND REVISION</w:t>
    </w:r>
  </w:p>
  <w:p w14:paraId="5A154BDB" w14:textId="77777777" w:rsidR="00B83728" w:rsidRDefault="00B83728">
    <w:pPr>
      <w:pStyle w:val="Footer"/>
      <w:tabs>
        <w:tab w:val="center" w:pos="4680"/>
      </w:tabs>
      <w:rPr>
        <w:i w:val="0"/>
        <w:iCs/>
        <w:sz w:val="16"/>
      </w:rPr>
    </w:pPr>
    <w:r>
      <w:rPr>
        <w:i w:val="0"/>
        <w:iCs/>
        <w:sz w:val="16"/>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F2C4FB" w14:textId="77777777" w:rsidR="00B83728" w:rsidRDefault="00B83728" w:rsidP="00E14135">
      <w:pPr>
        <w:spacing w:after="0" w:line="240" w:lineRule="auto"/>
      </w:pPr>
      <w:r>
        <w:separator/>
      </w:r>
    </w:p>
  </w:footnote>
  <w:footnote w:type="continuationSeparator" w:id="0">
    <w:p w14:paraId="48E1936F" w14:textId="77777777" w:rsidR="00B83728" w:rsidRDefault="00B83728" w:rsidP="00E14135">
      <w:pPr>
        <w:spacing w:after="0" w:line="240" w:lineRule="auto"/>
      </w:pPr>
      <w:r>
        <w:continuationSeparator/>
      </w:r>
    </w:p>
  </w:footnote>
  <w:footnote w:type="continuationNotice" w:id="1">
    <w:p w14:paraId="434505E8" w14:textId="77777777" w:rsidR="00B83728" w:rsidRDefault="00B83728">
      <w:pPr>
        <w:spacing w:after="0" w:line="240" w:lineRule="auto"/>
      </w:pPr>
    </w:p>
  </w:footnote>
  <w:footnote w:id="2">
    <w:p w14:paraId="4E0BE5D2" w14:textId="77777777" w:rsidR="00903C3A" w:rsidRDefault="00903C3A" w:rsidP="00903C3A">
      <w:pPr>
        <w:pStyle w:val="FootnoteText"/>
      </w:pPr>
      <w:r>
        <w:rPr>
          <w:rStyle w:val="FootnoteReference"/>
        </w:rPr>
        <w:footnoteRef/>
      </w:r>
      <w:r>
        <w:t xml:space="preserve"> In this example, assuming an EDAM launch of 2026, the 3-year historical average of short term transmission sales is derived based on the average of sales for years 2023, 2024, and 2025.</w:t>
      </w:r>
    </w:p>
  </w:footnote>
  <w:footnote w:id="3">
    <w:p w14:paraId="397C8BBF" w14:textId="77777777" w:rsidR="00903C3A" w:rsidRDefault="00903C3A" w:rsidP="00903C3A">
      <w:pPr>
        <w:pStyle w:val="FootnoteText"/>
      </w:pPr>
      <w:r>
        <w:rPr>
          <w:rStyle w:val="FootnoteReference"/>
        </w:rPr>
        <w:footnoteRef/>
      </w:r>
      <w:r>
        <w:t xml:space="preserve"> The CAISO BAA-equivalents to short-term sales are exports and wheeling-through transactions that would be charged the wheeling access rate.  For purposes of simplicity, this example does not distinguish between the CAISO BAA and its participating transmission owners under the CAISO tariff and an EDAM balancing area with transmission service providers operating under an OATT.</w:t>
      </w:r>
    </w:p>
  </w:footnote>
  <w:footnote w:id="4">
    <w:p w14:paraId="7A09EBC9" w14:textId="77777777" w:rsidR="00903C3A" w:rsidRDefault="00903C3A" w:rsidP="00903C3A">
      <w:pPr>
        <w:pStyle w:val="FootnoteText"/>
      </w:pPr>
      <w:r>
        <w:rPr>
          <w:rStyle w:val="FootnoteReference"/>
        </w:rPr>
        <w:footnoteRef/>
      </w:r>
      <w:r>
        <w:t xml:space="preserve"> For simplicity purposes, all twelve months of the year with excess wheeling-throughs have been summed to reflect the total annual cost rather than showing all twelve months individually as component 3 provides.  </w:t>
      </w:r>
    </w:p>
  </w:footnote>
  <w:footnote w:id="5">
    <w:p w14:paraId="69A77035" w14:textId="77777777" w:rsidR="00903C3A" w:rsidRDefault="00903C3A" w:rsidP="00903C3A">
      <w:pPr>
        <w:pStyle w:val="FootnoteText"/>
      </w:pPr>
      <w:r>
        <w:rPr>
          <w:rStyle w:val="FootnoteReference"/>
        </w:rPr>
        <w:footnoteRef/>
      </w:r>
      <w:r>
        <w:t xml:space="preserve"> Each BAA’s EDAM recoverable revenue is allocated based on the gross load ratio share to the other BAAs, excluding itself.  In the example, BAA 1’s EDAM recoverable revenue of $7,121,250 million is allocated to BAAs 2, 3, and 4 in proportion to their respective load ratio share (excluding the gross load of BAA 1).</w:t>
      </w:r>
    </w:p>
  </w:footnote>
  <w:footnote w:id="6">
    <w:p w14:paraId="57889A90" w14:textId="77777777" w:rsidR="00903C3A" w:rsidRDefault="00903C3A" w:rsidP="00903C3A">
      <w:pPr>
        <w:pStyle w:val="FootnoteText"/>
      </w:pPr>
      <w:r>
        <w:rPr>
          <w:rStyle w:val="FootnoteReference"/>
        </w:rPr>
        <w:footnoteRef/>
      </w:r>
      <w:r>
        <w:t xml:space="preserve"> To avoid differences due to granularity the rate has been rounded up.</w:t>
      </w:r>
    </w:p>
  </w:footnote>
  <w:footnote w:id="7">
    <w:p w14:paraId="5CBF2E3D" w14:textId="77777777" w:rsidR="00E4601F" w:rsidRPr="00B51BCE" w:rsidRDefault="00E4601F" w:rsidP="00E4601F">
      <w:pPr>
        <w:pStyle w:val="FootnoteText"/>
        <w:rPr>
          <w:rFonts w:ascii="Arial" w:hAnsi="Arial" w:cs="Arial"/>
        </w:rPr>
      </w:pPr>
      <w:r w:rsidRPr="00B51BCE">
        <w:rPr>
          <w:rStyle w:val="FootnoteReference"/>
          <w:rFonts w:ascii="Arial" w:hAnsi="Arial" w:cs="Arial"/>
        </w:rPr>
        <w:footnoteRef/>
      </w:r>
      <w:r w:rsidRPr="00B51BCE">
        <w:rPr>
          <w:rFonts w:ascii="Arial" w:hAnsi="Arial" w:cs="Arial"/>
        </w:rPr>
        <w:t xml:space="preserve"> </w:t>
      </w:r>
      <w:r w:rsidRPr="00B51BCE">
        <w:rPr>
          <w:rFonts w:ascii="Arial" w:hAnsi="Arial" w:cs="Arial"/>
        </w:rPr>
        <w:tab/>
      </w:r>
      <w:r>
        <w:rPr>
          <w:rFonts w:ascii="Arial" w:eastAsia="Calibri" w:hAnsi="Arial" w:cs="Arial"/>
        </w:rPr>
        <w:t>Appendix A of the CAISO tariff defines GHG regulation Area to mean “t</w:t>
      </w:r>
      <w:r w:rsidRPr="001C039E">
        <w:rPr>
          <w:rFonts w:ascii="Arial" w:eastAsia="Calibri" w:hAnsi="Arial" w:cs="Arial"/>
        </w:rPr>
        <w:t>he Nodes of the CAISO Balancing Authority Area, an EDAM Entity Balancing Authority Area, or an EIM Entity Balancing Authority Area within the GHG boundary as defined by a state jurisdiction that has priced greenhouse gas emissions as part of a state carbon reduction law or regulation.</w:t>
      </w:r>
      <w:r>
        <w:rPr>
          <w:rFonts w:ascii="Arial" w:eastAsia="Calibri" w:hAnsi="Arial" w:cs="Arial"/>
        </w:rPr>
        <w:t>”</w:t>
      </w:r>
    </w:p>
  </w:footnote>
  <w:footnote w:id="8">
    <w:p w14:paraId="2D5DAED5" w14:textId="77777777" w:rsidR="00E4601F" w:rsidRDefault="00E4601F" w:rsidP="00E4601F">
      <w:pPr>
        <w:pStyle w:val="FootnoteText"/>
      </w:pPr>
      <w:r>
        <w:rPr>
          <w:rStyle w:val="FootnoteReference"/>
        </w:rPr>
        <w:footnoteRef/>
      </w:r>
      <w:r>
        <w:t xml:space="preserve"> </w:t>
      </w:r>
      <w:r>
        <w:tab/>
        <w:t>If the market experiences a disruption and “falls-back” to a prior interval to rely on that interval for market results when a resource had reeved an attribution to serve demand then a resource may receive an attribution to serve load in a GHG regulation area even if it had not submitted a GHG bid adder for the binding interval.</w:t>
      </w:r>
    </w:p>
  </w:footnote>
  <w:footnote w:id="9">
    <w:p w14:paraId="7E08DE98" w14:textId="77777777" w:rsidR="00E4601F" w:rsidRPr="006D3614" w:rsidRDefault="00E4601F" w:rsidP="00E4601F">
      <w:pPr>
        <w:pStyle w:val="ParaText"/>
        <w:rPr>
          <w:rFonts w:ascii="Arial" w:eastAsia="Calibri" w:hAnsi="Arial" w:cs="Arial"/>
          <w:kern w:val="2"/>
          <w:sz w:val="24"/>
        </w:rPr>
      </w:pPr>
      <w:r>
        <w:rPr>
          <w:rStyle w:val="FootnoteReference"/>
        </w:rPr>
        <w:footnoteRef/>
      </w:r>
      <w:r>
        <w:t xml:space="preserve"> </w:t>
      </w:r>
      <w:r>
        <w:tab/>
      </w:r>
      <w:r w:rsidRPr="00636D40">
        <w:rPr>
          <w:rFonts w:ascii="Arial" w:eastAsia="Calibri" w:hAnsi="Arial" w:cs="Arial"/>
          <w:sz w:val="16"/>
          <w:szCs w:val="16"/>
        </w:rPr>
        <w:t xml:space="preserve">The CAISO does not identify </w:t>
      </w:r>
      <w:r w:rsidRPr="005E7F90">
        <w:rPr>
          <w:rFonts w:ascii="Arial" w:eastAsia="Calibri" w:hAnsi="Arial" w:cs="Arial"/>
          <w:sz w:val="16"/>
          <w:szCs w:val="16"/>
        </w:rPr>
        <w:t>emissions associated with secondary dispatch; rather, states may account for them. For example, the California Air Resources Board (CARB) accounts for emissions through its outstanding emissions calculation and then retires freely allocated allowances that CARB would otherwise allocate to electric distribution utilities within California. The outstanding emissions calculation is subject to CARB’s jurisdiction</w:t>
      </w:r>
      <w:r w:rsidRPr="00636D40">
        <w:rPr>
          <w:rFonts w:ascii="Arial" w:eastAsia="Calibri" w:hAnsi="Arial" w:cs="Arial"/>
          <w:sz w:val="16"/>
          <w:szCs w:val="16"/>
        </w:rPr>
        <w:t>.</w:t>
      </w:r>
    </w:p>
  </w:footnote>
  <w:footnote w:id="10">
    <w:p w14:paraId="3550566B" w14:textId="77777777" w:rsidR="00E4601F" w:rsidRDefault="00E4601F" w:rsidP="00E4601F">
      <w:pPr>
        <w:pStyle w:val="FootnoteText"/>
      </w:pPr>
      <w:r>
        <w:rPr>
          <w:rStyle w:val="FootnoteReference"/>
        </w:rPr>
        <w:footnoteRef/>
      </w:r>
      <w:r>
        <w:t xml:space="preserve"> Note that resources located within a GHG regulation area cannot receive a GHG award to serve that same GHG regulation area.</w:t>
      </w:r>
    </w:p>
  </w:footnote>
  <w:footnote w:id="11">
    <w:p w14:paraId="6610219B" w14:textId="77777777" w:rsidR="00E4601F" w:rsidRDefault="00E4601F" w:rsidP="00E4601F">
      <w:pPr>
        <w:pStyle w:val="FootnoteText"/>
      </w:pPr>
      <w:r>
        <w:rPr>
          <w:rStyle w:val="FootnoteReference"/>
        </w:rPr>
        <w:footnoteRef/>
      </w:r>
      <w:r>
        <w:t xml:space="preserve"> States with GHG pricing policies have a mechanism to determine the cost of GHG compliance in their jurisdictions. The MCG is separate and distinct from state determined cost of GHG compliance. </w:t>
      </w:r>
    </w:p>
  </w:footnote>
  <w:footnote w:id="12">
    <w:p w14:paraId="13E6363D" w14:textId="77777777" w:rsidR="00E4601F" w:rsidRDefault="00E4601F" w:rsidP="00E4601F">
      <w:pPr>
        <w:pStyle w:val="FootnoteText"/>
      </w:pPr>
      <w:r>
        <w:rPr>
          <w:rStyle w:val="FootnoteReference"/>
        </w:rPr>
        <w:footnoteRef/>
      </w:r>
      <w:r>
        <w:t xml:space="preserve"> Note: the CAISO presents a simplified example here to demonstrate the basic flow of payments related to the GHG attribution process. Actual market settlements are affected by a variety of other factors such as bid cost recovery. These other factors can be found in the BPM for Settlements and Billings and the associated configuration guides.</w:t>
      </w:r>
    </w:p>
  </w:footnote>
  <w:footnote w:id="13">
    <w:p w14:paraId="01BB9077" w14:textId="77777777" w:rsidR="00E4601F" w:rsidRDefault="00E4601F" w:rsidP="00E4601F">
      <w:pPr>
        <w:pStyle w:val="FootnoteText"/>
      </w:pPr>
      <w:r>
        <w:rPr>
          <w:rStyle w:val="FootnoteReference"/>
        </w:rPr>
        <w:footnoteRef/>
      </w:r>
      <w:r>
        <w:t xml:space="preserve"> Note: both of these examples assume no BAAs that overlap a GHG area have failed the RSE and no resources within the non-GHG area BAA have capacity committed to serve load in a GHG area.</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ED5DB3" w14:textId="77777777" w:rsidR="00B83728" w:rsidRDefault="00B83728">
    <w:pPr>
      <w:pStyle w:val="Header"/>
      <w:rPr>
        <w:b w:val="0"/>
        <w:bCs/>
      </w:rPr>
    </w:pPr>
    <w:r>
      <w:rPr>
        <w:b w:val="0"/>
        <w:noProof/>
      </w:rPr>
      <w:drawing>
        <wp:inline distT="0" distB="0" distL="0" distR="0" wp14:anchorId="25E82A18" wp14:editId="56A3B47B">
          <wp:extent cx="2056130" cy="386080"/>
          <wp:effectExtent l="0" t="0" r="0" b="0"/>
          <wp:docPr id="1" name="Picture 1" descr="CAISOLogo-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ISOLogo-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56130" cy="386080"/>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569929" w14:textId="77777777" w:rsidR="00B83728" w:rsidRPr="00E14135" w:rsidRDefault="00B83728" w:rsidP="00E14135">
    <w:pPr>
      <w:pStyle w:val="Header"/>
    </w:pPr>
    <w:r>
      <w:rPr>
        <w:b w:val="0"/>
        <w:noProof/>
      </w:rPr>
      <w:drawing>
        <wp:inline distT="0" distB="0" distL="0" distR="0" wp14:anchorId="0900A41E" wp14:editId="78A4C074">
          <wp:extent cx="2056130" cy="386080"/>
          <wp:effectExtent l="0" t="0" r="0" b="0"/>
          <wp:docPr id="11" name="Picture 11" descr="CAISOLogo-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ISOLogo-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56130" cy="386080"/>
                  </a:xfrm>
                  <a:prstGeom prst="rect">
                    <a:avLst/>
                  </a:prstGeom>
                  <a:noFill/>
                  <a:ln>
                    <a:noFill/>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A456D9" w14:textId="10AA6B42" w:rsidR="00B83728" w:rsidRDefault="00FB47E6" w:rsidP="00E14135">
    <w:pPr>
      <w:pStyle w:val="Header"/>
      <w:pBdr>
        <w:bottom w:val="single" w:sz="12" w:space="2" w:color="auto"/>
      </w:pBdr>
      <w:tabs>
        <w:tab w:val="clear" w:pos="4320"/>
        <w:tab w:val="clear" w:pos="8640"/>
        <w:tab w:val="right" w:pos="9360"/>
      </w:tabs>
      <w:spacing w:after="0"/>
      <w:rPr>
        <w:b w:val="0"/>
        <w:bCs/>
        <w:sz w:val="16"/>
      </w:rPr>
    </w:pPr>
    <w:sdt>
      <w:sdtPr>
        <w:rPr>
          <w:b w:val="0"/>
          <w:bCs/>
          <w:sz w:val="16"/>
        </w:rPr>
        <w:id w:val="-1122531853"/>
        <w:docPartObj>
          <w:docPartGallery w:val="Watermarks"/>
          <w:docPartUnique/>
        </w:docPartObj>
      </w:sdtPr>
      <w:sdtEndPr/>
      <w:sdtContent>
        <w:r>
          <w:rPr>
            <w:b w:val="0"/>
            <w:bCs/>
            <w:noProof/>
            <w:sz w:val="16"/>
          </w:rPr>
          <w:pict w14:anchorId="3799122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1025" type="#_x0000_t136" style="position:absolute;margin-left:0;margin-top:0;width:412.4pt;height:247.45pt;rotation:315;z-index:-251658240;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sdtContent>
    </w:sdt>
    <w:r w:rsidR="00B83728">
      <w:rPr>
        <w:b w:val="0"/>
        <w:bCs/>
        <w:sz w:val="16"/>
      </w:rPr>
      <w:t xml:space="preserve">ISO Business Practice Manual                                                                                                               </w:t>
    </w:r>
    <w:r w:rsidR="00B83728" w:rsidRPr="00FF2B7C">
      <w:rPr>
        <w:b w:val="0"/>
        <w:bCs/>
        <w:sz w:val="16"/>
      </w:rPr>
      <w:t xml:space="preserve">BPM for </w:t>
    </w:r>
    <w:r w:rsidR="00B83728">
      <w:rPr>
        <w:b w:val="0"/>
        <w:bCs/>
        <w:sz w:val="16"/>
      </w:rPr>
      <w:t xml:space="preserve">Extended </w:t>
    </w:r>
    <w:r w:rsidR="00750440">
      <w:rPr>
        <w:b w:val="0"/>
        <w:bCs/>
        <w:sz w:val="16"/>
      </w:rPr>
      <w:t>Day-Ahead</w:t>
    </w:r>
    <w:r w:rsidR="00105698">
      <w:rPr>
        <w:b w:val="0"/>
        <w:bCs/>
        <w:sz w:val="16"/>
      </w:rPr>
      <w:t xml:space="preserve"> </w:t>
    </w:r>
    <w:r w:rsidR="00B83728">
      <w:rPr>
        <w:b w:val="0"/>
        <w:bCs/>
        <w:sz w:val="16"/>
      </w:rPr>
      <w:t>Market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80E29"/>
    <w:multiLevelType w:val="hybridMultilevel"/>
    <w:tmpl w:val="96FA78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10A15F4"/>
    <w:multiLevelType w:val="hybridMultilevel"/>
    <w:tmpl w:val="E3C831E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02117097"/>
    <w:multiLevelType w:val="hybridMultilevel"/>
    <w:tmpl w:val="54B6634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3C30D4E"/>
    <w:multiLevelType w:val="hybridMultilevel"/>
    <w:tmpl w:val="12324866"/>
    <w:lvl w:ilvl="0" w:tplc="0409000B">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4" w15:restartNumberingAfterBreak="0">
    <w:nsid w:val="043E70D3"/>
    <w:multiLevelType w:val="hybridMultilevel"/>
    <w:tmpl w:val="5F8AB0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4A13FD7"/>
    <w:multiLevelType w:val="hybridMultilevel"/>
    <w:tmpl w:val="B7A831B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4A26F0F"/>
    <w:multiLevelType w:val="hybridMultilevel"/>
    <w:tmpl w:val="E77299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5775EBB"/>
    <w:multiLevelType w:val="hybridMultilevel"/>
    <w:tmpl w:val="684A57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5A25A33"/>
    <w:multiLevelType w:val="hybridMultilevel"/>
    <w:tmpl w:val="374CF1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06F62CFE"/>
    <w:multiLevelType w:val="hybridMultilevel"/>
    <w:tmpl w:val="84F2D1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08862126"/>
    <w:multiLevelType w:val="hybridMultilevel"/>
    <w:tmpl w:val="AA24BBCE"/>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09FA5E7A"/>
    <w:multiLevelType w:val="hybridMultilevel"/>
    <w:tmpl w:val="619AB3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0A936BB8"/>
    <w:multiLevelType w:val="hybridMultilevel"/>
    <w:tmpl w:val="9876649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0B9919B1"/>
    <w:multiLevelType w:val="hybridMultilevel"/>
    <w:tmpl w:val="61486556"/>
    <w:lvl w:ilvl="0" w:tplc="396C6CC6">
      <w:start w:val="1"/>
      <w:numFmt w:val="decimal"/>
      <w:lvlText w:val="%1."/>
      <w:lvlJc w:val="left"/>
      <w:pPr>
        <w:ind w:left="1800" w:hanging="360"/>
      </w:pPr>
      <w:rPr>
        <w:rFonts w:asciiTheme="minorHAnsi" w:eastAsiaTheme="minorEastAsia" w:hAnsi="Arial" w:cstheme="minorBidi" w:hint="default"/>
        <w:color w:val="000000" w:themeColor="text1"/>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4" w15:restartNumberingAfterBreak="0">
    <w:nsid w:val="0BD50C16"/>
    <w:multiLevelType w:val="hybridMultilevel"/>
    <w:tmpl w:val="290E63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0DD56178"/>
    <w:multiLevelType w:val="hybridMultilevel"/>
    <w:tmpl w:val="E8D6F4B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0E160643"/>
    <w:multiLevelType w:val="hybridMultilevel"/>
    <w:tmpl w:val="B066EF7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111A397B"/>
    <w:multiLevelType w:val="hybridMultilevel"/>
    <w:tmpl w:val="3828E8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11407AAC"/>
    <w:multiLevelType w:val="multilevel"/>
    <w:tmpl w:val="D9309C2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116E5375"/>
    <w:multiLevelType w:val="hybridMultilevel"/>
    <w:tmpl w:val="F1F4DC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12B554C5"/>
    <w:multiLevelType w:val="multilevel"/>
    <w:tmpl w:val="B55043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13F13D81"/>
    <w:multiLevelType w:val="hybridMultilevel"/>
    <w:tmpl w:val="68AA9E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13F95F8E"/>
    <w:multiLevelType w:val="singleLevel"/>
    <w:tmpl w:val="2C180D4A"/>
    <w:lvl w:ilvl="0">
      <w:start w:val="1"/>
      <w:numFmt w:val="bullet"/>
      <w:pStyle w:val="Bullet1HRt"/>
      <w:lvlText w:val=""/>
      <w:lvlJc w:val="left"/>
      <w:pPr>
        <w:tabs>
          <w:tab w:val="num" w:pos="720"/>
        </w:tabs>
        <w:ind w:left="720" w:hanging="360"/>
      </w:pPr>
      <w:rPr>
        <w:rFonts w:ascii="Wingdings" w:hAnsi="Wingdings" w:hint="default"/>
      </w:rPr>
    </w:lvl>
  </w:abstractNum>
  <w:abstractNum w:abstractNumId="23" w15:restartNumberingAfterBreak="0">
    <w:nsid w:val="14DA1B66"/>
    <w:multiLevelType w:val="multilevel"/>
    <w:tmpl w:val="87902D08"/>
    <w:lvl w:ilvl="0">
      <w:start w:val="1"/>
      <w:numFmt w:val="bullet"/>
      <w:lvlText w:val="o"/>
      <w:lvlJc w:val="left"/>
      <w:pPr>
        <w:tabs>
          <w:tab w:val="num" w:pos="720"/>
        </w:tabs>
        <w:ind w:left="720" w:hanging="360"/>
      </w:pPr>
      <w:rPr>
        <w:rFonts w:ascii="Courier New" w:hAnsi="Courier New"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o"/>
      <w:lvlJc w:val="left"/>
      <w:pPr>
        <w:tabs>
          <w:tab w:val="num" w:pos="3600"/>
        </w:tabs>
        <w:ind w:left="3600" w:hanging="360"/>
      </w:pPr>
      <w:rPr>
        <w:rFonts w:ascii="Courier New" w:hAnsi="Courier New" w:hint="default"/>
        <w:sz w:val="20"/>
      </w:rPr>
    </w:lvl>
    <w:lvl w:ilvl="5">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4" w15:restartNumberingAfterBreak="0">
    <w:nsid w:val="14EF5505"/>
    <w:multiLevelType w:val="hybridMultilevel"/>
    <w:tmpl w:val="DBBAF1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15627D33"/>
    <w:multiLevelType w:val="hybridMultilevel"/>
    <w:tmpl w:val="D3FAC6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1618476B"/>
    <w:multiLevelType w:val="multilevel"/>
    <w:tmpl w:val="3B22177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16A97FED"/>
    <w:multiLevelType w:val="hybridMultilevel"/>
    <w:tmpl w:val="6FF2216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B">
      <w:start w:val="1"/>
      <w:numFmt w:val="bullet"/>
      <w:lvlText w:val=""/>
      <w:lvlJc w:val="left"/>
      <w:pPr>
        <w:ind w:left="2160" w:hanging="360"/>
      </w:pPr>
      <w:rPr>
        <w:rFonts w:ascii="Wingdings" w:hAnsi="Wingdings" w:hint="default"/>
      </w:rPr>
    </w:lvl>
    <w:lvl w:ilvl="3" w:tplc="04090005">
      <w:start w:val="1"/>
      <w:numFmt w:val="bullet"/>
      <w:lvlText w:val=""/>
      <w:lvlJc w:val="left"/>
      <w:pPr>
        <w:ind w:left="2880" w:hanging="360"/>
      </w:pPr>
      <w:rPr>
        <w:rFonts w:ascii="Wingdings" w:hAnsi="Wingdings"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8" w15:restartNumberingAfterBreak="0">
    <w:nsid w:val="16E925EB"/>
    <w:multiLevelType w:val="hybridMultilevel"/>
    <w:tmpl w:val="E6F2985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171C41EA"/>
    <w:multiLevelType w:val="multilevel"/>
    <w:tmpl w:val="04090027"/>
    <w:lvl w:ilvl="0">
      <w:start w:val="1"/>
      <w:numFmt w:val="upperRoman"/>
      <w:lvlText w:val="%1."/>
      <w:lvlJc w:val="left"/>
      <w:pPr>
        <w:ind w:left="0" w:firstLine="0"/>
      </w:pPr>
    </w:lvl>
    <w:lvl w:ilvl="1">
      <w:start w:val="1"/>
      <w:numFmt w:val="upperLetter"/>
      <w:lvlText w:val="%2."/>
      <w:lvlJc w:val="left"/>
      <w:pPr>
        <w:ind w:left="720" w:firstLine="0"/>
      </w:pPr>
    </w:lvl>
    <w:lvl w:ilvl="2">
      <w:start w:val="1"/>
      <w:numFmt w:val="decimal"/>
      <w:lvlText w:val="%3."/>
      <w:lvlJc w:val="left"/>
      <w:pPr>
        <w:ind w:left="1440" w:firstLine="0"/>
      </w:pPr>
    </w:lvl>
    <w:lvl w:ilvl="3">
      <w:start w:val="1"/>
      <w:numFmt w:val="lowerLetter"/>
      <w:lvlText w:val="%4)"/>
      <w:lvlJc w:val="left"/>
      <w:pPr>
        <w:ind w:left="2160" w:firstLine="0"/>
      </w:pPr>
    </w:lvl>
    <w:lvl w:ilvl="4">
      <w:start w:val="1"/>
      <w:numFmt w:val="decimal"/>
      <w:lvlText w:val="(%5)"/>
      <w:lvlJc w:val="left"/>
      <w:pPr>
        <w:ind w:left="2880" w:firstLine="0"/>
      </w:pPr>
    </w:lvl>
    <w:lvl w:ilvl="5">
      <w:start w:val="1"/>
      <w:numFmt w:val="lowerLetter"/>
      <w:lvlText w:val="(%6)"/>
      <w:lvlJc w:val="left"/>
      <w:pPr>
        <w:ind w:left="3600" w:firstLine="0"/>
      </w:pPr>
    </w:lvl>
    <w:lvl w:ilvl="6">
      <w:start w:val="1"/>
      <w:numFmt w:val="lowerRoman"/>
      <w:lvlText w:val="(%7)"/>
      <w:lvlJc w:val="left"/>
      <w:pPr>
        <w:ind w:left="4320" w:firstLine="0"/>
      </w:pPr>
    </w:lvl>
    <w:lvl w:ilvl="7">
      <w:start w:val="1"/>
      <w:numFmt w:val="lowerLetter"/>
      <w:lvlText w:val="(%8)"/>
      <w:lvlJc w:val="left"/>
      <w:pPr>
        <w:ind w:left="5040" w:firstLine="0"/>
      </w:pPr>
    </w:lvl>
    <w:lvl w:ilvl="8">
      <w:start w:val="1"/>
      <w:numFmt w:val="lowerRoman"/>
      <w:lvlText w:val="(%9)"/>
      <w:lvlJc w:val="left"/>
      <w:pPr>
        <w:ind w:left="5760" w:firstLine="0"/>
      </w:pPr>
    </w:lvl>
  </w:abstractNum>
  <w:abstractNum w:abstractNumId="30" w15:restartNumberingAfterBreak="0">
    <w:nsid w:val="177A5425"/>
    <w:multiLevelType w:val="hybridMultilevel"/>
    <w:tmpl w:val="9198049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1" w15:restartNumberingAfterBreak="0">
    <w:nsid w:val="17C51590"/>
    <w:multiLevelType w:val="hybridMultilevel"/>
    <w:tmpl w:val="B9604A7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2" w15:restartNumberingAfterBreak="0">
    <w:nsid w:val="17FB34EB"/>
    <w:multiLevelType w:val="hybridMultilevel"/>
    <w:tmpl w:val="BD46ACC4"/>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3" w15:restartNumberingAfterBreak="0">
    <w:nsid w:val="18D37AE8"/>
    <w:multiLevelType w:val="hybridMultilevel"/>
    <w:tmpl w:val="BE543AA0"/>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4" w15:restartNumberingAfterBreak="0">
    <w:nsid w:val="19A87FD0"/>
    <w:multiLevelType w:val="hybridMultilevel"/>
    <w:tmpl w:val="9348AAA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1C1B7133"/>
    <w:multiLevelType w:val="hybridMultilevel"/>
    <w:tmpl w:val="8A3A696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6" w15:restartNumberingAfterBreak="0">
    <w:nsid w:val="1C615BDF"/>
    <w:multiLevelType w:val="hybridMultilevel"/>
    <w:tmpl w:val="132E105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1C937D18"/>
    <w:multiLevelType w:val="hybridMultilevel"/>
    <w:tmpl w:val="AC4C6DB8"/>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1DF755AC"/>
    <w:multiLevelType w:val="multilevel"/>
    <w:tmpl w:val="F3E684A0"/>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
      <w:lvlJc w:val="left"/>
      <w:pPr>
        <w:tabs>
          <w:tab w:val="num" w:pos="1440"/>
        </w:tabs>
        <w:ind w:left="1440" w:hanging="360"/>
      </w:pPr>
      <w:rPr>
        <w:rFonts w:ascii="Wingdings" w:hAnsi="Wingdings" w:hint="default"/>
        <w:sz w:val="20"/>
      </w:rPr>
    </w:lvl>
    <w:lvl w:ilvl="2">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1E583B1E"/>
    <w:multiLevelType w:val="hybridMultilevel"/>
    <w:tmpl w:val="719874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1EE1620B"/>
    <w:multiLevelType w:val="hybridMultilevel"/>
    <w:tmpl w:val="F1ACE2A6"/>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20CE3C5F"/>
    <w:multiLevelType w:val="hybridMultilevel"/>
    <w:tmpl w:val="642C5CA2"/>
    <w:lvl w:ilvl="0" w:tplc="5DA0215E">
      <w:numFmt w:val="bullet"/>
      <w:lvlText w:val="-"/>
      <w:lvlJc w:val="left"/>
      <w:pPr>
        <w:ind w:left="720" w:hanging="360"/>
      </w:pPr>
      <w:rPr>
        <w:rFonts w:ascii="Calibri" w:eastAsia="Calibr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2" w15:restartNumberingAfterBreak="0">
    <w:nsid w:val="22ED0657"/>
    <w:multiLevelType w:val="hybridMultilevel"/>
    <w:tmpl w:val="C9CE5B96"/>
    <w:lvl w:ilvl="0" w:tplc="04090001">
      <w:start w:val="1"/>
      <w:numFmt w:val="bullet"/>
      <w:lvlText w:val=""/>
      <w:lvlJc w:val="left"/>
      <w:pPr>
        <w:ind w:left="720" w:hanging="360"/>
      </w:pPr>
      <w:rPr>
        <w:rFonts w:ascii="Symbol" w:hAnsi="Symbol" w:hint="default"/>
      </w:rPr>
    </w:lvl>
    <w:lvl w:ilvl="1" w:tplc="0409000F">
      <w:start w:val="1"/>
      <w:numFmt w:val="decimal"/>
      <w:lvlText w:val="%2."/>
      <w:lvlJc w:val="left"/>
      <w:pPr>
        <w:ind w:left="1440" w:hanging="360"/>
      </w:pPr>
      <w:rPr>
        <w:rFont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25D93A57"/>
    <w:multiLevelType w:val="hybridMultilevel"/>
    <w:tmpl w:val="B376590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269F56B0"/>
    <w:multiLevelType w:val="hybridMultilevel"/>
    <w:tmpl w:val="BCBAB6B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5" w15:restartNumberingAfterBreak="0">
    <w:nsid w:val="27437089"/>
    <w:multiLevelType w:val="multilevel"/>
    <w:tmpl w:val="CA54A16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6" w15:restartNumberingAfterBreak="0">
    <w:nsid w:val="2B021961"/>
    <w:multiLevelType w:val="hybridMultilevel"/>
    <w:tmpl w:val="8A3CAD6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2B3B3A7E"/>
    <w:multiLevelType w:val="hybridMultilevel"/>
    <w:tmpl w:val="E69230DC"/>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8" w15:restartNumberingAfterBreak="0">
    <w:nsid w:val="2B4D6FFC"/>
    <w:multiLevelType w:val="hybridMultilevel"/>
    <w:tmpl w:val="872E5B9A"/>
    <w:lvl w:ilvl="0" w:tplc="04090011">
      <w:start w:val="1"/>
      <w:numFmt w:val="decimal"/>
      <w:lvlText w:val="%1)"/>
      <w:lvlJc w:val="left"/>
      <w:pPr>
        <w:ind w:left="720" w:hanging="360"/>
      </w:pPr>
    </w:lvl>
    <w:lvl w:ilvl="1" w:tplc="04090017">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2FC01E51"/>
    <w:multiLevelType w:val="hybridMultilevel"/>
    <w:tmpl w:val="9B98C0FA"/>
    <w:lvl w:ilvl="0" w:tplc="E2AEE204">
      <w:start w:val="1"/>
      <w:numFmt w:val="bullet"/>
      <w:lvlText w:val="–"/>
      <w:lvlJc w:val="left"/>
      <w:pPr>
        <w:tabs>
          <w:tab w:val="num" w:pos="720"/>
        </w:tabs>
        <w:ind w:left="720" w:hanging="360"/>
      </w:pPr>
      <w:rPr>
        <w:rFonts w:ascii="Arial" w:hAnsi="Arial" w:hint="default"/>
      </w:rPr>
    </w:lvl>
    <w:lvl w:ilvl="1" w:tplc="6CC05BE4">
      <w:start w:val="1"/>
      <w:numFmt w:val="bullet"/>
      <w:lvlText w:val="–"/>
      <w:lvlJc w:val="left"/>
      <w:pPr>
        <w:tabs>
          <w:tab w:val="num" w:pos="1440"/>
        </w:tabs>
        <w:ind w:left="1440" w:hanging="360"/>
      </w:pPr>
      <w:rPr>
        <w:rFonts w:ascii="Arial" w:hAnsi="Arial" w:hint="default"/>
      </w:rPr>
    </w:lvl>
    <w:lvl w:ilvl="2" w:tplc="A2CAC4E4">
      <w:numFmt w:val="bullet"/>
      <w:lvlText w:val="•"/>
      <w:lvlJc w:val="left"/>
      <w:pPr>
        <w:tabs>
          <w:tab w:val="num" w:pos="2160"/>
        </w:tabs>
        <w:ind w:left="2160" w:hanging="360"/>
      </w:pPr>
      <w:rPr>
        <w:rFonts w:ascii="Arial" w:hAnsi="Arial" w:hint="default"/>
      </w:rPr>
    </w:lvl>
    <w:lvl w:ilvl="3" w:tplc="082CBC00" w:tentative="1">
      <w:start w:val="1"/>
      <w:numFmt w:val="bullet"/>
      <w:lvlText w:val="–"/>
      <w:lvlJc w:val="left"/>
      <w:pPr>
        <w:tabs>
          <w:tab w:val="num" w:pos="2880"/>
        </w:tabs>
        <w:ind w:left="2880" w:hanging="360"/>
      </w:pPr>
      <w:rPr>
        <w:rFonts w:ascii="Arial" w:hAnsi="Arial" w:hint="default"/>
      </w:rPr>
    </w:lvl>
    <w:lvl w:ilvl="4" w:tplc="045A5528" w:tentative="1">
      <w:start w:val="1"/>
      <w:numFmt w:val="bullet"/>
      <w:lvlText w:val="–"/>
      <w:lvlJc w:val="left"/>
      <w:pPr>
        <w:tabs>
          <w:tab w:val="num" w:pos="3600"/>
        </w:tabs>
        <w:ind w:left="3600" w:hanging="360"/>
      </w:pPr>
      <w:rPr>
        <w:rFonts w:ascii="Arial" w:hAnsi="Arial" w:hint="default"/>
      </w:rPr>
    </w:lvl>
    <w:lvl w:ilvl="5" w:tplc="5AC00DE2" w:tentative="1">
      <w:start w:val="1"/>
      <w:numFmt w:val="bullet"/>
      <w:lvlText w:val="–"/>
      <w:lvlJc w:val="left"/>
      <w:pPr>
        <w:tabs>
          <w:tab w:val="num" w:pos="4320"/>
        </w:tabs>
        <w:ind w:left="4320" w:hanging="360"/>
      </w:pPr>
      <w:rPr>
        <w:rFonts w:ascii="Arial" w:hAnsi="Arial" w:hint="default"/>
      </w:rPr>
    </w:lvl>
    <w:lvl w:ilvl="6" w:tplc="F662AD56" w:tentative="1">
      <w:start w:val="1"/>
      <w:numFmt w:val="bullet"/>
      <w:lvlText w:val="–"/>
      <w:lvlJc w:val="left"/>
      <w:pPr>
        <w:tabs>
          <w:tab w:val="num" w:pos="5040"/>
        </w:tabs>
        <w:ind w:left="5040" w:hanging="360"/>
      </w:pPr>
      <w:rPr>
        <w:rFonts w:ascii="Arial" w:hAnsi="Arial" w:hint="default"/>
      </w:rPr>
    </w:lvl>
    <w:lvl w:ilvl="7" w:tplc="53682294" w:tentative="1">
      <w:start w:val="1"/>
      <w:numFmt w:val="bullet"/>
      <w:lvlText w:val="–"/>
      <w:lvlJc w:val="left"/>
      <w:pPr>
        <w:tabs>
          <w:tab w:val="num" w:pos="5760"/>
        </w:tabs>
        <w:ind w:left="5760" w:hanging="360"/>
      </w:pPr>
      <w:rPr>
        <w:rFonts w:ascii="Arial" w:hAnsi="Arial" w:hint="default"/>
      </w:rPr>
    </w:lvl>
    <w:lvl w:ilvl="8" w:tplc="D2E4FC82" w:tentative="1">
      <w:start w:val="1"/>
      <w:numFmt w:val="bullet"/>
      <w:lvlText w:val="–"/>
      <w:lvlJc w:val="left"/>
      <w:pPr>
        <w:tabs>
          <w:tab w:val="num" w:pos="6480"/>
        </w:tabs>
        <w:ind w:left="6480" w:hanging="360"/>
      </w:pPr>
      <w:rPr>
        <w:rFonts w:ascii="Arial" w:hAnsi="Arial" w:hint="default"/>
      </w:rPr>
    </w:lvl>
  </w:abstractNum>
  <w:abstractNum w:abstractNumId="50" w15:restartNumberingAfterBreak="0">
    <w:nsid w:val="30A61353"/>
    <w:multiLevelType w:val="multilevel"/>
    <w:tmpl w:val="F7AABB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1" w15:restartNumberingAfterBreak="0">
    <w:nsid w:val="30BE1E4C"/>
    <w:multiLevelType w:val="hybridMultilevel"/>
    <w:tmpl w:val="0A86F9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15:restartNumberingAfterBreak="0">
    <w:nsid w:val="31066796"/>
    <w:multiLevelType w:val="multilevel"/>
    <w:tmpl w:val="D4A2FC82"/>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Wingdings" w:hAnsi="Wingdings" w:hint="default"/>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3" w15:restartNumberingAfterBreak="0">
    <w:nsid w:val="32D66CC5"/>
    <w:multiLevelType w:val="singleLevel"/>
    <w:tmpl w:val="D9CC151C"/>
    <w:lvl w:ilvl="0">
      <w:start w:val="1"/>
      <w:numFmt w:val="bullet"/>
      <w:pStyle w:val="Bullet2"/>
      <w:lvlText w:val=""/>
      <w:lvlJc w:val="left"/>
      <w:pPr>
        <w:tabs>
          <w:tab w:val="num" w:pos="1080"/>
        </w:tabs>
        <w:ind w:left="1080" w:hanging="360"/>
      </w:pPr>
      <w:rPr>
        <w:rFonts w:ascii="Wingdings" w:hAnsi="Wingdings" w:hint="default"/>
      </w:rPr>
    </w:lvl>
  </w:abstractNum>
  <w:abstractNum w:abstractNumId="54" w15:restartNumberingAfterBreak="0">
    <w:nsid w:val="32FF2C6F"/>
    <w:multiLevelType w:val="multilevel"/>
    <w:tmpl w:val="99FE47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5" w15:restartNumberingAfterBreak="0">
    <w:nsid w:val="33A27E93"/>
    <w:multiLevelType w:val="hybridMultilevel"/>
    <w:tmpl w:val="53487C4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6" w15:restartNumberingAfterBreak="0">
    <w:nsid w:val="380D06AF"/>
    <w:multiLevelType w:val="multilevel"/>
    <w:tmpl w:val="95E29970"/>
    <w:lvl w:ilvl="0">
      <w:start w:val="1"/>
      <w:numFmt w:val="decimal"/>
      <w:pStyle w:val="1"/>
      <w:lvlText w:val="%1)"/>
      <w:lvlJc w:val="left"/>
      <w:pPr>
        <w:tabs>
          <w:tab w:val="num" w:pos="1440"/>
        </w:tabs>
        <w:ind w:left="1440" w:hanging="360"/>
      </w:pPr>
      <w:rPr>
        <w:rFonts w:ascii="Arial" w:hAnsi="Arial" w:hint="default"/>
        <w:b w:val="0"/>
        <w:i w:val="0"/>
        <w:sz w:val="22"/>
        <w:u w:val="none"/>
      </w:rPr>
    </w:lvl>
    <w:lvl w:ilvl="1">
      <w:start w:val="1"/>
      <w:numFmt w:val="lowerLetter"/>
      <w:lvlText w:val="%2)"/>
      <w:lvlJc w:val="left"/>
      <w:pPr>
        <w:tabs>
          <w:tab w:val="num" w:pos="1800"/>
        </w:tabs>
        <w:ind w:left="1800" w:hanging="360"/>
      </w:pPr>
      <w:rPr>
        <w:rFonts w:hint="default"/>
      </w:rPr>
    </w:lvl>
    <w:lvl w:ilvl="2">
      <w:start w:val="1"/>
      <w:numFmt w:val="lowerRoman"/>
      <w:lvlText w:val="%3)"/>
      <w:lvlJc w:val="left"/>
      <w:pPr>
        <w:tabs>
          <w:tab w:val="num" w:pos="2520"/>
        </w:tabs>
        <w:ind w:left="2160" w:hanging="360"/>
      </w:pPr>
      <w:rPr>
        <w:rFonts w:hint="default"/>
      </w:rPr>
    </w:lvl>
    <w:lvl w:ilvl="3">
      <w:start w:val="1"/>
      <w:numFmt w:val="decimal"/>
      <w:lvlText w:val="(%4)"/>
      <w:lvlJc w:val="left"/>
      <w:pPr>
        <w:tabs>
          <w:tab w:val="num" w:pos="2520"/>
        </w:tabs>
        <w:ind w:left="2520" w:hanging="360"/>
      </w:pPr>
      <w:rPr>
        <w:rFonts w:hint="default"/>
      </w:rPr>
    </w:lvl>
    <w:lvl w:ilvl="4">
      <w:start w:val="1"/>
      <w:numFmt w:val="lowerLetter"/>
      <w:lvlText w:val="(%5)"/>
      <w:lvlJc w:val="left"/>
      <w:pPr>
        <w:tabs>
          <w:tab w:val="num" w:pos="2880"/>
        </w:tabs>
        <w:ind w:left="288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7" w15:restartNumberingAfterBreak="0">
    <w:nsid w:val="38960FF7"/>
    <w:multiLevelType w:val="hybridMultilevel"/>
    <w:tmpl w:val="3C561BCC"/>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8" w15:restartNumberingAfterBreak="0">
    <w:nsid w:val="3920439C"/>
    <w:multiLevelType w:val="hybridMultilevel"/>
    <w:tmpl w:val="EA848C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395E0302"/>
    <w:multiLevelType w:val="hybridMultilevel"/>
    <w:tmpl w:val="012653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0" w15:restartNumberingAfterBreak="0">
    <w:nsid w:val="3A2130E3"/>
    <w:multiLevelType w:val="hybridMultilevel"/>
    <w:tmpl w:val="45F6444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1" w15:restartNumberingAfterBreak="0">
    <w:nsid w:val="3CA016D0"/>
    <w:multiLevelType w:val="hybridMultilevel"/>
    <w:tmpl w:val="F00221B6"/>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2" w15:restartNumberingAfterBreak="0">
    <w:nsid w:val="3EE471F0"/>
    <w:multiLevelType w:val="hybridMultilevel"/>
    <w:tmpl w:val="535EA3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3" w15:restartNumberingAfterBreak="0">
    <w:nsid w:val="3F421606"/>
    <w:multiLevelType w:val="multilevel"/>
    <w:tmpl w:val="0BCABB5A"/>
    <w:lvl w:ilvl="0">
      <w:start w:val="1"/>
      <w:numFmt w:val="bullet"/>
      <w:lvlText w:val=""/>
      <w:lvlJc w:val="left"/>
      <w:pPr>
        <w:tabs>
          <w:tab w:val="num" w:pos="720"/>
        </w:tabs>
        <w:ind w:left="720" w:hanging="360"/>
      </w:pPr>
      <w:rPr>
        <w:rFonts w:ascii="Wingdings" w:hAnsi="Wingdings"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4" w15:restartNumberingAfterBreak="0">
    <w:nsid w:val="40B94A39"/>
    <w:multiLevelType w:val="hybridMultilevel"/>
    <w:tmpl w:val="851267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5" w15:restartNumberingAfterBreak="0">
    <w:nsid w:val="41157306"/>
    <w:multiLevelType w:val="multilevel"/>
    <w:tmpl w:val="00B468FC"/>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6" w15:restartNumberingAfterBreak="0">
    <w:nsid w:val="41D13B21"/>
    <w:multiLevelType w:val="hybridMultilevel"/>
    <w:tmpl w:val="2D8E03A0"/>
    <w:lvl w:ilvl="0" w:tplc="7A2A0686">
      <w:start w:val="1"/>
      <w:numFmt w:val="bullet"/>
      <w:lvlText w:val="•"/>
      <w:lvlJc w:val="left"/>
      <w:pPr>
        <w:tabs>
          <w:tab w:val="num" w:pos="720"/>
        </w:tabs>
        <w:ind w:left="720" w:hanging="360"/>
      </w:pPr>
      <w:rPr>
        <w:rFonts w:ascii="Arial" w:hAnsi="Arial" w:hint="default"/>
      </w:rPr>
    </w:lvl>
    <w:lvl w:ilvl="1" w:tplc="89D88B78">
      <w:numFmt w:val="bullet"/>
      <w:lvlText w:val="–"/>
      <w:lvlJc w:val="left"/>
      <w:pPr>
        <w:tabs>
          <w:tab w:val="num" w:pos="1440"/>
        </w:tabs>
        <w:ind w:left="1440" w:hanging="360"/>
      </w:pPr>
      <w:rPr>
        <w:rFonts w:ascii="Arial" w:hAnsi="Arial" w:hint="default"/>
      </w:rPr>
    </w:lvl>
    <w:lvl w:ilvl="2" w:tplc="26F4D6BC">
      <w:numFmt w:val="bullet"/>
      <w:lvlText w:val="•"/>
      <w:lvlJc w:val="left"/>
      <w:pPr>
        <w:tabs>
          <w:tab w:val="num" w:pos="2160"/>
        </w:tabs>
        <w:ind w:left="2160" w:hanging="360"/>
      </w:pPr>
      <w:rPr>
        <w:rFonts w:ascii="Arial" w:hAnsi="Arial" w:hint="default"/>
      </w:rPr>
    </w:lvl>
    <w:lvl w:ilvl="3" w:tplc="A5AADAF8" w:tentative="1">
      <w:start w:val="1"/>
      <w:numFmt w:val="bullet"/>
      <w:lvlText w:val="•"/>
      <w:lvlJc w:val="left"/>
      <w:pPr>
        <w:tabs>
          <w:tab w:val="num" w:pos="2880"/>
        </w:tabs>
        <w:ind w:left="2880" w:hanging="360"/>
      </w:pPr>
      <w:rPr>
        <w:rFonts w:ascii="Arial" w:hAnsi="Arial" w:hint="default"/>
      </w:rPr>
    </w:lvl>
    <w:lvl w:ilvl="4" w:tplc="E10AC9E0" w:tentative="1">
      <w:start w:val="1"/>
      <w:numFmt w:val="bullet"/>
      <w:lvlText w:val="•"/>
      <w:lvlJc w:val="left"/>
      <w:pPr>
        <w:tabs>
          <w:tab w:val="num" w:pos="3600"/>
        </w:tabs>
        <w:ind w:left="3600" w:hanging="360"/>
      </w:pPr>
      <w:rPr>
        <w:rFonts w:ascii="Arial" w:hAnsi="Arial" w:hint="default"/>
      </w:rPr>
    </w:lvl>
    <w:lvl w:ilvl="5" w:tplc="553E9DD2" w:tentative="1">
      <w:start w:val="1"/>
      <w:numFmt w:val="bullet"/>
      <w:lvlText w:val="•"/>
      <w:lvlJc w:val="left"/>
      <w:pPr>
        <w:tabs>
          <w:tab w:val="num" w:pos="4320"/>
        </w:tabs>
        <w:ind w:left="4320" w:hanging="360"/>
      </w:pPr>
      <w:rPr>
        <w:rFonts w:ascii="Arial" w:hAnsi="Arial" w:hint="default"/>
      </w:rPr>
    </w:lvl>
    <w:lvl w:ilvl="6" w:tplc="294A4F44" w:tentative="1">
      <w:start w:val="1"/>
      <w:numFmt w:val="bullet"/>
      <w:lvlText w:val="•"/>
      <w:lvlJc w:val="left"/>
      <w:pPr>
        <w:tabs>
          <w:tab w:val="num" w:pos="5040"/>
        </w:tabs>
        <w:ind w:left="5040" w:hanging="360"/>
      </w:pPr>
      <w:rPr>
        <w:rFonts w:ascii="Arial" w:hAnsi="Arial" w:hint="default"/>
      </w:rPr>
    </w:lvl>
    <w:lvl w:ilvl="7" w:tplc="60423D02" w:tentative="1">
      <w:start w:val="1"/>
      <w:numFmt w:val="bullet"/>
      <w:lvlText w:val="•"/>
      <w:lvlJc w:val="left"/>
      <w:pPr>
        <w:tabs>
          <w:tab w:val="num" w:pos="5760"/>
        </w:tabs>
        <w:ind w:left="5760" w:hanging="360"/>
      </w:pPr>
      <w:rPr>
        <w:rFonts w:ascii="Arial" w:hAnsi="Arial" w:hint="default"/>
      </w:rPr>
    </w:lvl>
    <w:lvl w:ilvl="8" w:tplc="FEC8FC86" w:tentative="1">
      <w:start w:val="1"/>
      <w:numFmt w:val="bullet"/>
      <w:lvlText w:val="•"/>
      <w:lvlJc w:val="left"/>
      <w:pPr>
        <w:tabs>
          <w:tab w:val="num" w:pos="6480"/>
        </w:tabs>
        <w:ind w:left="6480" w:hanging="360"/>
      </w:pPr>
      <w:rPr>
        <w:rFonts w:ascii="Arial" w:hAnsi="Arial" w:hint="default"/>
      </w:rPr>
    </w:lvl>
  </w:abstractNum>
  <w:abstractNum w:abstractNumId="67" w15:restartNumberingAfterBreak="0">
    <w:nsid w:val="41D67F65"/>
    <w:multiLevelType w:val="hybridMultilevel"/>
    <w:tmpl w:val="38DA81C8"/>
    <w:lvl w:ilvl="0" w:tplc="04090001">
      <w:start w:val="1"/>
      <w:numFmt w:val="bullet"/>
      <w:lvlText w:val=""/>
      <w:lvlJc w:val="left"/>
      <w:pPr>
        <w:ind w:left="2160" w:hanging="360"/>
      </w:pPr>
      <w:rPr>
        <w:rFonts w:ascii="Symbol" w:hAnsi="Symbol" w:hint="default"/>
      </w:rPr>
    </w:lvl>
    <w:lvl w:ilvl="1" w:tplc="04090003">
      <w:start w:val="1"/>
      <w:numFmt w:val="bullet"/>
      <w:lvlText w:val="o"/>
      <w:lvlJc w:val="left"/>
      <w:pPr>
        <w:ind w:left="2880" w:hanging="360"/>
      </w:pPr>
      <w:rPr>
        <w:rFonts w:ascii="Courier New" w:hAnsi="Courier New" w:cs="Courier New" w:hint="default"/>
      </w:rPr>
    </w:lvl>
    <w:lvl w:ilvl="2" w:tplc="04090005">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68" w15:restartNumberingAfterBreak="0">
    <w:nsid w:val="422B2878"/>
    <w:multiLevelType w:val="hybridMultilevel"/>
    <w:tmpl w:val="7E089FC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9" w15:restartNumberingAfterBreak="0">
    <w:nsid w:val="43846750"/>
    <w:multiLevelType w:val="hybridMultilevel"/>
    <w:tmpl w:val="4FD65B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0" w15:restartNumberingAfterBreak="0">
    <w:nsid w:val="440406A1"/>
    <w:multiLevelType w:val="hybridMultilevel"/>
    <w:tmpl w:val="012C60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1" w15:restartNumberingAfterBreak="0">
    <w:nsid w:val="447E4A22"/>
    <w:multiLevelType w:val="multilevel"/>
    <w:tmpl w:val="25E29EFE"/>
    <w:lvl w:ilvl="0">
      <w:start w:val="1"/>
      <w:numFmt w:val="decimal"/>
      <w:pStyle w:val="Heading1"/>
      <w:lvlText w:val="%1."/>
      <w:lvlJc w:val="left"/>
      <w:pPr>
        <w:tabs>
          <w:tab w:val="num" w:pos="1080"/>
        </w:tabs>
        <w:ind w:left="1080" w:hanging="1080"/>
      </w:pPr>
      <w:rPr>
        <w:rFonts w:ascii="Arial" w:hAnsi="Arial" w:hint="default"/>
        <w:b/>
        <w:i w:val="0"/>
        <w:sz w:val="34"/>
      </w:rPr>
    </w:lvl>
    <w:lvl w:ilvl="1">
      <w:start w:val="1"/>
      <w:numFmt w:val="decimal"/>
      <w:pStyle w:val="Heading2"/>
      <w:lvlText w:val="%1.%2"/>
      <w:lvlJc w:val="left"/>
      <w:pPr>
        <w:tabs>
          <w:tab w:val="num" w:pos="1080"/>
        </w:tabs>
        <w:ind w:left="1080" w:hanging="1080"/>
      </w:pPr>
      <w:rPr>
        <w:rFonts w:hint="default"/>
        <w:sz w:val="30"/>
        <w:szCs w:val="30"/>
      </w:rPr>
    </w:lvl>
    <w:lvl w:ilvl="2">
      <w:start w:val="1"/>
      <w:numFmt w:val="decimal"/>
      <w:pStyle w:val="Heading3"/>
      <w:lvlText w:val="%1.%2.%3"/>
      <w:lvlJc w:val="left"/>
      <w:pPr>
        <w:tabs>
          <w:tab w:val="num" w:pos="2340"/>
        </w:tabs>
        <w:ind w:left="2340" w:hanging="1080"/>
      </w:pPr>
      <w:rPr>
        <w:rFonts w:ascii="Arial" w:hAnsi="Arial" w:hint="default"/>
        <w:b/>
        <w:i w:val="0"/>
        <w:sz w:val="26"/>
      </w:rPr>
    </w:lvl>
    <w:lvl w:ilvl="3">
      <w:start w:val="1"/>
      <w:numFmt w:val="decimal"/>
      <w:pStyle w:val="Heading4"/>
      <w:lvlText w:val="%1.%2.%3.%4"/>
      <w:lvlJc w:val="left"/>
      <w:pPr>
        <w:tabs>
          <w:tab w:val="num" w:pos="1080"/>
        </w:tabs>
        <w:ind w:left="1080" w:hanging="1080"/>
      </w:pPr>
      <w:rPr>
        <w:rFonts w:ascii="Arial" w:hAnsi="Arial" w:hint="default"/>
        <w:b/>
        <w:i w:val="0"/>
        <w:sz w:val="22"/>
      </w:rPr>
    </w:lvl>
    <w:lvl w:ilvl="4">
      <w:start w:val="1"/>
      <w:numFmt w:val="decimal"/>
      <w:pStyle w:val="Heading5"/>
      <w:lvlText w:val="%1.%2.%3.%4.%5"/>
      <w:lvlJc w:val="left"/>
      <w:pPr>
        <w:tabs>
          <w:tab w:val="num" w:pos="1080"/>
        </w:tabs>
        <w:ind w:left="1080" w:hanging="1080"/>
      </w:pPr>
      <w:rPr>
        <w:rFonts w:ascii="Arial" w:hAnsi="Arial" w:hint="default"/>
        <w:b/>
        <w:i w:val="0"/>
        <w:sz w:val="22"/>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72" w15:restartNumberingAfterBreak="0">
    <w:nsid w:val="461C57CA"/>
    <w:multiLevelType w:val="hybridMultilevel"/>
    <w:tmpl w:val="743448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3" w15:restartNumberingAfterBreak="0">
    <w:nsid w:val="49D77B50"/>
    <w:multiLevelType w:val="hybridMultilevel"/>
    <w:tmpl w:val="70B422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4" w15:restartNumberingAfterBreak="0">
    <w:nsid w:val="4A404DC7"/>
    <w:multiLevelType w:val="hybridMultilevel"/>
    <w:tmpl w:val="27B495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5" w15:restartNumberingAfterBreak="0">
    <w:nsid w:val="4A735FD3"/>
    <w:multiLevelType w:val="hybridMultilevel"/>
    <w:tmpl w:val="E572E1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6" w15:restartNumberingAfterBreak="0">
    <w:nsid w:val="4D230601"/>
    <w:multiLevelType w:val="hybridMultilevel"/>
    <w:tmpl w:val="082A9D5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7" w15:restartNumberingAfterBreak="0">
    <w:nsid w:val="4DA3309C"/>
    <w:multiLevelType w:val="hybridMultilevel"/>
    <w:tmpl w:val="AC581FB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8" w15:restartNumberingAfterBreak="0">
    <w:nsid w:val="50800894"/>
    <w:multiLevelType w:val="hybridMultilevel"/>
    <w:tmpl w:val="9E70CD4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9" w15:restartNumberingAfterBreak="0">
    <w:nsid w:val="534676DC"/>
    <w:multiLevelType w:val="hybridMultilevel"/>
    <w:tmpl w:val="685AE6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0" w15:restartNumberingAfterBreak="0">
    <w:nsid w:val="54546351"/>
    <w:multiLevelType w:val="hybridMultilevel"/>
    <w:tmpl w:val="CACC9B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1" w15:restartNumberingAfterBreak="0">
    <w:nsid w:val="54A5106C"/>
    <w:multiLevelType w:val="hybridMultilevel"/>
    <w:tmpl w:val="5B90385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2" w15:restartNumberingAfterBreak="0">
    <w:nsid w:val="552532A8"/>
    <w:multiLevelType w:val="hybridMultilevel"/>
    <w:tmpl w:val="31F85C5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3" w15:restartNumberingAfterBreak="0">
    <w:nsid w:val="55270252"/>
    <w:multiLevelType w:val="singleLevel"/>
    <w:tmpl w:val="105E5426"/>
    <w:lvl w:ilvl="0">
      <w:start w:val="1"/>
      <w:numFmt w:val="bullet"/>
      <w:pStyle w:val="Bullet2HRt"/>
      <w:lvlText w:val=""/>
      <w:lvlJc w:val="left"/>
      <w:pPr>
        <w:tabs>
          <w:tab w:val="num" w:pos="1080"/>
        </w:tabs>
        <w:ind w:left="1080" w:hanging="360"/>
      </w:pPr>
      <w:rPr>
        <w:rFonts w:ascii="Wingdings" w:hAnsi="Wingdings" w:hint="default"/>
      </w:rPr>
    </w:lvl>
  </w:abstractNum>
  <w:abstractNum w:abstractNumId="84" w15:restartNumberingAfterBreak="0">
    <w:nsid w:val="57617D67"/>
    <w:multiLevelType w:val="hybridMultilevel"/>
    <w:tmpl w:val="6B089C4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5" w15:restartNumberingAfterBreak="0">
    <w:nsid w:val="595715D3"/>
    <w:multiLevelType w:val="hybridMultilevel"/>
    <w:tmpl w:val="D76E3B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6" w15:restartNumberingAfterBreak="0">
    <w:nsid w:val="59683835"/>
    <w:multiLevelType w:val="hybridMultilevel"/>
    <w:tmpl w:val="F4DAF3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7" w15:restartNumberingAfterBreak="0">
    <w:nsid w:val="5B0B0A80"/>
    <w:multiLevelType w:val="hybridMultilevel"/>
    <w:tmpl w:val="F724AA6C"/>
    <w:lvl w:ilvl="0" w:tplc="04090001">
      <w:start w:val="1"/>
      <w:numFmt w:val="bullet"/>
      <w:lvlText w:val=""/>
      <w:lvlJc w:val="left"/>
      <w:pPr>
        <w:ind w:left="825" w:hanging="360"/>
      </w:pPr>
      <w:rPr>
        <w:rFonts w:ascii="Symbol" w:hAnsi="Symbol" w:hint="default"/>
      </w:rPr>
    </w:lvl>
    <w:lvl w:ilvl="1" w:tplc="04090003" w:tentative="1">
      <w:start w:val="1"/>
      <w:numFmt w:val="bullet"/>
      <w:lvlText w:val="o"/>
      <w:lvlJc w:val="left"/>
      <w:pPr>
        <w:ind w:left="1545" w:hanging="360"/>
      </w:pPr>
      <w:rPr>
        <w:rFonts w:ascii="Courier New" w:hAnsi="Courier New" w:cs="Courier New" w:hint="default"/>
      </w:rPr>
    </w:lvl>
    <w:lvl w:ilvl="2" w:tplc="04090005" w:tentative="1">
      <w:start w:val="1"/>
      <w:numFmt w:val="bullet"/>
      <w:lvlText w:val=""/>
      <w:lvlJc w:val="left"/>
      <w:pPr>
        <w:ind w:left="2265" w:hanging="360"/>
      </w:pPr>
      <w:rPr>
        <w:rFonts w:ascii="Wingdings" w:hAnsi="Wingdings" w:hint="default"/>
      </w:rPr>
    </w:lvl>
    <w:lvl w:ilvl="3" w:tplc="04090001" w:tentative="1">
      <w:start w:val="1"/>
      <w:numFmt w:val="bullet"/>
      <w:lvlText w:val=""/>
      <w:lvlJc w:val="left"/>
      <w:pPr>
        <w:ind w:left="2985" w:hanging="360"/>
      </w:pPr>
      <w:rPr>
        <w:rFonts w:ascii="Symbol" w:hAnsi="Symbol" w:hint="default"/>
      </w:rPr>
    </w:lvl>
    <w:lvl w:ilvl="4" w:tplc="04090003" w:tentative="1">
      <w:start w:val="1"/>
      <w:numFmt w:val="bullet"/>
      <w:lvlText w:val="o"/>
      <w:lvlJc w:val="left"/>
      <w:pPr>
        <w:ind w:left="3705" w:hanging="360"/>
      </w:pPr>
      <w:rPr>
        <w:rFonts w:ascii="Courier New" w:hAnsi="Courier New" w:cs="Courier New" w:hint="default"/>
      </w:rPr>
    </w:lvl>
    <w:lvl w:ilvl="5" w:tplc="04090005" w:tentative="1">
      <w:start w:val="1"/>
      <w:numFmt w:val="bullet"/>
      <w:lvlText w:val=""/>
      <w:lvlJc w:val="left"/>
      <w:pPr>
        <w:ind w:left="4425" w:hanging="360"/>
      </w:pPr>
      <w:rPr>
        <w:rFonts w:ascii="Wingdings" w:hAnsi="Wingdings" w:hint="default"/>
      </w:rPr>
    </w:lvl>
    <w:lvl w:ilvl="6" w:tplc="04090001" w:tentative="1">
      <w:start w:val="1"/>
      <w:numFmt w:val="bullet"/>
      <w:lvlText w:val=""/>
      <w:lvlJc w:val="left"/>
      <w:pPr>
        <w:ind w:left="5145" w:hanging="360"/>
      </w:pPr>
      <w:rPr>
        <w:rFonts w:ascii="Symbol" w:hAnsi="Symbol" w:hint="default"/>
      </w:rPr>
    </w:lvl>
    <w:lvl w:ilvl="7" w:tplc="04090003" w:tentative="1">
      <w:start w:val="1"/>
      <w:numFmt w:val="bullet"/>
      <w:lvlText w:val="o"/>
      <w:lvlJc w:val="left"/>
      <w:pPr>
        <w:ind w:left="5865" w:hanging="360"/>
      </w:pPr>
      <w:rPr>
        <w:rFonts w:ascii="Courier New" w:hAnsi="Courier New" w:cs="Courier New" w:hint="default"/>
      </w:rPr>
    </w:lvl>
    <w:lvl w:ilvl="8" w:tplc="04090005" w:tentative="1">
      <w:start w:val="1"/>
      <w:numFmt w:val="bullet"/>
      <w:lvlText w:val=""/>
      <w:lvlJc w:val="left"/>
      <w:pPr>
        <w:ind w:left="6585" w:hanging="360"/>
      </w:pPr>
      <w:rPr>
        <w:rFonts w:ascii="Wingdings" w:hAnsi="Wingdings" w:hint="default"/>
      </w:rPr>
    </w:lvl>
  </w:abstractNum>
  <w:abstractNum w:abstractNumId="88" w15:restartNumberingAfterBreak="0">
    <w:nsid w:val="5B1E4653"/>
    <w:multiLevelType w:val="hybridMultilevel"/>
    <w:tmpl w:val="390261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9" w15:restartNumberingAfterBreak="0">
    <w:nsid w:val="5C057E8D"/>
    <w:multiLevelType w:val="multilevel"/>
    <w:tmpl w:val="D4A2FC82"/>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Wingdings" w:hAnsi="Wingdings" w:hint="default"/>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90" w15:restartNumberingAfterBreak="0">
    <w:nsid w:val="5D3B6BCF"/>
    <w:multiLevelType w:val="hybridMultilevel"/>
    <w:tmpl w:val="6608A2E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1" w15:restartNumberingAfterBreak="0">
    <w:nsid w:val="5D6704C8"/>
    <w:multiLevelType w:val="hybridMultilevel"/>
    <w:tmpl w:val="EE90CA2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2" w15:restartNumberingAfterBreak="0">
    <w:nsid w:val="5FC55622"/>
    <w:multiLevelType w:val="hybridMultilevel"/>
    <w:tmpl w:val="EF96E4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3" w15:restartNumberingAfterBreak="0">
    <w:nsid w:val="608B74DE"/>
    <w:multiLevelType w:val="hybridMultilevel"/>
    <w:tmpl w:val="9E54684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4" w15:restartNumberingAfterBreak="0">
    <w:nsid w:val="623D0E61"/>
    <w:multiLevelType w:val="hybridMultilevel"/>
    <w:tmpl w:val="B79C780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5" w15:restartNumberingAfterBreak="0">
    <w:nsid w:val="63AC0BD8"/>
    <w:multiLevelType w:val="hybridMultilevel"/>
    <w:tmpl w:val="EBFCC5F6"/>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6" w15:restartNumberingAfterBreak="0">
    <w:nsid w:val="67186167"/>
    <w:multiLevelType w:val="hybridMultilevel"/>
    <w:tmpl w:val="FDDCA42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7" w15:restartNumberingAfterBreak="0">
    <w:nsid w:val="673B165A"/>
    <w:multiLevelType w:val="hybridMultilevel"/>
    <w:tmpl w:val="3E024E5E"/>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98" w15:restartNumberingAfterBreak="0">
    <w:nsid w:val="674D3A4A"/>
    <w:multiLevelType w:val="hybridMultilevel"/>
    <w:tmpl w:val="3624754C"/>
    <w:lvl w:ilvl="0" w:tplc="A15829A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9" w15:restartNumberingAfterBreak="0">
    <w:nsid w:val="676143B1"/>
    <w:multiLevelType w:val="hybridMultilevel"/>
    <w:tmpl w:val="33BC066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0" w15:restartNumberingAfterBreak="0">
    <w:nsid w:val="69401502"/>
    <w:multiLevelType w:val="hybridMultilevel"/>
    <w:tmpl w:val="EBFCC5F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1" w15:restartNumberingAfterBreak="0">
    <w:nsid w:val="69E40B76"/>
    <w:multiLevelType w:val="hybridMultilevel"/>
    <w:tmpl w:val="E2D4A35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2" w15:restartNumberingAfterBreak="0">
    <w:nsid w:val="6BAF6D35"/>
    <w:multiLevelType w:val="hybridMultilevel"/>
    <w:tmpl w:val="7AEAF83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3" w15:restartNumberingAfterBreak="0">
    <w:nsid w:val="6C0602F7"/>
    <w:multiLevelType w:val="hybridMultilevel"/>
    <w:tmpl w:val="FF480E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4" w15:restartNumberingAfterBreak="0">
    <w:nsid w:val="6C386459"/>
    <w:multiLevelType w:val="hybridMultilevel"/>
    <w:tmpl w:val="23D29646"/>
    <w:lvl w:ilvl="0" w:tplc="C8E20A5E">
      <w:start w:val="1"/>
      <w:numFmt w:val="bullet"/>
      <w:pStyle w:val="Bullet3"/>
      <w:lvlText w:val=""/>
      <w:lvlJc w:val="left"/>
      <w:pPr>
        <w:tabs>
          <w:tab w:val="num" w:pos="1080"/>
        </w:tabs>
        <w:ind w:left="1080" w:hanging="360"/>
      </w:pPr>
      <w:rPr>
        <w:rFonts w:ascii="Wingdings" w:hAnsi="Wingdings" w:hint="default"/>
      </w:rPr>
    </w:lvl>
    <w:lvl w:ilvl="1" w:tplc="40767AF8">
      <w:start w:val="1"/>
      <w:numFmt w:val="bullet"/>
      <w:pStyle w:val="Bullet3HRt"/>
      <w:lvlText w:val=""/>
      <w:lvlJc w:val="left"/>
      <w:pPr>
        <w:tabs>
          <w:tab w:val="num" w:pos="1440"/>
        </w:tabs>
        <w:ind w:left="1440" w:hanging="360"/>
      </w:pPr>
      <w:rPr>
        <w:rFonts w:ascii="Wingdings" w:hAnsi="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5" w15:restartNumberingAfterBreak="0">
    <w:nsid w:val="6C827E51"/>
    <w:multiLevelType w:val="hybridMultilevel"/>
    <w:tmpl w:val="56EC30C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6" w15:restartNumberingAfterBreak="0">
    <w:nsid w:val="6FDE637B"/>
    <w:multiLevelType w:val="hybridMultilevel"/>
    <w:tmpl w:val="B35A3C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7" w15:restartNumberingAfterBreak="0">
    <w:nsid w:val="712D19A0"/>
    <w:multiLevelType w:val="hybridMultilevel"/>
    <w:tmpl w:val="8E7A72A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8" w15:restartNumberingAfterBreak="0">
    <w:nsid w:val="73013D3D"/>
    <w:multiLevelType w:val="hybridMultilevel"/>
    <w:tmpl w:val="0F4E5E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9" w15:restartNumberingAfterBreak="0">
    <w:nsid w:val="74B77172"/>
    <w:multiLevelType w:val="hybridMultilevel"/>
    <w:tmpl w:val="0A1AF9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0" w15:restartNumberingAfterBreak="0">
    <w:nsid w:val="77815FA1"/>
    <w:multiLevelType w:val="multilevel"/>
    <w:tmpl w:val="E32EF2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1" w15:restartNumberingAfterBreak="0">
    <w:nsid w:val="78B33B2C"/>
    <w:multiLevelType w:val="multilevel"/>
    <w:tmpl w:val="AA981BA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2" w15:restartNumberingAfterBreak="0">
    <w:nsid w:val="79644B3A"/>
    <w:multiLevelType w:val="hybridMultilevel"/>
    <w:tmpl w:val="4E64E36A"/>
    <w:lvl w:ilvl="0" w:tplc="110AF39C">
      <w:start w:val="1"/>
      <w:numFmt w:val="bullet"/>
      <w:lvlText w:val="-"/>
      <w:lvlJc w:val="left"/>
      <w:pPr>
        <w:ind w:left="360" w:hanging="360"/>
      </w:pPr>
      <w:rPr>
        <w:rFonts w:ascii="Courier New" w:hAnsi="Courier New"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3" w15:restartNumberingAfterBreak="0">
    <w:nsid w:val="79CE2EC6"/>
    <w:multiLevelType w:val="hybridMultilevel"/>
    <w:tmpl w:val="4BDA4E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4" w15:restartNumberingAfterBreak="0">
    <w:nsid w:val="7A38087B"/>
    <w:multiLevelType w:val="multilevel"/>
    <w:tmpl w:val="FA4497E6"/>
    <w:lvl w:ilvl="0">
      <w:start w:val="1"/>
      <w:numFmt w:val="bullet"/>
      <w:lvlText w:val="o"/>
      <w:lvlJc w:val="left"/>
      <w:pPr>
        <w:tabs>
          <w:tab w:val="num" w:pos="720"/>
        </w:tabs>
        <w:ind w:left="720" w:hanging="360"/>
      </w:pPr>
      <w:rPr>
        <w:rFonts w:ascii="Courier New" w:hAnsi="Courier New"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Symbol" w:hAnsi="Symbol"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15" w15:restartNumberingAfterBreak="0">
    <w:nsid w:val="7B622A8D"/>
    <w:multiLevelType w:val="singleLevel"/>
    <w:tmpl w:val="21482A1A"/>
    <w:lvl w:ilvl="0">
      <w:start w:val="1"/>
      <w:numFmt w:val="bullet"/>
      <w:pStyle w:val="Bullet1"/>
      <w:lvlText w:val=""/>
      <w:lvlJc w:val="left"/>
      <w:pPr>
        <w:tabs>
          <w:tab w:val="num" w:pos="720"/>
        </w:tabs>
        <w:ind w:left="720" w:hanging="360"/>
      </w:pPr>
      <w:rPr>
        <w:rFonts w:ascii="Wingdings" w:hAnsi="Wingdings" w:hint="default"/>
      </w:rPr>
    </w:lvl>
  </w:abstractNum>
  <w:abstractNum w:abstractNumId="116" w15:restartNumberingAfterBreak="0">
    <w:nsid w:val="7BBC247C"/>
    <w:multiLevelType w:val="hybridMultilevel"/>
    <w:tmpl w:val="33627C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7" w15:restartNumberingAfterBreak="0">
    <w:nsid w:val="7C5510FA"/>
    <w:multiLevelType w:val="hybridMultilevel"/>
    <w:tmpl w:val="AF32C6A2"/>
    <w:lvl w:ilvl="0" w:tplc="35847E3E">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18" w15:restartNumberingAfterBreak="0">
    <w:nsid w:val="7CB34113"/>
    <w:multiLevelType w:val="hybridMultilevel"/>
    <w:tmpl w:val="93AA4622"/>
    <w:lvl w:ilvl="0" w:tplc="04090011">
      <w:start w:val="1"/>
      <w:numFmt w:val="decimal"/>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9" w15:restartNumberingAfterBreak="0">
    <w:nsid w:val="7DF2107E"/>
    <w:multiLevelType w:val="hybridMultilevel"/>
    <w:tmpl w:val="C2B669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0" w15:restartNumberingAfterBreak="0">
    <w:nsid w:val="7F053518"/>
    <w:multiLevelType w:val="hybridMultilevel"/>
    <w:tmpl w:val="3DE83DB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341541797">
    <w:abstractNumId w:val="115"/>
  </w:num>
  <w:num w:numId="2" w16cid:durableId="524026827">
    <w:abstractNumId w:val="22"/>
  </w:num>
  <w:num w:numId="3" w16cid:durableId="1815372203">
    <w:abstractNumId w:val="53"/>
  </w:num>
  <w:num w:numId="4" w16cid:durableId="794560924">
    <w:abstractNumId w:val="83"/>
  </w:num>
  <w:num w:numId="5" w16cid:durableId="512233650">
    <w:abstractNumId w:val="71"/>
  </w:num>
  <w:num w:numId="6" w16cid:durableId="579364819">
    <w:abstractNumId w:val="104"/>
  </w:num>
  <w:num w:numId="7" w16cid:durableId="1332178989">
    <w:abstractNumId w:val="56"/>
  </w:num>
  <w:num w:numId="8" w16cid:durableId="500388550">
    <w:abstractNumId w:val="8"/>
  </w:num>
  <w:num w:numId="9" w16cid:durableId="1858689135">
    <w:abstractNumId w:val="85"/>
  </w:num>
  <w:num w:numId="10" w16cid:durableId="2127432521">
    <w:abstractNumId w:val="21"/>
  </w:num>
  <w:num w:numId="11" w16cid:durableId="1761877576">
    <w:abstractNumId w:val="42"/>
  </w:num>
  <w:num w:numId="12" w16cid:durableId="566766738">
    <w:abstractNumId w:val="74"/>
  </w:num>
  <w:num w:numId="13" w16cid:durableId="1976253270">
    <w:abstractNumId w:val="47"/>
  </w:num>
  <w:num w:numId="14" w16cid:durableId="64181379">
    <w:abstractNumId w:val="33"/>
  </w:num>
  <w:num w:numId="15" w16cid:durableId="1388718570">
    <w:abstractNumId w:val="101"/>
  </w:num>
  <w:num w:numId="16" w16cid:durableId="346752892">
    <w:abstractNumId w:val="43"/>
  </w:num>
  <w:num w:numId="17" w16cid:durableId="190462727">
    <w:abstractNumId w:val="68"/>
  </w:num>
  <w:num w:numId="18" w16cid:durableId="286859633">
    <w:abstractNumId w:val="54"/>
  </w:num>
  <w:num w:numId="19" w16cid:durableId="1837913678">
    <w:abstractNumId w:val="20"/>
  </w:num>
  <w:num w:numId="20" w16cid:durableId="519050896">
    <w:abstractNumId w:val="50"/>
  </w:num>
  <w:num w:numId="21" w16cid:durableId="435178340">
    <w:abstractNumId w:val="55"/>
  </w:num>
  <w:num w:numId="22" w16cid:durableId="1471560403">
    <w:abstractNumId w:val="23"/>
  </w:num>
  <w:num w:numId="23" w16cid:durableId="896017936">
    <w:abstractNumId w:val="111"/>
  </w:num>
  <w:num w:numId="24" w16cid:durableId="435251594">
    <w:abstractNumId w:val="114"/>
  </w:num>
  <w:num w:numId="25" w16cid:durableId="256986517">
    <w:abstractNumId w:val="15"/>
  </w:num>
  <w:num w:numId="26" w16cid:durableId="1954705157">
    <w:abstractNumId w:val="18"/>
  </w:num>
  <w:num w:numId="27" w16cid:durableId="298920746">
    <w:abstractNumId w:val="24"/>
  </w:num>
  <w:num w:numId="28" w16cid:durableId="1382368050">
    <w:abstractNumId w:val="2"/>
  </w:num>
  <w:num w:numId="29" w16cid:durableId="1932735509">
    <w:abstractNumId w:val="92"/>
  </w:num>
  <w:num w:numId="30" w16cid:durableId="1153906554">
    <w:abstractNumId w:val="98"/>
  </w:num>
  <w:num w:numId="31" w16cid:durableId="1400051549">
    <w:abstractNumId w:val="75"/>
  </w:num>
  <w:num w:numId="32" w16cid:durableId="1705792712">
    <w:abstractNumId w:val="109"/>
  </w:num>
  <w:num w:numId="33" w16cid:durableId="2019119317">
    <w:abstractNumId w:val="29"/>
  </w:num>
  <w:num w:numId="34" w16cid:durableId="1999654833">
    <w:abstractNumId w:val="90"/>
  </w:num>
  <w:num w:numId="35" w16cid:durableId="926576056">
    <w:abstractNumId w:val="6"/>
  </w:num>
  <w:num w:numId="36" w16cid:durableId="242685439">
    <w:abstractNumId w:val="70"/>
  </w:num>
  <w:num w:numId="37" w16cid:durableId="1244727058">
    <w:abstractNumId w:val="108"/>
  </w:num>
  <w:num w:numId="38" w16cid:durableId="322783865">
    <w:abstractNumId w:val="25"/>
  </w:num>
  <w:num w:numId="39" w16cid:durableId="1766683011">
    <w:abstractNumId w:val="19"/>
  </w:num>
  <w:num w:numId="40" w16cid:durableId="312107603">
    <w:abstractNumId w:val="7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1218080749">
    <w:abstractNumId w:val="65"/>
  </w:num>
  <w:num w:numId="42" w16cid:durableId="1759256736">
    <w:abstractNumId w:val="26"/>
  </w:num>
  <w:num w:numId="43" w16cid:durableId="1667980774">
    <w:abstractNumId w:val="110"/>
  </w:num>
  <w:num w:numId="44" w16cid:durableId="170459722">
    <w:abstractNumId w:val="38"/>
  </w:num>
  <w:num w:numId="45" w16cid:durableId="1829321199">
    <w:abstractNumId w:val="38"/>
    <w:lvlOverride w:ilvl="2">
      <w:lvl w:ilvl="2">
        <w:numFmt w:val="bullet"/>
        <w:lvlText w:val=""/>
        <w:lvlJc w:val="left"/>
        <w:pPr>
          <w:tabs>
            <w:tab w:val="num" w:pos="2160"/>
          </w:tabs>
          <w:ind w:left="2160" w:hanging="360"/>
        </w:pPr>
        <w:rPr>
          <w:rFonts w:ascii="Wingdings" w:hAnsi="Wingdings" w:hint="default"/>
          <w:sz w:val="20"/>
        </w:rPr>
      </w:lvl>
    </w:lvlOverride>
  </w:num>
  <w:num w:numId="46" w16cid:durableId="1873182339">
    <w:abstractNumId w:val="38"/>
    <w:lvlOverride w:ilvl="2">
      <w:lvl w:ilvl="2">
        <w:numFmt w:val="bullet"/>
        <w:lvlText w:val="o"/>
        <w:lvlJc w:val="left"/>
        <w:pPr>
          <w:tabs>
            <w:tab w:val="num" w:pos="2160"/>
          </w:tabs>
          <w:ind w:left="2160" w:hanging="360"/>
        </w:pPr>
        <w:rPr>
          <w:rFonts w:ascii="Courier New" w:hAnsi="Courier New" w:hint="default"/>
          <w:sz w:val="20"/>
        </w:rPr>
      </w:lvl>
    </w:lvlOverride>
  </w:num>
  <w:num w:numId="47" w16cid:durableId="957758266">
    <w:abstractNumId w:val="77"/>
  </w:num>
  <w:num w:numId="48" w16cid:durableId="392237663">
    <w:abstractNumId w:val="112"/>
  </w:num>
  <w:num w:numId="49" w16cid:durableId="759834331">
    <w:abstractNumId w:val="0"/>
  </w:num>
  <w:num w:numId="50" w16cid:durableId="593586240">
    <w:abstractNumId w:val="36"/>
  </w:num>
  <w:num w:numId="51" w16cid:durableId="627199239">
    <w:abstractNumId w:val="118"/>
  </w:num>
  <w:num w:numId="52" w16cid:durableId="1004279054">
    <w:abstractNumId w:val="10"/>
  </w:num>
  <w:num w:numId="53" w16cid:durableId="1343313665">
    <w:abstractNumId w:val="27"/>
  </w:num>
  <w:num w:numId="54" w16cid:durableId="1305308282">
    <w:abstractNumId w:val="116"/>
  </w:num>
  <w:num w:numId="55" w16cid:durableId="383256086">
    <w:abstractNumId w:val="103"/>
  </w:num>
  <w:num w:numId="56" w16cid:durableId="1499612521">
    <w:abstractNumId w:val="14"/>
  </w:num>
  <w:num w:numId="57" w16cid:durableId="633602522">
    <w:abstractNumId w:val="99"/>
  </w:num>
  <w:num w:numId="58" w16cid:durableId="1611929674">
    <w:abstractNumId w:val="40"/>
  </w:num>
  <w:num w:numId="59" w16cid:durableId="1944335087">
    <w:abstractNumId w:val="37"/>
  </w:num>
  <w:num w:numId="60" w16cid:durableId="759762081">
    <w:abstractNumId w:val="39"/>
  </w:num>
  <w:num w:numId="61" w16cid:durableId="1124075757">
    <w:abstractNumId w:val="48"/>
  </w:num>
  <w:num w:numId="62" w16cid:durableId="1464811680">
    <w:abstractNumId w:val="7"/>
  </w:num>
  <w:num w:numId="63" w16cid:durableId="866063162">
    <w:abstractNumId w:val="89"/>
  </w:num>
  <w:num w:numId="64" w16cid:durableId="12612441">
    <w:abstractNumId w:val="52"/>
  </w:num>
  <w:num w:numId="65" w16cid:durableId="458380000">
    <w:abstractNumId w:val="63"/>
  </w:num>
  <w:num w:numId="66" w16cid:durableId="1697542148">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7" w16cid:durableId="1618566545">
    <w:abstractNumId w:val="67"/>
  </w:num>
  <w:num w:numId="68" w16cid:durableId="2103794896">
    <w:abstractNumId w:val="60"/>
  </w:num>
  <w:num w:numId="69" w16cid:durableId="1016342526">
    <w:abstractNumId w:val="30"/>
  </w:num>
  <w:num w:numId="70" w16cid:durableId="2072921467">
    <w:abstractNumId w:val="31"/>
  </w:num>
  <w:num w:numId="71" w16cid:durableId="1947154143">
    <w:abstractNumId w:val="86"/>
  </w:num>
  <w:num w:numId="72" w16cid:durableId="669529042">
    <w:abstractNumId w:val="51"/>
  </w:num>
  <w:num w:numId="73" w16cid:durableId="316886872">
    <w:abstractNumId w:val="32"/>
  </w:num>
  <w:num w:numId="74" w16cid:durableId="1512378927">
    <w:abstractNumId w:val="1"/>
  </w:num>
  <w:num w:numId="75" w16cid:durableId="1469936506">
    <w:abstractNumId w:val="41"/>
  </w:num>
  <w:num w:numId="76" w16cid:durableId="294410197">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7" w16cid:durableId="1398822339">
    <w:abstractNumId w:val="49"/>
  </w:num>
  <w:num w:numId="78" w16cid:durableId="1999576313">
    <w:abstractNumId w:val="62"/>
  </w:num>
  <w:num w:numId="79" w16cid:durableId="1851870796">
    <w:abstractNumId w:val="113"/>
  </w:num>
  <w:num w:numId="80" w16cid:durableId="1431193387">
    <w:abstractNumId w:val="12"/>
  </w:num>
  <w:num w:numId="81" w16cid:durableId="297229140">
    <w:abstractNumId w:val="119"/>
  </w:num>
  <w:num w:numId="82" w16cid:durableId="133371055">
    <w:abstractNumId w:val="71"/>
  </w:num>
  <w:num w:numId="83" w16cid:durableId="2057777651">
    <w:abstractNumId w:val="7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4" w16cid:durableId="313997427">
    <w:abstractNumId w:val="81"/>
  </w:num>
  <w:num w:numId="85" w16cid:durableId="235552713">
    <w:abstractNumId w:val="78"/>
  </w:num>
  <w:num w:numId="86" w16cid:durableId="36857943">
    <w:abstractNumId w:val="34"/>
  </w:num>
  <w:num w:numId="87" w16cid:durableId="939410739">
    <w:abstractNumId w:val="102"/>
  </w:num>
  <w:num w:numId="88" w16cid:durableId="854031527">
    <w:abstractNumId w:val="96"/>
  </w:num>
  <w:num w:numId="89" w16cid:durableId="1082920757">
    <w:abstractNumId w:val="91"/>
  </w:num>
  <w:num w:numId="90" w16cid:durableId="1049064254">
    <w:abstractNumId w:val="87"/>
  </w:num>
  <w:num w:numId="91" w16cid:durableId="1992253384">
    <w:abstractNumId w:val="76"/>
  </w:num>
  <w:num w:numId="92" w16cid:durableId="1273585345">
    <w:abstractNumId w:val="105"/>
  </w:num>
  <w:num w:numId="93" w16cid:durableId="1731608661">
    <w:abstractNumId w:val="59"/>
  </w:num>
  <w:num w:numId="94" w16cid:durableId="805586394">
    <w:abstractNumId w:val="4"/>
  </w:num>
  <w:num w:numId="95" w16cid:durableId="1424455913">
    <w:abstractNumId w:val="71"/>
  </w:num>
  <w:num w:numId="96" w16cid:durableId="1809123010">
    <w:abstractNumId w:val="71"/>
  </w:num>
  <w:num w:numId="97" w16cid:durableId="1290863759">
    <w:abstractNumId w:val="71"/>
  </w:num>
  <w:num w:numId="98" w16cid:durableId="2126077170">
    <w:abstractNumId w:val="71"/>
  </w:num>
  <w:num w:numId="99" w16cid:durableId="1115950407">
    <w:abstractNumId w:val="120"/>
  </w:num>
  <w:num w:numId="100" w16cid:durableId="762729361">
    <w:abstractNumId w:val="46"/>
  </w:num>
  <w:num w:numId="101" w16cid:durableId="1466006164">
    <w:abstractNumId w:val="91"/>
  </w:num>
  <w:num w:numId="102" w16cid:durableId="571474431">
    <w:abstractNumId w:val="16"/>
  </w:num>
  <w:num w:numId="103" w16cid:durableId="43070369">
    <w:abstractNumId w:val="100"/>
  </w:num>
  <w:num w:numId="104" w16cid:durableId="1472944093">
    <w:abstractNumId w:val="11"/>
  </w:num>
  <w:num w:numId="105" w16cid:durableId="1666467561">
    <w:abstractNumId w:val="117"/>
  </w:num>
  <w:num w:numId="106" w16cid:durableId="216235985">
    <w:abstractNumId w:val="93"/>
  </w:num>
  <w:num w:numId="107" w16cid:durableId="1872645479">
    <w:abstractNumId w:val="13"/>
  </w:num>
  <w:num w:numId="108" w16cid:durableId="1653682803">
    <w:abstractNumId w:val="94"/>
  </w:num>
  <w:num w:numId="109" w16cid:durableId="669253902">
    <w:abstractNumId w:val="44"/>
  </w:num>
  <w:num w:numId="110" w16cid:durableId="1437600839">
    <w:abstractNumId w:val="58"/>
  </w:num>
  <w:num w:numId="111" w16cid:durableId="447167368">
    <w:abstractNumId w:val="71"/>
  </w:num>
  <w:num w:numId="112" w16cid:durableId="219707324">
    <w:abstractNumId w:val="71"/>
  </w:num>
  <w:num w:numId="113" w16cid:durableId="1235355599">
    <w:abstractNumId w:val="72"/>
  </w:num>
  <w:num w:numId="114" w16cid:durableId="941956494">
    <w:abstractNumId w:val="17"/>
  </w:num>
  <w:num w:numId="115" w16cid:durableId="153691071">
    <w:abstractNumId w:val="9"/>
  </w:num>
  <w:num w:numId="116" w16cid:durableId="1347902862">
    <w:abstractNumId w:val="82"/>
  </w:num>
  <w:num w:numId="117" w16cid:durableId="47534308">
    <w:abstractNumId w:val="7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8" w16cid:durableId="742066753">
    <w:abstractNumId w:val="66"/>
  </w:num>
  <w:num w:numId="119" w16cid:durableId="1945140360">
    <w:abstractNumId w:val="61"/>
  </w:num>
  <w:num w:numId="120" w16cid:durableId="2117407211">
    <w:abstractNumId w:val="95"/>
  </w:num>
  <w:num w:numId="121" w16cid:durableId="1266381473">
    <w:abstractNumId w:val="97"/>
  </w:num>
  <w:num w:numId="122" w16cid:durableId="751246302">
    <w:abstractNumId w:val="79"/>
  </w:num>
  <w:num w:numId="123" w16cid:durableId="29838836">
    <w:abstractNumId w:val="64"/>
  </w:num>
  <w:num w:numId="124" w16cid:durableId="401024711">
    <w:abstractNumId w:val="88"/>
  </w:num>
  <w:num w:numId="125" w16cid:durableId="1722483146">
    <w:abstractNumId w:val="84"/>
  </w:num>
  <w:num w:numId="126" w16cid:durableId="2019381406">
    <w:abstractNumId w:val="107"/>
  </w:num>
  <w:num w:numId="127" w16cid:durableId="231281541">
    <w:abstractNumId w:val="3"/>
  </w:num>
  <w:num w:numId="128" w16cid:durableId="1822697419">
    <w:abstractNumId w:val="69"/>
  </w:num>
  <w:num w:numId="129" w16cid:durableId="1160657019">
    <w:abstractNumId w:val="7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0" w16cid:durableId="726414050">
    <w:abstractNumId w:val="80"/>
  </w:num>
  <w:num w:numId="131" w16cid:durableId="1437402829">
    <w:abstractNumId w:val="7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2" w16cid:durableId="383023680">
    <w:abstractNumId w:val="7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3" w16cid:durableId="528224230">
    <w:abstractNumId w:val="7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4" w16cid:durableId="1220359569">
    <w:abstractNumId w:val="7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5" w16cid:durableId="750079739">
    <w:abstractNumId w:val="57"/>
  </w:num>
  <w:num w:numId="136" w16cid:durableId="347562944">
    <w:abstractNumId w:val="5"/>
  </w:num>
  <w:num w:numId="137" w16cid:durableId="825827915">
    <w:abstractNumId w:val="73"/>
  </w:num>
  <w:num w:numId="138" w16cid:durableId="220941881">
    <w:abstractNumId w:val="7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9" w16cid:durableId="2015262998">
    <w:abstractNumId w:val="7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0" w16cid:durableId="2093744924">
    <w:abstractNumId w:val="106"/>
  </w:num>
  <w:num w:numId="141" w16cid:durableId="1971865234">
    <w:abstractNumId w:val="28"/>
  </w:num>
  <w:num w:numId="142" w16cid:durableId="1819297138">
    <w:abstractNumId w:val="71"/>
    <w:lvlOverride w:ilvl="0">
      <w:startOverride w:val="5"/>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3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Kott, Bob">
    <w15:presenceInfo w15:providerId="AD" w15:userId="S::RKott@caiso.com::024a11b9-dc0f-4d34-a2e7-a6a67678caf8"/>
  </w15:person>
  <w15:person w15:author="Anders, John">
    <w15:presenceInfo w15:providerId="AD" w15:userId="S::JAnders@caiso.com::face9e09-cddf-4038-9d8b-001cebd25632"/>
  </w15:person>
  <w15:person w15:author="Curlee, Heather">
    <w15:presenceInfo w15:providerId="AD" w15:userId="S::hcurlee@caiso.com::931ece83-5528-4c74-963a-63fa04cac457"/>
  </w15:person>
  <w15:person w15:author="Delsohn, Gary">
    <w15:presenceInfo w15:providerId="AD" w15:userId="S::gdelsohn@caiso.com::eea53621-4904-4dd4-887c-6f58ae0a6ff4"/>
  </w15:person>
  <w15:person w15:author="Bosanac, Milos">
    <w15:presenceInfo w15:providerId="AD" w15:userId="S::mbosanac@caiso.com::f5690ccf-f704-4fb7-8288-0d9c104f7f73"/>
  </w15:person>
  <w15:person w15:author="Freed, Adam">
    <w15:presenceInfo w15:providerId="AD" w15:userId="S::afreed@caiso.com::060e5f9c-0b88-4a7a-9b1b-e92727752cea"/>
  </w15:person>
  <w15:person w15:author="Ulmer, Andrew">
    <w15:presenceInfo w15:providerId="AD" w15:userId="S::aulmer@caiso.com::5be3c4eb-7c7f-46a7-ba2a-dd724ded8cd6"/>
  </w15:person>
  <w15:person w15:author="Martin, Michael">
    <w15:presenceInfo w15:providerId="AD" w15:userId="S::MMartin@caiso.com::f17d362d-d08a-4b73-80f1-e152a52e86b0"/>
  </w15:person>
  <w15:person w15:author="Motley, Amber">
    <w15:presenceInfo w15:providerId="AD" w15:userId="S::amotley@caiso.com::ada9fa3c-5e9f-4c05-a18d-da8161986f6e"/>
  </w15:person>
  <w15:person w15:author="Webb, Rebecca">
    <w15:presenceInfo w15:providerId="AD" w15:userId="S::rwebb@caiso.com::73203c81-27cf-46f0-b489-7b30a1d716a7"/>
  </w15:person>
  <w15:person w15:author="Johnson, Daniel">
    <w15:presenceInfo w15:providerId="AD" w15:userId="S::djohnson@caiso.com::74cd37f8-476d-482d-81c7-450ec8687cd9"/>
  </w15:person>
  <w15:person w15:author="Rudolph, John">
    <w15:presenceInfo w15:providerId="AD" w15:userId="S::jrudolph@caiso.com::48dd0daa-12ee-4041-873d-3a12da5bfb7f"/>
  </w15:person>
  <w15:person w15:author="Friedrich, James">
    <w15:presenceInfo w15:providerId="AD" w15:userId="S::jfriedrich@caiso.com::08da54c1-4be6-4bed-9581-94937e0b25db"/>
  </w15:person>
  <w15:person w15:author="Datla, Sravya">
    <w15:presenceInfo w15:providerId="AD" w15:userId="S::sdatla@caiso.com::28b2c2e4-8ebc-4190-a656-f939c5bfc740"/>
  </w15:person>
  <w15:person w15:author="Steckel, Tobiah">
    <w15:presenceInfo w15:providerId="AD" w15:userId="S::tsteckel@caiso.com::95ce1782-cff5-4aef-93c1-f51b5660c179"/>
  </w15:person>
  <w15:person w15:author="Spewak, Sylvie">
    <w15:presenceInfo w15:providerId="AD" w15:userId="S::sspewak@caiso.com::3d2d971a-bc3f-41a4-85d8-12c1a11c39bb"/>
  </w15:person>
  <w15:person w15:author="Gilbert, Anja">
    <w15:presenceInfo w15:providerId="AD" w15:userId="S::agilbert@caiso.com::7dd8ff88-9da9-421c-8287-774a038bff4e"/>
  </w15:person>
  <w15:person w15:author="Head, Kevin">
    <w15:presenceInfo w15:providerId="AD" w15:userId="S-1-5-21-183723660-1033773904-1849977318-84820"/>
  </w15:person>
  <w15:person w15:author="Head, Kevin [2]">
    <w15:presenceInfo w15:providerId="AD" w15:userId="S::khead@caiso.com::8f31f668-7b2a-4848-a3e3-5888d12d3c12"/>
  </w15:person>
  <w15:person w15:author="Pelham, Kyle">
    <w15:presenceInfo w15:providerId="AD" w15:userId="S::kpelham@caiso.com::d3538e15-daa9-44af-9b1a-6c5b113aba17"/>
  </w15:person>
  <w15:person w15:author="Bautista Alderete, Guillermo">
    <w15:presenceInfo w15:providerId="AD" w15:userId="S::GBAlderete@caiso.com::84b29e40-da30-4c4e-8a74-eeaddcab1ad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hideSpellingErrors/>
  <w:hideGrammaticalErrors/>
  <w:defaultTabStop w:val="720"/>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14135"/>
    <w:rsid w:val="000000D4"/>
    <w:rsid w:val="00001B3B"/>
    <w:rsid w:val="00003ADD"/>
    <w:rsid w:val="00004887"/>
    <w:rsid w:val="00005592"/>
    <w:rsid w:val="00006C91"/>
    <w:rsid w:val="00007207"/>
    <w:rsid w:val="000107BF"/>
    <w:rsid w:val="000110E7"/>
    <w:rsid w:val="000115A0"/>
    <w:rsid w:val="000125E9"/>
    <w:rsid w:val="00013441"/>
    <w:rsid w:val="00014493"/>
    <w:rsid w:val="00014C33"/>
    <w:rsid w:val="000154CD"/>
    <w:rsid w:val="00016F99"/>
    <w:rsid w:val="00016FB6"/>
    <w:rsid w:val="00017608"/>
    <w:rsid w:val="00021607"/>
    <w:rsid w:val="00021EC9"/>
    <w:rsid w:val="0002285D"/>
    <w:rsid w:val="00024155"/>
    <w:rsid w:val="000246A5"/>
    <w:rsid w:val="00025979"/>
    <w:rsid w:val="000265F7"/>
    <w:rsid w:val="00026802"/>
    <w:rsid w:val="00026CCC"/>
    <w:rsid w:val="00026DEA"/>
    <w:rsid w:val="0003210B"/>
    <w:rsid w:val="000323F5"/>
    <w:rsid w:val="00033B98"/>
    <w:rsid w:val="00034332"/>
    <w:rsid w:val="0003457A"/>
    <w:rsid w:val="000360B0"/>
    <w:rsid w:val="0003647B"/>
    <w:rsid w:val="0003694D"/>
    <w:rsid w:val="00036BA8"/>
    <w:rsid w:val="00040363"/>
    <w:rsid w:val="00044830"/>
    <w:rsid w:val="00045170"/>
    <w:rsid w:val="0004571C"/>
    <w:rsid w:val="00045F7E"/>
    <w:rsid w:val="000471E2"/>
    <w:rsid w:val="0005006D"/>
    <w:rsid w:val="00052959"/>
    <w:rsid w:val="00052C96"/>
    <w:rsid w:val="00053C32"/>
    <w:rsid w:val="0005491F"/>
    <w:rsid w:val="00055902"/>
    <w:rsid w:val="00060058"/>
    <w:rsid w:val="000607E0"/>
    <w:rsid w:val="000609C4"/>
    <w:rsid w:val="0006164D"/>
    <w:rsid w:val="00062382"/>
    <w:rsid w:val="00063F34"/>
    <w:rsid w:val="000678DE"/>
    <w:rsid w:val="00070357"/>
    <w:rsid w:val="000707D0"/>
    <w:rsid w:val="000711B6"/>
    <w:rsid w:val="000723B7"/>
    <w:rsid w:val="00074364"/>
    <w:rsid w:val="00077DC7"/>
    <w:rsid w:val="000800E7"/>
    <w:rsid w:val="00080294"/>
    <w:rsid w:val="00080C05"/>
    <w:rsid w:val="00080F86"/>
    <w:rsid w:val="00082FCA"/>
    <w:rsid w:val="00084139"/>
    <w:rsid w:val="00084687"/>
    <w:rsid w:val="00084E7C"/>
    <w:rsid w:val="00084ED7"/>
    <w:rsid w:val="00090559"/>
    <w:rsid w:val="00090D26"/>
    <w:rsid w:val="000915BD"/>
    <w:rsid w:val="00091786"/>
    <w:rsid w:val="00091CEE"/>
    <w:rsid w:val="000937B6"/>
    <w:rsid w:val="000959B3"/>
    <w:rsid w:val="00097591"/>
    <w:rsid w:val="00097C16"/>
    <w:rsid w:val="000A1A3D"/>
    <w:rsid w:val="000A22F3"/>
    <w:rsid w:val="000A26F9"/>
    <w:rsid w:val="000A2E32"/>
    <w:rsid w:val="000A4051"/>
    <w:rsid w:val="000A40EF"/>
    <w:rsid w:val="000A445F"/>
    <w:rsid w:val="000A4DED"/>
    <w:rsid w:val="000B3FF5"/>
    <w:rsid w:val="000B47C0"/>
    <w:rsid w:val="000B5F11"/>
    <w:rsid w:val="000B771D"/>
    <w:rsid w:val="000C008B"/>
    <w:rsid w:val="000C2B30"/>
    <w:rsid w:val="000C4603"/>
    <w:rsid w:val="000C49BD"/>
    <w:rsid w:val="000C4F6D"/>
    <w:rsid w:val="000C6019"/>
    <w:rsid w:val="000C6AD8"/>
    <w:rsid w:val="000C7B31"/>
    <w:rsid w:val="000D03C1"/>
    <w:rsid w:val="000D11B2"/>
    <w:rsid w:val="000D1EBF"/>
    <w:rsid w:val="000D20FC"/>
    <w:rsid w:val="000D2D2B"/>
    <w:rsid w:val="000D3437"/>
    <w:rsid w:val="000D47E8"/>
    <w:rsid w:val="000D4BD2"/>
    <w:rsid w:val="000D5A18"/>
    <w:rsid w:val="000D6145"/>
    <w:rsid w:val="000D6F08"/>
    <w:rsid w:val="000E1D67"/>
    <w:rsid w:val="000E3851"/>
    <w:rsid w:val="000E6631"/>
    <w:rsid w:val="000E7BE8"/>
    <w:rsid w:val="000F146E"/>
    <w:rsid w:val="000F1EF1"/>
    <w:rsid w:val="000F1FFE"/>
    <w:rsid w:val="000F3431"/>
    <w:rsid w:val="000F573B"/>
    <w:rsid w:val="000F600A"/>
    <w:rsid w:val="000F68E8"/>
    <w:rsid w:val="000F6FAA"/>
    <w:rsid w:val="000F6FCB"/>
    <w:rsid w:val="000F7506"/>
    <w:rsid w:val="001003BC"/>
    <w:rsid w:val="001011A5"/>
    <w:rsid w:val="00101C2F"/>
    <w:rsid w:val="0010250E"/>
    <w:rsid w:val="001025D8"/>
    <w:rsid w:val="001038F9"/>
    <w:rsid w:val="00104037"/>
    <w:rsid w:val="00104462"/>
    <w:rsid w:val="00105030"/>
    <w:rsid w:val="00105698"/>
    <w:rsid w:val="0010667E"/>
    <w:rsid w:val="00107072"/>
    <w:rsid w:val="001104AF"/>
    <w:rsid w:val="0011320D"/>
    <w:rsid w:val="00113F96"/>
    <w:rsid w:val="001154F5"/>
    <w:rsid w:val="001178FD"/>
    <w:rsid w:val="00121112"/>
    <w:rsid w:val="00121501"/>
    <w:rsid w:val="001216C4"/>
    <w:rsid w:val="001224E5"/>
    <w:rsid w:val="001228E2"/>
    <w:rsid w:val="00123CF7"/>
    <w:rsid w:val="001251C8"/>
    <w:rsid w:val="00125322"/>
    <w:rsid w:val="001259FF"/>
    <w:rsid w:val="00125A45"/>
    <w:rsid w:val="001263F1"/>
    <w:rsid w:val="001266A7"/>
    <w:rsid w:val="00126F85"/>
    <w:rsid w:val="00127145"/>
    <w:rsid w:val="001277BF"/>
    <w:rsid w:val="00131AFF"/>
    <w:rsid w:val="001328EC"/>
    <w:rsid w:val="001340FF"/>
    <w:rsid w:val="00136151"/>
    <w:rsid w:val="001366F2"/>
    <w:rsid w:val="001376A6"/>
    <w:rsid w:val="001376AE"/>
    <w:rsid w:val="00140111"/>
    <w:rsid w:val="00140D1A"/>
    <w:rsid w:val="00140FF2"/>
    <w:rsid w:val="001414CC"/>
    <w:rsid w:val="00142125"/>
    <w:rsid w:val="00142AA9"/>
    <w:rsid w:val="00142F2D"/>
    <w:rsid w:val="00143217"/>
    <w:rsid w:val="00144142"/>
    <w:rsid w:val="0014420A"/>
    <w:rsid w:val="00146236"/>
    <w:rsid w:val="00147681"/>
    <w:rsid w:val="00150182"/>
    <w:rsid w:val="00150922"/>
    <w:rsid w:val="0015107A"/>
    <w:rsid w:val="001512A7"/>
    <w:rsid w:val="00152236"/>
    <w:rsid w:val="001522DC"/>
    <w:rsid w:val="00152A52"/>
    <w:rsid w:val="00153671"/>
    <w:rsid w:val="00155E97"/>
    <w:rsid w:val="00156965"/>
    <w:rsid w:val="00156B0A"/>
    <w:rsid w:val="00157077"/>
    <w:rsid w:val="001613A5"/>
    <w:rsid w:val="00162ECE"/>
    <w:rsid w:val="00163071"/>
    <w:rsid w:val="00165A28"/>
    <w:rsid w:val="001662C8"/>
    <w:rsid w:val="0016725E"/>
    <w:rsid w:val="001705D8"/>
    <w:rsid w:val="00174CC3"/>
    <w:rsid w:val="0017506F"/>
    <w:rsid w:val="00175724"/>
    <w:rsid w:val="00177E52"/>
    <w:rsid w:val="00183454"/>
    <w:rsid w:val="00185AA7"/>
    <w:rsid w:val="00186F62"/>
    <w:rsid w:val="001874A4"/>
    <w:rsid w:val="00187DC9"/>
    <w:rsid w:val="00190BD9"/>
    <w:rsid w:val="00190D19"/>
    <w:rsid w:val="00191101"/>
    <w:rsid w:val="00194538"/>
    <w:rsid w:val="00195553"/>
    <w:rsid w:val="001959B8"/>
    <w:rsid w:val="00197F86"/>
    <w:rsid w:val="001A1D8C"/>
    <w:rsid w:val="001A1E70"/>
    <w:rsid w:val="001A226C"/>
    <w:rsid w:val="001A332D"/>
    <w:rsid w:val="001A3D0F"/>
    <w:rsid w:val="001A5979"/>
    <w:rsid w:val="001A5DE9"/>
    <w:rsid w:val="001A5FF5"/>
    <w:rsid w:val="001A69C5"/>
    <w:rsid w:val="001A74B7"/>
    <w:rsid w:val="001A78A3"/>
    <w:rsid w:val="001B16A6"/>
    <w:rsid w:val="001B2249"/>
    <w:rsid w:val="001B296C"/>
    <w:rsid w:val="001B46ED"/>
    <w:rsid w:val="001B509F"/>
    <w:rsid w:val="001B565B"/>
    <w:rsid w:val="001B5DE3"/>
    <w:rsid w:val="001B7C72"/>
    <w:rsid w:val="001B7C99"/>
    <w:rsid w:val="001C0DCC"/>
    <w:rsid w:val="001C0F9B"/>
    <w:rsid w:val="001C24A6"/>
    <w:rsid w:val="001C3068"/>
    <w:rsid w:val="001C3318"/>
    <w:rsid w:val="001C3891"/>
    <w:rsid w:val="001C4BA6"/>
    <w:rsid w:val="001C5C20"/>
    <w:rsid w:val="001C5C6C"/>
    <w:rsid w:val="001C638A"/>
    <w:rsid w:val="001C68C4"/>
    <w:rsid w:val="001C7627"/>
    <w:rsid w:val="001D228B"/>
    <w:rsid w:val="001D3070"/>
    <w:rsid w:val="001D40CF"/>
    <w:rsid w:val="001D6452"/>
    <w:rsid w:val="001D7DF0"/>
    <w:rsid w:val="001D7E48"/>
    <w:rsid w:val="001E0820"/>
    <w:rsid w:val="001E1366"/>
    <w:rsid w:val="001E1B55"/>
    <w:rsid w:val="001E2623"/>
    <w:rsid w:val="001E3BB1"/>
    <w:rsid w:val="001E62E8"/>
    <w:rsid w:val="001E683F"/>
    <w:rsid w:val="001E6D2D"/>
    <w:rsid w:val="001E6FCA"/>
    <w:rsid w:val="001E7778"/>
    <w:rsid w:val="001E791A"/>
    <w:rsid w:val="001F083F"/>
    <w:rsid w:val="001F0988"/>
    <w:rsid w:val="001F1126"/>
    <w:rsid w:val="001F2746"/>
    <w:rsid w:val="001F323E"/>
    <w:rsid w:val="001F3FFD"/>
    <w:rsid w:val="001F51DC"/>
    <w:rsid w:val="001F684B"/>
    <w:rsid w:val="00200EA2"/>
    <w:rsid w:val="002019E1"/>
    <w:rsid w:val="00204199"/>
    <w:rsid w:val="002044B5"/>
    <w:rsid w:val="0020484A"/>
    <w:rsid w:val="00205BDC"/>
    <w:rsid w:val="00205F14"/>
    <w:rsid w:val="0020661A"/>
    <w:rsid w:val="00210F8A"/>
    <w:rsid w:val="002110D5"/>
    <w:rsid w:val="00211663"/>
    <w:rsid w:val="00212AC5"/>
    <w:rsid w:val="00212D35"/>
    <w:rsid w:val="00212FCB"/>
    <w:rsid w:val="00213659"/>
    <w:rsid w:val="002140A8"/>
    <w:rsid w:val="002146AA"/>
    <w:rsid w:val="00214732"/>
    <w:rsid w:val="00215476"/>
    <w:rsid w:val="002156FD"/>
    <w:rsid w:val="0021656C"/>
    <w:rsid w:val="0021774E"/>
    <w:rsid w:val="00217CEF"/>
    <w:rsid w:val="00220660"/>
    <w:rsid w:val="00223390"/>
    <w:rsid w:val="00225234"/>
    <w:rsid w:val="00226793"/>
    <w:rsid w:val="002273A5"/>
    <w:rsid w:val="002276D8"/>
    <w:rsid w:val="00230586"/>
    <w:rsid w:val="00230F28"/>
    <w:rsid w:val="002314BE"/>
    <w:rsid w:val="00232B0D"/>
    <w:rsid w:val="00235528"/>
    <w:rsid w:val="00235F2E"/>
    <w:rsid w:val="0023648D"/>
    <w:rsid w:val="00240F21"/>
    <w:rsid w:val="00241862"/>
    <w:rsid w:val="002419F1"/>
    <w:rsid w:val="00242563"/>
    <w:rsid w:val="00243418"/>
    <w:rsid w:val="00243759"/>
    <w:rsid w:val="00243A5F"/>
    <w:rsid w:val="00243C52"/>
    <w:rsid w:val="00244329"/>
    <w:rsid w:val="00244504"/>
    <w:rsid w:val="00244E86"/>
    <w:rsid w:val="00245BFB"/>
    <w:rsid w:val="00245DDF"/>
    <w:rsid w:val="0024780F"/>
    <w:rsid w:val="00247AE4"/>
    <w:rsid w:val="00247EDB"/>
    <w:rsid w:val="00253414"/>
    <w:rsid w:val="0025349B"/>
    <w:rsid w:val="00254B75"/>
    <w:rsid w:val="002565CE"/>
    <w:rsid w:val="0026110C"/>
    <w:rsid w:val="002611C4"/>
    <w:rsid w:val="00261800"/>
    <w:rsid w:val="00261DBE"/>
    <w:rsid w:val="00262345"/>
    <w:rsid w:val="00262AD8"/>
    <w:rsid w:val="00263178"/>
    <w:rsid w:val="002656FA"/>
    <w:rsid w:val="00266A7D"/>
    <w:rsid w:val="00267FB1"/>
    <w:rsid w:val="002704E3"/>
    <w:rsid w:val="00270B4C"/>
    <w:rsid w:val="002712FD"/>
    <w:rsid w:val="00272C87"/>
    <w:rsid w:val="00273CF1"/>
    <w:rsid w:val="0027571F"/>
    <w:rsid w:val="00275AD9"/>
    <w:rsid w:val="002761B6"/>
    <w:rsid w:val="0027654E"/>
    <w:rsid w:val="00280FFF"/>
    <w:rsid w:val="00281D50"/>
    <w:rsid w:val="00281E9B"/>
    <w:rsid w:val="00282B66"/>
    <w:rsid w:val="00282FD7"/>
    <w:rsid w:val="002832F6"/>
    <w:rsid w:val="00285345"/>
    <w:rsid w:val="00285904"/>
    <w:rsid w:val="00286D89"/>
    <w:rsid w:val="00290DD7"/>
    <w:rsid w:val="0029384B"/>
    <w:rsid w:val="002938C0"/>
    <w:rsid w:val="002973FC"/>
    <w:rsid w:val="002979CF"/>
    <w:rsid w:val="002A1522"/>
    <w:rsid w:val="002A2FED"/>
    <w:rsid w:val="002A31C2"/>
    <w:rsid w:val="002A38FE"/>
    <w:rsid w:val="002A5BD0"/>
    <w:rsid w:val="002A632D"/>
    <w:rsid w:val="002A6A88"/>
    <w:rsid w:val="002A7366"/>
    <w:rsid w:val="002B0769"/>
    <w:rsid w:val="002B0FEA"/>
    <w:rsid w:val="002B2C85"/>
    <w:rsid w:val="002B43EA"/>
    <w:rsid w:val="002B6DD4"/>
    <w:rsid w:val="002B7504"/>
    <w:rsid w:val="002C0A1B"/>
    <w:rsid w:val="002C0BD8"/>
    <w:rsid w:val="002C0C9E"/>
    <w:rsid w:val="002C0E91"/>
    <w:rsid w:val="002C19A7"/>
    <w:rsid w:val="002C1B44"/>
    <w:rsid w:val="002C1E99"/>
    <w:rsid w:val="002C4B98"/>
    <w:rsid w:val="002C6615"/>
    <w:rsid w:val="002C6FD0"/>
    <w:rsid w:val="002C7B51"/>
    <w:rsid w:val="002D0301"/>
    <w:rsid w:val="002D1178"/>
    <w:rsid w:val="002D200A"/>
    <w:rsid w:val="002D20DA"/>
    <w:rsid w:val="002D3BB7"/>
    <w:rsid w:val="002D3C2B"/>
    <w:rsid w:val="002D3CD9"/>
    <w:rsid w:val="002D4D90"/>
    <w:rsid w:val="002D55B1"/>
    <w:rsid w:val="002D57A4"/>
    <w:rsid w:val="002D6C36"/>
    <w:rsid w:val="002D6F5D"/>
    <w:rsid w:val="002E050A"/>
    <w:rsid w:val="002E06F5"/>
    <w:rsid w:val="002E1230"/>
    <w:rsid w:val="002E36EE"/>
    <w:rsid w:val="002E41E2"/>
    <w:rsid w:val="002E4A78"/>
    <w:rsid w:val="002E4B9E"/>
    <w:rsid w:val="002E6695"/>
    <w:rsid w:val="002F0E0C"/>
    <w:rsid w:val="002F20B4"/>
    <w:rsid w:val="002F5038"/>
    <w:rsid w:val="002F56FE"/>
    <w:rsid w:val="002F6E03"/>
    <w:rsid w:val="0030057C"/>
    <w:rsid w:val="00300CF5"/>
    <w:rsid w:val="00301271"/>
    <w:rsid w:val="00304689"/>
    <w:rsid w:val="00304FB3"/>
    <w:rsid w:val="003109F1"/>
    <w:rsid w:val="00310E77"/>
    <w:rsid w:val="0031193C"/>
    <w:rsid w:val="00311BB8"/>
    <w:rsid w:val="00313488"/>
    <w:rsid w:val="003140FF"/>
    <w:rsid w:val="00314697"/>
    <w:rsid w:val="00314803"/>
    <w:rsid w:val="00315A17"/>
    <w:rsid w:val="00316B96"/>
    <w:rsid w:val="00317FB4"/>
    <w:rsid w:val="003209B1"/>
    <w:rsid w:val="00321A04"/>
    <w:rsid w:val="00321DF4"/>
    <w:rsid w:val="00321DFE"/>
    <w:rsid w:val="00321EDF"/>
    <w:rsid w:val="00323185"/>
    <w:rsid w:val="00325684"/>
    <w:rsid w:val="00326402"/>
    <w:rsid w:val="00326FB9"/>
    <w:rsid w:val="00327065"/>
    <w:rsid w:val="00327DEF"/>
    <w:rsid w:val="00327EE5"/>
    <w:rsid w:val="00332E0A"/>
    <w:rsid w:val="003336BF"/>
    <w:rsid w:val="00333AF4"/>
    <w:rsid w:val="003350D5"/>
    <w:rsid w:val="003352E1"/>
    <w:rsid w:val="003362A4"/>
    <w:rsid w:val="00336F09"/>
    <w:rsid w:val="00336F27"/>
    <w:rsid w:val="00337573"/>
    <w:rsid w:val="00337596"/>
    <w:rsid w:val="00337AE2"/>
    <w:rsid w:val="00342552"/>
    <w:rsid w:val="00343250"/>
    <w:rsid w:val="003434D5"/>
    <w:rsid w:val="00344337"/>
    <w:rsid w:val="0034455A"/>
    <w:rsid w:val="0034489A"/>
    <w:rsid w:val="003451AA"/>
    <w:rsid w:val="00345AA6"/>
    <w:rsid w:val="0034657B"/>
    <w:rsid w:val="0035076D"/>
    <w:rsid w:val="003516EC"/>
    <w:rsid w:val="0035374B"/>
    <w:rsid w:val="003538F0"/>
    <w:rsid w:val="00353921"/>
    <w:rsid w:val="00356349"/>
    <w:rsid w:val="00356747"/>
    <w:rsid w:val="00357A94"/>
    <w:rsid w:val="003604D3"/>
    <w:rsid w:val="00362343"/>
    <w:rsid w:val="00362FEC"/>
    <w:rsid w:val="003630BC"/>
    <w:rsid w:val="00363469"/>
    <w:rsid w:val="00364122"/>
    <w:rsid w:val="00364461"/>
    <w:rsid w:val="00365710"/>
    <w:rsid w:val="00371218"/>
    <w:rsid w:val="00371F85"/>
    <w:rsid w:val="00372795"/>
    <w:rsid w:val="003731A8"/>
    <w:rsid w:val="00373342"/>
    <w:rsid w:val="00380D95"/>
    <w:rsid w:val="00381D2C"/>
    <w:rsid w:val="00382495"/>
    <w:rsid w:val="00382E42"/>
    <w:rsid w:val="00383C89"/>
    <w:rsid w:val="0038528E"/>
    <w:rsid w:val="003863C3"/>
    <w:rsid w:val="00386B5C"/>
    <w:rsid w:val="00387B6F"/>
    <w:rsid w:val="0039097C"/>
    <w:rsid w:val="003912F3"/>
    <w:rsid w:val="00391911"/>
    <w:rsid w:val="00391F62"/>
    <w:rsid w:val="00392203"/>
    <w:rsid w:val="00392CCF"/>
    <w:rsid w:val="0039327B"/>
    <w:rsid w:val="003932D8"/>
    <w:rsid w:val="003A0511"/>
    <w:rsid w:val="003A19C5"/>
    <w:rsid w:val="003A4050"/>
    <w:rsid w:val="003A40BF"/>
    <w:rsid w:val="003A561A"/>
    <w:rsid w:val="003A7018"/>
    <w:rsid w:val="003A7AEF"/>
    <w:rsid w:val="003B1D4E"/>
    <w:rsid w:val="003B2044"/>
    <w:rsid w:val="003B2C46"/>
    <w:rsid w:val="003B2CD5"/>
    <w:rsid w:val="003B4603"/>
    <w:rsid w:val="003B48F3"/>
    <w:rsid w:val="003B4A1A"/>
    <w:rsid w:val="003B5001"/>
    <w:rsid w:val="003B5909"/>
    <w:rsid w:val="003B69F0"/>
    <w:rsid w:val="003B6CF5"/>
    <w:rsid w:val="003B6EB1"/>
    <w:rsid w:val="003B6ED9"/>
    <w:rsid w:val="003B7E84"/>
    <w:rsid w:val="003C1353"/>
    <w:rsid w:val="003C227D"/>
    <w:rsid w:val="003C2894"/>
    <w:rsid w:val="003C303A"/>
    <w:rsid w:val="003C3DE0"/>
    <w:rsid w:val="003C41B5"/>
    <w:rsid w:val="003C4634"/>
    <w:rsid w:val="003C5682"/>
    <w:rsid w:val="003C6DD1"/>
    <w:rsid w:val="003C7846"/>
    <w:rsid w:val="003D0BE9"/>
    <w:rsid w:val="003D23D3"/>
    <w:rsid w:val="003D23F1"/>
    <w:rsid w:val="003D3DAD"/>
    <w:rsid w:val="003D4EA5"/>
    <w:rsid w:val="003D72D6"/>
    <w:rsid w:val="003D7AEA"/>
    <w:rsid w:val="003E06BC"/>
    <w:rsid w:val="003E26EC"/>
    <w:rsid w:val="003E50E5"/>
    <w:rsid w:val="003E630F"/>
    <w:rsid w:val="003E69AF"/>
    <w:rsid w:val="003E73A1"/>
    <w:rsid w:val="003E743F"/>
    <w:rsid w:val="003E7BB4"/>
    <w:rsid w:val="003F08E0"/>
    <w:rsid w:val="003F0B7D"/>
    <w:rsid w:val="003F0BB6"/>
    <w:rsid w:val="003F0E3A"/>
    <w:rsid w:val="003F1FB3"/>
    <w:rsid w:val="003F6679"/>
    <w:rsid w:val="003F6C52"/>
    <w:rsid w:val="004007A8"/>
    <w:rsid w:val="00400B52"/>
    <w:rsid w:val="00403A05"/>
    <w:rsid w:val="00403D73"/>
    <w:rsid w:val="00404CE9"/>
    <w:rsid w:val="004059EA"/>
    <w:rsid w:val="004103B7"/>
    <w:rsid w:val="00411115"/>
    <w:rsid w:val="004118F8"/>
    <w:rsid w:val="00411C7F"/>
    <w:rsid w:val="004139FD"/>
    <w:rsid w:val="004148B2"/>
    <w:rsid w:val="004163D6"/>
    <w:rsid w:val="0041664A"/>
    <w:rsid w:val="004179BE"/>
    <w:rsid w:val="00417E1C"/>
    <w:rsid w:val="00420B73"/>
    <w:rsid w:val="00421DDE"/>
    <w:rsid w:val="0042366F"/>
    <w:rsid w:val="004237F7"/>
    <w:rsid w:val="00425E09"/>
    <w:rsid w:val="00426E51"/>
    <w:rsid w:val="00427095"/>
    <w:rsid w:val="00431472"/>
    <w:rsid w:val="00434766"/>
    <w:rsid w:val="0043480B"/>
    <w:rsid w:val="004348F2"/>
    <w:rsid w:val="00434EB2"/>
    <w:rsid w:val="004359D4"/>
    <w:rsid w:val="00436AFE"/>
    <w:rsid w:val="00442303"/>
    <w:rsid w:val="00442491"/>
    <w:rsid w:val="00442BF0"/>
    <w:rsid w:val="004433CF"/>
    <w:rsid w:val="004468BF"/>
    <w:rsid w:val="00447B38"/>
    <w:rsid w:val="00450A5D"/>
    <w:rsid w:val="004511F5"/>
    <w:rsid w:val="00451280"/>
    <w:rsid w:val="004513BF"/>
    <w:rsid w:val="00451674"/>
    <w:rsid w:val="00452F84"/>
    <w:rsid w:val="00453BBA"/>
    <w:rsid w:val="00453CBD"/>
    <w:rsid w:val="00453DDD"/>
    <w:rsid w:val="00457858"/>
    <w:rsid w:val="004609F8"/>
    <w:rsid w:val="004631EC"/>
    <w:rsid w:val="0046339B"/>
    <w:rsid w:val="00463987"/>
    <w:rsid w:val="00463AA2"/>
    <w:rsid w:val="0046420A"/>
    <w:rsid w:val="0046571D"/>
    <w:rsid w:val="00466033"/>
    <w:rsid w:val="00470B88"/>
    <w:rsid w:val="00470D89"/>
    <w:rsid w:val="0047332F"/>
    <w:rsid w:val="00473E34"/>
    <w:rsid w:val="00474010"/>
    <w:rsid w:val="00474F40"/>
    <w:rsid w:val="004767F3"/>
    <w:rsid w:val="00476CED"/>
    <w:rsid w:val="00476D63"/>
    <w:rsid w:val="0047742D"/>
    <w:rsid w:val="00477B96"/>
    <w:rsid w:val="00477D98"/>
    <w:rsid w:val="00481292"/>
    <w:rsid w:val="00481F13"/>
    <w:rsid w:val="004834FB"/>
    <w:rsid w:val="00483999"/>
    <w:rsid w:val="00483D79"/>
    <w:rsid w:val="00484D45"/>
    <w:rsid w:val="004858DB"/>
    <w:rsid w:val="00486C54"/>
    <w:rsid w:val="00486F50"/>
    <w:rsid w:val="00490EC0"/>
    <w:rsid w:val="00491381"/>
    <w:rsid w:val="004966A5"/>
    <w:rsid w:val="00496C50"/>
    <w:rsid w:val="004A0F4E"/>
    <w:rsid w:val="004A134E"/>
    <w:rsid w:val="004A4C87"/>
    <w:rsid w:val="004A5F2B"/>
    <w:rsid w:val="004A643C"/>
    <w:rsid w:val="004A6471"/>
    <w:rsid w:val="004B0B72"/>
    <w:rsid w:val="004B1E71"/>
    <w:rsid w:val="004B28D7"/>
    <w:rsid w:val="004B35C0"/>
    <w:rsid w:val="004B368F"/>
    <w:rsid w:val="004B3B8A"/>
    <w:rsid w:val="004B4A84"/>
    <w:rsid w:val="004B585D"/>
    <w:rsid w:val="004B64E1"/>
    <w:rsid w:val="004B67C7"/>
    <w:rsid w:val="004B6FCE"/>
    <w:rsid w:val="004C42E5"/>
    <w:rsid w:val="004C6C13"/>
    <w:rsid w:val="004C7274"/>
    <w:rsid w:val="004D0723"/>
    <w:rsid w:val="004D1008"/>
    <w:rsid w:val="004D1FFF"/>
    <w:rsid w:val="004D29D1"/>
    <w:rsid w:val="004D30C3"/>
    <w:rsid w:val="004D387E"/>
    <w:rsid w:val="004D6B5F"/>
    <w:rsid w:val="004D79B4"/>
    <w:rsid w:val="004E1625"/>
    <w:rsid w:val="004E1928"/>
    <w:rsid w:val="004E1D0C"/>
    <w:rsid w:val="004E4E55"/>
    <w:rsid w:val="004E58C1"/>
    <w:rsid w:val="004E60B9"/>
    <w:rsid w:val="004E7541"/>
    <w:rsid w:val="004F269C"/>
    <w:rsid w:val="004F3EE2"/>
    <w:rsid w:val="004F3FEC"/>
    <w:rsid w:val="004F52CA"/>
    <w:rsid w:val="004F6209"/>
    <w:rsid w:val="004F628A"/>
    <w:rsid w:val="004F6CE0"/>
    <w:rsid w:val="004F72A0"/>
    <w:rsid w:val="0050074B"/>
    <w:rsid w:val="00500A77"/>
    <w:rsid w:val="00500D34"/>
    <w:rsid w:val="00501168"/>
    <w:rsid w:val="005031D8"/>
    <w:rsid w:val="00503A98"/>
    <w:rsid w:val="005045C5"/>
    <w:rsid w:val="00504D4E"/>
    <w:rsid w:val="0050559A"/>
    <w:rsid w:val="00506EE9"/>
    <w:rsid w:val="00507947"/>
    <w:rsid w:val="00510142"/>
    <w:rsid w:val="0051089D"/>
    <w:rsid w:val="00510AD4"/>
    <w:rsid w:val="00513E31"/>
    <w:rsid w:val="0051500B"/>
    <w:rsid w:val="00517013"/>
    <w:rsid w:val="00517548"/>
    <w:rsid w:val="00517B9B"/>
    <w:rsid w:val="00520CED"/>
    <w:rsid w:val="00521194"/>
    <w:rsid w:val="00521B92"/>
    <w:rsid w:val="005224BF"/>
    <w:rsid w:val="00523558"/>
    <w:rsid w:val="00523666"/>
    <w:rsid w:val="00523CDB"/>
    <w:rsid w:val="00523FF6"/>
    <w:rsid w:val="00525D9F"/>
    <w:rsid w:val="00526362"/>
    <w:rsid w:val="005264B9"/>
    <w:rsid w:val="00526C42"/>
    <w:rsid w:val="00526E6D"/>
    <w:rsid w:val="005273DF"/>
    <w:rsid w:val="0053013C"/>
    <w:rsid w:val="0053160B"/>
    <w:rsid w:val="00532222"/>
    <w:rsid w:val="005327A2"/>
    <w:rsid w:val="005335F1"/>
    <w:rsid w:val="00533A80"/>
    <w:rsid w:val="005352F7"/>
    <w:rsid w:val="005353C1"/>
    <w:rsid w:val="00535C72"/>
    <w:rsid w:val="00536D51"/>
    <w:rsid w:val="00536F9A"/>
    <w:rsid w:val="00541B74"/>
    <w:rsid w:val="0054512B"/>
    <w:rsid w:val="005453CD"/>
    <w:rsid w:val="00546043"/>
    <w:rsid w:val="0054639B"/>
    <w:rsid w:val="005468C3"/>
    <w:rsid w:val="005470AB"/>
    <w:rsid w:val="005507DE"/>
    <w:rsid w:val="0055193C"/>
    <w:rsid w:val="00553749"/>
    <w:rsid w:val="00553A1E"/>
    <w:rsid w:val="00554291"/>
    <w:rsid w:val="00555B8F"/>
    <w:rsid w:val="00555CE3"/>
    <w:rsid w:val="005562A8"/>
    <w:rsid w:val="0055667D"/>
    <w:rsid w:val="00557123"/>
    <w:rsid w:val="005578C7"/>
    <w:rsid w:val="00557E80"/>
    <w:rsid w:val="00561201"/>
    <w:rsid w:val="00562C57"/>
    <w:rsid w:val="00565341"/>
    <w:rsid w:val="00567B0C"/>
    <w:rsid w:val="00570971"/>
    <w:rsid w:val="00576190"/>
    <w:rsid w:val="00576C77"/>
    <w:rsid w:val="00577682"/>
    <w:rsid w:val="00577FD5"/>
    <w:rsid w:val="00584C03"/>
    <w:rsid w:val="00584F97"/>
    <w:rsid w:val="00586EC7"/>
    <w:rsid w:val="0058715B"/>
    <w:rsid w:val="0058728C"/>
    <w:rsid w:val="00587F97"/>
    <w:rsid w:val="00590298"/>
    <w:rsid w:val="005907BC"/>
    <w:rsid w:val="005925FA"/>
    <w:rsid w:val="0059271B"/>
    <w:rsid w:val="00592A89"/>
    <w:rsid w:val="00592FBC"/>
    <w:rsid w:val="00595ED9"/>
    <w:rsid w:val="00597496"/>
    <w:rsid w:val="005A0382"/>
    <w:rsid w:val="005A03E8"/>
    <w:rsid w:val="005A1421"/>
    <w:rsid w:val="005A1AE4"/>
    <w:rsid w:val="005A3118"/>
    <w:rsid w:val="005A350B"/>
    <w:rsid w:val="005A3A07"/>
    <w:rsid w:val="005A5990"/>
    <w:rsid w:val="005A5A1C"/>
    <w:rsid w:val="005A6C3F"/>
    <w:rsid w:val="005B05CE"/>
    <w:rsid w:val="005B0A77"/>
    <w:rsid w:val="005B465F"/>
    <w:rsid w:val="005B5F68"/>
    <w:rsid w:val="005B67CB"/>
    <w:rsid w:val="005B69F3"/>
    <w:rsid w:val="005B6F72"/>
    <w:rsid w:val="005B7BFF"/>
    <w:rsid w:val="005C19E2"/>
    <w:rsid w:val="005C1FB5"/>
    <w:rsid w:val="005C2E66"/>
    <w:rsid w:val="005C3BAA"/>
    <w:rsid w:val="005C4584"/>
    <w:rsid w:val="005C4F17"/>
    <w:rsid w:val="005C54B4"/>
    <w:rsid w:val="005C661A"/>
    <w:rsid w:val="005C7257"/>
    <w:rsid w:val="005C7EAA"/>
    <w:rsid w:val="005D3F47"/>
    <w:rsid w:val="005D681C"/>
    <w:rsid w:val="005D7027"/>
    <w:rsid w:val="005D7A2E"/>
    <w:rsid w:val="005E3D3A"/>
    <w:rsid w:val="005E73F7"/>
    <w:rsid w:val="005E76DD"/>
    <w:rsid w:val="005E7BD9"/>
    <w:rsid w:val="005E7F90"/>
    <w:rsid w:val="005E7FD5"/>
    <w:rsid w:val="005F4CBE"/>
    <w:rsid w:val="005F5F19"/>
    <w:rsid w:val="005F6596"/>
    <w:rsid w:val="005F7C3A"/>
    <w:rsid w:val="00600D08"/>
    <w:rsid w:val="006016C0"/>
    <w:rsid w:val="00602F0E"/>
    <w:rsid w:val="0060308F"/>
    <w:rsid w:val="00604F46"/>
    <w:rsid w:val="00605E75"/>
    <w:rsid w:val="00606DC0"/>
    <w:rsid w:val="006071D2"/>
    <w:rsid w:val="00607F7C"/>
    <w:rsid w:val="00610ED3"/>
    <w:rsid w:val="00611B6F"/>
    <w:rsid w:val="006124A7"/>
    <w:rsid w:val="00613A27"/>
    <w:rsid w:val="006149CD"/>
    <w:rsid w:val="00614D41"/>
    <w:rsid w:val="006162EE"/>
    <w:rsid w:val="006209B5"/>
    <w:rsid w:val="006213D1"/>
    <w:rsid w:val="00621C10"/>
    <w:rsid w:val="006238FE"/>
    <w:rsid w:val="006265ED"/>
    <w:rsid w:val="00630AA8"/>
    <w:rsid w:val="00632978"/>
    <w:rsid w:val="00632B9D"/>
    <w:rsid w:val="00632D9B"/>
    <w:rsid w:val="00633F93"/>
    <w:rsid w:val="0063546C"/>
    <w:rsid w:val="00635C6F"/>
    <w:rsid w:val="0063670B"/>
    <w:rsid w:val="00636B52"/>
    <w:rsid w:val="00636D40"/>
    <w:rsid w:val="00637DB5"/>
    <w:rsid w:val="00641A57"/>
    <w:rsid w:val="00642167"/>
    <w:rsid w:val="00642419"/>
    <w:rsid w:val="00642BD0"/>
    <w:rsid w:val="00644225"/>
    <w:rsid w:val="0064458E"/>
    <w:rsid w:val="006448D0"/>
    <w:rsid w:val="00645CCB"/>
    <w:rsid w:val="00653203"/>
    <w:rsid w:val="00653C23"/>
    <w:rsid w:val="00653F2E"/>
    <w:rsid w:val="00654096"/>
    <w:rsid w:val="006555D3"/>
    <w:rsid w:val="00656F3B"/>
    <w:rsid w:val="00660EDE"/>
    <w:rsid w:val="006610DF"/>
    <w:rsid w:val="00662700"/>
    <w:rsid w:val="0066279E"/>
    <w:rsid w:val="00662C26"/>
    <w:rsid w:val="00662EAF"/>
    <w:rsid w:val="00665040"/>
    <w:rsid w:val="00665665"/>
    <w:rsid w:val="006717D0"/>
    <w:rsid w:val="00671B08"/>
    <w:rsid w:val="00674761"/>
    <w:rsid w:val="00674B32"/>
    <w:rsid w:val="00675068"/>
    <w:rsid w:val="006750C8"/>
    <w:rsid w:val="00675328"/>
    <w:rsid w:val="0067547A"/>
    <w:rsid w:val="00676890"/>
    <w:rsid w:val="00677427"/>
    <w:rsid w:val="00677AFD"/>
    <w:rsid w:val="00680EDD"/>
    <w:rsid w:val="00681964"/>
    <w:rsid w:val="00681E96"/>
    <w:rsid w:val="00684183"/>
    <w:rsid w:val="006841A4"/>
    <w:rsid w:val="006842CC"/>
    <w:rsid w:val="00684498"/>
    <w:rsid w:val="00684B57"/>
    <w:rsid w:val="00685246"/>
    <w:rsid w:val="00686321"/>
    <w:rsid w:val="00687063"/>
    <w:rsid w:val="00687587"/>
    <w:rsid w:val="00691D5E"/>
    <w:rsid w:val="006920E5"/>
    <w:rsid w:val="00692B8F"/>
    <w:rsid w:val="0069460D"/>
    <w:rsid w:val="00694DC3"/>
    <w:rsid w:val="00697774"/>
    <w:rsid w:val="006A158A"/>
    <w:rsid w:val="006A3A0E"/>
    <w:rsid w:val="006A43CF"/>
    <w:rsid w:val="006A587A"/>
    <w:rsid w:val="006A6BBF"/>
    <w:rsid w:val="006A6C49"/>
    <w:rsid w:val="006A781A"/>
    <w:rsid w:val="006A7ADB"/>
    <w:rsid w:val="006B1A60"/>
    <w:rsid w:val="006B2E43"/>
    <w:rsid w:val="006B3296"/>
    <w:rsid w:val="006B3A3C"/>
    <w:rsid w:val="006B4DAB"/>
    <w:rsid w:val="006B6182"/>
    <w:rsid w:val="006B64CF"/>
    <w:rsid w:val="006B6AE6"/>
    <w:rsid w:val="006C0EB0"/>
    <w:rsid w:val="006C1620"/>
    <w:rsid w:val="006C1A05"/>
    <w:rsid w:val="006C1D96"/>
    <w:rsid w:val="006C1DF3"/>
    <w:rsid w:val="006C2323"/>
    <w:rsid w:val="006C3135"/>
    <w:rsid w:val="006C4447"/>
    <w:rsid w:val="006C48DB"/>
    <w:rsid w:val="006C6190"/>
    <w:rsid w:val="006C64CA"/>
    <w:rsid w:val="006C66A2"/>
    <w:rsid w:val="006C7875"/>
    <w:rsid w:val="006D076D"/>
    <w:rsid w:val="006D07A8"/>
    <w:rsid w:val="006D17BB"/>
    <w:rsid w:val="006D1BCE"/>
    <w:rsid w:val="006D2E09"/>
    <w:rsid w:val="006D460A"/>
    <w:rsid w:val="006D537C"/>
    <w:rsid w:val="006D5D24"/>
    <w:rsid w:val="006D7F00"/>
    <w:rsid w:val="006E0652"/>
    <w:rsid w:val="006E21B3"/>
    <w:rsid w:val="006E22AE"/>
    <w:rsid w:val="006E2A05"/>
    <w:rsid w:val="006E3B1F"/>
    <w:rsid w:val="006E3CE8"/>
    <w:rsid w:val="006E4F1F"/>
    <w:rsid w:val="006E5014"/>
    <w:rsid w:val="006E619D"/>
    <w:rsid w:val="006E72B2"/>
    <w:rsid w:val="006F151A"/>
    <w:rsid w:val="006F26B4"/>
    <w:rsid w:val="006F2B8B"/>
    <w:rsid w:val="006F3C08"/>
    <w:rsid w:val="006F608D"/>
    <w:rsid w:val="006F60B9"/>
    <w:rsid w:val="00700FDE"/>
    <w:rsid w:val="00701110"/>
    <w:rsid w:val="007041C1"/>
    <w:rsid w:val="00704DA5"/>
    <w:rsid w:val="00705C00"/>
    <w:rsid w:val="00705D30"/>
    <w:rsid w:val="007062C0"/>
    <w:rsid w:val="007064F4"/>
    <w:rsid w:val="0070692F"/>
    <w:rsid w:val="00707D64"/>
    <w:rsid w:val="0071052D"/>
    <w:rsid w:val="00711971"/>
    <w:rsid w:val="00714469"/>
    <w:rsid w:val="00714A47"/>
    <w:rsid w:val="0071580B"/>
    <w:rsid w:val="00715C38"/>
    <w:rsid w:val="00715CE2"/>
    <w:rsid w:val="00716DBB"/>
    <w:rsid w:val="00717BBB"/>
    <w:rsid w:val="007200BA"/>
    <w:rsid w:val="00720923"/>
    <w:rsid w:val="00720D71"/>
    <w:rsid w:val="0072123C"/>
    <w:rsid w:val="00721A81"/>
    <w:rsid w:val="00722FD5"/>
    <w:rsid w:val="00724DE9"/>
    <w:rsid w:val="00725C48"/>
    <w:rsid w:val="0072698E"/>
    <w:rsid w:val="00727138"/>
    <w:rsid w:val="00731385"/>
    <w:rsid w:val="00732099"/>
    <w:rsid w:val="00732A65"/>
    <w:rsid w:val="00733FD0"/>
    <w:rsid w:val="00736728"/>
    <w:rsid w:val="0073733D"/>
    <w:rsid w:val="00740369"/>
    <w:rsid w:val="00740DEE"/>
    <w:rsid w:val="00741D98"/>
    <w:rsid w:val="00741E3B"/>
    <w:rsid w:val="00742490"/>
    <w:rsid w:val="007430AA"/>
    <w:rsid w:val="00744A66"/>
    <w:rsid w:val="00745DBA"/>
    <w:rsid w:val="00745F21"/>
    <w:rsid w:val="00746F54"/>
    <w:rsid w:val="0074730E"/>
    <w:rsid w:val="00747641"/>
    <w:rsid w:val="00747CD3"/>
    <w:rsid w:val="0075011A"/>
    <w:rsid w:val="00750440"/>
    <w:rsid w:val="00750BFC"/>
    <w:rsid w:val="007513F9"/>
    <w:rsid w:val="007515EB"/>
    <w:rsid w:val="00754402"/>
    <w:rsid w:val="00756521"/>
    <w:rsid w:val="00756668"/>
    <w:rsid w:val="007568E3"/>
    <w:rsid w:val="00756CDD"/>
    <w:rsid w:val="00760A84"/>
    <w:rsid w:val="007619C1"/>
    <w:rsid w:val="00762188"/>
    <w:rsid w:val="007622F6"/>
    <w:rsid w:val="00762F1D"/>
    <w:rsid w:val="00763519"/>
    <w:rsid w:val="00763CF7"/>
    <w:rsid w:val="00765DBE"/>
    <w:rsid w:val="007679BE"/>
    <w:rsid w:val="007716BD"/>
    <w:rsid w:val="00771D1D"/>
    <w:rsid w:val="00773573"/>
    <w:rsid w:val="00773B82"/>
    <w:rsid w:val="007740E0"/>
    <w:rsid w:val="00774AA2"/>
    <w:rsid w:val="00774AEA"/>
    <w:rsid w:val="007751AF"/>
    <w:rsid w:val="007752D6"/>
    <w:rsid w:val="0077568C"/>
    <w:rsid w:val="007756BC"/>
    <w:rsid w:val="00776442"/>
    <w:rsid w:val="00776EBF"/>
    <w:rsid w:val="00777000"/>
    <w:rsid w:val="00777828"/>
    <w:rsid w:val="0078210F"/>
    <w:rsid w:val="007833D1"/>
    <w:rsid w:val="00783581"/>
    <w:rsid w:val="00784EB2"/>
    <w:rsid w:val="007851A2"/>
    <w:rsid w:val="0078668E"/>
    <w:rsid w:val="0078756A"/>
    <w:rsid w:val="0079092C"/>
    <w:rsid w:val="00790973"/>
    <w:rsid w:val="00790CAE"/>
    <w:rsid w:val="00791A91"/>
    <w:rsid w:val="00791B68"/>
    <w:rsid w:val="00792676"/>
    <w:rsid w:val="00793488"/>
    <w:rsid w:val="007934E1"/>
    <w:rsid w:val="007940AB"/>
    <w:rsid w:val="00794B2F"/>
    <w:rsid w:val="00795BB6"/>
    <w:rsid w:val="007A1CEB"/>
    <w:rsid w:val="007A3AFA"/>
    <w:rsid w:val="007A53CB"/>
    <w:rsid w:val="007A716A"/>
    <w:rsid w:val="007B019A"/>
    <w:rsid w:val="007B025E"/>
    <w:rsid w:val="007B12ED"/>
    <w:rsid w:val="007B399C"/>
    <w:rsid w:val="007B41C4"/>
    <w:rsid w:val="007B4DDD"/>
    <w:rsid w:val="007B4ED3"/>
    <w:rsid w:val="007B5DC7"/>
    <w:rsid w:val="007B656A"/>
    <w:rsid w:val="007B7F1F"/>
    <w:rsid w:val="007B7FDF"/>
    <w:rsid w:val="007C02B9"/>
    <w:rsid w:val="007C0E65"/>
    <w:rsid w:val="007C126D"/>
    <w:rsid w:val="007C1C03"/>
    <w:rsid w:val="007C378A"/>
    <w:rsid w:val="007C3F02"/>
    <w:rsid w:val="007C4276"/>
    <w:rsid w:val="007C4AF4"/>
    <w:rsid w:val="007C4EBD"/>
    <w:rsid w:val="007C6052"/>
    <w:rsid w:val="007C658B"/>
    <w:rsid w:val="007C7ADF"/>
    <w:rsid w:val="007D0F11"/>
    <w:rsid w:val="007D0FDE"/>
    <w:rsid w:val="007D13B2"/>
    <w:rsid w:val="007D1F7E"/>
    <w:rsid w:val="007D37C7"/>
    <w:rsid w:val="007D5962"/>
    <w:rsid w:val="007D7D79"/>
    <w:rsid w:val="007E06DE"/>
    <w:rsid w:val="007E1A4B"/>
    <w:rsid w:val="007E2D8B"/>
    <w:rsid w:val="007E304B"/>
    <w:rsid w:val="007E4061"/>
    <w:rsid w:val="007E682D"/>
    <w:rsid w:val="007E690B"/>
    <w:rsid w:val="007E6B30"/>
    <w:rsid w:val="007E7387"/>
    <w:rsid w:val="007E73A8"/>
    <w:rsid w:val="007F0F95"/>
    <w:rsid w:val="007F17E5"/>
    <w:rsid w:val="007F210C"/>
    <w:rsid w:val="007F3E91"/>
    <w:rsid w:val="007F417E"/>
    <w:rsid w:val="007F4695"/>
    <w:rsid w:val="007F51E1"/>
    <w:rsid w:val="007F52CD"/>
    <w:rsid w:val="007F5D8D"/>
    <w:rsid w:val="00800CAE"/>
    <w:rsid w:val="0080281D"/>
    <w:rsid w:val="0080319A"/>
    <w:rsid w:val="008049C3"/>
    <w:rsid w:val="00805A9B"/>
    <w:rsid w:val="0080698B"/>
    <w:rsid w:val="00806A52"/>
    <w:rsid w:val="00807E6C"/>
    <w:rsid w:val="008106FC"/>
    <w:rsid w:val="0081140D"/>
    <w:rsid w:val="008114DA"/>
    <w:rsid w:val="00812E1D"/>
    <w:rsid w:val="00813EF0"/>
    <w:rsid w:val="008142B1"/>
    <w:rsid w:val="0081575F"/>
    <w:rsid w:val="00817A00"/>
    <w:rsid w:val="00820581"/>
    <w:rsid w:val="00820695"/>
    <w:rsid w:val="00821EA3"/>
    <w:rsid w:val="00823C43"/>
    <w:rsid w:val="008240EB"/>
    <w:rsid w:val="00824A55"/>
    <w:rsid w:val="00825239"/>
    <w:rsid w:val="0082561B"/>
    <w:rsid w:val="008264F7"/>
    <w:rsid w:val="00826E23"/>
    <w:rsid w:val="00827414"/>
    <w:rsid w:val="00830766"/>
    <w:rsid w:val="008318E8"/>
    <w:rsid w:val="00834990"/>
    <w:rsid w:val="00835A35"/>
    <w:rsid w:val="00836836"/>
    <w:rsid w:val="00837003"/>
    <w:rsid w:val="00837257"/>
    <w:rsid w:val="00841505"/>
    <w:rsid w:val="00841DC8"/>
    <w:rsid w:val="008435C9"/>
    <w:rsid w:val="0084521B"/>
    <w:rsid w:val="00845665"/>
    <w:rsid w:val="0085014A"/>
    <w:rsid w:val="00850175"/>
    <w:rsid w:val="00850ECB"/>
    <w:rsid w:val="00853D90"/>
    <w:rsid w:val="008551B6"/>
    <w:rsid w:val="00855BDF"/>
    <w:rsid w:val="0085638B"/>
    <w:rsid w:val="00857CAA"/>
    <w:rsid w:val="00860E7D"/>
    <w:rsid w:val="00861487"/>
    <w:rsid w:val="00861BBA"/>
    <w:rsid w:val="008625DC"/>
    <w:rsid w:val="008629C4"/>
    <w:rsid w:val="00862BFD"/>
    <w:rsid w:val="00862CC8"/>
    <w:rsid w:val="00864A4C"/>
    <w:rsid w:val="0086791F"/>
    <w:rsid w:val="00870BC3"/>
    <w:rsid w:val="0087279F"/>
    <w:rsid w:val="0087336B"/>
    <w:rsid w:val="008735E2"/>
    <w:rsid w:val="008744AF"/>
    <w:rsid w:val="00874825"/>
    <w:rsid w:val="008749BD"/>
    <w:rsid w:val="00875AEA"/>
    <w:rsid w:val="008774E7"/>
    <w:rsid w:val="00881580"/>
    <w:rsid w:val="0088499C"/>
    <w:rsid w:val="00884D56"/>
    <w:rsid w:val="00884DE4"/>
    <w:rsid w:val="00885C8C"/>
    <w:rsid w:val="008860AA"/>
    <w:rsid w:val="00886122"/>
    <w:rsid w:val="00887F44"/>
    <w:rsid w:val="00891488"/>
    <w:rsid w:val="00891CD8"/>
    <w:rsid w:val="00892537"/>
    <w:rsid w:val="00892A65"/>
    <w:rsid w:val="0089460E"/>
    <w:rsid w:val="00894689"/>
    <w:rsid w:val="008A040F"/>
    <w:rsid w:val="008A0442"/>
    <w:rsid w:val="008A0FBF"/>
    <w:rsid w:val="008A1AFF"/>
    <w:rsid w:val="008A40DD"/>
    <w:rsid w:val="008A417C"/>
    <w:rsid w:val="008A451F"/>
    <w:rsid w:val="008A4A78"/>
    <w:rsid w:val="008A5DA0"/>
    <w:rsid w:val="008A78B9"/>
    <w:rsid w:val="008B09D4"/>
    <w:rsid w:val="008B170E"/>
    <w:rsid w:val="008B2002"/>
    <w:rsid w:val="008B3106"/>
    <w:rsid w:val="008B3825"/>
    <w:rsid w:val="008B38AF"/>
    <w:rsid w:val="008B3AC9"/>
    <w:rsid w:val="008B582C"/>
    <w:rsid w:val="008B5DB4"/>
    <w:rsid w:val="008B6343"/>
    <w:rsid w:val="008B6B26"/>
    <w:rsid w:val="008C2571"/>
    <w:rsid w:val="008C2729"/>
    <w:rsid w:val="008C3958"/>
    <w:rsid w:val="008C6DA3"/>
    <w:rsid w:val="008D0A16"/>
    <w:rsid w:val="008D0D75"/>
    <w:rsid w:val="008D1268"/>
    <w:rsid w:val="008D3D1A"/>
    <w:rsid w:val="008D45A2"/>
    <w:rsid w:val="008D5918"/>
    <w:rsid w:val="008D606D"/>
    <w:rsid w:val="008D6ECF"/>
    <w:rsid w:val="008E1361"/>
    <w:rsid w:val="008E2898"/>
    <w:rsid w:val="008E459E"/>
    <w:rsid w:val="008E657A"/>
    <w:rsid w:val="008E7229"/>
    <w:rsid w:val="008E7526"/>
    <w:rsid w:val="008F0703"/>
    <w:rsid w:val="008F1F50"/>
    <w:rsid w:val="008F24DA"/>
    <w:rsid w:val="008F290F"/>
    <w:rsid w:val="008F4847"/>
    <w:rsid w:val="008F64DE"/>
    <w:rsid w:val="008F76EA"/>
    <w:rsid w:val="008F7E1E"/>
    <w:rsid w:val="009003C0"/>
    <w:rsid w:val="0090107E"/>
    <w:rsid w:val="009011D6"/>
    <w:rsid w:val="009013BE"/>
    <w:rsid w:val="00903387"/>
    <w:rsid w:val="009035FE"/>
    <w:rsid w:val="00903C3A"/>
    <w:rsid w:val="009047CC"/>
    <w:rsid w:val="00905926"/>
    <w:rsid w:val="009069E4"/>
    <w:rsid w:val="0090758A"/>
    <w:rsid w:val="00907773"/>
    <w:rsid w:val="0091067E"/>
    <w:rsid w:val="009108E1"/>
    <w:rsid w:val="00911F07"/>
    <w:rsid w:val="009126A1"/>
    <w:rsid w:val="00912E62"/>
    <w:rsid w:val="00914AE7"/>
    <w:rsid w:val="00915104"/>
    <w:rsid w:val="00916776"/>
    <w:rsid w:val="00916C6E"/>
    <w:rsid w:val="00920DAE"/>
    <w:rsid w:val="00920E4F"/>
    <w:rsid w:val="00921BF5"/>
    <w:rsid w:val="00921E65"/>
    <w:rsid w:val="00924E68"/>
    <w:rsid w:val="009255AD"/>
    <w:rsid w:val="00925A78"/>
    <w:rsid w:val="00926815"/>
    <w:rsid w:val="00926B47"/>
    <w:rsid w:val="00927753"/>
    <w:rsid w:val="009302B4"/>
    <w:rsid w:val="0093074E"/>
    <w:rsid w:val="00930BA2"/>
    <w:rsid w:val="00931AC8"/>
    <w:rsid w:val="00935186"/>
    <w:rsid w:val="00942280"/>
    <w:rsid w:val="009428D4"/>
    <w:rsid w:val="00942DDF"/>
    <w:rsid w:val="00943A76"/>
    <w:rsid w:val="00944055"/>
    <w:rsid w:val="00944776"/>
    <w:rsid w:val="00945720"/>
    <w:rsid w:val="00947B7F"/>
    <w:rsid w:val="00947CF5"/>
    <w:rsid w:val="00947F71"/>
    <w:rsid w:val="00952256"/>
    <w:rsid w:val="00953AA4"/>
    <w:rsid w:val="00954651"/>
    <w:rsid w:val="009560FB"/>
    <w:rsid w:val="0095612B"/>
    <w:rsid w:val="00956E41"/>
    <w:rsid w:val="00956E77"/>
    <w:rsid w:val="00957960"/>
    <w:rsid w:val="00960498"/>
    <w:rsid w:val="00960E1D"/>
    <w:rsid w:val="00963190"/>
    <w:rsid w:val="00963311"/>
    <w:rsid w:val="00963E0D"/>
    <w:rsid w:val="009653C1"/>
    <w:rsid w:val="009653CC"/>
    <w:rsid w:val="009654A4"/>
    <w:rsid w:val="00965F60"/>
    <w:rsid w:val="0096706F"/>
    <w:rsid w:val="00967FED"/>
    <w:rsid w:val="0097178B"/>
    <w:rsid w:val="00971F52"/>
    <w:rsid w:val="0097303B"/>
    <w:rsid w:val="0097362D"/>
    <w:rsid w:val="009754B5"/>
    <w:rsid w:val="009773B0"/>
    <w:rsid w:val="009776CA"/>
    <w:rsid w:val="00977FBD"/>
    <w:rsid w:val="00981D6A"/>
    <w:rsid w:val="00982442"/>
    <w:rsid w:val="009825BC"/>
    <w:rsid w:val="00983AAA"/>
    <w:rsid w:val="00985B7D"/>
    <w:rsid w:val="0098672B"/>
    <w:rsid w:val="00986B80"/>
    <w:rsid w:val="0099032C"/>
    <w:rsid w:val="00990577"/>
    <w:rsid w:val="00991088"/>
    <w:rsid w:val="0099122C"/>
    <w:rsid w:val="0099162E"/>
    <w:rsid w:val="00991C9E"/>
    <w:rsid w:val="00992880"/>
    <w:rsid w:val="00992992"/>
    <w:rsid w:val="00993C66"/>
    <w:rsid w:val="00994158"/>
    <w:rsid w:val="00994CAB"/>
    <w:rsid w:val="009958B7"/>
    <w:rsid w:val="00995C1C"/>
    <w:rsid w:val="00995C6A"/>
    <w:rsid w:val="009962F6"/>
    <w:rsid w:val="009967FA"/>
    <w:rsid w:val="0099751E"/>
    <w:rsid w:val="009975D5"/>
    <w:rsid w:val="009A02B7"/>
    <w:rsid w:val="009A0C32"/>
    <w:rsid w:val="009A17C1"/>
    <w:rsid w:val="009A2E4D"/>
    <w:rsid w:val="009A2EDB"/>
    <w:rsid w:val="009A6931"/>
    <w:rsid w:val="009B05DC"/>
    <w:rsid w:val="009B140F"/>
    <w:rsid w:val="009B1973"/>
    <w:rsid w:val="009B27BD"/>
    <w:rsid w:val="009B3B28"/>
    <w:rsid w:val="009B3B4E"/>
    <w:rsid w:val="009B459A"/>
    <w:rsid w:val="009B59EA"/>
    <w:rsid w:val="009B5A81"/>
    <w:rsid w:val="009C1546"/>
    <w:rsid w:val="009C1D6B"/>
    <w:rsid w:val="009C2B4B"/>
    <w:rsid w:val="009C351B"/>
    <w:rsid w:val="009C3C08"/>
    <w:rsid w:val="009C4FB6"/>
    <w:rsid w:val="009C5C67"/>
    <w:rsid w:val="009C75D9"/>
    <w:rsid w:val="009C7FD8"/>
    <w:rsid w:val="009D2102"/>
    <w:rsid w:val="009D656A"/>
    <w:rsid w:val="009D6EF8"/>
    <w:rsid w:val="009D7166"/>
    <w:rsid w:val="009E034B"/>
    <w:rsid w:val="009E04F6"/>
    <w:rsid w:val="009E0913"/>
    <w:rsid w:val="009E0DD0"/>
    <w:rsid w:val="009E1624"/>
    <w:rsid w:val="009E1A81"/>
    <w:rsid w:val="009E3355"/>
    <w:rsid w:val="009E35BE"/>
    <w:rsid w:val="009E4BF1"/>
    <w:rsid w:val="009E4F9A"/>
    <w:rsid w:val="009E71FF"/>
    <w:rsid w:val="009E7325"/>
    <w:rsid w:val="009E7E5B"/>
    <w:rsid w:val="009F04B0"/>
    <w:rsid w:val="009F25B5"/>
    <w:rsid w:val="009F287B"/>
    <w:rsid w:val="009F2AFE"/>
    <w:rsid w:val="009F3927"/>
    <w:rsid w:val="009F44E1"/>
    <w:rsid w:val="009F4874"/>
    <w:rsid w:val="009F7032"/>
    <w:rsid w:val="00A00209"/>
    <w:rsid w:val="00A00B47"/>
    <w:rsid w:val="00A01A52"/>
    <w:rsid w:val="00A02589"/>
    <w:rsid w:val="00A03F23"/>
    <w:rsid w:val="00A0447C"/>
    <w:rsid w:val="00A05209"/>
    <w:rsid w:val="00A059C7"/>
    <w:rsid w:val="00A05AF9"/>
    <w:rsid w:val="00A06945"/>
    <w:rsid w:val="00A06F21"/>
    <w:rsid w:val="00A07154"/>
    <w:rsid w:val="00A0747E"/>
    <w:rsid w:val="00A1083E"/>
    <w:rsid w:val="00A1210D"/>
    <w:rsid w:val="00A13086"/>
    <w:rsid w:val="00A1454A"/>
    <w:rsid w:val="00A14B42"/>
    <w:rsid w:val="00A156CF"/>
    <w:rsid w:val="00A158B0"/>
    <w:rsid w:val="00A15C41"/>
    <w:rsid w:val="00A16469"/>
    <w:rsid w:val="00A21524"/>
    <w:rsid w:val="00A21969"/>
    <w:rsid w:val="00A228D9"/>
    <w:rsid w:val="00A236C9"/>
    <w:rsid w:val="00A24B26"/>
    <w:rsid w:val="00A25816"/>
    <w:rsid w:val="00A25B4C"/>
    <w:rsid w:val="00A27514"/>
    <w:rsid w:val="00A307FD"/>
    <w:rsid w:val="00A309A3"/>
    <w:rsid w:val="00A311E4"/>
    <w:rsid w:val="00A31EEA"/>
    <w:rsid w:val="00A31F51"/>
    <w:rsid w:val="00A32549"/>
    <w:rsid w:val="00A33050"/>
    <w:rsid w:val="00A34A68"/>
    <w:rsid w:val="00A35316"/>
    <w:rsid w:val="00A36BA6"/>
    <w:rsid w:val="00A3715A"/>
    <w:rsid w:val="00A37A33"/>
    <w:rsid w:val="00A37C67"/>
    <w:rsid w:val="00A4020D"/>
    <w:rsid w:val="00A415B4"/>
    <w:rsid w:val="00A41917"/>
    <w:rsid w:val="00A42C3E"/>
    <w:rsid w:val="00A434EA"/>
    <w:rsid w:val="00A46826"/>
    <w:rsid w:val="00A47A84"/>
    <w:rsid w:val="00A47B0E"/>
    <w:rsid w:val="00A54186"/>
    <w:rsid w:val="00A547A8"/>
    <w:rsid w:val="00A54A9B"/>
    <w:rsid w:val="00A54DF0"/>
    <w:rsid w:val="00A55EA9"/>
    <w:rsid w:val="00A564E0"/>
    <w:rsid w:val="00A56AE0"/>
    <w:rsid w:val="00A60F3C"/>
    <w:rsid w:val="00A6109A"/>
    <w:rsid w:val="00A620F9"/>
    <w:rsid w:val="00A62D82"/>
    <w:rsid w:val="00A63472"/>
    <w:rsid w:val="00A637F6"/>
    <w:rsid w:val="00A67CD1"/>
    <w:rsid w:val="00A7078A"/>
    <w:rsid w:val="00A70C02"/>
    <w:rsid w:val="00A7183F"/>
    <w:rsid w:val="00A73B91"/>
    <w:rsid w:val="00A73E0A"/>
    <w:rsid w:val="00A7544B"/>
    <w:rsid w:val="00A7567A"/>
    <w:rsid w:val="00A75CD4"/>
    <w:rsid w:val="00A81E12"/>
    <w:rsid w:val="00A82E9C"/>
    <w:rsid w:val="00A848A7"/>
    <w:rsid w:val="00A856C8"/>
    <w:rsid w:val="00A85A16"/>
    <w:rsid w:val="00A85A53"/>
    <w:rsid w:val="00A91BBF"/>
    <w:rsid w:val="00A922BE"/>
    <w:rsid w:val="00A92CB5"/>
    <w:rsid w:val="00A93162"/>
    <w:rsid w:val="00A95D4A"/>
    <w:rsid w:val="00A960C4"/>
    <w:rsid w:val="00A96D8C"/>
    <w:rsid w:val="00AA0DE7"/>
    <w:rsid w:val="00AA30EE"/>
    <w:rsid w:val="00AA3FF0"/>
    <w:rsid w:val="00AA77B6"/>
    <w:rsid w:val="00AA79F2"/>
    <w:rsid w:val="00AB0C8B"/>
    <w:rsid w:val="00AB10D5"/>
    <w:rsid w:val="00AB1A98"/>
    <w:rsid w:val="00AB2559"/>
    <w:rsid w:val="00AB2762"/>
    <w:rsid w:val="00AB3DC5"/>
    <w:rsid w:val="00AB4539"/>
    <w:rsid w:val="00AB48F2"/>
    <w:rsid w:val="00AB6C47"/>
    <w:rsid w:val="00AB7CB3"/>
    <w:rsid w:val="00AC0E4B"/>
    <w:rsid w:val="00AC1DAF"/>
    <w:rsid w:val="00AC1DF5"/>
    <w:rsid w:val="00AC2F01"/>
    <w:rsid w:val="00AC3C33"/>
    <w:rsid w:val="00AC4F11"/>
    <w:rsid w:val="00AC6942"/>
    <w:rsid w:val="00AD014D"/>
    <w:rsid w:val="00AD029A"/>
    <w:rsid w:val="00AD0AEE"/>
    <w:rsid w:val="00AD24F4"/>
    <w:rsid w:val="00AD380F"/>
    <w:rsid w:val="00AD3F93"/>
    <w:rsid w:val="00AD4162"/>
    <w:rsid w:val="00AD4A90"/>
    <w:rsid w:val="00AD66C4"/>
    <w:rsid w:val="00AD6EE2"/>
    <w:rsid w:val="00AE2463"/>
    <w:rsid w:val="00AE2885"/>
    <w:rsid w:val="00AE290D"/>
    <w:rsid w:val="00AE4F3A"/>
    <w:rsid w:val="00AE59FD"/>
    <w:rsid w:val="00AE61A1"/>
    <w:rsid w:val="00AE6D80"/>
    <w:rsid w:val="00AE6EA7"/>
    <w:rsid w:val="00AF16AB"/>
    <w:rsid w:val="00AF24E3"/>
    <w:rsid w:val="00AF25C4"/>
    <w:rsid w:val="00AF5E62"/>
    <w:rsid w:val="00B000AD"/>
    <w:rsid w:val="00B026BF"/>
    <w:rsid w:val="00B052B8"/>
    <w:rsid w:val="00B055AE"/>
    <w:rsid w:val="00B05986"/>
    <w:rsid w:val="00B10420"/>
    <w:rsid w:val="00B11FF2"/>
    <w:rsid w:val="00B158EC"/>
    <w:rsid w:val="00B16983"/>
    <w:rsid w:val="00B1710C"/>
    <w:rsid w:val="00B2070B"/>
    <w:rsid w:val="00B209AC"/>
    <w:rsid w:val="00B20BB6"/>
    <w:rsid w:val="00B21A10"/>
    <w:rsid w:val="00B2582D"/>
    <w:rsid w:val="00B30294"/>
    <w:rsid w:val="00B30CDE"/>
    <w:rsid w:val="00B315FD"/>
    <w:rsid w:val="00B324A3"/>
    <w:rsid w:val="00B324D4"/>
    <w:rsid w:val="00B32516"/>
    <w:rsid w:val="00B326FF"/>
    <w:rsid w:val="00B329F2"/>
    <w:rsid w:val="00B33541"/>
    <w:rsid w:val="00B33836"/>
    <w:rsid w:val="00B359C1"/>
    <w:rsid w:val="00B3764B"/>
    <w:rsid w:val="00B40126"/>
    <w:rsid w:val="00B401D6"/>
    <w:rsid w:val="00B40EC0"/>
    <w:rsid w:val="00B4200C"/>
    <w:rsid w:val="00B44ED3"/>
    <w:rsid w:val="00B46E33"/>
    <w:rsid w:val="00B4769A"/>
    <w:rsid w:val="00B50369"/>
    <w:rsid w:val="00B51326"/>
    <w:rsid w:val="00B51BCE"/>
    <w:rsid w:val="00B52ADD"/>
    <w:rsid w:val="00B52CF7"/>
    <w:rsid w:val="00B53D2D"/>
    <w:rsid w:val="00B54D97"/>
    <w:rsid w:val="00B559A1"/>
    <w:rsid w:val="00B56058"/>
    <w:rsid w:val="00B57DA1"/>
    <w:rsid w:val="00B60BC7"/>
    <w:rsid w:val="00B60E1B"/>
    <w:rsid w:val="00B61963"/>
    <w:rsid w:val="00B61C53"/>
    <w:rsid w:val="00B63999"/>
    <w:rsid w:val="00B64288"/>
    <w:rsid w:val="00B65420"/>
    <w:rsid w:val="00B65B04"/>
    <w:rsid w:val="00B67208"/>
    <w:rsid w:val="00B716D2"/>
    <w:rsid w:val="00B72B36"/>
    <w:rsid w:val="00B7412D"/>
    <w:rsid w:val="00B7550E"/>
    <w:rsid w:val="00B761AA"/>
    <w:rsid w:val="00B768C1"/>
    <w:rsid w:val="00B76E7E"/>
    <w:rsid w:val="00B779BE"/>
    <w:rsid w:val="00B80078"/>
    <w:rsid w:val="00B80303"/>
    <w:rsid w:val="00B804B1"/>
    <w:rsid w:val="00B80D9A"/>
    <w:rsid w:val="00B815DD"/>
    <w:rsid w:val="00B818DE"/>
    <w:rsid w:val="00B832C3"/>
    <w:rsid w:val="00B83728"/>
    <w:rsid w:val="00B83B8A"/>
    <w:rsid w:val="00B845F0"/>
    <w:rsid w:val="00B84C2B"/>
    <w:rsid w:val="00B84C5E"/>
    <w:rsid w:val="00B860C2"/>
    <w:rsid w:val="00B86988"/>
    <w:rsid w:val="00B8765D"/>
    <w:rsid w:val="00B900E4"/>
    <w:rsid w:val="00B916CF"/>
    <w:rsid w:val="00B92C04"/>
    <w:rsid w:val="00B92DC8"/>
    <w:rsid w:val="00B93487"/>
    <w:rsid w:val="00B948B7"/>
    <w:rsid w:val="00B9516F"/>
    <w:rsid w:val="00B95D01"/>
    <w:rsid w:val="00B96811"/>
    <w:rsid w:val="00BA09C1"/>
    <w:rsid w:val="00BA2258"/>
    <w:rsid w:val="00BA239B"/>
    <w:rsid w:val="00BA4F5E"/>
    <w:rsid w:val="00BA6545"/>
    <w:rsid w:val="00BA6952"/>
    <w:rsid w:val="00BA7524"/>
    <w:rsid w:val="00BA7B99"/>
    <w:rsid w:val="00BB1408"/>
    <w:rsid w:val="00BB1BEF"/>
    <w:rsid w:val="00BB2190"/>
    <w:rsid w:val="00BB2601"/>
    <w:rsid w:val="00BB2D20"/>
    <w:rsid w:val="00BB2F18"/>
    <w:rsid w:val="00BB6008"/>
    <w:rsid w:val="00BB7E6A"/>
    <w:rsid w:val="00BC02E4"/>
    <w:rsid w:val="00BC03A7"/>
    <w:rsid w:val="00BC3D0C"/>
    <w:rsid w:val="00BC3F01"/>
    <w:rsid w:val="00BC5370"/>
    <w:rsid w:val="00BC5A74"/>
    <w:rsid w:val="00BC6EAE"/>
    <w:rsid w:val="00BD05D1"/>
    <w:rsid w:val="00BD0F8B"/>
    <w:rsid w:val="00BD17FD"/>
    <w:rsid w:val="00BD1922"/>
    <w:rsid w:val="00BD1929"/>
    <w:rsid w:val="00BD26BE"/>
    <w:rsid w:val="00BD33D9"/>
    <w:rsid w:val="00BD43F3"/>
    <w:rsid w:val="00BD594F"/>
    <w:rsid w:val="00BD607B"/>
    <w:rsid w:val="00BD6EA0"/>
    <w:rsid w:val="00BD78D4"/>
    <w:rsid w:val="00BE129A"/>
    <w:rsid w:val="00BE14DE"/>
    <w:rsid w:val="00BE1E79"/>
    <w:rsid w:val="00BE292A"/>
    <w:rsid w:val="00BE2A3D"/>
    <w:rsid w:val="00BE42DD"/>
    <w:rsid w:val="00BE4DF5"/>
    <w:rsid w:val="00BE5943"/>
    <w:rsid w:val="00BE63D4"/>
    <w:rsid w:val="00BE6FDE"/>
    <w:rsid w:val="00BE76FC"/>
    <w:rsid w:val="00BF121C"/>
    <w:rsid w:val="00BF2F7A"/>
    <w:rsid w:val="00BF44CA"/>
    <w:rsid w:val="00BF47AA"/>
    <w:rsid w:val="00BF5D8D"/>
    <w:rsid w:val="00BF7DD6"/>
    <w:rsid w:val="00C02488"/>
    <w:rsid w:val="00C03530"/>
    <w:rsid w:val="00C03E02"/>
    <w:rsid w:val="00C03FB7"/>
    <w:rsid w:val="00C0444A"/>
    <w:rsid w:val="00C04FD0"/>
    <w:rsid w:val="00C058E3"/>
    <w:rsid w:val="00C061A6"/>
    <w:rsid w:val="00C065E5"/>
    <w:rsid w:val="00C06A34"/>
    <w:rsid w:val="00C07A70"/>
    <w:rsid w:val="00C07AB6"/>
    <w:rsid w:val="00C07FB3"/>
    <w:rsid w:val="00C103BB"/>
    <w:rsid w:val="00C10D76"/>
    <w:rsid w:val="00C1226D"/>
    <w:rsid w:val="00C1239A"/>
    <w:rsid w:val="00C1384B"/>
    <w:rsid w:val="00C13FE3"/>
    <w:rsid w:val="00C1561A"/>
    <w:rsid w:val="00C15BF6"/>
    <w:rsid w:val="00C178EF"/>
    <w:rsid w:val="00C17C29"/>
    <w:rsid w:val="00C21174"/>
    <w:rsid w:val="00C22B7A"/>
    <w:rsid w:val="00C23DC9"/>
    <w:rsid w:val="00C24218"/>
    <w:rsid w:val="00C300F3"/>
    <w:rsid w:val="00C34266"/>
    <w:rsid w:val="00C37041"/>
    <w:rsid w:val="00C406D5"/>
    <w:rsid w:val="00C408F1"/>
    <w:rsid w:val="00C42D07"/>
    <w:rsid w:val="00C43D1F"/>
    <w:rsid w:val="00C4600A"/>
    <w:rsid w:val="00C463C5"/>
    <w:rsid w:val="00C50F12"/>
    <w:rsid w:val="00C51BC8"/>
    <w:rsid w:val="00C524DA"/>
    <w:rsid w:val="00C53F19"/>
    <w:rsid w:val="00C54BF1"/>
    <w:rsid w:val="00C5518C"/>
    <w:rsid w:val="00C56C6A"/>
    <w:rsid w:val="00C56C9A"/>
    <w:rsid w:val="00C5769A"/>
    <w:rsid w:val="00C578CC"/>
    <w:rsid w:val="00C60AEF"/>
    <w:rsid w:val="00C611CB"/>
    <w:rsid w:val="00C6182D"/>
    <w:rsid w:val="00C6210E"/>
    <w:rsid w:val="00C62AFB"/>
    <w:rsid w:val="00C63112"/>
    <w:rsid w:val="00C64A48"/>
    <w:rsid w:val="00C64E9F"/>
    <w:rsid w:val="00C6761E"/>
    <w:rsid w:val="00C729C0"/>
    <w:rsid w:val="00C740F8"/>
    <w:rsid w:val="00C7413F"/>
    <w:rsid w:val="00C743D2"/>
    <w:rsid w:val="00C75491"/>
    <w:rsid w:val="00C75A59"/>
    <w:rsid w:val="00C76B33"/>
    <w:rsid w:val="00C76D70"/>
    <w:rsid w:val="00C77794"/>
    <w:rsid w:val="00C77E85"/>
    <w:rsid w:val="00C77E9C"/>
    <w:rsid w:val="00C81746"/>
    <w:rsid w:val="00C83F30"/>
    <w:rsid w:val="00C84AF8"/>
    <w:rsid w:val="00C85426"/>
    <w:rsid w:val="00C8570A"/>
    <w:rsid w:val="00C86682"/>
    <w:rsid w:val="00C8707F"/>
    <w:rsid w:val="00C90548"/>
    <w:rsid w:val="00C91858"/>
    <w:rsid w:val="00C91880"/>
    <w:rsid w:val="00C92A84"/>
    <w:rsid w:val="00C92ADB"/>
    <w:rsid w:val="00C932BC"/>
    <w:rsid w:val="00C9379A"/>
    <w:rsid w:val="00C95429"/>
    <w:rsid w:val="00C95C1E"/>
    <w:rsid w:val="00C9669A"/>
    <w:rsid w:val="00CA12A9"/>
    <w:rsid w:val="00CA1818"/>
    <w:rsid w:val="00CA1C4B"/>
    <w:rsid w:val="00CA2414"/>
    <w:rsid w:val="00CA2AD0"/>
    <w:rsid w:val="00CA2B86"/>
    <w:rsid w:val="00CA4481"/>
    <w:rsid w:val="00CA50B6"/>
    <w:rsid w:val="00CA6219"/>
    <w:rsid w:val="00CB107F"/>
    <w:rsid w:val="00CB10EA"/>
    <w:rsid w:val="00CB2A34"/>
    <w:rsid w:val="00CB5857"/>
    <w:rsid w:val="00CB5B1D"/>
    <w:rsid w:val="00CB77D0"/>
    <w:rsid w:val="00CB7B99"/>
    <w:rsid w:val="00CC0F6C"/>
    <w:rsid w:val="00CC117B"/>
    <w:rsid w:val="00CC12E5"/>
    <w:rsid w:val="00CC1BDC"/>
    <w:rsid w:val="00CC409D"/>
    <w:rsid w:val="00CC5004"/>
    <w:rsid w:val="00CC58F1"/>
    <w:rsid w:val="00CC5F62"/>
    <w:rsid w:val="00CC62D1"/>
    <w:rsid w:val="00CC63A2"/>
    <w:rsid w:val="00CC6928"/>
    <w:rsid w:val="00CC6C18"/>
    <w:rsid w:val="00CC7982"/>
    <w:rsid w:val="00CC7C89"/>
    <w:rsid w:val="00CD108D"/>
    <w:rsid w:val="00CD1F79"/>
    <w:rsid w:val="00CD24A9"/>
    <w:rsid w:val="00CD4B1E"/>
    <w:rsid w:val="00CD629D"/>
    <w:rsid w:val="00CD6788"/>
    <w:rsid w:val="00CD6F1A"/>
    <w:rsid w:val="00CE0EDD"/>
    <w:rsid w:val="00CE112C"/>
    <w:rsid w:val="00CE6306"/>
    <w:rsid w:val="00CE7295"/>
    <w:rsid w:val="00CF1456"/>
    <w:rsid w:val="00CF259C"/>
    <w:rsid w:val="00CF2C2F"/>
    <w:rsid w:val="00CF350F"/>
    <w:rsid w:val="00CF3AD5"/>
    <w:rsid w:val="00CF4073"/>
    <w:rsid w:val="00CF4665"/>
    <w:rsid w:val="00CF472E"/>
    <w:rsid w:val="00CF5724"/>
    <w:rsid w:val="00D00016"/>
    <w:rsid w:val="00D018D9"/>
    <w:rsid w:val="00D01C09"/>
    <w:rsid w:val="00D03B18"/>
    <w:rsid w:val="00D03E2D"/>
    <w:rsid w:val="00D04DC7"/>
    <w:rsid w:val="00D05776"/>
    <w:rsid w:val="00D059B5"/>
    <w:rsid w:val="00D05A63"/>
    <w:rsid w:val="00D063F0"/>
    <w:rsid w:val="00D07D06"/>
    <w:rsid w:val="00D11215"/>
    <w:rsid w:val="00D114B6"/>
    <w:rsid w:val="00D1171F"/>
    <w:rsid w:val="00D136E6"/>
    <w:rsid w:val="00D13D20"/>
    <w:rsid w:val="00D14040"/>
    <w:rsid w:val="00D14B8C"/>
    <w:rsid w:val="00D14E51"/>
    <w:rsid w:val="00D15226"/>
    <w:rsid w:val="00D16AA0"/>
    <w:rsid w:val="00D173DE"/>
    <w:rsid w:val="00D2120C"/>
    <w:rsid w:val="00D22B4D"/>
    <w:rsid w:val="00D2524B"/>
    <w:rsid w:val="00D2528E"/>
    <w:rsid w:val="00D25E76"/>
    <w:rsid w:val="00D26A08"/>
    <w:rsid w:val="00D272D0"/>
    <w:rsid w:val="00D27916"/>
    <w:rsid w:val="00D27D05"/>
    <w:rsid w:val="00D32A89"/>
    <w:rsid w:val="00D33AA9"/>
    <w:rsid w:val="00D33E6E"/>
    <w:rsid w:val="00D34571"/>
    <w:rsid w:val="00D34B53"/>
    <w:rsid w:val="00D40AD2"/>
    <w:rsid w:val="00D414F2"/>
    <w:rsid w:val="00D41529"/>
    <w:rsid w:val="00D449FE"/>
    <w:rsid w:val="00D44C8F"/>
    <w:rsid w:val="00D44DF0"/>
    <w:rsid w:val="00D45331"/>
    <w:rsid w:val="00D46E48"/>
    <w:rsid w:val="00D508D7"/>
    <w:rsid w:val="00D51A6A"/>
    <w:rsid w:val="00D53010"/>
    <w:rsid w:val="00D53ACD"/>
    <w:rsid w:val="00D5476B"/>
    <w:rsid w:val="00D54BEB"/>
    <w:rsid w:val="00D55446"/>
    <w:rsid w:val="00D5564E"/>
    <w:rsid w:val="00D60149"/>
    <w:rsid w:val="00D61422"/>
    <w:rsid w:val="00D614A2"/>
    <w:rsid w:val="00D639F8"/>
    <w:rsid w:val="00D641E5"/>
    <w:rsid w:val="00D64514"/>
    <w:rsid w:val="00D64F17"/>
    <w:rsid w:val="00D66282"/>
    <w:rsid w:val="00D7005C"/>
    <w:rsid w:val="00D70184"/>
    <w:rsid w:val="00D714B1"/>
    <w:rsid w:val="00D73F72"/>
    <w:rsid w:val="00D74274"/>
    <w:rsid w:val="00D748FD"/>
    <w:rsid w:val="00D7547A"/>
    <w:rsid w:val="00D75B38"/>
    <w:rsid w:val="00D76432"/>
    <w:rsid w:val="00D76FCA"/>
    <w:rsid w:val="00D80AA4"/>
    <w:rsid w:val="00D80BBE"/>
    <w:rsid w:val="00D8106E"/>
    <w:rsid w:val="00D81A9E"/>
    <w:rsid w:val="00D826BF"/>
    <w:rsid w:val="00D828C6"/>
    <w:rsid w:val="00D82CCF"/>
    <w:rsid w:val="00D841AE"/>
    <w:rsid w:val="00D852F9"/>
    <w:rsid w:val="00D86E8D"/>
    <w:rsid w:val="00D90442"/>
    <w:rsid w:val="00D915EE"/>
    <w:rsid w:val="00D923AB"/>
    <w:rsid w:val="00D92F34"/>
    <w:rsid w:val="00D93A66"/>
    <w:rsid w:val="00D944E3"/>
    <w:rsid w:val="00D94648"/>
    <w:rsid w:val="00D96ADC"/>
    <w:rsid w:val="00DA092C"/>
    <w:rsid w:val="00DA09C9"/>
    <w:rsid w:val="00DA1DC2"/>
    <w:rsid w:val="00DA1E6E"/>
    <w:rsid w:val="00DA35CE"/>
    <w:rsid w:val="00DA421E"/>
    <w:rsid w:val="00DA44E6"/>
    <w:rsid w:val="00DA489C"/>
    <w:rsid w:val="00DA520D"/>
    <w:rsid w:val="00DA7FB8"/>
    <w:rsid w:val="00DB13F7"/>
    <w:rsid w:val="00DB1639"/>
    <w:rsid w:val="00DB3EB2"/>
    <w:rsid w:val="00DB448C"/>
    <w:rsid w:val="00DB4FC6"/>
    <w:rsid w:val="00DB54C0"/>
    <w:rsid w:val="00DB63D7"/>
    <w:rsid w:val="00DB66C0"/>
    <w:rsid w:val="00DC193A"/>
    <w:rsid w:val="00DC1A68"/>
    <w:rsid w:val="00DC3FCF"/>
    <w:rsid w:val="00DC41A6"/>
    <w:rsid w:val="00DC4245"/>
    <w:rsid w:val="00DC45F5"/>
    <w:rsid w:val="00DC4796"/>
    <w:rsid w:val="00DC5080"/>
    <w:rsid w:val="00DC6D95"/>
    <w:rsid w:val="00DC6E79"/>
    <w:rsid w:val="00DC7835"/>
    <w:rsid w:val="00DC7BBC"/>
    <w:rsid w:val="00DD0B54"/>
    <w:rsid w:val="00DD1B39"/>
    <w:rsid w:val="00DD2CD3"/>
    <w:rsid w:val="00DD3359"/>
    <w:rsid w:val="00DD387B"/>
    <w:rsid w:val="00DD67AD"/>
    <w:rsid w:val="00DD6991"/>
    <w:rsid w:val="00DD6BD4"/>
    <w:rsid w:val="00DD6E1A"/>
    <w:rsid w:val="00DD7C1B"/>
    <w:rsid w:val="00DE0E90"/>
    <w:rsid w:val="00DE31E6"/>
    <w:rsid w:val="00DE5C28"/>
    <w:rsid w:val="00DF0075"/>
    <w:rsid w:val="00DF082A"/>
    <w:rsid w:val="00DF26B8"/>
    <w:rsid w:val="00DF3768"/>
    <w:rsid w:val="00DF3ACD"/>
    <w:rsid w:val="00DF3DBD"/>
    <w:rsid w:val="00DF4040"/>
    <w:rsid w:val="00DF4209"/>
    <w:rsid w:val="00DF4977"/>
    <w:rsid w:val="00E0178D"/>
    <w:rsid w:val="00E02833"/>
    <w:rsid w:val="00E029B6"/>
    <w:rsid w:val="00E02CE8"/>
    <w:rsid w:val="00E04A70"/>
    <w:rsid w:val="00E05567"/>
    <w:rsid w:val="00E05AA9"/>
    <w:rsid w:val="00E06A21"/>
    <w:rsid w:val="00E06DDF"/>
    <w:rsid w:val="00E07564"/>
    <w:rsid w:val="00E078F9"/>
    <w:rsid w:val="00E12893"/>
    <w:rsid w:val="00E14135"/>
    <w:rsid w:val="00E148B7"/>
    <w:rsid w:val="00E17277"/>
    <w:rsid w:val="00E1738A"/>
    <w:rsid w:val="00E21058"/>
    <w:rsid w:val="00E229E7"/>
    <w:rsid w:val="00E22E1C"/>
    <w:rsid w:val="00E23168"/>
    <w:rsid w:val="00E239C7"/>
    <w:rsid w:val="00E23D9C"/>
    <w:rsid w:val="00E24CB5"/>
    <w:rsid w:val="00E25C97"/>
    <w:rsid w:val="00E26176"/>
    <w:rsid w:val="00E312D0"/>
    <w:rsid w:val="00E3336E"/>
    <w:rsid w:val="00E33FEF"/>
    <w:rsid w:val="00E346BB"/>
    <w:rsid w:val="00E3575C"/>
    <w:rsid w:val="00E36B66"/>
    <w:rsid w:val="00E409D5"/>
    <w:rsid w:val="00E40F78"/>
    <w:rsid w:val="00E4104D"/>
    <w:rsid w:val="00E41D4F"/>
    <w:rsid w:val="00E41D92"/>
    <w:rsid w:val="00E43137"/>
    <w:rsid w:val="00E44ABF"/>
    <w:rsid w:val="00E46017"/>
    <w:rsid w:val="00E4601F"/>
    <w:rsid w:val="00E47427"/>
    <w:rsid w:val="00E500E6"/>
    <w:rsid w:val="00E505AA"/>
    <w:rsid w:val="00E5141A"/>
    <w:rsid w:val="00E5260D"/>
    <w:rsid w:val="00E5277D"/>
    <w:rsid w:val="00E52B29"/>
    <w:rsid w:val="00E53999"/>
    <w:rsid w:val="00E540FB"/>
    <w:rsid w:val="00E54515"/>
    <w:rsid w:val="00E54719"/>
    <w:rsid w:val="00E55536"/>
    <w:rsid w:val="00E57154"/>
    <w:rsid w:val="00E572E1"/>
    <w:rsid w:val="00E57C13"/>
    <w:rsid w:val="00E619E5"/>
    <w:rsid w:val="00E622EE"/>
    <w:rsid w:val="00E625BC"/>
    <w:rsid w:val="00E62C82"/>
    <w:rsid w:val="00E63887"/>
    <w:rsid w:val="00E63A29"/>
    <w:rsid w:val="00E6493E"/>
    <w:rsid w:val="00E64954"/>
    <w:rsid w:val="00E64DC9"/>
    <w:rsid w:val="00E64FA5"/>
    <w:rsid w:val="00E64FF1"/>
    <w:rsid w:val="00E658AE"/>
    <w:rsid w:val="00E66F21"/>
    <w:rsid w:val="00E6795A"/>
    <w:rsid w:val="00E67FD9"/>
    <w:rsid w:val="00E70405"/>
    <w:rsid w:val="00E7053A"/>
    <w:rsid w:val="00E719E9"/>
    <w:rsid w:val="00E72BB6"/>
    <w:rsid w:val="00E72D06"/>
    <w:rsid w:val="00E73662"/>
    <w:rsid w:val="00E73917"/>
    <w:rsid w:val="00E73BFD"/>
    <w:rsid w:val="00E75E5D"/>
    <w:rsid w:val="00E7663B"/>
    <w:rsid w:val="00E76E2C"/>
    <w:rsid w:val="00E775BA"/>
    <w:rsid w:val="00E77CC3"/>
    <w:rsid w:val="00E84C7C"/>
    <w:rsid w:val="00E853A4"/>
    <w:rsid w:val="00E85EB6"/>
    <w:rsid w:val="00E86543"/>
    <w:rsid w:val="00E9081A"/>
    <w:rsid w:val="00E927C9"/>
    <w:rsid w:val="00E92CEC"/>
    <w:rsid w:val="00E93034"/>
    <w:rsid w:val="00E93C95"/>
    <w:rsid w:val="00E93FF0"/>
    <w:rsid w:val="00E954A9"/>
    <w:rsid w:val="00E9584A"/>
    <w:rsid w:val="00E96C3E"/>
    <w:rsid w:val="00E96EF9"/>
    <w:rsid w:val="00EA1695"/>
    <w:rsid w:val="00EA4441"/>
    <w:rsid w:val="00EA68B6"/>
    <w:rsid w:val="00EA7B1D"/>
    <w:rsid w:val="00EB142B"/>
    <w:rsid w:val="00EB1F9B"/>
    <w:rsid w:val="00EB2029"/>
    <w:rsid w:val="00EB2BEB"/>
    <w:rsid w:val="00EB31B7"/>
    <w:rsid w:val="00EB33B7"/>
    <w:rsid w:val="00EB464D"/>
    <w:rsid w:val="00EB49E0"/>
    <w:rsid w:val="00EB49E9"/>
    <w:rsid w:val="00EB5F99"/>
    <w:rsid w:val="00EB7A92"/>
    <w:rsid w:val="00EB7D89"/>
    <w:rsid w:val="00EC1BB6"/>
    <w:rsid w:val="00EC1E19"/>
    <w:rsid w:val="00EC22B2"/>
    <w:rsid w:val="00EC2D4C"/>
    <w:rsid w:val="00EC2DE3"/>
    <w:rsid w:val="00EC553C"/>
    <w:rsid w:val="00EC79C0"/>
    <w:rsid w:val="00ED13E4"/>
    <w:rsid w:val="00ED1805"/>
    <w:rsid w:val="00ED1D00"/>
    <w:rsid w:val="00ED1E90"/>
    <w:rsid w:val="00ED3B77"/>
    <w:rsid w:val="00ED5BD1"/>
    <w:rsid w:val="00ED5C0E"/>
    <w:rsid w:val="00ED7633"/>
    <w:rsid w:val="00ED7883"/>
    <w:rsid w:val="00EE0B64"/>
    <w:rsid w:val="00EE2F88"/>
    <w:rsid w:val="00EE3633"/>
    <w:rsid w:val="00EE68D1"/>
    <w:rsid w:val="00EE6B57"/>
    <w:rsid w:val="00EE73F1"/>
    <w:rsid w:val="00EF1B78"/>
    <w:rsid w:val="00EF1E8E"/>
    <w:rsid w:val="00EF25DC"/>
    <w:rsid w:val="00EF36A2"/>
    <w:rsid w:val="00EF42C1"/>
    <w:rsid w:val="00EF566C"/>
    <w:rsid w:val="00EF6E61"/>
    <w:rsid w:val="00F016DE"/>
    <w:rsid w:val="00F01741"/>
    <w:rsid w:val="00F01E0C"/>
    <w:rsid w:val="00F0202E"/>
    <w:rsid w:val="00F0361D"/>
    <w:rsid w:val="00F03AC1"/>
    <w:rsid w:val="00F04034"/>
    <w:rsid w:val="00F041A3"/>
    <w:rsid w:val="00F0452F"/>
    <w:rsid w:val="00F05E31"/>
    <w:rsid w:val="00F05EE2"/>
    <w:rsid w:val="00F07C79"/>
    <w:rsid w:val="00F07FDF"/>
    <w:rsid w:val="00F11D87"/>
    <w:rsid w:val="00F124D5"/>
    <w:rsid w:val="00F12A5D"/>
    <w:rsid w:val="00F12C19"/>
    <w:rsid w:val="00F1344B"/>
    <w:rsid w:val="00F13B3C"/>
    <w:rsid w:val="00F14460"/>
    <w:rsid w:val="00F14BDA"/>
    <w:rsid w:val="00F14C05"/>
    <w:rsid w:val="00F14D50"/>
    <w:rsid w:val="00F16C48"/>
    <w:rsid w:val="00F216EB"/>
    <w:rsid w:val="00F21AA7"/>
    <w:rsid w:val="00F229F3"/>
    <w:rsid w:val="00F238E5"/>
    <w:rsid w:val="00F23B31"/>
    <w:rsid w:val="00F23BDC"/>
    <w:rsid w:val="00F26471"/>
    <w:rsid w:val="00F26DDE"/>
    <w:rsid w:val="00F27D41"/>
    <w:rsid w:val="00F30478"/>
    <w:rsid w:val="00F30822"/>
    <w:rsid w:val="00F3150E"/>
    <w:rsid w:val="00F34360"/>
    <w:rsid w:val="00F343DC"/>
    <w:rsid w:val="00F35037"/>
    <w:rsid w:val="00F35311"/>
    <w:rsid w:val="00F35F82"/>
    <w:rsid w:val="00F41FB8"/>
    <w:rsid w:val="00F4243D"/>
    <w:rsid w:val="00F42ED4"/>
    <w:rsid w:val="00F435D3"/>
    <w:rsid w:val="00F44333"/>
    <w:rsid w:val="00F449E2"/>
    <w:rsid w:val="00F4605B"/>
    <w:rsid w:val="00F476B3"/>
    <w:rsid w:val="00F47EB8"/>
    <w:rsid w:val="00F504B7"/>
    <w:rsid w:val="00F5194C"/>
    <w:rsid w:val="00F53FE7"/>
    <w:rsid w:val="00F5618F"/>
    <w:rsid w:val="00F57DF3"/>
    <w:rsid w:val="00F57F5C"/>
    <w:rsid w:val="00F60569"/>
    <w:rsid w:val="00F60BC5"/>
    <w:rsid w:val="00F620E8"/>
    <w:rsid w:val="00F63565"/>
    <w:rsid w:val="00F63EF1"/>
    <w:rsid w:val="00F65400"/>
    <w:rsid w:val="00F67356"/>
    <w:rsid w:val="00F67A67"/>
    <w:rsid w:val="00F71E94"/>
    <w:rsid w:val="00F72788"/>
    <w:rsid w:val="00F727A4"/>
    <w:rsid w:val="00F73191"/>
    <w:rsid w:val="00F74AF6"/>
    <w:rsid w:val="00F75653"/>
    <w:rsid w:val="00F75C18"/>
    <w:rsid w:val="00F77716"/>
    <w:rsid w:val="00F7780D"/>
    <w:rsid w:val="00F813E3"/>
    <w:rsid w:val="00F816DD"/>
    <w:rsid w:val="00F81AB2"/>
    <w:rsid w:val="00F82DC3"/>
    <w:rsid w:val="00F83554"/>
    <w:rsid w:val="00F83EB7"/>
    <w:rsid w:val="00F841A3"/>
    <w:rsid w:val="00F842D7"/>
    <w:rsid w:val="00F86073"/>
    <w:rsid w:val="00F874C8"/>
    <w:rsid w:val="00F9031C"/>
    <w:rsid w:val="00F937D2"/>
    <w:rsid w:val="00F94FB8"/>
    <w:rsid w:val="00F95B6B"/>
    <w:rsid w:val="00F96E81"/>
    <w:rsid w:val="00F97515"/>
    <w:rsid w:val="00FA0045"/>
    <w:rsid w:val="00FA0B7D"/>
    <w:rsid w:val="00FA1533"/>
    <w:rsid w:val="00FA229F"/>
    <w:rsid w:val="00FA22E2"/>
    <w:rsid w:val="00FA27A4"/>
    <w:rsid w:val="00FA2852"/>
    <w:rsid w:val="00FA39A0"/>
    <w:rsid w:val="00FA3F89"/>
    <w:rsid w:val="00FA407A"/>
    <w:rsid w:val="00FA5277"/>
    <w:rsid w:val="00FB1CCC"/>
    <w:rsid w:val="00FB23FD"/>
    <w:rsid w:val="00FB2503"/>
    <w:rsid w:val="00FB2A89"/>
    <w:rsid w:val="00FB4000"/>
    <w:rsid w:val="00FB41D9"/>
    <w:rsid w:val="00FB47E6"/>
    <w:rsid w:val="00FB4E98"/>
    <w:rsid w:val="00FB6327"/>
    <w:rsid w:val="00FB6D53"/>
    <w:rsid w:val="00FB6E1A"/>
    <w:rsid w:val="00FC0F70"/>
    <w:rsid w:val="00FC19A9"/>
    <w:rsid w:val="00FC3317"/>
    <w:rsid w:val="00FC3322"/>
    <w:rsid w:val="00FC3334"/>
    <w:rsid w:val="00FC5A62"/>
    <w:rsid w:val="00FC600B"/>
    <w:rsid w:val="00FC7631"/>
    <w:rsid w:val="00FC7EAE"/>
    <w:rsid w:val="00FD0307"/>
    <w:rsid w:val="00FD1D0A"/>
    <w:rsid w:val="00FD24DB"/>
    <w:rsid w:val="00FE171E"/>
    <w:rsid w:val="00FE3391"/>
    <w:rsid w:val="00FE3CAB"/>
    <w:rsid w:val="00FE46C0"/>
    <w:rsid w:val="00FE46E4"/>
    <w:rsid w:val="00FE4AD3"/>
    <w:rsid w:val="00FE6CE7"/>
    <w:rsid w:val="00FE6EDF"/>
    <w:rsid w:val="00FE789C"/>
    <w:rsid w:val="00FF281D"/>
    <w:rsid w:val="00FF4A9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7BAA109"/>
  <w15:chartTrackingRefBased/>
  <w15:docId w15:val="{7EAFEAF9-D6A4-4640-BD6C-C46D57F0AC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14135"/>
  </w:style>
  <w:style w:type="paragraph" w:styleId="Heading1">
    <w:name w:val="heading 1"/>
    <w:aliases w:val="h1,l1,H1,header 1"/>
    <w:basedOn w:val="Normal"/>
    <w:next w:val="ParaText"/>
    <w:link w:val="Heading1Char"/>
    <w:uiPriority w:val="9"/>
    <w:qFormat/>
    <w:rsid w:val="00E14135"/>
    <w:pPr>
      <w:keepNext/>
      <w:numPr>
        <w:numId w:val="82"/>
      </w:numPr>
      <w:spacing w:after="240"/>
      <w:outlineLvl w:val="0"/>
    </w:pPr>
    <w:rPr>
      <w:b/>
      <w:kern w:val="28"/>
      <w:sz w:val="34"/>
    </w:rPr>
  </w:style>
  <w:style w:type="paragraph" w:styleId="Heading2">
    <w:name w:val="heading 2"/>
    <w:aliases w:val="2,h2,l2,H2,header 2"/>
    <w:basedOn w:val="Normal"/>
    <w:next w:val="ParaText"/>
    <w:link w:val="Heading2Char"/>
    <w:uiPriority w:val="9"/>
    <w:qFormat/>
    <w:rsid w:val="00E14135"/>
    <w:pPr>
      <w:keepNext/>
      <w:numPr>
        <w:ilvl w:val="1"/>
        <w:numId w:val="82"/>
      </w:numPr>
      <w:spacing w:after="240"/>
      <w:outlineLvl w:val="1"/>
    </w:pPr>
    <w:rPr>
      <w:b/>
      <w:sz w:val="30"/>
    </w:rPr>
  </w:style>
  <w:style w:type="paragraph" w:styleId="Heading3">
    <w:name w:val="heading 3"/>
    <w:aliases w:val="3,h3,l3,H3,Heading 3 Char1,h3 Char Char,Heading 3 Char Char,h3 Char"/>
    <w:basedOn w:val="Normal"/>
    <w:next w:val="ParaText"/>
    <w:link w:val="Heading3Char"/>
    <w:uiPriority w:val="9"/>
    <w:qFormat/>
    <w:rsid w:val="00A14B42"/>
    <w:pPr>
      <w:keepNext/>
      <w:numPr>
        <w:ilvl w:val="2"/>
        <w:numId w:val="82"/>
      </w:numPr>
      <w:spacing w:after="240"/>
      <w:outlineLvl w:val="2"/>
    </w:pPr>
    <w:rPr>
      <w:rFonts w:eastAsia="Calibri"/>
      <w:b/>
      <w:sz w:val="26"/>
    </w:rPr>
  </w:style>
  <w:style w:type="paragraph" w:styleId="Heading4">
    <w:name w:val="heading 4"/>
    <w:aliases w:val="h4,l4,H4"/>
    <w:basedOn w:val="Normal"/>
    <w:next w:val="ParaText"/>
    <w:link w:val="Heading4Char"/>
    <w:uiPriority w:val="9"/>
    <w:qFormat/>
    <w:rsid w:val="00E14135"/>
    <w:pPr>
      <w:keepNext/>
      <w:numPr>
        <w:ilvl w:val="3"/>
        <w:numId w:val="82"/>
      </w:numPr>
      <w:spacing w:after="240"/>
      <w:outlineLvl w:val="3"/>
    </w:pPr>
    <w:rPr>
      <w:b/>
    </w:rPr>
  </w:style>
  <w:style w:type="paragraph" w:styleId="Heading5">
    <w:name w:val="heading 5"/>
    <w:aliases w:val="h5,l5,H5"/>
    <w:basedOn w:val="Normal"/>
    <w:next w:val="ParaText"/>
    <w:link w:val="Heading5Char"/>
    <w:uiPriority w:val="9"/>
    <w:qFormat/>
    <w:rsid w:val="00E14135"/>
    <w:pPr>
      <w:keepNext/>
      <w:numPr>
        <w:ilvl w:val="4"/>
        <w:numId w:val="82"/>
      </w:numPr>
      <w:spacing w:after="240"/>
      <w:outlineLvl w:val="4"/>
    </w:pPr>
    <w:rPr>
      <w:b/>
    </w:rPr>
  </w:style>
  <w:style w:type="paragraph" w:styleId="Heading6">
    <w:name w:val="heading 6"/>
    <w:basedOn w:val="Normal"/>
    <w:next w:val="ParaText"/>
    <w:link w:val="Heading6Char"/>
    <w:uiPriority w:val="9"/>
    <w:qFormat/>
    <w:rsid w:val="00E14135"/>
    <w:pPr>
      <w:spacing w:after="240"/>
      <w:outlineLvl w:val="5"/>
    </w:pPr>
    <w:rPr>
      <w:b/>
      <w:sz w:val="32"/>
    </w:rPr>
  </w:style>
  <w:style w:type="paragraph" w:styleId="Heading7">
    <w:name w:val="heading 7"/>
    <w:basedOn w:val="Normal"/>
    <w:next w:val="ParaText"/>
    <w:link w:val="Heading7Char"/>
    <w:uiPriority w:val="9"/>
    <w:qFormat/>
    <w:rsid w:val="00E14135"/>
    <w:pPr>
      <w:spacing w:after="240"/>
      <w:outlineLvl w:val="6"/>
    </w:pPr>
    <w:rPr>
      <w:b/>
      <w:i/>
      <w:sz w:val="26"/>
    </w:rPr>
  </w:style>
  <w:style w:type="paragraph" w:styleId="Heading8">
    <w:name w:val="heading 8"/>
    <w:basedOn w:val="Normal"/>
    <w:next w:val="ParaText"/>
    <w:link w:val="Heading8Char"/>
    <w:uiPriority w:val="9"/>
    <w:qFormat/>
    <w:rsid w:val="00E14135"/>
    <w:pPr>
      <w:spacing w:after="240"/>
      <w:outlineLvl w:val="7"/>
    </w:pPr>
    <w:rPr>
      <w:b/>
    </w:rPr>
  </w:style>
  <w:style w:type="paragraph" w:styleId="Heading9">
    <w:name w:val="heading 9"/>
    <w:basedOn w:val="Normal"/>
    <w:next w:val="Normal"/>
    <w:link w:val="Heading9Char"/>
    <w:uiPriority w:val="9"/>
    <w:qFormat/>
    <w:rsid w:val="00E14135"/>
    <w:pPr>
      <w:keepNext/>
      <w:outlineLvl w:val="8"/>
    </w:pPr>
    <w:rPr>
      <w:b/>
      <w:bCs/>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l1 Char,H1 Char,header 1 Char"/>
    <w:basedOn w:val="DefaultParagraphFont"/>
    <w:link w:val="Heading1"/>
    <w:uiPriority w:val="9"/>
    <w:rsid w:val="00E14135"/>
    <w:rPr>
      <w:b/>
      <w:kern w:val="28"/>
      <w:sz w:val="34"/>
    </w:rPr>
  </w:style>
  <w:style w:type="character" w:customStyle="1" w:styleId="Heading2Char">
    <w:name w:val="Heading 2 Char"/>
    <w:aliases w:val="2 Char,h2 Char,l2 Char,H2 Char,header 2 Char"/>
    <w:basedOn w:val="DefaultParagraphFont"/>
    <w:link w:val="Heading2"/>
    <w:uiPriority w:val="9"/>
    <w:rsid w:val="00E14135"/>
    <w:rPr>
      <w:b/>
      <w:sz w:val="30"/>
    </w:rPr>
  </w:style>
  <w:style w:type="character" w:customStyle="1" w:styleId="Heading3Char">
    <w:name w:val="Heading 3 Char"/>
    <w:aliases w:val="3 Char,h3 Char1,l3 Char,H3 Char,Heading 3 Char1 Char,h3 Char Char Char,Heading 3 Char Char Char,h3 Char Char1"/>
    <w:basedOn w:val="DefaultParagraphFont"/>
    <w:link w:val="Heading3"/>
    <w:uiPriority w:val="9"/>
    <w:rsid w:val="00E14135"/>
    <w:rPr>
      <w:rFonts w:eastAsia="Calibri"/>
      <w:b/>
      <w:sz w:val="26"/>
    </w:rPr>
  </w:style>
  <w:style w:type="character" w:customStyle="1" w:styleId="Heading4Char">
    <w:name w:val="Heading 4 Char"/>
    <w:aliases w:val="h4 Char,l4 Char,H4 Char"/>
    <w:basedOn w:val="DefaultParagraphFont"/>
    <w:link w:val="Heading4"/>
    <w:uiPriority w:val="9"/>
    <w:rsid w:val="00E14135"/>
    <w:rPr>
      <w:b/>
    </w:rPr>
  </w:style>
  <w:style w:type="character" w:customStyle="1" w:styleId="Heading5Char">
    <w:name w:val="Heading 5 Char"/>
    <w:aliases w:val="h5 Char,l5 Char,H5 Char"/>
    <w:basedOn w:val="DefaultParagraphFont"/>
    <w:link w:val="Heading5"/>
    <w:uiPriority w:val="9"/>
    <w:rsid w:val="00E14135"/>
    <w:rPr>
      <w:b/>
    </w:rPr>
  </w:style>
  <w:style w:type="character" w:customStyle="1" w:styleId="Heading6Char">
    <w:name w:val="Heading 6 Char"/>
    <w:basedOn w:val="DefaultParagraphFont"/>
    <w:link w:val="Heading6"/>
    <w:uiPriority w:val="9"/>
    <w:rsid w:val="00E14135"/>
    <w:rPr>
      <w:b/>
      <w:sz w:val="32"/>
    </w:rPr>
  </w:style>
  <w:style w:type="character" w:customStyle="1" w:styleId="Heading7Char">
    <w:name w:val="Heading 7 Char"/>
    <w:basedOn w:val="DefaultParagraphFont"/>
    <w:link w:val="Heading7"/>
    <w:uiPriority w:val="9"/>
    <w:rsid w:val="00E14135"/>
    <w:rPr>
      <w:b/>
      <w:i/>
      <w:sz w:val="26"/>
    </w:rPr>
  </w:style>
  <w:style w:type="character" w:customStyle="1" w:styleId="Heading8Char">
    <w:name w:val="Heading 8 Char"/>
    <w:basedOn w:val="DefaultParagraphFont"/>
    <w:link w:val="Heading8"/>
    <w:uiPriority w:val="9"/>
    <w:rsid w:val="00E14135"/>
    <w:rPr>
      <w:b/>
    </w:rPr>
  </w:style>
  <w:style w:type="character" w:customStyle="1" w:styleId="Heading9Char">
    <w:name w:val="Heading 9 Char"/>
    <w:basedOn w:val="DefaultParagraphFont"/>
    <w:link w:val="Heading9"/>
    <w:uiPriority w:val="9"/>
    <w:rsid w:val="00E14135"/>
    <w:rPr>
      <w:b/>
      <w:bCs/>
      <w:sz w:val="32"/>
    </w:rPr>
  </w:style>
  <w:style w:type="paragraph" w:customStyle="1" w:styleId="ParaText">
    <w:name w:val="ParaText"/>
    <w:basedOn w:val="Normal"/>
    <w:link w:val="ParaTextChar1"/>
    <w:rsid w:val="00E14135"/>
    <w:pPr>
      <w:spacing w:after="240" w:line="300" w:lineRule="auto"/>
    </w:pPr>
  </w:style>
  <w:style w:type="character" w:customStyle="1" w:styleId="ParaTextChar1">
    <w:name w:val="ParaText Char1"/>
    <w:link w:val="ParaText"/>
    <w:rsid w:val="00E14135"/>
  </w:style>
  <w:style w:type="paragraph" w:styleId="Header">
    <w:name w:val="header"/>
    <w:basedOn w:val="Normal"/>
    <w:link w:val="HeaderChar"/>
    <w:uiPriority w:val="99"/>
    <w:rsid w:val="00E14135"/>
    <w:pPr>
      <w:tabs>
        <w:tab w:val="center" w:pos="4320"/>
        <w:tab w:val="right" w:pos="8640"/>
      </w:tabs>
    </w:pPr>
    <w:rPr>
      <w:b/>
    </w:rPr>
  </w:style>
  <w:style w:type="character" w:customStyle="1" w:styleId="HeaderChar">
    <w:name w:val="Header Char"/>
    <w:basedOn w:val="DefaultParagraphFont"/>
    <w:link w:val="Header"/>
    <w:uiPriority w:val="99"/>
    <w:rsid w:val="00E14135"/>
    <w:rPr>
      <w:b/>
    </w:rPr>
  </w:style>
  <w:style w:type="paragraph" w:styleId="Footer">
    <w:name w:val="footer"/>
    <w:basedOn w:val="Normal"/>
    <w:link w:val="FooterChar"/>
    <w:uiPriority w:val="99"/>
    <w:rsid w:val="00E14135"/>
    <w:pPr>
      <w:pBdr>
        <w:top w:val="single" w:sz="12" w:space="1" w:color="auto"/>
      </w:pBdr>
      <w:tabs>
        <w:tab w:val="right" w:pos="9360"/>
      </w:tabs>
      <w:spacing w:after="0"/>
    </w:pPr>
    <w:rPr>
      <w:i/>
      <w:sz w:val="18"/>
    </w:rPr>
  </w:style>
  <w:style w:type="character" w:customStyle="1" w:styleId="FooterChar">
    <w:name w:val="Footer Char"/>
    <w:basedOn w:val="DefaultParagraphFont"/>
    <w:link w:val="Footer"/>
    <w:uiPriority w:val="99"/>
    <w:rsid w:val="00E14135"/>
    <w:rPr>
      <w:i/>
      <w:sz w:val="18"/>
    </w:rPr>
  </w:style>
  <w:style w:type="character" w:styleId="PageNumber">
    <w:name w:val="page number"/>
    <w:basedOn w:val="DefaultParagraphFont"/>
    <w:rsid w:val="00E14135"/>
  </w:style>
  <w:style w:type="paragraph" w:styleId="TOC1">
    <w:name w:val="toc 1"/>
    <w:basedOn w:val="Normal"/>
    <w:next w:val="Normal"/>
    <w:uiPriority w:val="39"/>
    <w:rsid w:val="00E14135"/>
    <w:pPr>
      <w:tabs>
        <w:tab w:val="left" w:pos="432"/>
        <w:tab w:val="right" w:leader="dot" w:pos="9360"/>
      </w:tabs>
      <w:ind w:left="432" w:hanging="432"/>
    </w:pPr>
    <w:rPr>
      <w:rFonts w:cs="Arial"/>
      <w:b/>
      <w:noProof/>
    </w:rPr>
  </w:style>
  <w:style w:type="paragraph" w:customStyle="1" w:styleId="TOCTitle">
    <w:name w:val="TOC Title"/>
    <w:basedOn w:val="Header"/>
    <w:rsid w:val="00E14135"/>
    <w:pPr>
      <w:pBdr>
        <w:top w:val="single" w:sz="12" w:space="18" w:color="auto"/>
        <w:bottom w:val="single" w:sz="4" w:space="21" w:color="auto"/>
      </w:pBdr>
      <w:spacing w:before="240" w:after="240"/>
    </w:pPr>
    <w:rPr>
      <w:sz w:val="42"/>
    </w:rPr>
  </w:style>
  <w:style w:type="paragraph" w:styleId="TOC9">
    <w:name w:val="toc 9"/>
    <w:basedOn w:val="Normal"/>
    <w:next w:val="Normal"/>
    <w:autoRedefine/>
    <w:uiPriority w:val="39"/>
    <w:rsid w:val="00E14135"/>
    <w:pPr>
      <w:tabs>
        <w:tab w:val="right" w:leader="dot" w:pos="9360"/>
      </w:tabs>
    </w:pPr>
    <w:rPr>
      <w:rFonts w:cs="Arial"/>
      <w:noProof/>
    </w:rPr>
  </w:style>
  <w:style w:type="paragraph" w:customStyle="1" w:styleId="ExhLst">
    <w:name w:val="Exh_Lst"/>
    <w:basedOn w:val="Normal"/>
    <w:rsid w:val="00E14135"/>
    <w:pPr>
      <w:spacing w:after="240"/>
    </w:pPr>
    <w:rPr>
      <w:b/>
      <w:u w:val="single"/>
    </w:rPr>
  </w:style>
  <w:style w:type="paragraph" w:customStyle="1" w:styleId="1">
    <w:name w:val="1"/>
    <w:aliases w:val="a,i Seq"/>
    <w:basedOn w:val="Normal"/>
    <w:rsid w:val="00E14135"/>
    <w:pPr>
      <w:numPr>
        <w:numId w:val="7"/>
      </w:numPr>
      <w:tabs>
        <w:tab w:val="left" w:pos="1800"/>
        <w:tab w:val="left" w:pos="2160"/>
        <w:tab w:val="left" w:pos="2520"/>
      </w:tabs>
      <w:spacing w:after="240" w:line="300" w:lineRule="auto"/>
    </w:pPr>
  </w:style>
  <w:style w:type="paragraph" w:customStyle="1" w:styleId="Bullet1">
    <w:name w:val="Bullet1"/>
    <w:basedOn w:val="Normal"/>
    <w:link w:val="Bullet1Char"/>
    <w:rsid w:val="00E14135"/>
    <w:pPr>
      <w:numPr>
        <w:numId w:val="1"/>
      </w:numPr>
      <w:spacing w:after="0" w:line="300" w:lineRule="auto"/>
    </w:pPr>
  </w:style>
  <w:style w:type="character" w:customStyle="1" w:styleId="Bullet1Char">
    <w:name w:val="Bullet1 Char"/>
    <w:link w:val="Bullet1"/>
    <w:rsid w:val="00E14135"/>
  </w:style>
  <w:style w:type="paragraph" w:customStyle="1" w:styleId="Bullet1HRt">
    <w:name w:val="Bullet1[HRt]"/>
    <w:basedOn w:val="Normal"/>
    <w:link w:val="Bullet1HRtChar"/>
    <w:rsid w:val="00E14135"/>
    <w:pPr>
      <w:numPr>
        <w:numId w:val="2"/>
      </w:numPr>
      <w:spacing w:after="240" w:line="300" w:lineRule="auto"/>
    </w:pPr>
  </w:style>
  <w:style w:type="character" w:customStyle="1" w:styleId="Bullet1HRtChar">
    <w:name w:val="Bullet1[HRt] Char"/>
    <w:link w:val="Bullet1HRt"/>
    <w:rsid w:val="00E14135"/>
  </w:style>
  <w:style w:type="paragraph" w:customStyle="1" w:styleId="Bullet2">
    <w:name w:val="Bullet2"/>
    <w:basedOn w:val="Normal"/>
    <w:rsid w:val="00E14135"/>
    <w:pPr>
      <w:numPr>
        <w:numId w:val="3"/>
      </w:numPr>
      <w:spacing w:after="0" w:line="300" w:lineRule="auto"/>
    </w:pPr>
  </w:style>
  <w:style w:type="paragraph" w:customStyle="1" w:styleId="Bullet2HRt">
    <w:name w:val="Bullet2[HRt]"/>
    <w:basedOn w:val="Bullet2"/>
    <w:rsid w:val="00E14135"/>
    <w:pPr>
      <w:numPr>
        <w:numId w:val="4"/>
      </w:numPr>
      <w:spacing w:after="240"/>
    </w:pPr>
  </w:style>
  <w:style w:type="paragraph" w:customStyle="1" w:styleId="Exhibit">
    <w:name w:val="Exhibit"/>
    <w:basedOn w:val="Normal"/>
    <w:next w:val="Normal"/>
    <w:rsid w:val="00E14135"/>
    <w:pPr>
      <w:spacing w:after="240"/>
    </w:pPr>
    <w:rPr>
      <w:b/>
    </w:rPr>
  </w:style>
  <w:style w:type="paragraph" w:styleId="TableofFigures">
    <w:name w:val="table of figures"/>
    <w:basedOn w:val="Normal"/>
    <w:next w:val="Normal"/>
    <w:uiPriority w:val="99"/>
    <w:rsid w:val="00E14135"/>
    <w:pPr>
      <w:ind w:left="440" w:hanging="440"/>
    </w:pPr>
  </w:style>
  <w:style w:type="paragraph" w:styleId="TOC2">
    <w:name w:val="toc 2"/>
    <w:basedOn w:val="Normal"/>
    <w:next w:val="Normal"/>
    <w:autoRedefine/>
    <w:uiPriority w:val="39"/>
    <w:rsid w:val="00E14135"/>
    <w:pPr>
      <w:tabs>
        <w:tab w:val="left" w:pos="1008"/>
        <w:tab w:val="right" w:leader="dot" w:pos="9360"/>
      </w:tabs>
      <w:ind w:left="1440" w:hanging="1008"/>
    </w:pPr>
    <w:rPr>
      <w:noProof/>
    </w:rPr>
  </w:style>
  <w:style w:type="paragraph" w:styleId="TOC3">
    <w:name w:val="toc 3"/>
    <w:basedOn w:val="Normal"/>
    <w:next w:val="Normal"/>
    <w:autoRedefine/>
    <w:uiPriority w:val="39"/>
    <w:rsid w:val="00E14135"/>
    <w:pPr>
      <w:tabs>
        <w:tab w:val="left" w:pos="1440"/>
        <w:tab w:val="left" w:pos="1728"/>
        <w:tab w:val="right" w:leader="dot" w:pos="9360"/>
      </w:tabs>
      <w:ind w:left="2448" w:hanging="1008"/>
    </w:pPr>
    <w:rPr>
      <w:noProof/>
    </w:rPr>
  </w:style>
  <w:style w:type="paragraph" w:styleId="TOC4">
    <w:name w:val="toc 4"/>
    <w:basedOn w:val="Normal"/>
    <w:next w:val="Normal"/>
    <w:autoRedefine/>
    <w:uiPriority w:val="39"/>
    <w:rsid w:val="00E14135"/>
    <w:pPr>
      <w:tabs>
        <w:tab w:val="left" w:pos="2592"/>
        <w:tab w:val="right" w:leader="dot" w:pos="9360"/>
      </w:tabs>
      <w:ind w:left="-810" w:firstLine="2538"/>
    </w:pPr>
    <w:rPr>
      <w:noProof/>
    </w:rPr>
  </w:style>
  <w:style w:type="paragraph" w:styleId="TOC5">
    <w:name w:val="toc 5"/>
    <w:basedOn w:val="Normal"/>
    <w:next w:val="Normal"/>
    <w:autoRedefine/>
    <w:uiPriority w:val="39"/>
    <w:rsid w:val="00E14135"/>
    <w:pPr>
      <w:tabs>
        <w:tab w:val="left" w:pos="2736"/>
        <w:tab w:val="left" w:pos="3672"/>
        <w:tab w:val="right" w:leader="dot" w:pos="9360"/>
      </w:tabs>
      <w:ind w:left="-1350" w:firstLine="3942"/>
    </w:pPr>
    <w:rPr>
      <w:noProof/>
    </w:rPr>
  </w:style>
  <w:style w:type="paragraph" w:styleId="TOC6">
    <w:name w:val="toc 6"/>
    <w:basedOn w:val="Normal"/>
    <w:next w:val="Normal"/>
    <w:autoRedefine/>
    <w:uiPriority w:val="39"/>
    <w:rsid w:val="00E14135"/>
    <w:pPr>
      <w:ind w:left="1100"/>
    </w:pPr>
  </w:style>
  <w:style w:type="paragraph" w:styleId="TOC7">
    <w:name w:val="toc 7"/>
    <w:basedOn w:val="Normal"/>
    <w:next w:val="Normal"/>
    <w:autoRedefine/>
    <w:uiPriority w:val="39"/>
    <w:rsid w:val="00E14135"/>
    <w:pPr>
      <w:tabs>
        <w:tab w:val="right" w:leader="dot" w:pos="9360"/>
      </w:tabs>
    </w:pPr>
    <w:rPr>
      <w:b/>
      <w:noProof/>
    </w:rPr>
  </w:style>
  <w:style w:type="paragraph" w:styleId="TOC8">
    <w:name w:val="toc 8"/>
    <w:basedOn w:val="Normal"/>
    <w:next w:val="Normal"/>
    <w:autoRedefine/>
    <w:uiPriority w:val="39"/>
    <w:rsid w:val="00E14135"/>
    <w:pPr>
      <w:ind w:left="1540"/>
    </w:pPr>
  </w:style>
  <w:style w:type="paragraph" w:styleId="Caption">
    <w:name w:val="caption"/>
    <w:basedOn w:val="Normal"/>
    <w:next w:val="ParaText"/>
    <w:autoRedefine/>
    <w:uiPriority w:val="1"/>
    <w:qFormat/>
    <w:rsid w:val="00E14135"/>
    <w:pPr>
      <w:keepNext/>
      <w:spacing w:before="120"/>
      <w:jc w:val="center"/>
    </w:pPr>
    <w:rPr>
      <w:b/>
    </w:rPr>
  </w:style>
  <w:style w:type="paragraph" w:styleId="Title">
    <w:name w:val="Title"/>
    <w:basedOn w:val="Normal"/>
    <w:next w:val="Subtitle"/>
    <w:link w:val="TitleChar"/>
    <w:uiPriority w:val="10"/>
    <w:qFormat/>
    <w:rsid w:val="00E14135"/>
    <w:pPr>
      <w:keepNext/>
      <w:keepLines/>
      <w:tabs>
        <w:tab w:val="left" w:pos="576"/>
      </w:tabs>
      <w:spacing w:before="240" w:after="240"/>
      <w:jc w:val="center"/>
    </w:pPr>
    <w:rPr>
      <w:kern w:val="28"/>
      <w:sz w:val="48"/>
    </w:rPr>
  </w:style>
  <w:style w:type="character" w:customStyle="1" w:styleId="TitleChar">
    <w:name w:val="Title Char"/>
    <w:basedOn w:val="DefaultParagraphFont"/>
    <w:link w:val="Title"/>
    <w:uiPriority w:val="10"/>
    <w:rsid w:val="00E14135"/>
    <w:rPr>
      <w:kern w:val="28"/>
      <w:sz w:val="48"/>
    </w:rPr>
  </w:style>
  <w:style w:type="paragraph" w:styleId="Subtitle">
    <w:name w:val="Subtitle"/>
    <w:basedOn w:val="Normal"/>
    <w:link w:val="SubtitleChar"/>
    <w:uiPriority w:val="11"/>
    <w:qFormat/>
    <w:rsid w:val="00E14135"/>
    <w:pPr>
      <w:spacing w:after="60"/>
      <w:jc w:val="center"/>
      <w:outlineLvl w:val="1"/>
    </w:pPr>
    <w:rPr>
      <w:rFonts w:cs="Arial"/>
      <w:sz w:val="24"/>
      <w:szCs w:val="24"/>
    </w:rPr>
  </w:style>
  <w:style w:type="character" w:customStyle="1" w:styleId="SubtitleChar">
    <w:name w:val="Subtitle Char"/>
    <w:basedOn w:val="DefaultParagraphFont"/>
    <w:link w:val="Subtitle"/>
    <w:uiPriority w:val="11"/>
    <w:rsid w:val="00E14135"/>
    <w:rPr>
      <w:rFonts w:cs="Arial"/>
      <w:sz w:val="24"/>
      <w:szCs w:val="24"/>
    </w:rPr>
  </w:style>
  <w:style w:type="character" w:styleId="Hyperlink">
    <w:name w:val="Hyperlink"/>
    <w:uiPriority w:val="99"/>
    <w:rsid w:val="00E14135"/>
    <w:rPr>
      <w:color w:val="0000FF"/>
      <w:u w:val="single"/>
    </w:rPr>
  </w:style>
  <w:style w:type="paragraph" w:customStyle="1" w:styleId="Bullet3">
    <w:name w:val="Bullet3"/>
    <w:basedOn w:val="Normal"/>
    <w:rsid w:val="00E14135"/>
    <w:pPr>
      <w:numPr>
        <w:numId w:val="6"/>
      </w:numPr>
      <w:tabs>
        <w:tab w:val="clear" w:pos="1080"/>
        <w:tab w:val="num" w:pos="1440"/>
      </w:tabs>
      <w:ind w:left="1440"/>
    </w:pPr>
  </w:style>
  <w:style w:type="paragraph" w:customStyle="1" w:styleId="Bullet3HRt">
    <w:name w:val="Bullet3[HRt]"/>
    <w:basedOn w:val="Bullet3"/>
    <w:rsid w:val="00E14135"/>
    <w:pPr>
      <w:numPr>
        <w:ilvl w:val="1"/>
      </w:numPr>
      <w:spacing w:after="240" w:line="300" w:lineRule="auto"/>
    </w:pPr>
  </w:style>
  <w:style w:type="paragraph" w:customStyle="1" w:styleId="TableCaption">
    <w:name w:val="Table Caption"/>
    <w:basedOn w:val="Caption"/>
    <w:next w:val="Normal"/>
    <w:rsid w:val="00E14135"/>
    <w:pPr>
      <w:keepLines/>
      <w:widowControl w:val="0"/>
      <w:suppressAutoHyphens/>
    </w:pPr>
    <w:rPr>
      <w:rFonts w:ascii="Times New Roman" w:hAnsi="Times New Roman"/>
      <w:i/>
      <w:kern w:val="16"/>
      <w:sz w:val="24"/>
    </w:rPr>
  </w:style>
  <w:style w:type="paragraph" w:styleId="FootnoteText">
    <w:name w:val="footnote text"/>
    <w:aliases w:val="ft,fn,Footnote Text Char1,Footnote Text Char Char,Footnote Text Char1 Char,Footnote Text Char Char Char,Footnote Text Char Char1 Char,Footnote Text Char Char1,Footnote Text Char1 Char Char Char1 Char Char,fn Char,Footnote Text Char2 Char"/>
    <w:basedOn w:val="Normal"/>
    <w:link w:val="FootnoteTextChar2"/>
    <w:qFormat/>
    <w:rsid w:val="00E14135"/>
    <w:pPr>
      <w:suppressAutoHyphens/>
      <w:spacing w:before="50" w:after="0"/>
      <w:ind w:left="216" w:hanging="216"/>
    </w:pPr>
    <w:rPr>
      <w:kern w:val="16"/>
      <w:sz w:val="18"/>
    </w:rPr>
  </w:style>
  <w:style w:type="character" w:customStyle="1" w:styleId="FootnoteTextChar">
    <w:name w:val="Footnote Text Char"/>
    <w:basedOn w:val="DefaultParagraphFont"/>
    <w:uiPriority w:val="99"/>
    <w:semiHidden/>
    <w:rsid w:val="00E14135"/>
    <w:rPr>
      <w:sz w:val="20"/>
      <w:szCs w:val="20"/>
    </w:rPr>
  </w:style>
  <w:style w:type="character" w:customStyle="1" w:styleId="FootnoteTextChar2">
    <w:name w:val="Footnote Text Char2"/>
    <w:aliases w:val="ft Char,fn Char1,Footnote Text Char1 Char1,Footnote Text Char Char Char1,Footnote Text Char1 Char Char,Footnote Text Char Char Char Char,Footnote Text Char Char1 Char Char,Footnote Text Char Char1 Char1,fn Char Char"/>
    <w:link w:val="FootnoteText"/>
    <w:rsid w:val="00E14135"/>
    <w:rPr>
      <w:kern w:val="16"/>
      <w:sz w:val="18"/>
    </w:rPr>
  </w:style>
  <w:style w:type="character" w:styleId="FootnoteReference">
    <w:name w:val="footnote reference"/>
    <w:aliases w:val="o,fr,o1,o2,o3,o4,o5,o6,o11,o21,o7,Footnote,Style 17,Style 13,Style 12,Style 15,Style 9,fr1,fr2,fr3,Style 18,(NECG) Footnote Reference,Style 20,Style 7,Style 8,Style 19,Style 28,Style 11,Style 16,Styl,o + Times New Roman,.,fnr"/>
    <w:uiPriority w:val="99"/>
    <w:qFormat/>
    <w:rsid w:val="00E14135"/>
    <w:rPr>
      <w:vertAlign w:val="superscript"/>
    </w:rPr>
  </w:style>
  <w:style w:type="character" w:styleId="CommentReference">
    <w:name w:val="annotation reference"/>
    <w:uiPriority w:val="99"/>
    <w:rsid w:val="00E14135"/>
    <w:rPr>
      <w:sz w:val="16"/>
      <w:szCs w:val="16"/>
    </w:rPr>
  </w:style>
  <w:style w:type="paragraph" w:customStyle="1" w:styleId="Paragraph">
    <w:name w:val="Paragraph"/>
    <w:basedOn w:val="Normal"/>
    <w:link w:val="ParagraphChar"/>
    <w:qFormat/>
    <w:rsid w:val="00E14135"/>
    <w:pPr>
      <w:suppressAutoHyphens/>
      <w:spacing w:before="120" w:after="0"/>
    </w:pPr>
    <w:rPr>
      <w:rFonts w:ascii="Times New Roman" w:hAnsi="Times New Roman"/>
      <w:kern w:val="16"/>
      <w:sz w:val="24"/>
    </w:rPr>
  </w:style>
  <w:style w:type="character" w:customStyle="1" w:styleId="ParagraphChar">
    <w:name w:val="Paragraph Char"/>
    <w:link w:val="Paragraph"/>
    <w:rsid w:val="00E14135"/>
    <w:rPr>
      <w:rFonts w:ascii="Times New Roman" w:hAnsi="Times New Roman"/>
      <w:kern w:val="16"/>
      <w:sz w:val="24"/>
    </w:rPr>
  </w:style>
  <w:style w:type="paragraph" w:styleId="CommentText">
    <w:name w:val="annotation text"/>
    <w:basedOn w:val="Normal"/>
    <w:link w:val="CommentTextChar"/>
    <w:uiPriority w:val="99"/>
    <w:rsid w:val="00E14135"/>
    <w:rPr>
      <w:sz w:val="20"/>
    </w:rPr>
  </w:style>
  <w:style w:type="character" w:customStyle="1" w:styleId="CommentTextChar">
    <w:name w:val="Comment Text Char"/>
    <w:basedOn w:val="DefaultParagraphFont"/>
    <w:link w:val="CommentText"/>
    <w:uiPriority w:val="99"/>
    <w:rsid w:val="00E14135"/>
    <w:rPr>
      <w:sz w:val="20"/>
    </w:rPr>
  </w:style>
  <w:style w:type="character" w:customStyle="1" w:styleId="ParaTextChar">
    <w:name w:val="ParaText Char"/>
    <w:rsid w:val="00E14135"/>
    <w:rPr>
      <w:rFonts w:ascii="Arial" w:hAnsi="Arial"/>
      <w:sz w:val="22"/>
      <w:lang w:val="en-US" w:eastAsia="en-US" w:bidi="ar-SA"/>
    </w:rPr>
  </w:style>
  <w:style w:type="paragraph" w:styleId="BalloonText">
    <w:name w:val="Balloon Text"/>
    <w:basedOn w:val="Normal"/>
    <w:link w:val="BalloonTextChar"/>
    <w:uiPriority w:val="99"/>
    <w:semiHidden/>
    <w:rsid w:val="00E14135"/>
    <w:rPr>
      <w:rFonts w:ascii="Tahoma" w:hAnsi="Tahoma" w:cs="Tahoma"/>
      <w:sz w:val="16"/>
      <w:szCs w:val="16"/>
    </w:rPr>
  </w:style>
  <w:style w:type="character" w:customStyle="1" w:styleId="BalloonTextChar">
    <w:name w:val="Balloon Text Char"/>
    <w:basedOn w:val="DefaultParagraphFont"/>
    <w:link w:val="BalloonText"/>
    <w:uiPriority w:val="99"/>
    <w:semiHidden/>
    <w:rsid w:val="00E14135"/>
    <w:rPr>
      <w:rFonts w:ascii="Tahoma" w:hAnsi="Tahoma" w:cs="Tahoma"/>
      <w:sz w:val="16"/>
      <w:szCs w:val="16"/>
    </w:rPr>
  </w:style>
  <w:style w:type="paragraph" w:styleId="CommentSubject">
    <w:name w:val="annotation subject"/>
    <w:basedOn w:val="CommentText"/>
    <w:next w:val="CommentText"/>
    <w:link w:val="CommentSubjectChar"/>
    <w:uiPriority w:val="99"/>
    <w:semiHidden/>
    <w:rsid w:val="00E14135"/>
    <w:rPr>
      <w:b/>
      <w:bCs/>
    </w:rPr>
  </w:style>
  <w:style w:type="character" w:customStyle="1" w:styleId="CommentSubjectChar">
    <w:name w:val="Comment Subject Char"/>
    <w:basedOn w:val="CommentTextChar"/>
    <w:link w:val="CommentSubject"/>
    <w:uiPriority w:val="99"/>
    <w:semiHidden/>
    <w:rsid w:val="00E14135"/>
    <w:rPr>
      <w:b/>
      <w:bCs/>
      <w:sz w:val="20"/>
    </w:rPr>
  </w:style>
  <w:style w:type="table" w:styleId="TableGrid">
    <w:name w:val="Table Grid"/>
    <w:basedOn w:val="TableNormal"/>
    <w:rsid w:val="00E14135"/>
    <w:pPr>
      <w:spacing w:after="120" w:line="240" w:lineRule="auto"/>
      <w:jc w:val="both"/>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eltaViewInsertion">
    <w:name w:val="DeltaView Insertion"/>
    <w:rsid w:val="00E14135"/>
    <w:rPr>
      <w:color w:val="0000FF"/>
      <w:spacing w:val="0"/>
      <w:u w:val="double"/>
    </w:rPr>
  </w:style>
  <w:style w:type="paragraph" w:styleId="DocumentMap">
    <w:name w:val="Document Map"/>
    <w:basedOn w:val="Normal"/>
    <w:link w:val="DocumentMapChar"/>
    <w:semiHidden/>
    <w:rsid w:val="00E14135"/>
    <w:pPr>
      <w:shd w:val="clear" w:color="auto" w:fill="000080"/>
    </w:pPr>
    <w:rPr>
      <w:rFonts w:ascii="Tahoma" w:hAnsi="Tahoma" w:cs="Tahoma"/>
      <w:sz w:val="20"/>
    </w:rPr>
  </w:style>
  <w:style w:type="character" w:customStyle="1" w:styleId="DocumentMapChar">
    <w:name w:val="Document Map Char"/>
    <w:basedOn w:val="DefaultParagraphFont"/>
    <w:link w:val="DocumentMap"/>
    <w:semiHidden/>
    <w:rsid w:val="00E14135"/>
    <w:rPr>
      <w:rFonts w:ascii="Tahoma" w:hAnsi="Tahoma" w:cs="Tahoma"/>
      <w:sz w:val="20"/>
      <w:shd w:val="clear" w:color="auto" w:fill="000080"/>
    </w:rPr>
  </w:style>
  <w:style w:type="paragraph" w:customStyle="1" w:styleId="BPM">
    <w:name w:val="BPM"/>
    <w:basedOn w:val="ParaText"/>
    <w:link w:val="BPMChar"/>
    <w:qFormat/>
    <w:rsid w:val="00E14135"/>
    <w:rPr>
      <w:rFonts w:cs="Arial"/>
    </w:rPr>
  </w:style>
  <w:style w:type="character" w:customStyle="1" w:styleId="BPMChar">
    <w:name w:val="BPM Char"/>
    <w:link w:val="BPM"/>
    <w:rsid w:val="00E14135"/>
    <w:rPr>
      <w:rFonts w:cs="Arial"/>
    </w:rPr>
  </w:style>
  <w:style w:type="paragraph" w:styleId="ListParagraph">
    <w:name w:val="List Paragraph"/>
    <w:basedOn w:val="Normal"/>
    <w:link w:val="ListParagraphChar"/>
    <w:uiPriority w:val="34"/>
    <w:qFormat/>
    <w:rsid w:val="00E14135"/>
    <w:pPr>
      <w:ind w:left="720"/>
    </w:pPr>
  </w:style>
  <w:style w:type="paragraph" w:customStyle="1" w:styleId="BPM2">
    <w:name w:val="BPM2"/>
    <w:basedOn w:val="Bullet1HRt"/>
    <w:link w:val="BPM2Char"/>
    <w:qFormat/>
    <w:rsid w:val="00E14135"/>
    <w:rPr>
      <w:rFonts w:cs="Arial"/>
    </w:rPr>
  </w:style>
  <w:style w:type="character" w:customStyle="1" w:styleId="BPM2Char">
    <w:name w:val="BPM2 Char"/>
    <w:link w:val="BPM2"/>
    <w:rsid w:val="00E14135"/>
    <w:rPr>
      <w:rFonts w:cs="Arial"/>
    </w:rPr>
  </w:style>
  <w:style w:type="paragraph" w:customStyle="1" w:styleId="BPM3">
    <w:name w:val="BPM 3"/>
    <w:basedOn w:val="Heading4"/>
    <w:link w:val="BPM3Char"/>
    <w:qFormat/>
    <w:rsid w:val="00E14135"/>
    <w:rPr>
      <w:rFonts w:cs="Arial"/>
    </w:rPr>
  </w:style>
  <w:style w:type="character" w:customStyle="1" w:styleId="BPM3Char">
    <w:name w:val="BPM 3 Char"/>
    <w:link w:val="BPM3"/>
    <w:rsid w:val="00E14135"/>
    <w:rPr>
      <w:rFonts w:cs="Arial"/>
      <w:b/>
    </w:rPr>
  </w:style>
  <w:style w:type="paragraph" w:customStyle="1" w:styleId="BPM1">
    <w:name w:val="BPM1"/>
    <w:basedOn w:val="Heading2"/>
    <w:link w:val="BPM1Char"/>
    <w:qFormat/>
    <w:rsid w:val="00E14135"/>
    <w:rPr>
      <w:rFonts w:cs="Arial"/>
    </w:rPr>
  </w:style>
  <w:style w:type="character" w:customStyle="1" w:styleId="BPM1Char">
    <w:name w:val="BPM1 Char"/>
    <w:link w:val="BPM1"/>
    <w:rsid w:val="00E14135"/>
    <w:rPr>
      <w:rFonts w:cs="Arial"/>
      <w:b/>
      <w:sz w:val="30"/>
    </w:rPr>
  </w:style>
  <w:style w:type="paragraph" w:customStyle="1" w:styleId="Style1">
    <w:name w:val="Style1"/>
    <w:basedOn w:val="Heading4"/>
    <w:link w:val="Style1Char"/>
    <w:qFormat/>
    <w:rsid w:val="00E14135"/>
    <w:rPr>
      <w:rFonts w:cs="Arial"/>
    </w:rPr>
  </w:style>
  <w:style w:type="character" w:customStyle="1" w:styleId="Style1Char">
    <w:name w:val="Style1 Char"/>
    <w:link w:val="Style1"/>
    <w:rsid w:val="00E14135"/>
    <w:rPr>
      <w:rFonts w:cs="Arial"/>
      <w:b/>
    </w:rPr>
  </w:style>
  <w:style w:type="paragraph" w:customStyle="1" w:styleId="Style2">
    <w:name w:val="Style2"/>
    <w:basedOn w:val="Heading3"/>
    <w:link w:val="Style2Char"/>
    <w:qFormat/>
    <w:rsid w:val="00E14135"/>
    <w:rPr>
      <w:rFonts w:cs="Arial"/>
    </w:rPr>
  </w:style>
  <w:style w:type="character" w:customStyle="1" w:styleId="Style2Char">
    <w:name w:val="Style2 Char"/>
    <w:link w:val="Style2"/>
    <w:rsid w:val="00E14135"/>
    <w:rPr>
      <w:rFonts w:cs="Arial"/>
      <w:b/>
      <w:sz w:val="26"/>
    </w:rPr>
  </w:style>
  <w:style w:type="paragraph" w:customStyle="1" w:styleId="Style3">
    <w:name w:val="Style3"/>
    <w:basedOn w:val="ParaText"/>
    <w:link w:val="Style3Char"/>
    <w:qFormat/>
    <w:rsid w:val="00E14135"/>
    <w:rPr>
      <w:rFonts w:cs="Arial"/>
    </w:rPr>
  </w:style>
  <w:style w:type="character" w:customStyle="1" w:styleId="Style3Char">
    <w:name w:val="Style3 Char"/>
    <w:link w:val="Style3"/>
    <w:rsid w:val="00E14135"/>
    <w:rPr>
      <w:rFonts w:cs="Arial"/>
    </w:rPr>
  </w:style>
  <w:style w:type="paragraph" w:customStyle="1" w:styleId="Style4">
    <w:name w:val="Style4"/>
    <w:basedOn w:val="ParaText"/>
    <w:link w:val="Style4Char"/>
    <w:qFormat/>
    <w:rsid w:val="00E14135"/>
    <w:pPr>
      <w:spacing w:before="120" w:after="0"/>
    </w:pPr>
    <w:rPr>
      <w:rFonts w:cs="Arial"/>
    </w:rPr>
  </w:style>
  <w:style w:type="character" w:customStyle="1" w:styleId="Style4Char">
    <w:name w:val="Style4 Char"/>
    <w:link w:val="Style4"/>
    <w:rsid w:val="00E14135"/>
    <w:rPr>
      <w:rFonts w:cs="Arial"/>
    </w:rPr>
  </w:style>
  <w:style w:type="paragraph" w:customStyle="1" w:styleId="Style5">
    <w:name w:val="Style5"/>
    <w:basedOn w:val="ParaText"/>
    <w:link w:val="Style5Char"/>
    <w:qFormat/>
    <w:rsid w:val="00E14135"/>
    <w:rPr>
      <w:rFonts w:cs="Arial"/>
    </w:rPr>
  </w:style>
  <w:style w:type="character" w:customStyle="1" w:styleId="Style5Char">
    <w:name w:val="Style5 Char"/>
    <w:link w:val="Style5"/>
    <w:rsid w:val="00E14135"/>
    <w:rPr>
      <w:rFonts w:cs="Arial"/>
    </w:rPr>
  </w:style>
  <w:style w:type="character" w:customStyle="1" w:styleId="tx1">
    <w:name w:val="tx1"/>
    <w:rsid w:val="00E14135"/>
    <w:rPr>
      <w:b/>
      <w:bCs/>
    </w:rPr>
  </w:style>
  <w:style w:type="paragraph" w:customStyle="1" w:styleId="Style6">
    <w:name w:val="Style6"/>
    <w:basedOn w:val="Bullet1"/>
    <w:link w:val="Style6Char"/>
    <w:qFormat/>
    <w:rsid w:val="00E14135"/>
    <w:rPr>
      <w:rFonts w:cs="Arial"/>
    </w:rPr>
  </w:style>
  <w:style w:type="character" w:customStyle="1" w:styleId="Style6Char">
    <w:name w:val="Style6 Char"/>
    <w:link w:val="Style6"/>
    <w:rsid w:val="00E14135"/>
    <w:rPr>
      <w:rFonts w:cs="Arial"/>
    </w:rPr>
  </w:style>
  <w:style w:type="paragraph" w:styleId="NoSpacing">
    <w:name w:val="No Spacing"/>
    <w:link w:val="NoSpacingChar"/>
    <w:uiPriority w:val="1"/>
    <w:qFormat/>
    <w:rsid w:val="00E14135"/>
    <w:pPr>
      <w:spacing w:after="0" w:line="240" w:lineRule="auto"/>
      <w:jc w:val="both"/>
    </w:pPr>
    <w:rPr>
      <w:rFonts w:ascii="Arial" w:eastAsia="Times New Roman" w:hAnsi="Arial" w:cs="Times New Roman"/>
      <w:szCs w:val="20"/>
    </w:rPr>
  </w:style>
  <w:style w:type="character" w:customStyle="1" w:styleId="NoSpacingChar">
    <w:name w:val="No Spacing Char"/>
    <w:link w:val="NoSpacing"/>
    <w:uiPriority w:val="1"/>
    <w:rsid w:val="00E14135"/>
    <w:rPr>
      <w:rFonts w:ascii="Arial" w:eastAsia="Times New Roman" w:hAnsi="Arial" w:cs="Times New Roman"/>
      <w:szCs w:val="20"/>
    </w:rPr>
  </w:style>
  <w:style w:type="paragraph" w:customStyle="1" w:styleId="Default">
    <w:name w:val="Default"/>
    <w:rsid w:val="00E14135"/>
    <w:pPr>
      <w:autoSpaceDE w:val="0"/>
      <w:autoSpaceDN w:val="0"/>
      <w:adjustRightInd w:val="0"/>
      <w:spacing w:after="0" w:line="240" w:lineRule="auto"/>
    </w:pPr>
    <w:rPr>
      <w:rFonts w:ascii="Arial" w:eastAsia="Times New Roman" w:hAnsi="Arial" w:cs="Arial"/>
      <w:color w:val="000000"/>
      <w:sz w:val="24"/>
      <w:szCs w:val="24"/>
    </w:rPr>
  </w:style>
  <w:style w:type="character" w:customStyle="1" w:styleId="EmailStyle151">
    <w:name w:val="EmailStyle151"/>
    <w:rsid w:val="00E14135"/>
    <w:rPr>
      <w:rFonts w:ascii="Arial" w:hAnsi="Arial" w:cs="Arial"/>
      <w:color w:val="auto"/>
      <w:sz w:val="20"/>
    </w:rPr>
  </w:style>
  <w:style w:type="paragraph" w:styleId="TOCHeading">
    <w:name w:val="TOC Heading"/>
    <w:basedOn w:val="Heading1"/>
    <w:next w:val="Normal"/>
    <w:uiPriority w:val="39"/>
    <w:unhideWhenUsed/>
    <w:qFormat/>
    <w:rsid w:val="00E14135"/>
    <w:pPr>
      <w:keepLines/>
      <w:tabs>
        <w:tab w:val="clear" w:pos="1080"/>
      </w:tabs>
      <w:spacing w:before="240" w:after="0"/>
      <w:ind w:left="720" w:hanging="360"/>
      <w:outlineLvl w:val="9"/>
    </w:pPr>
    <w:rPr>
      <w:b w:val="0"/>
      <w:color w:val="4F758B"/>
      <w:kern w:val="0"/>
      <w:sz w:val="32"/>
      <w:szCs w:val="32"/>
    </w:rPr>
  </w:style>
  <w:style w:type="paragraph" w:customStyle="1" w:styleId="ISOPolicyDraft">
    <w:name w:val="ISO Policy Draft"/>
    <w:basedOn w:val="Heading1"/>
    <w:link w:val="ISOPolicyDraftChar"/>
    <w:autoRedefine/>
    <w:rsid w:val="00E14135"/>
    <w:pPr>
      <w:keepNext w:val="0"/>
      <w:tabs>
        <w:tab w:val="clear" w:pos="1080"/>
      </w:tabs>
      <w:spacing w:before="240" w:after="0"/>
      <w:ind w:left="0" w:firstLine="0"/>
      <w:contextualSpacing/>
    </w:pPr>
    <w:rPr>
      <w:rFonts w:ascii="Cambria" w:hAnsi="Cambria"/>
      <w:b w:val="0"/>
      <w:color w:val="4F758B"/>
      <w:kern w:val="0"/>
      <w:sz w:val="32"/>
      <w:szCs w:val="32"/>
    </w:rPr>
  </w:style>
  <w:style w:type="character" w:customStyle="1" w:styleId="ISOPolicyDraftChar">
    <w:name w:val="ISO Policy Draft Char"/>
    <w:link w:val="ISOPolicyDraft"/>
    <w:rsid w:val="00E14135"/>
    <w:rPr>
      <w:rFonts w:ascii="Cambria" w:hAnsi="Cambria"/>
      <w:color w:val="4F758B"/>
      <w:sz w:val="32"/>
      <w:szCs w:val="32"/>
    </w:rPr>
  </w:style>
  <w:style w:type="paragraph" w:styleId="Revision">
    <w:name w:val="Revision"/>
    <w:hidden/>
    <w:uiPriority w:val="99"/>
    <w:semiHidden/>
    <w:rsid w:val="00E14135"/>
    <w:pPr>
      <w:spacing w:after="0" w:line="240" w:lineRule="auto"/>
    </w:pPr>
    <w:rPr>
      <w:rFonts w:ascii="Calibri" w:eastAsia="Calibri" w:hAnsi="Calibri" w:cs="Times New Roman"/>
    </w:rPr>
  </w:style>
  <w:style w:type="character" w:styleId="FollowedHyperlink">
    <w:name w:val="FollowedHyperlink"/>
    <w:uiPriority w:val="99"/>
    <w:unhideWhenUsed/>
    <w:rsid w:val="00E14135"/>
    <w:rPr>
      <w:color w:val="85DFD0"/>
      <w:u w:val="single"/>
    </w:rPr>
  </w:style>
  <w:style w:type="table" w:styleId="GridTable5Dark-Accent1">
    <w:name w:val="Grid Table 5 Dark Accent 1"/>
    <w:basedOn w:val="TableNormal"/>
    <w:uiPriority w:val="50"/>
    <w:rsid w:val="00E14135"/>
    <w:pPr>
      <w:spacing w:after="0" w:line="240" w:lineRule="auto"/>
    </w:pPr>
    <w:rPr>
      <w:rFonts w:ascii="Calibri" w:eastAsia="Calibri" w:hAnsi="Calibri" w:cs="Times New Roma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C7E2FA"/>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0F6FC6"/>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0F6FC6"/>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0F6FC6"/>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0F6FC6"/>
      </w:tcPr>
    </w:tblStylePr>
    <w:tblStylePr w:type="band1Vert">
      <w:tblPr/>
      <w:tcPr>
        <w:shd w:val="clear" w:color="auto" w:fill="90C5F6"/>
      </w:tcPr>
    </w:tblStylePr>
    <w:tblStylePr w:type="band1Horz">
      <w:tblPr/>
      <w:tcPr>
        <w:shd w:val="clear" w:color="auto" w:fill="90C5F6"/>
      </w:tcPr>
    </w:tblStylePr>
  </w:style>
  <w:style w:type="paragraph" w:styleId="NormalWeb">
    <w:name w:val="Normal (Web)"/>
    <w:basedOn w:val="Normal"/>
    <w:uiPriority w:val="99"/>
    <w:unhideWhenUsed/>
    <w:rsid w:val="00E14135"/>
    <w:pPr>
      <w:spacing w:before="100" w:beforeAutospacing="1" w:after="100" w:afterAutospacing="1"/>
    </w:pPr>
    <w:rPr>
      <w:rFonts w:ascii="Times New Roman" w:hAnsi="Times New Roman"/>
      <w:sz w:val="24"/>
      <w:szCs w:val="24"/>
    </w:rPr>
  </w:style>
  <w:style w:type="paragraph" w:styleId="PlainText">
    <w:name w:val="Plain Text"/>
    <w:basedOn w:val="Normal"/>
    <w:link w:val="PlainTextChar"/>
    <w:uiPriority w:val="99"/>
    <w:unhideWhenUsed/>
    <w:rsid w:val="00E14135"/>
    <w:pPr>
      <w:spacing w:after="0"/>
    </w:pPr>
    <w:rPr>
      <w:rFonts w:ascii="Calibri" w:eastAsia="Calibri" w:hAnsi="Calibri"/>
      <w:szCs w:val="21"/>
    </w:rPr>
  </w:style>
  <w:style w:type="character" w:customStyle="1" w:styleId="PlainTextChar">
    <w:name w:val="Plain Text Char"/>
    <w:basedOn w:val="DefaultParagraphFont"/>
    <w:link w:val="PlainText"/>
    <w:uiPriority w:val="99"/>
    <w:rsid w:val="00E14135"/>
    <w:rPr>
      <w:rFonts w:ascii="Calibri" w:eastAsia="Calibri" w:hAnsi="Calibri"/>
      <w:szCs w:val="21"/>
    </w:rPr>
  </w:style>
  <w:style w:type="table" w:customStyle="1" w:styleId="GridTable5Dark-Accent11">
    <w:name w:val="Grid Table 5 Dark - Accent 11"/>
    <w:basedOn w:val="TableNormal"/>
    <w:next w:val="GridTable5Dark-Accent1"/>
    <w:uiPriority w:val="50"/>
    <w:rsid w:val="00E14135"/>
    <w:pPr>
      <w:spacing w:after="0" w:line="240" w:lineRule="auto"/>
    </w:pPr>
    <w:rPr>
      <w:rFonts w:ascii="Calibri" w:eastAsia="Calibri" w:hAnsi="Calibri" w:cs="Times New Roma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C7E2FA"/>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0F6FC6"/>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0F6FC6"/>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0F6FC6"/>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0F6FC6"/>
      </w:tcPr>
    </w:tblStylePr>
    <w:tblStylePr w:type="band1Vert">
      <w:tblPr/>
      <w:tcPr>
        <w:shd w:val="clear" w:color="auto" w:fill="90C5F6"/>
      </w:tcPr>
    </w:tblStylePr>
    <w:tblStylePr w:type="band1Horz">
      <w:tblPr/>
      <w:tcPr>
        <w:shd w:val="clear" w:color="auto" w:fill="90C5F6"/>
      </w:tcPr>
    </w:tblStylePr>
  </w:style>
  <w:style w:type="paragraph" w:customStyle="1" w:styleId="paragraph0">
    <w:name w:val="paragraph"/>
    <w:basedOn w:val="Normal"/>
    <w:rsid w:val="0008413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084139"/>
  </w:style>
  <w:style w:type="character" w:customStyle="1" w:styleId="eop">
    <w:name w:val="eop"/>
    <w:basedOn w:val="DefaultParagraphFont"/>
    <w:rsid w:val="00084139"/>
  </w:style>
  <w:style w:type="character" w:customStyle="1" w:styleId="spellingerror">
    <w:name w:val="spellingerror"/>
    <w:basedOn w:val="DefaultParagraphFont"/>
    <w:rsid w:val="00084139"/>
  </w:style>
  <w:style w:type="character" w:customStyle="1" w:styleId="ListParagraphChar">
    <w:name w:val="List Paragraph Char"/>
    <w:basedOn w:val="DefaultParagraphFont"/>
    <w:link w:val="ListParagraph"/>
    <w:uiPriority w:val="34"/>
    <w:locked/>
    <w:rsid w:val="00D063F0"/>
  </w:style>
  <w:style w:type="paragraph" w:customStyle="1" w:styleId="Figure">
    <w:name w:val="Figure"/>
    <w:basedOn w:val="Normal"/>
    <w:next w:val="Caption"/>
    <w:uiPriority w:val="1"/>
    <w:qFormat/>
    <w:rsid w:val="00B83728"/>
    <w:pPr>
      <w:keepNext/>
      <w:keepLines/>
      <w:widowControl w:val="0"/>
      <w:suppressAutoHyphens/>
      <w:spacing w:before="120" w:after="0" w:line="240" w:lineRule="auto"/>
      <w:jc w:val="center"/>
    </w:pPr>
    <w:rPr>
      <w:rFonts w:ascii="Cambria" w:eastAsia="Times New Roman" w:hAnsi="Cambria" w:cs="Times New Roman"/>
      <w:sz w:val="24"/>
      <w:szCs w:val="24"/>
    </w:rPr>
  </w:style>
  <w:style w:type="paragraph" w:customStyle="1" w:styleId="Table">
    <w:name w:val="Table"/>
    <w:basedOn w:val="Normal"/>
    <w:qFormat/>
    <w:rsid w:val="00B83728"/>
    <w:pPr>
      <w:widowControl w:val="0"/>
      <w:suppressAutoHyphens/>
      <w:spacing w:after="0" w:line="240" w:lineRule="auto"/>
      <w:jc w:val="center"/>
    </w:pPr>
    <w:rPr>
      <w:rFonts w:ascii="Cambria" w:eastAsia="Times New Roman" w:hAnsi="Cambria" w:cs="Times New Roman"/>
      <w:sz w:val="24"/>
      <w:szCs w:val="24"/>
    </w:rPr>
  </w:style>
  <w:style w:type="character" w:styleId="UnresolvedMention">
    <w:name w:val="Unresolved Mention"/>
    <w:basedOn w:val="DefaultParagraphFont"/>
    <w:uiPriority w:val="99"/>
    <w:semiHidden/>
    <w:unhideWhenUsed/>
    <w:rsid w:val="001874A4"/>
    <w:rPr>
      <w:color w:val="605E5C"/>
      <w:shd w:val="clear" w:color="auto" w:fill="E1DFDD"/>
    </w:rPr>
  </w:style>
  <w:style w:type="table" w:customStyle="1" w:styleId="TableGrid1">
    <w:name w:val="Table Grid1"/>
    <w:basedOn w:val="TableNormal"/>
    <w:next w:val="TableGrid"/>
    <w:uiPriority w:val="39"/>
    <w:rsid w:val="00FA3F8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E72D06"/>
    <w:rPr>
      <w:color w:val="666666"/>
    </w:rPr>
  </w:style>
  <w:style w:type="paragraph" w:customStyle="1" w:styleId="Equation">
    <w:name w:val="Equation"/>
    <w:basedOn w:val="Normal"/>
    <w:uiPriority w:val="1"/>
    <w:qFormat/>
    <w:rsid w:val="003B6EB1"/>
    <w:pPr>
      <w:spacing w:before="120" w:after="0" w:line="240" w:lineRule="auto"/>
      <w:jc w:val="center"/>
    </w:pPr>
    <w:rPr>
      <w:rFonts w:ascii="Times New Roman" w:hAnsi="Times New Roman" w:cs="Times New Roman"/>
      <w:sz w:val="24"/>
      <w:szCs w:val="24"/>
    </w:rPr>
  </w:style>
  <w:style w:type="character" w:styleId="Strong">
    <w:name w:val="Strong"/>
    <w:basedOn w:val="DefaultParagraphFont"/>
    <w:uiPriority w:val="22"/>
    <w:qFormat/>
    <w:rsid w:val="00204199"/>
    <w:rPr>
      <w:b/>
      <w:bCs/>
    </w:rPr>
  </w:style>
  <w:style w:type="numbering" w:customStyle="1" w:styleId="NoList1">
    <w:name w:val="No List1"/>
    <w:next w:val="NoList"/>
    <w:uiPriority w:val="99"/>
    <w:semiHidden/>
    <w:unhideWhenUsed/>
    <w:rsid w:val="003C7846"/>
  </w:style>
  <w:style w:type="paragraph" w:customStyle="1" w:styleId="Quote1">
    <w:name w:val="Quote1"/>
    <w:basedOn w:val="Normal"/>
    <w:next w:val="Normal"/>
    <w:uiPriority w:val="29"/>
    <w:qFormat/>
    <w:rsid w:val="003C7846"/>
    <w:pPr>
      <w:spacing w:before="160" w:line="278" w:lineRule="auto"/>
      <w:jc w:val="center"/>
    </w:pPr>
    <w:rPr>
      <w:i/>
      <w:iCs/>
      <w:color w:val="404040"/>
      <w:kern w:val="2"/>
      <w:sz w:val="24"/>
      <w:szCs w:val="24"/>
      <w14:ligatures w14:val="standardContextual"/>
    </w:rPr>
  </w:style>
  <w:style w:type="character" w:customStyle="1" w:styleId="QuoteChar">
    <w:name w:val="Quote Char"/>
    <w:basedOn w:val="DefaultParagraphFont"/>
    <w:link w:val="Quote"/>
    <w:uiPriority w:val="29"/>
    <w:rsid w:val="003C7846"/>
    <w:rPr>
      <w:i/>
      <w:iCs/>
      <w:color w:val="404040"/>
    </w:rPr>
  </w:style>
  <w:style w:type="character" w:customStyle="1" w:styleId="IntenseEmphasis1">
    <w:name w:val="Intense Emphasis1"/>
    <w:basedOn w:val="DefaultParagraphFont"/>
    <w:uiPriority w:val="21"/>
    <w:qFormat/>
    <w:rsid w:val="003C7846"/>
    <w:rPr>
      <w:i/>
      <w:iCs/>
      <w:color w:val="2E74B5"/>
    </w:rPr>
  </w:style>
  <w:style w:type="paragraph" w:customStyle="1" w:styleId="IntenseQuote1">
    <w:name w:val="Intense Quote1"/>
    <w:basedOn w:val="Normal"/>
    <w:next w:val="Normal"/>
    <w:uiPriority w:val="30"/>
    <w:qFormat/>
    <w:rsid w:val="003C7846"/>
    <w:pPr>
      <w:pBdr>
        <w:top w:val="single" w:sz="4" w:space="10" w:color="2E74B5"/>
        <w:bottom w:val="single" w:sz="4" w:space="10" w:color="2E74B5"/>
      </w:pBdr>
      <w:spacing w:before="360" w:after="360" w:line="278" w:lineRule="auto"/>
      <w:ind w:left="864" w:right="864"/>
      <w:jc w:val="center"/>
    </w:pPr>
    <w:rPr>
      <w:i/>
      <w:iCs/>
      <w:color w:val="2E74B5"/>
      <w:kern w:val="2"/>
      <w:sz w:val="24"/>
      <w:szCs w:val="24"/>
      <w14:ligatures w14:val="standardContextual"/>
    </w:rPr>
  </w:style>
  <w:style w:type="character" w:customStyle="1" w:styleId="IntenseQuoteChar">
    <w:name w:val="Intense Quote Char"/>
    <w:basedOn w:val="DefaultParagraphFont"/>
    <w:link w:val="IntenseQuote"/>
    <w:uiPriority w:val="30"/>
    <w:rsid w:val="003C7846"/>
    <w:rPr>
      <w:i/>
      <w:iCs/>
      <w:color w:val="2E74B5"/>
    </w:rPr>
  </w:style>
  <w:style w:type="character" w:customStyle="1" w:styleId="IntenseReference1">
    <w:name w:val="Intense Reference1"/>
    <w:basedOn w:val="DefaultParagraphFont"/>
    <w:uiPriority w:val="32"/>
    <w:qFormat/>
    <w:rsid w:val="003C7846"/>
    <w:rPr>
      <w:b/>
      <w:bCs/>
      <w:smallCaps/>
      <w:color w:val="2E74B5"/>
      <w:spacing w:val="5"/>
    </w:rPr>
  </w:style>
  <w:style w:type="paragraph" w:styleId="Quote">
    <w:name w:val="Quote"/>
    <w:basedOn w:val="Normal"/>
    <w:next w:val="Normal"/>
    <w:link w:val="QuoteChar"/>
    <w:uiPriority w:val="29"/>
    <w:qFormat/>
    <w:rsid w:val="003C7846"/>
    <w:pPr>
      <w:spacing w:before="200"/>
      <w:ind w:left="864" w:right="864"/>
      <w:jc w:val="center"/>
    </w:pPr>
    <w:rPr>
      <w:i/>
      <w:iCs/>
      <w:color w:val="404040"/>
    </w:rPr>
  </w:style>
  <w:style w:type="character" w:customStyle="1" w:styleId="QuoteChar1">
    <w:name w:val="Quote Char1"/>
    <w:basedOn w:val="DefaultParagraphFont"/>
    <w:uiPriority w:val="29"/>
    <w:rsid w:val="003C7846"/>
    <w:rPr>
      <w:i/>
      <w:iCs/>
      <w:color w:val="404040" w:themeColor="text1" w:themeTint="BF"/>
    </w:rPr>
  </w:style>
  <w:style w:type="character" w:styleId="IntenseEmphasis">
    <w:name w:val="Intense Emphasis"/>
    <w:basedOn w:val="DefaultParagraphFont"/>
    <w:uiPriority w:val="21"/>
    <w:qFormat/>
    <w:rsid w:val="003C7846"/>
    <w:rPr>
      <w:i/>
      <w:iCs/>
      <w:color w:val="5B9BD5" w:themeColor="accent1"/>
    </w:rPr>
  </w:style>
  <w:style w:type="paragraph" w:styleId="IntenseQuote">
    <w:name w:val="Intense Quote"/>
    <w:basedOn w:val="Normal"/>
    <w:next w:val="Normal"/>
    <w:link w:val="IntenseQuoteChar"/>
    <w:uiPriority w:val="30"/>
    <w:qFormat/>
    <w:rsid w:val="003C7846"/>
    <w:pPr>
      <w:pBdr>
        <w:top w:val="single" w:sz="4" w:space="10" w:color="5B9BD5" w:themeColor="accent1"/>
        <w:bottom w:val="single" w:sz="4" w:space="10" w:color="5B9BD5" w:themeColor="accent1"/>
      </w:pBdr>
      <w:spacing w:before="360" w:after="360"/>
      <w:ind w:left="864" w:right="864"/>
      <w:jc w:val="center"/>
    </w:pPr>
    <w:rPr>
      <w:i/>
      <w:iCs/>
      <w:color w:val="2E74B5"/>
    </w:rPr>
  </w:style>
  <w:style w:type="character" w:customStyle="1" w:styleId="IntenseQuoteChar1">
    <w:name w:val="Intense Quote Char1"/>
    <w:basedOn w:val="DefaultParagraphFont"/>
    <w:uiPriority w:val="30"/>
    <w:rsid w:val="003C7846"/>
    <w:rPr>
      <w:i/>
      <w:iCs/>
      <w:color w:val="5B9BD5" w:themeColor="accent1"/>
    </w:rPr>
  </w:style>
  <w:style w:type="character" w:styleId="IntenseReference">
    <w:name w:val="Intense Reference"/>
    <w:basedOn w:val="DefaultParagraphFont"/>
    <w:uiPriority w:val="32"/>
    <w:qFormat/>
    <w:rsid w:val="003C7846"/>
    <w:rPr>
      <w:b/>
      <w:bCs/>
      <w:smallCaps/>
      <w:color w:val="5B9BD5" w:themeColor="accent1"/>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6963605">
      <w:bodyDiv w:val="1"/>
      <w:marLeft w:val="0"/>
      <w:marRight w:val="0"/>
      <w:marTop w:val="0"/>
      <w:marBottom w:val="0"/>
      <w:divBdr>
        <w:top w:val="none" w:sz="0" w:space="0" w:color="auto"/>
        <w:left w:val="none" w:sz="0" w:space="0" w:color="auto"/>
        <w:bottom w:val="none" w:sz="0" w:space="0" w:color="auto"/>
        <w:right w:val="none" w:sz="0" w:space="0" w:color="auto"/>
      </w:divBdr>
    </w:div>
    <w:div w:id="237449089">
      <w:bodyDiv w:val="1"/>
      <w:marLeft w:val="0"/>
      <w:marRight w:val="0"/>
      <w:marTop w:val="0"/>
      <w:marBottom w:val="0"/>
      <w:divBdr>
        <w:top w:val="none" w:sz="0" w:space="0" w:color="auto"/>
        <w:left w:val="none" w:sz="0" w:space="0" w:color="auto"/>
        <w:bottom w:val="none" w:sz="0" w:space="0" w:color="auto"/>
        <w:right w:val="none" w:sz="0" w:space="0" w:color="auto"/>
      </w:divBdr>
    </w:div>
    <w:div w:id="268857523">
      <w:bodyDiv w:val="1"/>
      <w:marLeft w:val="0"/>
      <w:marRight w:val="0"/>
      <w:marTop w:val="0"/>
      <w:marBottom w:val="0"/>
      <w:divBdr>
        <w:top w:val="none" w:sz="0" w:space="0" w:color="auto"/>
        <w:left w:val="none" w:sz="0" w:space="0" w:color="auto"/>
        <w:bottom w:val="none" w:sz="0" w:space="0" w:color="auto"/>
        <w:right w:val="none" w:sz="0" w:space="0" w:color="auto"/>
      </w:divBdr>
    </w:div>
    <w:div w:id="334848922">
      <w:bodyDiv w:val="1"/>
      <w:marLeft w:val="0"/>
      <w:marRight w:val="0"/>
      <w:marTop w:val="0"/>
      <w:marBottom w:val="0"/>
      <w:divBdr>
        <w:top w:val="none" w:sz="0" w:space="0" w:color="auto"/>
        <w:left w:val="none" w:sz="0" w:space="0" w:color="auto"/>
        <w:bottom w:val="none" w:sz="0" w:space="0" w:color="auto"/>
        <w:right w:val="none" w:sz="0" w:space="0" w:color="auto"/>
      </w:divBdr>
    </w:div>
    <w:div w:id="339161025">
      <w:bodyDiv w:val="1"/>
      <w:marLeft w:val="0"/>
      <w:marRight w:val="0"/>
      <w:marTop w:val="0"/>
      <w:marBottom w:val="0"/>
      <w:divBdr>
        <w:top w:val="none" w:sz="0" w:space="0" w:color="auto"/>
        <w:left w:val="none" w:sz="0" w:space="0" w:color="auto"/>
        <w:bottom w:val="none" w:sz="0" w:space="0" w:color="auto"/>
        <w:right w:val="none" w:sz="0" w:space="0" w:color="auto"/>
      </w:divBdr>
    </w:div>
    <w:div w:id="376006518">
      <w:bodyDiv w:val="1"/>
      <w:marLeft w:val="0"/>
      <w:marRight w:val="0"/>
      <w:marTop w:val="0"/>
      <w:marBottom w:val="0"/>
      <w:divBdr>
        <w:top w:val="none" w:sz="0" w:space="0" w:color="auto"/>
        <w:left w:val="none" w:sz="0" w:space="0" w:color="auto"/>
        <w:bottom w:val="none" w:sz="0" w:space="0" w:color="auto"/>
        <w:right w:val="none" w:sz="0" w:space="0" w:color="auto"/>
      </w:divBdr>
    </w:div>
    <w:div w:id="400298165">
      <w:bodyDiv w:val="1"/>
      <w:marLeft w:val="0"/>
      <w:marRight w:val="0"/>
      <w:marTop w:val="0"/>
      <w:marBottom w:val="0"/>
      <w:divBdr>
        <w:top w:val="none" w:sz="0" w:space="0" w:color="auto"/>
        <w:left w:val="none" w:sz="0" w:space="0" w:color="auto"/>
        <w:bottom w:val="none" w:sz="0" w:space="0" w:color="auto"/>
        <w:right w:val="none" w:sz="0" w:space="0" w:color="auto"/>
      </w:divBdr>
    </w:div>
    <w:div w:id="430397549">
      <w:bodyDiv w:val="1"/>
      <w:marLeft w:val="0"/>
      <w:marRight w:val="0"/>
      <w:marTop w:val="0"/>
      <w:marBottom w:val="0"/>
      <w:divBdr>
        <w:top w:val="none" w:sz="0" w:space="0" w:color="auto"/>
        <w:left w:val="none" w:sz="0" w:space="0" w:color="auto"/>
        <w:bottom w:val="none" w:sz="0" w:space="0" w:color="auto"/>
        <w:right w:val="none" w:sz="0" w:space="0" w:color="auto"/>
      </w:divBdr>
    </w:div>
    <w:div w:id="446047362">
      <w:bodyDiv w:val="1"/>
      <w:marLeft w:val="0"/>
      <w:marRight w:val="0"/>
      <w:marTop w:val="0"/>
      <w:marBottom w:val="0"/>
      <w:divBdr>
        <w:top w:val="none" w:sz="0" w:space="0" w:color="auto"/>
        <w:left w:val="none" w:sz="0" w:space="0" w:color="auto"/>
        <w:bottom w:val="none" w:sz="0" w:space="0" w:color="auto"/>
        <w:right w:val="none" w:sz="0" w:space="0" w:color="auto"/>
      </w:divBdr>
    </w:div>
    <w:div w:id="446390661">
      <w:bodyDiv w:val="1"/>
      <w:marLeft w:val="0"/>
      <w:marRight w:val="0"/>
      <w:marTop w:val="0"/>
      <w:marBottom w:val="0"/>
      <w:divBdr>
        <w:top w:val="none" w:sz="0" w:space="0" w:color="auto"/>
        <w:left w:val="none" w:sz="0" w:space="0" w:color="auto"/>
        <w:bottom w:val="none" w:sz="0" w:space="0" w:color="auto"/>
        <w:right w:val="none" w:sz="0" w:space="0" w:color="auto"/>
      </w:divBdr>
    </w:div>
    <w:div w:id="537544286">
      <w:bodyDiv w:val="1"/>
      <w:marLeft w:val="0"/>
      <w:marRight w:val="0"/>
      <w:marTop w:val="0"/>
      <w:marBottom w:val="0"/>
      <w:divBdr>
        <w:top w:val="none" w:sz="0" w:space="0" w:color="auto"/>
        <w:left w:val="none" w:sz="0" w:space="0" w:color="auto"/>
        <w:bottom w:val="none" w:sz="0" w:space="0" w:color="auto"/>
        <w:right w:val="none" w:sz="0" w:space="0" w:color="auto"/>
      </w:divBdr>
      <w:divsChild>
        <w:div w:id="313263062">
          <w:marLeft w:val="1166"/>
          <w:marRight w:val="0"/>
          <w:marTop w:val="77"/>
          <w:marBottom w:val="0"/>
          <w:divBdr>
            <w:top w:val="none" w:sz="0" w:space="0" w:color="auto"/>
            <w:left w:val="none" w:sz="0" w:space="0" w:color="auto"/>
            <w:bottom w:val="none" w:sz="0" w:space="0" w:color="auto"/>
            <w:right w:val="none" w:sz="0" w:space="0" w:color="auto"/>
          </w:divBdr>
        </w:div>
      </w:divsChild>
    </w:div>
    <w:div w:id="590510400">
      <w:bodyDiv w:val="1"/>
      <w:marLeft w:val="0"/>
      <w:marRight w:val="0"/>
      <w:marTop w:val="0"/>
      <w:marBottom w:val="0"/>
      <w:divBdr>
        <w:top w:val="none" w:sz="0" w:space="0" w:color="auto"/>
        <w:left w:val="none" w:sz="0" w:space="0" w:color="auto"/>
        <w:bottom w:val="none" w:sz="0" w:space="0" w:color="auto"/>
        <w:right w:val="none" w:sz="0" w:space="0" w:color="auto"/>
      </w:divBdr>
    </w:div>
    <w:div w:id="603072331">
      <w:bodyDiv w:val="1"/>
      <w:marLeft w:val="0"/>
      <w:marRight w:val="0"/>
      <w:marTop w:val="0"/>
      <w:marBottom w:val="0"/>
      <w:divBdr>
        <w:top w:val="none" w:sz="0" w:space="0" w:color="auto"/>
        <w:left w:val="none" w:sz="0" w:space="0" w:color="auto"/>
        <w:bottom w:val="none" w:sz="0" w:space="0" w:color="auto"/>
        <w:right w:val="none" w:sz="0" w:space="0" w:color="auto"/>
      </w:divBdr>
      <w:divsChild>
        <w:div w:id="1134058061">
          <w:marLeft w:val="547"/>
          <w:marRight w:val="0"/>
          <w:marTop w:val="77"/>
          <w:marBottom w:val="0"/>
          <w:divBdr>
            <w:top w:val="none" w:sz="0" w:space="0" w:color="auto"/>
            <w:left w:val="none" w:sz="0" w:space="0" w:color="auto"/>
            <w:bottom w:val="none" w:sz="0" w:space="0" w:color="auto"/>
            <w:right w:val="none" w:sz="0" w:space="0" w:color="auto"/>
          </w:divBdr>
        </w:div>
        <w:div w:id="1236666016">
          <w:marLeft w:val="1166"/>
          <w:marRight w:val="0"/>
          <w:marTop w:val="77"/>
          <w:marBottom w:val="0"/>
          <w:divBdr>
            <w:top w:val="none" w:sz="0" w:space="0" w:color="auto"/>
            <w:left w:val="none" w:sz="0" w:space="0" w:color="auto"/>
            <w:bottom w:val="none" w:sz="0" w:space="0" w:color="auto"/>
            <w:right w:val="none" w:sz="0" w:space="0" w:color="auto"/>
          </w:divBdr>
        </w:div>
        <w:div w:id="1398357615">
          <w:marLeft w:val="1166"/>
          <w:marRight w:val="0"/>
          <w:marTop w:val="77"/>
          <w:marBottom w:val="0"/>
          <w:divBdr>
            <w:top w:val="none" w:sz="0" w:space="0" w:color="auto"/>
            <w:left w:val="none" w:sz="0" w:space="0" w:color="auto"/>
            <w:bottom w:val="none" w:sz="0" w:space="0" w:color="auto"/>
            <w:right w:val="none" w:sz="0" w:space="0" w:color="auto"/>
          </w:divBdr>
        </w:div>
        <w:div w:id="85880612">
          <w:marLeft w:val="1166"/>
          <w:marRight w:val="0"/>
          <w:marTop w:val="77"/>
          <w:marBottom w:val="0"/>
          <w:divBdr>
            <w:top w:val="none" w:sz="0" w:space="0" w:color="auto"/>
            <w:left w:val="none" w:sz="0" w:space="0" w:color="auto"/>
            <w:bottom w:val="none" w:sz="0" w:space="0" w:color="auto"/>
            <w:right w:val="none" w:sz="0" w:space="0" w:color="auto"/>
          </w:divBdr>
        </w:div>
        <w:div w:id="778184106">
          <w:marLeft w:val="1800"/>
          <w:marRight w:val="0"/>
          <w:marTop w:val="77"/>
          <w:marBottom w:val="0"/>
          <w:divBdr>
            <w:top w:val="none" w:sz="0" w:space="0" w:color="auto"/>
            <w:left w:val="none" w:sz="0" w:space="0" w:color="auto"/>
            <w:bottom w:val="none" w:sz="0" w:space="0" w:color="auto"/>
            <w:right w:val="none" w:sz="0" w:space="0" w:color="auto"/>
          </w:divBdr>
        </w:div>
        <w:div w:id="2002003384">
          <w:marLeft w:val="1800"/>
          <w:marRight w:val="0"/>
          <w:marTop w:val="77"/>
          <w:marBottom w:val="0"/>
          <w:divBdr>
            <w:top w:val="none" w:sz="0" w:space="0" w:color="auto"/>
            <w:left w:val="none" w:sz="0" w:space="0" w:color="auto"/>
            <w:bottom w:val="none" w:sz="0" w:space="0" w:color="auto"/>
            <w:right w:val="none" w:sz="0" w:space="0" w:color="auto"/>
          </w:divBdr>
        </w:div>
        <w:div w:id="342247540">
          <w:marLeft w:val="1166"/>
          <w:marRight w:val="0"/>
          <w:marTop w:val="77"/>
          <w:marBottom w:val="0"/>
          <w:divBdr>
            <w:top w:val="none" w:sz="0" w:space="0" w:color="auto"/>
            <w:left w:val="none" w:sz="0" w:space="0" w:color="auto"/>
            <w:bottom w:val="none" w:sz="0" w:space="0" w:color="auto"/>
            <w:right w:val="none" w:sz="0" w:space="0" w:color="auto"/>
          </w:divBdr>
        </w:div>
      </w:divsChild>
    </w:div>
    <w:div w:id="603150041">
      <w:bodyDiv w:val="1"/>
      <w:marLeft w:val="0"/>
      <w:marRight w:val="0"/>
      <w:marTop w:val="0"/>
      <w:marBottom w:val="0"/>
      <w:divBdr>
        <w:top w:val="none" w:sz="0" w:space="0" w:color="auto"/>
        <w:left w:val="none" w:sz="0" w:space="0" w:color="auto"/>
        <w:bottom w:val="none" w:sz="0" w:space="0" w:color="auto"/>
        <w:right w:val="none" w:sz="0" w:space="0" w:color="auto"/>
      </w:divBdr>
    </w:div>
    <w:div w:id="732123003">
      <w:bodyDiv w:val="1"/>
      <w:marLeft w:val="0"/>
      <w:marRight w:val="0"/>
      <w:marTop w:val="0"/>
      <w:marBottom w:val="0"/>
      <w:divBdr>
        <w:top w:val="none" w:sz="0" w:space="0" w:color="auto"/>
        <w:left w:val="none" w:sz="0" w:space="0" w:color="auto"/>
        <w:bottom w:val="none" w:sz="0" w:space="0" w:color="auto"/>
        <w:right w:val="none" w:sz="0" w:space="0" w:color="auto"/>
      </w:divBdr>
    </w:div>
    <w:div w:id="750590468">
      <w:bodyDiv w:val="1"/>
      <w:marLeft w:val="0"/>
      <w:marRight w:val="0"/>
      <w:marTop w:val="0"/>
      <w:marBottom w:val="0"/>
      <w:divBdr>
        <w:top w:val="none" w:sz="0" w:space="0" w:color="auto"/>
        <w:left w:val="none" w:sz="0" w:space="0" w:color="auto"/>
        <w:bottom w:val="none" w:sz="0" w:space="0" w:color="auto"/>
        <w:right w:val="none" w:sz="0" w:space="0" w:color="auto"/>
      </w:divBdr>
    </w:div>
    <w:div w:id="841434205">
      <w:bodyDiv w:val="1"/>
      <w:marLeft w:val="0"/>
      <w:marRight w:val="0"/>
      <w:marTop w:val="0"/>
      <w:marBottom w:val="0"/>
      <w:divBdr>
        <w:top w:val="none" w:sz="0" w:space="0" w:color="auto"/>
        <w:left w:val="none" w:sz="0" w:space="0" w:color="auto"/>
        <w:bottom w:val="none" w:sz="0" w:space="0" w:color="auto"/>
        <w:right w:val="none" w:sz="0" w:space="0" w:color="auto"/>
      </w:divBdr>
    </w:div>
    <w:div w:id="854347272">
      <w:bodyDiv w:val="1"/>
      <w:marLeft w:val="0"/>
      <w:marRight w:val="0"/>
      <w:marTop w:val="0"/>
      <w:marBottom w:val="0"/>
      <w:divBdr>
        <w:top w:val="none" w:sz="0" w:space="0" w:color="auto"/>
        <w:left w:val="none" w:sz="0" w:space="0" w:color="auto"/>
        <w:bottom w:val="none" w:sz="0" w:space="0" w:color="auto"/>
        <w:right w:val="none" w:sz="0" w:space="0" w:color="auto"/>
      </w:divBdr>
    </w:div>
    <w:div w:id="886061772">
      <w:bodyDiv w:val="1"/>
      <w:marLeft w:val="0"/>
      <w:marRight w:val="0"/>
      <w:marTop w:val="0"/>
      <w:marBottom w:val="0"/>
      <w:divBdr>
        <w:top w:val="none" w:sz="0" w:space="0" w:color="auto"/>
        <w:left w:val="none" w:sz="0" w:space="0" w:color="auto"/>
        <w:bottom w:val="none" w:sz="0" w:space="0" w:color="auto"/>
        <w:right w:val="none" w:sz="0" w:space="0" w:color="auto"/>
      </w:divBdr>
    </w:div>
    <w:div w:id="887761339">
      <w:bodyDiv w:val="1"/>
      <w:marLeft w:val="0"/>
      <w:marRight w:val="0"/>
      <w:marTop w:val="0"/>
      <w:marBottom w:val="0"/>
      <w:divBdr>
        <w:top w:val="none" w:sz="0" w:space="0" w:color="auto"/>
        <w:left w:val="none" w:sz="0" w:space="0" w:color="auto"/>
        <w:bottom w:val="none" w:sz="0" w:space="0" w:color="auto"/>
        <w:right w:val="none" w:sz="0" w:space="0" w:color="auto"/>
      </w:divBdr>
    </w:div>
    <w:div w:id="1062290659">
      <w:bodyDiv w:val="1"/>
      <w:marLeft w:val="0"/>
      <w:marRight w:val="0"/>
      <w:marTop w:val="0"/>
      <w:marBottom w:val="0"/>
      <w:divBdr>
        <w:top w:val="none" w:sz="0" w:space="0" w:color="auto"/>
        <w:left w:val="none" w:sz="0" w:space="0" w:color="auto"/>
        <w:bottom w:val="none" w:sz="0" w:space="0" w:color="auto"/>
        <w:right w:val="none" w:sz="0" w:space="0" w:color="auto"/>
      </w:divBdr>
    </w:div>
    <w:div w:id="1184053389">
      <w:bodyDiv w:val="1"/>
      <w:marLeft w:val="0"/>
      <w:marRight w:val="0"/>
      <w:marTop w:val="0"/>
      <w:marBottom w:val="0"/>
      <w:divBdr>
        <w:top w:val="none" w:sz="0" w:space="0" w:color="auto"/>
        <w:left w:val="none" w:sz="0" w:space="0" w:color="auto"/>
        <w:bottom w:val="none" w:sz="0" w:space="0" w:color="auto"/>
        <w:right w:val="none" w:sz="0" w:space="0" w:color="auto"/>
      </w:divBdr>
    </w:div>
    <w:div w:id="1253515144">
      <w:bodyDiv w:val="1"/>
      <w:marLeft w:val="0"/>
      <w:marRight w:val="0"/>
      <w:marTop w:val="0"/>
      <w:marBottom w:val="0"/>
      <w:divBdr>
        <w:top w:val="none" w:sz="0" w:space="0" w:color="auto"/>
        <w:left w:val="none" w:sz="0" w:space="0" w:color="auto"/>
        <w:bottom w:val="none" w:sz="0" w:space="0" w:color="auto"/>
        <w:right w:val="none" w:sz="0" w:space="0" w:color="auto"/>
      </w:divBdr>
    </w:div>
    <w:div w:id="1263605065">
      <w:bodyDiv w:val="1"/>
      <w:marLeft w:val="0"/>
      <w:marRight w:val="0"/>
      <w:marTop w:val="0"/>
      <w:marBottom w:val="0"/>
      <w:divBdr>
        <w:top w:val="none" w:sz="0" w:space="0" w:color="auto"/>
        <w:left w:val="none" w:sz="0" w:space="0" w:color="auto"/>
        <w:bottom w:val="none" w:sz="0" w:space="0" w:color="auto"/>
        <w:right w:val="none" w:sz="0" w:space="0" w:color="auto"/>
      </w:divBdr>
      <w:divsChild>
        <w:div w:id="972712005">
          <w:marLeft w:val="0"/>
          <w:marRight w:val="0"/>
          <w:marTop w:val="0"/>
          <w:marBottom w:val="0"/>
          <w:divBdr>
            <w:top w:val="none" w:sz="0" w:space="0" w:color="auto"/>
            <w:left w:val="none" w:sz="0" w:space="0" w:color="auto"/>
            <w:bottom w:val="none" w:sz="0" w:space="0" w:color="auto"/>
            <w:right w:val="none" w:sz="0" w:space="0" w:color="auto"/>
          </w:divBdr>
        </w:div>
        <w:div w:id="1096634170">
          <w:marLeft w:val="0"/>
          <w:marRight w:val="0"/>
          <w:marTop w:val="0"/>
          <w:marBottom w:val="0"/>
          <w:divBdr>
            <w:top w:val="none" w:sz="0" w:space="0" w:color="auto"/>
            <w:left w:val="none" w:sz="0" w:space="0" w:color="auto"/>
            <w:bottom w:val="none" w:sz="0" w:space="0" w:color="auto"/>
            <w:right w:val="none" w:sz="0" w:space="0" w:color="auto"/>
          </w:divBdr>
        </w:div>
        <w:div w:id="1968126563">
          <w:marLeft w:val="0"/>
          <w:marRight w:val="0"/>
          <w:marTop w:val="0"/>
          <w:marBottom w:val="0"/>
          <w:divBdr>
            <w:top w:val="none" w:sz="0" w:space="0" w:color="auto"/>
            <w:left w:val="none" w:sz="0" w:space="0" w:color="auto"/>
            <w:bottom w:val="none" w:sz="0" w:space="0" w:color="auto"/>
            <w:right w:val="none" w:sz="0" w:space="0" w:color="auto"/>
          </w:divBdr>
        </w:div>
        <w:div w:id="1181704842">
          <w:marLeft w:val="0"/>
          <w:marRight w:val="0"/>
          <w:marTop w:val="0"/>
          <w:marBottom w:val="0"/>
          <w:divBdr>
            <w:top w:val="none" w:sz="0" w:space="0" w:color="auto"/>
            <w:left w:val="none" w:sz="0" w:space="0" w:color="auto"/>
            <w:bottom w:val="none" w:sz="0" w:space="0" w:color="auto"/>
            <w:right w:val="none" w:sz="0" w:space="0" w:color="auto"/>
          </w:divBdr>
          <w:divsChild>
            <w:div w:id="1853833181">
              <w:marLeft w:val="360"/>
              <w:marRight w:val="0"/>
              <w:marTop w:val="0"/>
              <w:marBottom w:val="0"/>
              <w:divBdr>
                <w:top w:val="none" w:sz="0" w:space="0" w:color="auto"/>
                <w:left w:val="none" w:sz="0" w:space="0" w:color="auto"/>
                <w:bottom w:val="none" w:sz="0" w:space="0" w:color="auto"/>
                <w:right w:val="none" w:sz="0" w:space="0" w:color="auto"/>
              </w:divBdr>
            </w:div>
            <w:div w:id="170461032">
              <w:marLeft w:val="360"/>
              <w:marRight w:val="0"/>
              <w:marTop w:val="0"/>
              <w:marBottom w:val="0"/>
              <w:divBdr>
                <w:top w:val="none" w:sz="0" w:space="0" w:color="auto"/>
                <w:left w:val="none" w:sz="0" w:space="0" w:color="auto"/>
                <w:bottom w:val="none" w:sz="0" w:space="0" w:color="auto"/>
                <w:right w:val="none" w:sz="0" w:space="0" w:color="auto"/>
              </w:divBdr>
            </w:div>
            <w:div w:id="671562854">
              <w:marLeft w:val="360"/>
              <w:marRight w:val="0"/>
              <w:marTop w:val="0"/>
              <w:marBottom w:val="0"/>
              <w:divBdr>
                <w:top w:val="none" w:sz="0" w:space="0" w:color="auto"/>
                <w:left w:val="none" w:sz="0" w:space="0" w:color="auto"/>
                <w:bottom w:val="none" w:sz="0" w:space="0" w:color="auto"/>
                <w:right w:val="none" w:sz="0" w:space="0" w:color="auto"/>
              </w:divBdr>
            </w:div>
            <w:div w:id="860507479">
              <w:marLeft w:val="360"/>
              <w:marRight w:val="0"/>
              <w:marTop w:val="0"/>
              <w:marBottom w:val="0"/>
              <w:divBdr>
                <w:top w:val="none" w:sz="0" w:space="0" w:color="auto"/>
                <w:left w:val="none" w:sz="0" w:space="0" w:color="auto"/>
                <w:bottom w:val="none" w:sz="0" w:space="0" w:color="auto"/>
                <w:right w:val="none" w:sz="0" w:space="0" w:color="auto"/>
              </w:divBdr>
            </w:div>
            <w:div w:id="503086980">
              <w:marLeft w:val="360"/>
              <w:marRight w:val="0"/>
              <w:marTop w:val="0"/>
              <w:marBottom w:val="0"/>
              <w:divBdr>
                <w:top w:val="none" w:sz="0" w:space="0" w:color="auto"/>
                <w:left w:val="none" w:sz="0" w:space="0" w:color="auto"/>
                <w:bottom w:val="none" w:sz="0" w:space="0" w:color="auto"/>
                <w:right w:val="none" w:sz="0" w:space="0" w:color="auto"/>
              </w:divBdr>
            </w:div>
            <w:div w:id="295835238">
              <w:marLeft w:val="360"/>
              <w:marRight w:val="0"/>
              <w:marTop w:val="0"/>
              <w:marBottom w:val="0"/>
              <w:divBdr>
                <w:top w:val="none" w:sz="0" w:space="0" w:color="auto"/>
                <w:left w:val="none" w:sz="0" w:space="0" w:color="auto"/>
                <w:bottom w:val="none" w:sz="0" w:space="0" w:color="auto"/>
                <w:right w:val="none" w:sz="0" w:space="0" w:color="auto"/>
              </w:divBdr>
            </w:div>
            <w:div w:id="1316301792">
              <w:marLeft w:val="360"/>
              <w:marRight w:val="0"/>
              <w:marTop w:val="0"/>
              <w:marBottom w:val="0"/>
              <w:divBdr>
                <w:top w:val="none" w:sz="0" w:space="0" w:color="auto"/>
                <w:left w:val="none" w:sz="0" w:space="0" w:color="auto"/>
                <w:bottom w:val="none" w:sz="0" w:space="0" w:color="auto"/>
                <w:right w:val="none" w:sz="0" w:space="0" w:color="auto"/>
              </w:divBdr>
            </w:div>
            <w:div w:id="1718623634">
              <w:marLeft w:val="360"/>
              <w:marRight w:val="0"/>
              <w:marTop w:val="0"/>
              <w:marBottom w:val="0"/>
              <w:divBdr>
                <w:top w:val="none" w:sz="0" w:space="0" w:color="auto"/>
                <w:left w:val="none" w:sz="0" w:space="0" w:color="auto"/>
                <w:bottom w:val="none" w:sz="0" w:space="0" w:color="auto"/>
                <w:right w:val="none" w:sz="0" w:space="0" w:color="auto"/>
              </w:divBdr>
              <w:divsChild>
                <w:div w:id="165823622">
                  <w:marLeft w:val="360"/>
                  <w:marRight w:val="0"/>
                  <w:marTop w:val="0"/>
                  <w:marBottom w:val="0"/>
                  <w:divBdr>
                    <w:top w:val="none" w:sz="0" w:space="0" w:color="auto"/>
                    <w:left w:val="none" w:sz="0" w:space="0" w:color="auto"/>
                    <w:bottom w:val="none" w:sz="0" w:space="0" w:color="auto"/>
                    <w:right w:val="none" w:sz="0" w:space="0" w:color="auto"/>
                  </w:divBdr>
                </w:div>
              </w:divsChild>
            </w:div>
            <w:div w:id="21714802">
              <w:marLeft w:val="360"/>
              <w:marRight w:val="0"/>
              <w:marTop w:val="0"/>
              <w:marBottom w:val="0"/>
              <w:divBdr>
                <w:top w:val="none" w:sz="0" w:space="0" w:color="auto"/>
                <w:left w:val="none" w:sz="0" w:space="0" w:color="auto"/>
                <w:bottom w:val="none" w:sz="0" w:space="0" w:color="auto"/>
                <w:right w:val="none" w:sz="0" w:space="0" w:color="auto"/>
              </w:divBdr>
            </w:div>
          </w:divsChild>
        </w:div>
        <w:div w:id="1749384541">
          <w:marLeft w:val="0"/>
          <w:marRight w:val="0"/>
          <w:marTop w:val="0"/>
          <w:marBottom w:val="0"/>
          <w:divBdr>
            <w:top w:val="none" w:sz="0" w:space="0" w:color="auto"/>
            <w:left w:val="none" w:sz="0" w:space="0" w:color="auto"/>
            <w:bottom w:val="none" w:sz="0" w:space="0" w:color="auto"/>
            <w:right w:val="none" w:sz="0" w:space="0" w:color="auto"/>
          </w:divBdr>
        </w:div>
        <w:div w:id="15664229">
          <w:marLeft w:val="0"/>
          <w:marRight w:val="0"/>
          <w:marTop w:val="0"/>
          <w:marBottom w:val="0"/>
          <w:divBdr>
            <w:top w:val="none" w:sz="0" w:space="0" w:color="auto"/>
            <w:left w:val="none" w:sz="0" w:space="0" w:color="auto"/>
            <w:bottom w:val="none" w:sz="0" w:space="0" w:color="auto"/>
            <w:right w:val="none" w:sz="0" w:space="0" w:color="auto"/>
          </w:divBdr>
        </w:div>
        <w:div w:id="833031472">
          <w:marLeft w:val="0"/>
          <w:marRight w:val="0"/>
          <w:marTop w:val="0"/>
          <w:marBottom w:val="0"/>
          <w:divBdr>
            <w:top w:val="none" w:sz="0" w:space="0" w:color="auto"/>
            <w:left w:val="none" w:sz="0" w:space="0" w:color="auto"/>
            <w:bottom w:val="none" w:sz="0" w:space="0" w:color="auto"/>
            <w:right w:val="none" w:sz="0" w:space="0" w:color="auto"/>
          </w:divBdr>
        </w:div>
        <w:div w:id="2108767962">
          <w:marLeft w:val="0"/>
          <w:marRight w:val="0"/>
          <w:marTop w:val="0"/>
          <w:marBottom w:val="0"/>
          <w:divBdr>
            <w:top w:val="none" w:sz="0" w:space="0" w:color="auto"/>
            <w:left w:val="none" w:sz="0" w:space="0" w:color="auto"/>
            <w:bottom w:val="none" w:sz="0" w:space="0" w:color="auto"/>
            <w:right w:val="none" w:sz="0" w:space="0" w:color="auto"/>
          </w:divBdr>
          <w:divsChild>
            <w:div w:id="1932333">
              <w:marLeft w:val="360"/>
              <w:marRight w:val="0"/>
              <w:marTop w:val="0"/>
              <w:marBottom w:val="0"/>
              <w:divBdr>
                <w:top w:val="none" w:sz="0" w:space="0" w:color="auto"/>
                <w:left w:val="none" w:sz="0" w:space="0" w:color="auto"/>
                <w:bottom w:val="none" w:sz="0" w:space="0" w:color="auto"/>
                <w:right w:val="none" w:sz="0" w:space="0" w:color="auto"/>
              </w:divBdr>
            </w:div>
          </w:divsChild>
        </w:div>
        <w:div w:id="928581151">
          <w:marLeft w:val="0"/>
          <w:marRight w:val="0"/>
          <w:marTop w:val="0"/>
          <w:marBottom w:val="0"/>
          <w:divBdr>
            <w:top w:val="none" w:sz="0" w:space="0" w:color="auto"/>
            <w:left w:val="none" w:sz="0" w:space="0" w:color="auto"/>
            <w:bottom w:val="none" w:sz="0" w:space="0" w:color="auto"/>
            <w:right w:val="none" w:sz="0" w:space="0" w:color="auto"/>
          </w:divBdr>
          <w:divsChild>
            <w:div w:id="1298339702">
              <w:marLeft w:val="360"/>
              <w:marRight w:val="0"/>
              <w:marTop w:val="0"/>
              <w:marBottom w:val="0"/>
              <w:divBdr>
                <w:top w:val="none" w:sz="0" w:space="0" w:color="auto"/>
                <w:left w:val="none" w:sz="0" w:space="0" w:color="auto"/>
                <w:bottom w:val="none" w:sz="0" w:space="0" w:color="auto"/>
                <w:right w:val="none" w:sz="0" w:space="0" w:color="auto"/>
              </w:divBdr>
            </w:div>
            <w:div w:id="669328795">
              <w:marLeft w:val="360"/>
              <w:marRight w:val="0"/>
              <w:marTop w:val="0"/>
              <w:marBottom w:val="0"/>
              <w:divBdr>
                <w:top w:val="none" w:sz="0" w:space="0" w:color="auto"/>
                <w:left w:val="none" w:sz="0" w:space="0" w:color="auto"/>
                <w:bottom w:val="none" w:sz="0" w:space="0" w:color="auto"/>
                <w:right w:val="none" w:sz="0" w:space="0" w:color="auto"/>
              </w:divBdr>
            </w:div>
            <w:div w:id="1185707384">
              <w:marLeft w:val="360"/>
              <w:marRight w:val="0"/>
              <w:marTop w:val="0"/>
              <w:marBottom w:val="0"/>
              <w:divBdr>
                <w:top w:val="none" w:sz="0" w:space="0" w:color="auto"/>
                <w:left w:val="none" w:sz="0" w:space="0" w:color="auto"/>
                <w:bottom w:val="none" w:sz="0" w:space="0" w:color="auto"/>
                <w:right w:val="none" w:sz="0" w:space="0" w:color="auto"/>
              </w:divBdr>
            </w:div>
          </w:divsChild>
        </w:div>
        <w:div w:id="972979997">
          <w:marLeft w:val="0"/>
          <w:marRight w:val="0"/>
          <w:marTop w:val="0"/>
          <w:marBottom w:val="0"/>
          <w:divBdr>
            <w:top w:val="none" w:sz="0" w:space="0" w:color="auto"/>
            <w:left w:val="none" w:sz="0" w:space="0" w:color="auto"/>
            <w:bottom w:val="none" w:sz="0" w:space="0" w:color="auto"/>
            <w:right w:val="none" w:sz="0" w:space="0" w:color="auto"/>
          </w:divBdr>
          <w:divsChild>
            <w:div w:id="1868175883">
              <w:marLeft w:val="360"/>
              <w:marRight w:val="0"/>
              <w:marTop w:val="0"/>
              <w:marBottom w:val="0"/>
              <w:divBdr>
                <w:top w:val="none" w:sz="0" w:space="0" w:color="auto"/>
                <w:left w:val="none" w:sz="0" w:space="0" w:color="auto"/>
                <w:bottom w:val="none" w:sz="0" w:space="0" w:color="auto"/>
                <w:right w:val="none" w:sz="0" w:space="0" w:color="auto"/>
              </w:divBdr>
            </w:div>
            <w:div w:id="361593504">
              <w:marLeft w:val="360"/>
              <w:marRight w:val="0"/>
              <w:marTop w:val="0"/>
              <w:marBottom w:val="0"/>
              <w:divBdr>
                <w:top w:val="none" w:sz="0" w:space="0" w:color="auto"/>
                <w:left w:val="none" w:sz="0" w:space="0" w:color="auto"/>
                <w:bottom w:val="none" w:sz="0" w:space="0" w:color="auto"/>
                <w:right w:val="none" w:sz="0" w:space="0" w:color="auto"/>
              </w:divBdr>
            </w:div>
            <w:div w:id="1051078124">
              <w:marLeft w:val="360"/>
              <w:marRight w:val="0"/>
              <w:marTop w:val="0"/>
              <w:marBottom w:val="0"/>
              <w:divBdr>
                <w:top w:val="none" w:sz="0" w:space="0" w:color="auto"/>
                <w:left w:val="none" w:sz="0" w:space="0" w:color="auto"/>
                <w:bottom w:val="none" w:sz="0" w:space="0" w:color="auto"/>
                <w:right w:val="none" w:sz="0" w:space="0" w:color="auto"/>
              </w:divBdr>
              <w:divsChild>
                <w:div w:id="802773566">
                  <w:marLeft w:val="360"/>
                  <w:marRight w:val="0"/>
                  <w:marTop w:val="0"/>
                  <w:marBottom w:val="0"/>
                  <w:divBdr>
                    <w:top w:val="none" w:sz="0" w:space="0" w:color="auto"/>
                    <w:left w:val="none" w:sz="0" w:space="0" w:color="auto"/>
                    <w:bottom w:val="none" w:sz="0" w:space="0" w:color="auto"/>
                    <w:right w:val="none" w:sz="0" w:space="0" w:color="auto"/>
                  </w:divBdr>
                  <w:divsChild>
                    <w:div w:id="2053383951">
                      <w:marLeft w:val="360"/>
                      <w:marRight w:val="0"/>
                      <w:marTop w:val="0"/>
                      <w:marBottom w:val="0"/>
                      <w:divBdr>
                        <w:top w:val="none" w:sz="0" w:space="0" w:color="auto"/>
                        <w:left w:val="none" w:sz="0" w:space="0" w:color="auto"/>
                        <w:bottom w:val="none" w:sz="0" w:space="0" w:color="auto"/>
                        <w:right w:val="none" w:sz="0" w:space="0" w:color="auto"/>
                      </w:divBdr>
                    </w:div>
                    <w:div w:id="50691018">
                      <w:marLeft w:val="360"/>
                      <w:marRight w:val="0"/>
                      <w:marTop w:val="0"/>
                      <w:marBottom w:val="0"/>
                      <w:divBdr>
                        <w:top w:val="none" w:sz="0" w:space="0" w:color="auto"/>
                        <w:left w:val="none" w:sz="0" w:space="0" w:color="auto"/>
                        <w:bottom w:val="none" w:sz="0" w:space="0" w:color="auto"/>
                        <w:right w:val="none" w:sz="0" w:space="0" w:color="auto"/>
                      </w:divBdr>
                    </w:div>
                    <w:div w:id="692340162">
                      <w:marLeft w:val="360"/>
                      <w:marRight w:val="0"/>
                      <w:marTop w:val="0"/>
                      <w:marBottom w:val="0"/>
                      <w:divBdr>
                        <w:top w:val="none" w:sz="0" w:space="0" w:color="auto"/>
                        <w:left w:val="none" w:sz="0" w:space="0" w:color="auto"/>
                        <w:bottom w:val="none" w:sz="0" w:space="0" w:color="auto"/>
                        <w:right w:val="none" w:sz="0" w:space="0" w:color="auto"/>
                      </w:divBdr>
                    </w:div>
                    <w:div w:id="1049459024">
                      <w:marLeft w:val="360"/>
                      <w:marRight w:val="0"/>
                      <w:marTop w:val="0"/>
                      <w:marBottom w:val="0"/>
                      <w:divBdr>
                        <w:top w:val="none" w:sz="0" w:space="0" w:color="auto"/>
                        <w:left w:val="none" w:sz="0" w:space="0" w:color="auto"/>
                        <w:bottom w:val="none" w:sz="0" w:space="0" w:color="auto"/>
                        <w:right w:val="none" w:sz="0" w:space="0" w:color="auto"/>
                      </w:divBdr>
                    </w:div>
                  </w:divsChild>
                </w:div>
                <w:div w:id="805588915">
                  <w:marLeft w:val="360"/>
                  <w:marRight w:val="0"/>
                  <w:marTop w:val="0"/>
                  <w:marBottom w:val="0"/>
                  <w:divBdr>
                    <w:top w:val="none" w:sz="0" w:space="0" w:color="auto"/>
                    <w:left w:val="none" w:sz="0" w:space="0" w:color="auto"/>
                    <w:bottom w:val="none" w:sz="0" w:space="0" w:color="auto"/>
                    <w:right w:val="none" w:sz="0" w:space="0" w:color="auto"/>
                  </w:divBdr>
                </w:div>
                <w:div w:id="667754560">
                  <w:marLeft w:val="360"/>
                  <w:marRight w:val="0"/>
                  <w:marTop w:val="0"/>
                  <w:marBottom w:val="0"/>
                  <w:divBdr>
                    <w:top w:val="none" w:sz="0" w:space="0" w:color="auto"/>
                    <w:left w:val="none" w:sz="0" w:space="0" w:color="auto"/>
                    <w:bottom w:val="none" w:sz="0" w:space="0" w:color="auto"/>
                    <w:right w:val="none" w:sz="0" w:space="0" w:color="auto"/>
                  </w:divBdr>
                </w:div>
                <w:div w:id="999501534">
                  <w:marLeft w:val="360"/>
                  <w:marRight w:val="0"/>
                  <w:marTop w:val="0"/>
                  <w:marBottom w:val="0"/>
                  <w:divBdr>
                    <w:top w:val="none" w:sz="0" w:space="0" w:color="auto"/>
                    <w:left w:val="none" w:sz="0" w:space="0" w:color="auto"/>
                    <w:bottom w:val="none" w:sz="0" w:space="0" w:color="auto"/>
                    <w:right w:val="none" w:sz="0" w:space="0" w:color="auto"/>
                  </w:divBdr>
                </w:div>
                <w:div w:id="126092856">
                  <w:marLeft w:val="360"/>
                  <w:marRight w:val="0"/>
                  <w:marTop w:val="0"/>
                  <w:marBottom w:val="0"/>
                  <w:divBdr>
                    <w:top w:val="none" w:sz="0" w:space="0" w:color="auto"/>
                    <w:left w:val="none" w:sz="0" w:space="0" w:color="auto"/>
                    <w:bottom w:val="none" w:sz="0" w:space="0" w:color="auto"/>
                    <w:right w:val="none" w:sz="0" w:space="0" w:color="auto"/>
                  </w:divBdr>
                </w:div>
                <w:div w:id="673000628">
                  <w:marLeft w:val="360"/>
                  <w:marRight w:val="0"/>
                  <w:marTop w:val="0"/>
                  <w:marBottom w:val="0"/>
                  <w:divBdr>
                    <w:top w:val="none" w:sz="0" w:space="0" w:color="auto"/>
                    <w:left w:val="none" w:sz="0" w:space="0" w:color="auto"/>
                    <w:bottom w:val="none" w:sz="0" w:space="0" w:color="auto"/>
                    <w:right w:val="none" w:sz="0" w:space="0" w:color="auto"/>
                  </w:divBdr>
                </w:div>
                <w:div w:id="242838624">
                  <w:marLeft w:val="360"/>
                  <w:marRight w:val="0"/>
                  <w:marTop w:val="0"/>
                  <w:marBottom w:val="0"/>
                  <w:divBdr>
                    <w:top w:val="none" w:sz="0" w:space="0" w:color="auto"/>
                    <w:left w:val="none" w:sz="0" w:space="0" w:color="auto"/>
                    <w:bottom w:val="none" w:sz="0" w:space="0" w:color="auto"/>
                    <w:right w:val="none" w:sz="0" w:space="0" w:color="auto"/>
                  </w:divBdr>
                </w:div>
              </w:divsChild>
            </w:div>
          </w:divsChild>
        </w:div>
        <w:div w:id="951740165">
          <w:marLeft w:val="0"/>
          <w:marRight w:val="0"/>
          <w:marTop w:val="0"/>
          <w:marBottom w:val="0"/>
          <w:divBdr>
            <w:top w:val="none" w:sz="0" w:space="0" w:color="auto"/>
            <w:left w:val="none" w:sz="0" w:space="0" w:color="auto"/>
            <w:bottom w:val="none" w:sz="0" w:space="0" w:color="auto"/>
            <w:right w:val="none" w:sz="0" w:space="0" w:color="auto"/>
          </w:divBdr>
        </w:div>
        <w:div w:id="1089159166">
          <w:marLeft w:val="0"/>
          <w:marRight w:val="0"/>
          <w:marTop w:val="0"/>
          <w:marBottom w:val="0"/>
          <w:divBdr>
            <w:top w:val="none" w:sz="0" w:space="0" w:color="auto"/>
            <w:left w:val="none" w:sz="0" w:space="0" w:color="auto"/>
            <w:bottom w:val="none" w:sz="0" w:space="0" w:color="auto"/>
            <w:right w:val="none" w:sz="0" w:space="0" w:color="auto"/>
          </w:divBdr>
        </w:div>
        <w:div w:id="2081245366">
          <w:marLeft w:val="0"/>
          <w:marRight w:val="0"/>
          <w:marTop w:val="0"/>
          <w:marBottom w:val="0"/>
          <w:divBdr>
            <w:top w:val="none" w:sz="0" w:space="0" w:color="auto"/>
            <w:left w:val="none" w:sz="0" w:space="0" w:color="auto"/>
            <w:bottom w:val="none" w:sz="0" w:space="0" w:color="auto"/>
            <w:right w:val="none" w:sz="0" w:space="0" w:color="auto"/>
          </w:divBdr>
        </w:div>
        <w:div w:id="2032341719">
          <w:marLeft w:val="0"/>
          <w:marRight w:val="0"/>
          <w:marTop w:val="0"/>
          <w:marBottom w:val="0"/>
          <w:divBdr>
            <w:top w:val="none" w:sz="0" w:space="0" w:color="auto"/>
            <w:left w:val="none" w:sz="0" w:space="0" w:color="auto"/>
            <w:bottom w:val="none" w:sz="0" w:space="0" w:color="auto"/>
            <w:right w:val="none" w:sz="0" w:space="0" w:color="auto"/>
          </w:divBdr>
        </w:div>
      </w:divsChild>
    </w:div>
    <w:div w:id="1264875410">
      <w:bodyDiv w:val="1"/>
      <w:marLeft w:val="0"/>
      <w:marRight w:val="0"/>
      <w:marTop w:val="0"/>
      <w:marBottom w:val="0"/>
      <w:divBdr>
        <w:top w:val="none" w:sz="0" w:space="0" w:color="auto"/>
        <w:left w:val="none" w:sz="0" w:space="0" w:color="auto"/>
        <w:bottom w:val="none" w:sz="0" w:space="0" w:color="auto"/>
        <w:right w:val="none" w:sz="0" w:space="0" w:color="auto"/>
      </w:divBdr>
    </w:div>
    <w:div w:id="1307510142">
      <w:bodyDiv w:val="1"/>
      <w:marLeft w:val="0"/>
      <w:marRight w:val="0"/>
      <w:marTop w:val="0"/>
      <w:marBottom w:val="0"/>
      <w:divBdr>
        <w:top w:val="none" w:sz="0" w:space="0" w:color="auto"/>
        <w:left w:val="none" w:sz="0" w:space="0" w:color="auto"/>
        <w:bottom w:val="none" w:sz="0" w:space="0" w:color="auto"/>
        <w:right w:val="none" w:sz="0" w:space="0" w:color="auto"/>
      </w:divBdr>
      <w:divsChild>
        <w:div w:id="1280331559">
          <w:marLeft w:val="1166"/>
          <w:marRight w:val="0"/>
          <w:marTop w:val="115"/>
          <w:marBottom w:val="0"/>
          <w:divBdr>
            <w:top w:val="none" w:sz="0" w:space="0" w:color="auto"/>
            <w:left w:val="none" w:sz="0" w:space="0" w:color="auto"/>
            <w:bottom w:val="none" w:sz="0" w:space="0" w:color="auto"/>
            <w:right w:val="none" w:sz="0" w:space="0" w:color="auto"/>
          </w:divBdr>
        </w:div>
        <w:div w:id="2079743308">
          <w:marLeft w:val="1800"/>
          <w:marRight w:val="0"/>
          <w:marTop w:val="115"/>
          <w:marBottom w:val="0"/>
          <w:divBdr>
            <w:top w:val="none" w:sz="0" w:space="0" w:color="auto"/>
            <w:left w:val="none" w:sz="0" w:space="0" w:color="auto"/>
            <w:bottom w:val="none" w:sz="0" w:space="0" w:color="auto"/>
            <w:right w:val="none" w:sz="0" w:space="0" w:color="auto"/>
          </w:divBdr>
        </w:div>
        <w:div w:id="1848670375">
          <w:marLeft w:val="1800"/>
          <w:marRight w:val="0"/>
          <w:marTop w:val="115"/>
          <w:marBottom w:val="0"/>
          <w:divBdr>
            <w:top w:val="none" w:sz="0" w:space="0" w:color="auto"/>
            <w:left w:val="none" w:sz="0" w:space="0" w:color="auto"/>
            <w:bottom w:val="none" w:sz="0" w:space="0" w:color="auto"/>
            <w:right w:val="none" w:sz="0" w:space="0" w:color="auto"/>
          </w:divBdr>
        </w:div>
        <w:div w:id="553588096">
          <w:marLeft w:val="1800"/>
          <w:marRight w:val="0"/>
          <w:marTop w:val="115"/>
          <w:marBottom w:val="0"/>
          <w:divBdr>
            <w:top w:val="none" w:sz="0" w:space="0" w:color="auto"/>
            <w:left w:val="none" w:sz="0" w:space="0" w:color="auto"/>
            <w:bottom w:val="none" w:sz="0" w:space="0" w:color="auto"/>
            <w:right w:val="none" w:sz="0" w:space="0" w:color="auto"/>
          </w:divBdr>
        </w:div>
      </w:divsChild>
    </w:div>
    <w:div w:id="1410073796">
      <w:bodyDiv w:val="1"/>
      <w:marLeft w:val="0"/>
      <w:marRight w:val="0"/>
      <w:marTop w:val="0"/>
      <w:marBottom w:val="0"/>
      <w:divBdr>
        <w:top w:val="none" w:sz="0" w:space="0" w:color="auto"/>
        <w:left w:val="none" w:sz="0" w:space="0" w:color="auto"/>
        <w:bottom w:val="none" w:sz="0" w:space="0" w:color="auto"/>
        <w:right w:val="none" w:sz="0" w:space="0" w:color="auto"/>
      </w:divBdr>
    </w:div>
    <w:div w:id="1513257449">
      <w:bodyDiv w:val="1"/>
      <w:marLeft w:val="0"/>
      <w:marRight w:val="0"/>
      <w:marTop w:val="0"/>
      <w:marBottom w:val="0"/>
      <w:divBdr>
        <w:top w:val="none" w:sz="0" w:space="0" w:color="auto"/>
        <w:left w:val="none" w:sz="0" w:space="0" w:color="auto"/>
        <w:bottom w:val="none" w:sz="0" w:space="0" w:color="auto"/>
        <w:right w:val="none" w:sz="0" w:space="0" w:color="auto"/>
      </w:divBdr>
    </w:div>
    <w:div w:id="1578397868">
      <w:bodyDiv w:val="1"/>
      <w:marLeft w:val="0"/>
      <w:marRight w:val="0"/>
      <w:marTop w:val="0"/>
      <w:marBottom w:val="0"/>
      <w:divBdr>
        <w:top w:val="none" w:sz="0" w:space="0" w:color="auto"/>
        <w:left w:val="none" w:sz="0" w:space="0" w:color="auto"/>
        <w:bottom w:val="none" w:sz="0" w:space="0" w:color="auto"/>
        <w:right w:val="none" w:sz="0" w:space="0" w:color="auto"/>
      </w:divBdr>
    </w:div>
    <w:div w:id="1651321306">
      <w:bodyDiv w:val="1"/>
      <w:marLeft w:val="0"/>
      <w:marRight w:val="0"/>
      <w:marTop w:val="0"/>
      <w:marBottom w:val="0"/>
      <w:divBdr>
        <w:top w:val="none" w:sz="0" w:space="0" w:color="auto"/>
        <w:left w:val="none" w:sz="0" w:space="0" w:color="auto"/>
        <w:bottom w:val="none" w:sz="0" w:space="0" w:color="auto"/>
        <w:right w:val="none" w:sz="0" w:space="0" w:color="auto"/>
      </w:divBdr>
    </w:div>
    <w:div w:id="1675184451">
      <w:bodyDiv w:val="1"/>
      <w:marLeft w:val="0"/>
      <w:marRight w:val="0"/>
      <w:marTop w:val="0"/>
      <w:marBottom w:val="0"/>
      <w:divBdr>
        <w:top w:val="none" w:sz="0" w:space="0" w:color="auto"/>
        <w:left w:val="none" w:sz="0" w:space="0" w:color="auto"/>
        <w:bottom w:val="none" w:sz="0" w:space="0" w:color="auto"/>
        <w:right w:val="none" w:sz="0" w:space="0" w:color="auto"/>
      </w:divBdr>
    </w:div>
    <w:div w:id="1726218511">
      <w:bodyDiv w:val="1"/>
      <w:marLeft w:val="0"/>
      <w:marRight w:val="0"/>
      <w:marTop w:val="0"/>
      <w:marBottom w:val="0"/>
      <w:divBdr>
        <w:top w:val="none" w:sz="0" w:space="0" w:color="auto"/>
        <w:left w:val="none" w:sz="0" w:space="0" w:color="auto"/>
        <w:bottom w:val="none" w:sz="0" w:space="0" w:color="auto"/>
        <w:right w:val="none" w:sz="0" w:space="0" w:color="auto"/>
      </w:divBdr>
    </w:div>
    <w:div w:id="1824271400">
      <w:bodyDiv w:val="1"/>
      <w:marLeft w:val="0"/>
      <w:marRight w:val="0"/>
      <w:marTop w:val="0"/>
      <w:marBottom w:val="0"/>
      <w:divBdr>
        <w:top w:val="none" w:sz="0" w:space="0" w:color="auto"/>
        <w:left w:val="none" w:sz="0" w:space="0" w:color="auto"/>
        <w:bottom w:val="none" w:sz="0" w:space="0" w:color="auto"/>
        <w:right w:val="none" w:sz="0" w:space="0" w:color="auto"/>
      </w:divBdr>
    </w:div>
    <w:div w:id="1835877613">
      <w:bodyDiv w:val="1"/>
      <w:marLeft w:val="0"/>
      <w:marRight w:val="0"/>
      <w:marTop w:val="0"/>
      <w:marBottom w:val="0"/>
      <w:divBdr>
        <w:top w:val="none" w:sz="0" w:space="0" w:color="auto"/>
        <w:left w:val="none" w:sz="0" w:space="0" w:color="auto"/>
        <w:bottom w:val="none" w:sz="0" w:space="0" w:color="auto"/>
        <w:right w:val="none" w:sz="0" w:space="0" w:color="auto"/>
      </w:divBdr>
    </w:div>
    <w:div w:id="20946227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footer" Target="footer2.xml"/><Relationship Id="rId18" Type="http://schemas.openxmlformats.org/officeDocument/2006/relationships/hyperlink" Target="http://bpmcm.caiso.com/Pages/BPMLibrary.aspx" TargetMode="External"/><Relationship Id="rId26" Type="http://schemas.openxmlformats.org/officeDocument/2006/relationships/image" Target="media/image4.png"/><Relationship Id="rId21" Type="http://schemas.microsoft.com/office/2016/09/relationships/commentsIds" Target="commentsIds.xml"/><Relationship Id="rId34" Type="http://schemas.openxmlformats.org/officeDocument/2006/relationships/image" Target="media/image10.png"/><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footer" Target="footer4.xml"/><Relationship Id="rId25" Type="http://schemas.openxmlformats.org/officeDocument/2006/relationships/image" Target="media/image3.png"/><Relationship Id="rId33" Type="http://schemas.openxmlformats.org/officeDocument/2006/relationships/image" Target="media/image9.png"/><Relationship Id="rId38"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eader" Target="header3.xml"/><Relationship Id="rId20" Type="http://schemas.microsoft.com/office/2011/relationships/commentsExtended" Target="commentsExtended.xml"/><Relationship Id="rId29" Type="http://schemas.openxmlformats.org/officeDocument/2006/relationships/image" Target="media/image7.pn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hyperlink" Target="http://bpmcm.caiso.com/Pages/BPMLibrary.aspx" TargetMode="External"/><Relationship Id="rId32" Type="http://schemas.openxmlformats.org/officeDocument/2006/relationships/image" Target="cid:image003.png@01DBEB40.818B5CB0" TargetMode="External"/><Relationship Id="rId37" Type="http://schemas.microsoft.com/office/2011/relationships/people" Target="people.xml"/><Relationship Id="rId5" Type="http://schemas.openxmlformats.org/officeDocument/2006/relationships/numbering" Target="numbering.xml"/><Relationship Id="rId15" Type="http://schemas.openxmlformats.org/officeDocument/2006/relationships/footer" Target="footer3.xml"/><Relationship Id="rId23" Type="http://schemas.openxmlformats.org/officeDocument/2006/relationships/image" Target="media/image2.png"/><Relationship Id="rId28" Type="http://schemas.openxmlformats.org/officeDocument/2006/relationships/image" Target="media/image6.png"/><Relationship Id="rId36"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comments" Target="comments.xml"/><Relationship Id="rId31" Type="http://schemas.openxmlformats.org/officeDocument/2006/relationships/image" Target="media/image8.pn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 Id="rId22" Type="http://schemas.microsoft.com/office/2018/08/relationships/commentsExtensible" Target="commentsExtensible.xml"/><Relationship Id="rId27" Type="http://schemas.openxmlformats.org/officeDocument/2006/relationships/image" Target="media/image5.png"/><Relationship Id="rId30" Type="http://schemas.openxmlformats.org/officeDocument/2006/relationships/image" Target="cid:image001.png@01DBEB3F.D116A1F0" TargetMode="External"/><Relationship Id="rId35" Type="http://schemas.openxmlformats.org/officeDocument/2006/relationships/footer" Target="footer5.xml"/><Relationship Id="rId8" Type="http://schemas.openxmlformats.org/officeDocument/2006/relationships/webSettings" Target="webSettings.xml"/><Relationship Id="rId3" Type="http://schemas.openxmlformats.org/officeDocument/2006/relationships/customXml" Target="../customXml/item3.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776092249CC62C48AA17033F357BFB4B" ma:contentTypeVersion="0" ma:contentTypeDescription="Create a new document." ma:contentTypeScope="" ma:versionID="f85f54304d83be0e0a0a7c504015390c">
  <xsd:schema xmlns:xsd="http://www.w3.org/2001/XMLSchema" xmlns:xs="http://www.w3.org/2001/XMLSchema" xmlns:p="http://schemas.microsoft.com/office/2006/metadata/properties" targetNamespace="http://schemas.microsoft.com/office/2006/metadata/properties" ma:root="true" ma:fieldsID="f573df0eeabf3db2078929eed011e841">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5CAB031-135E-41AD-AA8A-76A057C42285}">
  <ds:schemaRefs>
    <ds:schemaRef ds:uri="http://schemas.openxmlformats.org/officeDocument/2006/bibliography"/>
  </ds:schemaRefs>
</ds:datastoreItem>
</file>

<file path=customXml/itemProps2.xml><?xml version="1.0" encoding="utf-8"?>
<ds:datastoreItem xmlns:ds="http://schemas.openxmlformats.org/officeDocument/2006/customXml" ds:itemID="{BF4EBF5C-B989-42C5-B13B-E80A24B9AFF8}">
  <ds:schemaRefs>
    <ds:schemaRef ds:uri="http://schemas.microsoft.com/office/2006/documentManagement/types"/>
    <ds:schemaRef ds:uri="http://www.w3.org/XML/1998/namespace"/>
    <ds:schemaRef ds:uri="http://schemas.microsoft.com/office/2006/metadata/properties"/>
    <ds:schemaRef ds:uri="http://schemas.microsoft.com/sharepoint/v3/fields"/>
    <ds:schemaRef ds:uri="http://schemas.openxmlformats.org/package/2006/metadata/core-properties"/>
    <ds:schemaRef ds:uri="http://schemas.microsoft.com/office/infopath/2007/PartnerControls"/>
    <ds:schemaRef ds:uri="http://purl.org/dc/terms/"/>
    <ds:schemaRef ds:uri="http://purl.org/dc/elements/1.1/"/>
    <ds:schemaRef ds:uri="http://purl.org/dc/dcmitype/"/>
    <ds:schemaRef ds:uri="3bdb7d53-0072-4581-ac98-999d857f30f7"/>
    <ds:schemaRef ds:uri="http://schemas.microsoft.com/sharepoint/v4"/>
    <ds:schemaRef ds:uri="39c1fed3-252c-45ae-8637-c13efcb57add"/>
  </ds:schemaRefs>
</ds:datastoreItem>
</file>

<file path=customXml/itemProps3.xml><?xml version="1.0" encoding="utf-8"?>
<ds:datastoreItem xmlns:ds="http://schemas.openxmlformats.org/officeDocument/2006/customXml" ds:itemID="{C2A683D2-5872-43AC-BAF6-1AFF02609E7F}"/>
</file>

<file path=customXml/itemProps4.xml><?xml version="1.0" encoding="utf-8"?>
<ds:datastoreItem xmlns:ds="http://schemas.openxmlformats.org/officeDocument/2006/customXml" ds:itemID="{C3281E4C-9F16-4145-8859-7A085AD8638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138</Pages>
  <Words>44317</Words>
  <Characters>252610</Characters>
  <Application>Microsoft Office Word</Application>
  <DocSecurity>0</DocSecurity>
  <Lines>2105</Lines>
  <Paragraphs>592</Paragraphs>
  <ScaleCrop>false</ScaleCrop>
  <HeadingPairs>
    <vt:vector size="2" baseType="variant">
      <vt:variant>
        <vt:lpstr>Title</vt:lpstr>
      </vt:variant>
      <vt:variant>
        <vt:i4>1</vt:i4>
      </vt:variant>
    </vt:vector>
  </HeadingPairs>
  <TitlesOfParts>
    <vt:vector size="1" baseType="lpstr">
      <vt:lpstr/>
    </vt:vector>
  </TitlesOfParts>
  <Company>California ISO</Company>
  <LinksUpToDate>false</LinksUpToDate>
  <CharactersWithSpaces>296335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Luk, David</dc:creator>
  <cp:keywords/>
  <dc:description/>
  <cp:lastModifiedBy>Carder, Heidi</cp:lastModifiedBy>
  <cp:revision>2</cp:revision>
  <cp:lastPrinted>2025-07-11T17:02:00Z</cp:lastPrinted>
  <dcterms:created xsi:type="dcterms:W3CDTF">2025-10-31T16:43:00Z</dcterms:created>
  <dcterms:modified xsi:type="dcterms:W3CDTF">2025-10-31T16:43:00Z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0x010100776092249CC62C48AA17033F357BFB4B</vt:lpwstr>
  </property>
</Properties>
</file>