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423C" w14:textId="77777777" w:rsidR="00824130" w:rsidRPr="00D80201" w:rsidRDefault="00824130">
      <w:pPr>
        <w:tabs>
          <w:tab w:val="left" w:pos="720"/>
          <w:tab w:val="left" w:pos="1440"/>
          <w:tab w:val="left" w:pos="4320"/>
          <w:tab w:val="left" w:pos="5040"/>
          <w:tab w:val="left" w:pos="5760"/>
          <w:tab w:val="left" w:pos="6480"/>
          <w:tab w:val="left" w:pos="7200"/>
        </w:tabs>
        <w:jc w:val="center"/>
        <w:rPr>
          <w:rFonts w:hAnsi="Times New Roman Bold"/>
          <w:szCs w:val="26"/>
        </w:rPr>
      </w:pPr>
      <w:r>
        <w:rPr>
          <w:rFonts w:hAnsi="Times New Roman Bold"/>
          <w:szCs w:val="26"/>
        </w:rPr>
        <w:t>U</w:t>
      </w:r>
      <w:r w:rsidRPr="00D80201">
        <w:rPr>
          <w:rFonts w:hAnsi="Times New Roman Bold"/>
          <w:szCs w:val="26"/>
        </w:rPr>
        <w:t>NITED STATES OF AMERICA</w:t>
      </w:r>
      <w:r w:rsidR="00086E00">
        <w:rPr>
          <w:rFonts w:hAnsi="Times New Roman Bold"/>
          <w:szCs w:val="26"/>
        </w:rPr>
        <w:t xml:space="preserve">106 FERC </w:t>
      </w:r>
      <w:r w:rsidR="00086E00">
        <w:rPr>
          <w:rFonts w:hAnsi="Times New Roman Bold"/>
          <w:szCs w:val="26"/>
        </w:rPr>
        <w:t>¶</w:t>
      </w:r>
      <w:r w:rsidR="00086E00">
        <w:rPr>
          <w:rFonts w:hAnsi="Times New Roman Bold"/>
          <w:szCs w:val="26"/>
        </w:rPr>
        <w:t xml:space="preserve"> 63,026</w:t>
      </w:r>
    </w:p>
    <w:p w14:paraId="3FE2D2FC" w14:textId="77777777" w:rsidR="00824130" w:rsidRPr="00D80201" w:rsidRDefault="00824130">
      <w:pPr>
        <w:tabs>
          <w:tab w:val="left" w:pos="720"/>
          <w:tab w:val="left" w:pos="1440"/>
          <w:tab w:val="left" w:pos="4320"/>
          <w:tab w:val="left" w:pos="5040"/>
          <w:tab w:val="left" w:pos="5760"/>
          <w:tab w:val="left" w:pos="6480"/>
          <w:tab w:val="left" w:pos="7200"/>
        </w:tabs>
        <w:jc w:val="center"/>
        <w:rPr>
          <w:rFonts w:hAnsi="Times New Roman Bold"/>
          <w:szCs w:val="26"/>
        </w:rPr>
      </w:pPr>
      <w:r w:rsidRPr="00D80201">
        <w:rPr>
          <w:rFonts w:hAnsi="Times New Roman Bold"/>
          <w:szCs w:val="26"/>
        </w:rPr>
        <w:t>FEDERAL ENERGY REGULATORY COMMISSION</w:t>
      </w:r>
    </w:p>
    <w:p w14:paraId="7BC4E98E" w14:textId="77777777" w:rsidR="00824130" w:rsidRPr="00D80201" w:rsidRDefault="00824130">
      <w:pPr>
        <w:tabs>
          <w:tab w:val="left" w:pos="720"/>
          <w:tab w:val="left" w:pos="1440"/>
          <w:tab w:val="left" w:pos="4320"/>
          <w:tab w:val="left" w:pos="5040"/>
          <w:tab w:val="left" w:pos="5760"/>
          <w:tab w:val="left" w:pos="6480"/>
          <w:tab w:val="left" w:pos="7200"/>
        </w:tabs>
        <w:rPr>
          <w:rFonts w:hAnsi="Times New Roman Bold"/>
          <w:szCs w:val="26"/>
        </w:rPr>
      </w:pPr>
    </w:p>
    <w:p w14:paraId="4C40EEE3" w14:textId="77777777" w:rsidR="00824130" w:rsidRPr="00D80201" w:rsidRDefault="00824130">
      <w:pPr>
        <w:tabs>
          <w:tab w:val="left" w:pos="720"/>
          <w:tab w:val="left" w:pos="1440"/>
          <w:tab w:val="left" w:pos="4320"/>
          <w:tab w:val="left" w:pos="5040"/>
          <w:tab w:val="left" w:pos="5760"/>
          <w:tab w:val="left" w:pos="6480"/>
          <w:tab w:val="left" w:pos="7200"/>
        </w:tabs>
        <w:rPr>
          <w:rFonts w:hAnsi="Times New Roman Bold"/>
          <w:szCs w:val="26"/>
        </w:rPr>
      </w:pPr>
      <w:smartTag w:uri="urn:schemas-microsoft-com:office:smarttags" w:element="place">
        <w:smartTag w:uri="urn:schemas-microsoft-com:office:smarttags" w:element="State">
          <w:r w:rsidRPr="00D80201">
            <w:rPr>
              <w:rFonts w:hAnsi="Times New Roman Bold"/>
              <w:szCs w:val="26"/>
            </w:rPr>
            <w:t>California</w:t>
          </w:r>
        </w:smartTag>
      </w:smartTag>
      <w:r w:rsidRPr="00D80201">
        <w:rPr>
          <w:rFonts w:hAnsi="Times New Roman Bold"/>
          <w:szCs w:val="26"/>
        </w:rPr>
        <w:t xml:space="preserve"> Independent System </w:t>
      </w:r>
      <w:r w:rsidRPr="00D80201">
        <w:rPr>
          <w:rFonts w:hAnsi="Times New Roman Bold"/>
          <w:szCs w:val="26"/>
        </w:rPr>
        <w:tab/>
      </w:r>
      <w:r w:rsidRPr="00D80201">
        <w:rPr>
          <w:rFonts w:hAnsi="Times New Roman Bold"/>
          <w:szCs w:val="26"/>
        </w:rPr>
        <w:tab/>
        <w:t>Docket Nos.  ER00-2019-006</w:t>
      </w:r>
    </w:p>
    <w:p w14:paraId="72194F81" w14:textId="77777777" w:rsidR="00824130" w:rsidRPr="00D80201" w:rsidRDefault="00824130">
      <w:pPr>
        <w:tabs>
          <w:tab w:val="left" w:pos="720"/>
          <w:tab w:val="left" w:pos="1440"/>
          <w:tab w:val="left" w:pos="4320"/>
          <w:tab w:val="left" w:pos="5040"/>
          <w:tab w:val="left" w:pos="5760"/>
          <w:tab w:val="left" w:pos="6480"/>
          <w:tab w:val="left" w:pos="7200"/>
        </w:tabs>
        <w:rPr>
          <w:rFonts w:hAnsi="Times New Roman Bold"/>
          <w:szCs w:val="26"/>
        </w:rPr>
      </w:pPr>
      <w:r w:rsidRPr="00D80201">
        <w:rPr>
          <w:rFonts w:hAnsi="Times New Roman Bold"/>
          <w:szCs w:val="26"/>
        </w:rPr>
        <w:t>Operator Corporation</w:t>
      </w:r>
      <w:r w:rsidRPr="00D80201">
        <w:rPr>
          <w:rFonts w:hAnsi="Times New Roman Bold"/>
          <w:szCs w:val="26"/>
        </w:rPr>
        <w:tab/>
      </w:r>
      <w:r w:rsidRPr="00D80201">
        <w:rPr>
          <w:rFonts w:hAnsi="Times New Roman Bold"/>
          <w:szCs w:val="26"/>
        </w:rPr>
        <w:tab/>
      </w:r>
      <w:r w:rsidRPr="00D80201">
        <w:rPr>
          <w:rFonts w:hAnsi="Times New Roman Bold"/>
          <w:szCs w:val="26"/>
        </w:rPr>
        <w:tab/>
      </w:r>
      <w:r w:rsidRPr="00D80201">
        <w:rPr>
          <w:rFonts w:hAnsi="Times New Roman Bold"/>
          <w:szCs w:val="26"/>
        </w:rPr>
        <w:tab/>
        <w:t>ER01-819-002</w:t>
      </w:r>
    </w:p>
    <w:p w14:paraId="500C0E49" w14:textId="77777777" w:rsidR="00824130" w:rsidRPr="00D80201" w:rsidRDefault="00824130">
      <w:pPr>
        <w:tabs>
          <w:tab w:val="left" w:pos="720"/>
          <w:tab w:val="left" w:pos="1440"/>
          <w:tab w:val="left" w:pos="4320"/>
          <w:tab w:val="left" w:pos="5040"/>
          <w:tab w:val="left" w:pos="5760"/>
          <w:tab w:val="left" w:pos="6480"/>
          <w:tab w:val="left" w:pos="7200"/>
        </w:tabs>
        <w:rPr>
          <w:rFonts w:hAnsi="Times New Roman Bold"/>
          <w:szCs w:val="26"/>
        </w:rPr>
      </w:pPr>
      <w:r w:rsidRPr="00D80201">
        <w:rPr>
          <w:rFonts w:hAnsi="Times New Roman Bold"/>
          <w:szCs w:val="26"/>
        </w:rPr>
        <w:tab/>
      </w:r>
      <w:r w:rsidRPr="00D80201">
        <w:rPr>
          <w:rFonts w:hAnsi="Times New Roman Bold"/>
          <w:szCs w:val="26"/>
        </w:rPr>
        <w:tab/>
      </w:r>
      <w:r w:rsidRPr="00D80201">
        <w:rPr>
          <w:rFonts w:hAnsi="Times New Roman Bold"/>
          <w:szCs w:val="26"/>
        </w:rPr>
        <w:tab/>
      </w:r>
      <w:r w:rsidRPr="00D80201">
        <w:rPr>
          <w:rFonts w:hAnsi="Times New Roman Bold"/>
          <w:szCs w:val="26"/>
        </w:rPr>
        <w:tab/>
      </w:r>
      <w:r w:rsidRPr="00D80201">
        <w:rPr>
          <w:rFonts w:hAnsi="Times New Roman Bold"/>
          <w:szCs w:val="26"/>
        </w:rPr>
        <w:tab/>
      </w:r>
      <w:r w:rsidRPr="00D80201">
        <w:rPr>
          <w:rFonts w:hAnsi="Times New Roman Bold"/>
          <w:szCs w:val="26"/>
        </w:rPr>
        <w:tab/>
        <w:t>ER03-608-000</w:t>
      </w:r>
    </w:p>
    <w:p w14:paraId="798CDB43" w14:textId="77777777" w:rsidR="00824130" w:rsidRPr="00D80201" w:rsidRDefault="00824130">
      <w:pPr>
        <w:rPr>
          <w:rFonts w:hAnsi="Times New Roman Bold"/>
          <w:b/>
          <w:szCs w:val="26"/>
        </w:rPr>
      </w:pPr>
    </w:p>
    <w:p w14:paraId="2BC483E4" w14:textId="77777777" w:rsidR="00824130" w:rsidRPr="00D80201" w:rsidRDefault="00824130">
      <w:pPr>
        <w:rPr>
          <w:rFonts w:hAnsi="Times New Roman Bold"/>
          <w:b/>
          <w:szCs w:val="26"/>
        </w:rPr>
      </w:pPr>
    </w:p>
    <w:p w14:paraId="2D0480B2" w14:textId="77777777" w:rsidR="00824130" w:rsidRPr="00D80201" w:rsidRDefault="00824130">
      <w:pPr>
        <w:jc w:val="center"/>
        <w:rPr>
          <w:rFonts w:hAnsi="Times New Roman Bold"/>
          <w:b/>
          <w:szCs w:val="26"/>
        </w:rPr>
      </w:pPr>
      <w:r w:rsidRPr="00D80201">
        <w:rPr>
          <w:rFonts w:hAnsi="Times New Roman Bold"/>
          <w:b/>
          <w:szCs w:val="26"/>
        </w:rPr>
        <w:t>INITIAL DECISION</w:t>
      </w:r>
    </w:p>
    <w:p w14:paraId="20C9EF5A" w14:textId="77777777" w:rsidR="00824130" w:rsidRPr="00D80201" w:rsidRDefault="00824130">
      <w:pPr>
        <w:jc w:val="center"/>
        <w:rPr>
          <w:rFonts w:hAnsi="Times New Roman Bold"/>
          <w:b/>
          <w:szCs w:val="26"/>
        </w:rPr>
      </w:pPr>
    </w:p>
    <w:p w14:paraId="7DF01C7E" w14:textId="77777777" w:rsidR="00824130" w:rsidRPr="00D80201" w:rsidRDefault="00824130">
      <w:pPr>
        <w:jc w:val="center"/>
        <w:rPr>
          <w:rFonts w:hAnsi="Times New Roman Bold"/>
          <w:b/>
          <w:szCs w:val="26"/>
        </w:rPr>
      </w:pPr>
      <w:r w:rsidRPr="00D80201">
        <w:rPr>
          <w:rFonts w:hAnsi="Times New Roman Bold"/>
          <w:b/>
          <w:szCs w:val="26"/>
        </w:rPr>
        <w:t xml:space="preserve">(Issued </w:t>
      </w:r>
      <w:smartTag w:uri="urn:schemas-microsoft-com:office:smarttags" w:element="date">
        <w:smartTagPr>
          <w:attr w:name="Month" w:val="3"/>
          <w:attr w:name="Day" w:val="10"/>
          <w:attr w:name="Year" w:val="2004"/>
        </w:smartTagPr>
        <w:r w:rsidRPr="00D80201">
          <w:rPr>
            <w:rFonts w:hAnsi="Times New Roman Bold"/>
            <w:b/>
            <w:szCs w:val="26"/>
          </w:rPr>
          <w:t>March 10, 2004</w:t>
        </w:r>
      </w:smartTag>
      <w:r w:rsidRPr="00D80201">
        <w:rPr>
          <w:rFonts w:hAnsi="Times New Roman Bold"/>
          <w:b/>
          <w:szCs w:val="26"/>
        </w:rPr>
        <w:t>)</w:t>
      </w:r>
    </w:p>
    <w:p w14:paraId="7F8214F1" w14:textId="77777777" w:rsidR="00824130" w:rsidRPr="00D80201" w:rsidRDefault="00824130">
      <w:pPr>
        <w:jc w:val="center"/>
        <w:rPr>
          <w:szCs w:val="26"/>
        </w:rPr>
      </w:pPr>
    </w:p>
    <w:p w14:paraId="3C6A5577" w14:textId="77777777" w:rsidR="00824130" w:rsidRPr="00D80201" w:rsidRDefault="00824130">
      <w:pPr>
        <w:tabs>
          <w:tab w:val="left" w:pos="720"/>
          <w:tab w:val="left" w:pos="1440"/>
          <w:tab w:val="left" w:pos="4320"/>
          <w:tab w:val="left" w:pos="5040"/>
          <w:tab w:val="left" w:pos="5760"/>
          <w:tab w:val="left" w:pos="6480"/>
          <w:tab w:val="left" w:pos="7200"/>
        </w:tabs>
        <w:jc w:val="center"/>
        <w:rPr>
          <w:rFonts w:hAnsi="Times New Roman Bold"/>
          <w:b/>
          <w:szCs w:val="26"/>
        </w:rPr>
      </w:pPr>
      <w:r w:rsidRPr="00D80201">
        <w:rPr>
          <w:rFonts w:hAnsi="Times New Roman Bold"/>
          <w:b/>
          <w:szCs w:val="26"/>
        </w:rPr>
        <w:t>APPEARANCES</w:t>
      </w:r>
    </w:p>
    <w:p w14:paraId="565D9012" w14:textId="77777777" w:rsidR="00824130" w:rsidRPr="00D80201" w:rsidRDefault="00824130">
      <w:pPr>
        <w:tabs>
          <w:tab w:val="left" w:pos="720"/>
          <w:tab w:val="left" w:pos="1440"/>
          <w:tab w:val="left" w:pos="4320"/>
          <w:tab w:val="left" w:pos="5040"/>
          <w:tab w:val="left" w:pos="5760"/>
          <w:tab w:val="left" w:pos="6480"/>
          <w:tab w:val="left" w:pos="7200"/>
        </w:tabs>
        <w:jc w:val="center"/>
        <w:rPr>
          <w:rFonts w:hAnsi="Times New Roman Bold"/>
          <w:b/>
          <w:szCs w:val="26"/>
        </w:rPr>
      </w:pPr>
    </w:p>
    <w:p w14:paraId="5E6CD436"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Michael Ward Esq., Jeffrey Mayes, Esq., on behalf of the California ISO </w:t>
      </w:r>
    </w:p>
    <w:p w14:paraId="1015F503"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35651BF4"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Jennifer Key, Esq.,</w:t>
      </w:r>
      <w:r>
        <w:rPr>
          <w:spacing w:val="-3"/>
          <w:szCs w:val="26"/>
        </w:rPr>
        <w:t xml:space="preserve"> Anna J. Valdberg, Esq.,</w:t>
      </w:r>
      <w:r w:rsidRPr="00D80201">
        <w:rPr>
          <w:spacing w:val="-3"/>
          <w:szCs w:val="26"/>
        </w:rPr>
        <w:t xml:space="preserve"> on behalf of Southern California Edison Company</w:t>
      </w:r>
    </w:p>
    <w:p w14:paraId="02EE2B66"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color w:val="0000FF"/>
          <w:szCs w:val="26"/>
        </w:rPr>
      </w:pPr>
    </w:p>
    <w:p w14:paraId="06038DAC"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zCs w:val="26"/>
        </w:rPr>
        <w:t>Michael Alcantar, Esq., Evelyn Kahl, Esq., Donald E. Brookhyser, Esq.,</w:t>
      </w:r>
      <w:r w:rsidRPr="00D80201">
        <w:rPr>
          <w:color w:val="0000FF"/>
          <w:szCs w:val="26"/>
        </w:rPr>
        <w:t xml:space="preserve"> </w:t>
      </w:r>
      <w:r w:rsidRPr="00D80201">
        <w:rPr>
          <w:spacing w:val="-3"/>
          <w:szCs w:val="26"/>
        </w:rPr>
        <w:t xml:space="preserve">on behalf of the </w:t>
      </w:r>
      <w:r w:rsidRPr="00D80201">
        <w:rPr>
          <w:szCs w:val="26"/>
        </w:rPr>
        <w:t>Cogeneration Association of California, the Energy Producers and Users Coalition</w:t>
      </w:r>
      <w:r w:rsidRPr="00D80201">
        <w:rPr>
          <w:spacing w:val="-3"/>
          <w:szCs w:val="26"/>
        </w:rPr>
        <w:t xml:space="preserve">. </w:t>
      </w:r>
    </w:p>
    <w:p w14:paraId="515EBA01"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3A12A3E0"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Charles Middlekauff, Esq., </w:t>
      </w:r>
      <w:r w:rsidRPr="00D80201">
        <w:rPr>
          <w:szCs w:val="26"/>
        </w:rPr>
        <w:t xml:space="preserve">Mark Patrizio, Esq., Stuart Gardiner, Esq., </w:t>
      </w:r>
      <w:r w:rsidRPr="00D80201">
        <w:rPr>
          <w:spacing w:val="-3"/>
          <w:szCs w:val="26"/>
        </w:rPr>
        <w:t xml:space="preserve">on behalf of Pacific Gas &amp; Electric Company.  </w:t>
      </w:r>
    </w:p>
    <w:p w14:paraId="7825AC07"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584578B6"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Pr>
          <w:spacing w:val="-3"/>
          <w:szCs w:val="26"/>
        </w:rPr>
        <w:t>Theodore</w:t>
      </w:r>
      <w:r w:rsidRPr="00D80201">
        <w:rPr>
          <w:spacing w:val="-3"/>
          <w:szCs w:val="26"/>
        </w:rPr>
        <w:t xml:space="preserve"> Roberts, Esq., on behalf of Sempra Energy and on behalf of San Diego Gas &amp; Electric Company.  </w:t>
      </w:r>
    </w:p>
    <w:p w14:paraId="7C34B4CE"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 </w:t>
      </w:r>
    </w:p>
    <w:p w14:paraId="0D09491C"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Michael Postar, Esq., Tamir Ben Joseph, Esq., </w:t>
      </w:r>
      <w:r>
        <w:rPr>
          <w:spacing w:val="-3"/>
          <w:szCs w:val="26"/>
        </w:rPr>
        <w:t>Diana Mahmud</w:t>
      </w:r>
      <w:r w:rsidRPr="00D80201">
        <w:rPr>
          <w:spacing w:val="-3"/>
          <w:szCs w:val="26"/>
        </w:rPr>
        <w:t xml:space="preserve">, Esq., on behalf of State Water Contractors and Metropolitan Water District </w:t>
      </w:r>
    </w:p>
    <w:p w14:paraId="38467DD4"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035612E0"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Sean Neal, Esq., on behalf of Modesto Irrigation District</w:t>
      </w:r>
    </w:p>
    <w:p w14:paraId="181EBB39"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 </w:t>
      </w:r>
    </w:p>
    <w:p w14:paraId="6E0134BF"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Lisa Gast, Esq., on behalf of Transmission Agency of Northern California</w:t>
      </w:r>
    </w:p>
    <w:p w14:paraId="3F5188AF"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 </w:t>
      </w:r>
    </w:p>
    <w:p w14:paraId="35F580CF"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Pr>
          <w:spacing w:val="-3"/>
          <w:szCs w:val="26"/>
        </w:rPr>
        <w:t xml:space="preserve">Robert C. McDiarmid, </w:t>
      </w:r>
      <w:r w:rsidRPr="00D80201">
        <w:rPr>
          <w:spacing w:val="-3"/>
          <w:szCs w:val="26"/>
        </w:rPr>
        <w:t xml:space="preserve">Lisa </w:t>
      </w:r>
      <w:r>
        <w:rPr>
          <w:spacing w:val="-3"/>
          <w:szCs w:val="26"/>
        </w:rPr>
        <w:t xml:space="preserve">G. </w:t>
      </w:r>
      <w:r w:rsidRPr="00D80201">
        <w:rPr>
          <w:spacing w:val="-3"/>
          <w:szCs w:val="26"/>
        </w:rPr>
        <w:t xml:space="preserve">Dowden, Esq., </w:t>
      </w:r>
      <w:r>
        <w:rPr>
          <w:spacing w:val="-3"/>
          <w:szCs w:val="26"/>
        </w:rPr>
        <w:t xml:space="preserve">Andrea G. Lonian, Esq., </w:t>
      </w:r>
      <w:r w:rsidRPr="00D80201">
        <w:rPr>
          <w:spacing w:val="-3"/>
          <w:szCs w:val="26"/>
        </w:rPr>
        <w:t>on behalf of Northern California Power Agency</w:t>
      </w:r>
    </w:p>
    <w:p w14:paraId="265B59DF"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19937D3B"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Elisa Grammer, Esq., Peter Kissel, Esq., </w:t>
      </w:r>
      <w:r w:rsidRPr="00D80201">
        <w:rPr>
          <w:szCs w:val="26"/>
        </w:rPr>
        <w:t>Edna Walz, Esq.,</w:t>
      </w:r>
      <w:r w:rsidRPr="00D80201">
        <w:rPr>
          <w:spacing w:val="-3"/>
          <w:szCs w:val="26"/>
        </w:rPr>
        <w:t xml:space="preserve"> on behalf of California Department of Water Resources, State Water</w:t>
      </w:r>
      <w:r w:rsidRPr="00D80201">
        <w:rPr>
          <w:rFonts w:ascii="Arial" w:hAnsi="Arial" w:cs="Arial"/>
          <w:color w:val="000080"/>
          <w:szCs w:val="26"/>
        </w:rPr>
        <w:t xml:space="preserve"> </w:t>
      </w:r>
      <w:r w:rsidRPr="00D80201">
        <w:rPr>
          <w:spacing w:val="-3"/>
          <w:szCs w:val="26"/>
        </w:rPr>
        <w:t xml:space="preserve">Project       </w:t>
      </w:r>
    </w:p>
    <w:p w14:paraId="4A380345"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61E248CE"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Grant Rosenblum, Esq., on behalf of Electricity Oversight Board</w:t>
      </w:r>
    </w:p>
    <w:p w14:paraId="410FDF67"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lastRenderedPageBreak/>
        <w:t xml:space="preserve"> </w:t>
      </w:r>
    </w:p>
    <w:p w14:paraId="18FA40B9" w14:textId="77777777" w:rsidR="00824130" w:rsidRPr="00D80201" w:rsidRDefault="00824130">
      <w:pPr>
        <w:rPr>
          <w:spacing w:val="-3"/>
          <w:szCs w:val="26"/>
        </w:rPr>
      </w:pPr>
      <w:r w:rsidRPr="00D80201">
        <w:rPr>
          <w:spacing w:val="-3"/>
          <w:szCs w:val="26"/>
        </w:rPr>
        <w:t xml:space="preserve">Channing Strother, Esq., </w:t>
      </w:r>
      <w:r w:rsidRPr="00D80201">
        <w:rPr>
          <w:szCs w:val="26"/>
        </w:rPr>
        <w:t xml:space="preserve">Karen R. O'Brien, Esq., </w:t>
      </w:r>
      <w:r w:rsidRPr="00D80201">
        <w:rPr>
          <w:spacing w:val="-3"/>
          <w:szCs w:val="26"/>
        </w:rPr>
        <w:t xml:space="preserve">on behalf of </w:t>
      </w:r>
      <w:smartTag w:uri="urn:schemas-microsoft-com:office:smarttags" w:element="place">
        <w:smartTag w:uri="urn:schemas-microsoft-com:office:smarttags" w:element="City">
          <w:r w:rsidRPr="00D80201">
            <w:rPr>
              <w:spacing w:val="-3"/>
              <w:szCs w:val="26"/>
            </w:rPr>
            <w:t>City of Vernon</w:t>
          </w:r>
        </w:smartTag>
        <w:r w:rsidRPr="00D80201">
          <w:rPr>
            <w:spacing w:val="-3"/>
            <w:szCs w:val="26"/>
          </w:rPr>
          <w:t xml:space="preserve">, </w:t>
        </w:r>
        <w:smartTag w:uri="urn:schemas-microsoft-com:office:smarttags" w:element="State">
          <w:r w:rsidRPr="00D80201">
            <w:rPr>
              <w:spacing w:val="-3"/>
              <w:szCs w:val="26"/>
            </w:rPr>
            <w:t>California</w:t>
          </w:r>
        </w:smartTag>
      </w:smartTag>
    </w:p>
    <w:p w14:paraId="5391A590"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   </w:t>
      </w:r>
    </w:p>
    <w:p w14:paraId="15897389" w14:textId="77777777" w:rsidR="00824130"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Bonnie Blair, Esq., </w:t>
      </w:r>
      <w:r>
        <w:rPr>
          <w:spacing w:val="-3"/>
          <w:szCs w:val="26"/>
        </w:rPr>
        <w:t xml:space="preserve">Mark L. Parsons, Esq., </w:t>
      </w:r>
      <w:r w:rsidRPr="00D80201">
        <w:rPr>
          <w:spacing w:val="-3"/>
          <w:szCs w:val="26"/>
        </w:rPr>
        <w:t>on behalf of the Cities of Anaheim, Azusa, Banning, Coulton, and Riverside, California</w:t>
      </w:r>
    </w:p>
    <w:p w14:paraId="552209AA" w14:textId="77777777" w:rsidR="00824130"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15D98FC2"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smartTag w:uri="urn:schemas-microsoft-com:office:smarttags" w:element="place">
        <w:r>
          <w:rPr>
            <w:spacing w:val="-3"/>
            <w:szCs w:val="26"/>
          </w:rPr>
          <w:t>Lot</w:t>
        </w:r>
      </w:smartTag>
      <w:r>
        <w:rPr>
          <w:spacing w:val="-3"/>
          <w:szCs w:val="26"/>
        </w:rPr>
        <w:t xml:space="preserve"> Cooke, Esq., </w:t>
      </w:r>
      <w:smartTag w:uri="urn:schemas-microsoft-com:office:smarttags" w:element="place">
        <w:smartTag w:uri="urn:schemas-microsoft-com:office:smarttags" w:element="City">
          <w:r>
            <w:rPr>
              <w:spacing w:val="-3"/>
              <w:szCs w:val="26"/>
            </w:rPr>
            <w:t>Lawrence</w:t>
          </w:r>
        </w:smartTag>
      </w:smartTag>
      <w:r>
        <w:rPr>
          <w:spacing w:val="-3"/>
          <w:szCs w:val="26"/>
        </w:rPr>
        <w:t xml:space="preserve"> Gollomp, Esq., on behalf of the Department of Energy</w:t>
      </w:r>
    </w:p>
    <w:p w14:paraId="566CC683"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p>
    <w:p w14:paraId="260882E8" w14:textId="77777777" w:rsidR="00824130" w:rsidRPr="00D80201" w:rsidRDefault="00824130">
      <w:pPr>
        <w:tabs>
          <w:tab w:val="left" w:pos="1584"/>
          <w:tab w:val="left" w:pos="3744"/>
          <w:tab w:val="left" w:pos="4464"/>
          <w:tab w:val="left" w:pos="5184"/>
          <w:tab w:val="left" w:pos="5904"/>
          <w:tab w:val="left" w:pos="6624"/>
          <w:tab w:val="left" w:pos="7344"/>
          <w:tab w:val="left" w:pos="8064"/>
        </w:tabs>
        <w:suppressAutoHyphens/>
        <w:rPr>
          <w:spacing w:val="-3"/>
          <w:szCs w:val="26"/>
        </w:rPr>
      </w:pPr>
      <w:r w:rsidRPr="00D80201">
        <w:rPr>
          <w:spacing w:val="-3"/>
          <w:szCs w:val="26"/>
        </w:rPr>
        <w:t xml:space="preserve">Joanne Scott, Esq., Hollis Alpert Esq., on behalf of Commission Staff    </w:t>
      </w:r>
    </w:p>
    <w:p w14:paraId="2F92C6AA" w14:textId="77777777" w:rsidR="00824130" w:rsidRPr="00D80201" w:rsidRDefault="00824130">
      <w:pPr>
        <w:rPr>
          <w:szCs w:val="26"/>
        </w:rPr>
      </w:pPr>
    </w:p>
    <w:p w14:paraId="2CDC2D11" w14:textId="77777777" w:rsidR="00824130" w:rsidRPr="00D80201" w:rsidRDefault="00824130">
      <w:pPr>
        <w:tabs>
          <w:tab w:val="left" w:pos="720"/>
          <w:tab w:val="left" w:pos="1440"/>
          <w:tab w:val="left" w:pos="4320"/>
          <w:tab w:val="left" w:pos="5040"/>
          <w:tab w:val="left" w:pos="5760"/>
          <w:tab w:val="left" w:pos="6480"/>
          <w:tab w:val="left" w:pos="7200"/>
        </w:tabs>
        <w:rPr>
          <w:rFonts w:hAnsi="Times New Roman Bold"/>
          <w:b/>
          <w:szCs w:val="26"/>
        </w:rPr>
      </w:pPr>
      <w:r w:rsidRPr="00D80201">
        <w:rPr>
          <w:rFonts w:hAnsi="Times New Roman Bold"/>
          <w:b/>
          <w:szCs w:val="26"/>
        </w:rPr>
        <w:t>BOBBIE J. McCARTNEY, Presiding Administrative Law Judge</w:t>
      </w:r>
    </w:p>
    <w:p w14:paraId="15B9BFB1" w14:textId="77777777" w:rsidR="00824130" w:rsidRPr="00D80201" w:rsidRDefault="00824130">
      <w:pPr>
        <w:rPr>
          <w:szCs w:val="26"/>
        </w:rPr>
      </w:pPr>
    </w:p>
    <w:p w14:paraId="11FBACF7" w14:textId="77777777" w:rsidR="00824130" w:rsidRPr="00D80201" w:rsidRDefault="00824130">
      <w:pPr>
        <w:rPr>
          <w:szCs w:val="26"/>
        </w:rPr>
      </w:pPr>
    </w:p>
    <w:p w14:paraId="7F273407" w14:textId="77777777" w:rsidR="00824130" w:rsidRPr="00D80201" w:rsidRDefault="00824130">
      <w:pPr>
        <w:rPr>
          <w:szCs w:val="26"/>
        </w:rPr>
      </w:pPr>
    </w:p>
    <w:p w14:paraId="1E03E881" w14:textId="77777777" w:rsidR="00824130" w:rsidRPr="00D80201" w:rsidRDefault="00824130">
      <w:pPr>
        <w:rPr>
          <w:szCs w:val="26"/>
        </w:rPr>
      </w:pPr>
    </w:p>
    <w:p w14:paraId="16FB6F5D" w14:textId="77777777" w:rsidR="00824130" w:rsidRPr="00D80201" w:rsidRDefault="00824130">
      <w:pPr>
        <w:rPr>
          <w:szCs w:val="26"/>
        </w:rPr>
      </w:pPr>
    </w:p>
    <w:p w14:paraId="46EBF5BC" w14:textId="77777777" w:rsidR="00824130" w:rsidRPr="00D80201" w:rsidRDefault="00824130">
      <w:pPr>
        <w:rPr>
          <w:szCs w:val="26"/>
        </w:rPr>
      </w:pPr>
    </w:p>
    <w:p w14:paraId="653F1AEA" w14:textId="77777777" w:rsidR="00824130" w:rsidRPr="00D80201" w:rsidRDefault="00824130">
      <w:pPr>
        <w:rPr>
          <w:szCs w:val="26"/>
        </w:rPr>
      </w:pPr>
    </w:p>
    <w:p w14:paraId="40F8793F" w14:textId="77777777" w:rsidR="00824130" w:rsidRPr="00D80201" w:rsidRDefault="00824130">
      <w:pPr>
        <w:rPr>
          <w:szCs w:val="26"/>
        </w:rPr>
      </w:pPr>
    </w:p>
    <w:p w14:paraId="1750317E" w14:textId="77777777" w:rsidR="00824130" w:rsidRPr="00D80201" w:rsidRDefault="00824130">
      <w:pPr>
        <w:rPr>
          <w:szCs w:val="26"/>
        </w:rPr>
      </w:pPr>
    </w:p>
    <w:p w14:paraId="7A876CD0" w14:textId="77777777" w:rsidR="00824130" w:rsidRPr="00D80201" w:rsidRDefault="00824130">
      <w:pPr>
        <w:rPr>
          <w:szCs w:val="26"/>
        </w:rPr>
      </w:pPr>
    </w:p>
    <w:p w14:paraId="386650B0" w14:textId="77777777" w:rsidR="00824130" w:rsidRPr="00D80201" w:rsidRDefault="00824130">
      <w:pPr>
        <w:rPr>
          <w:szCs w:val="26"/>
        </w:rPr>
      </w:pPr>
    </w:p>
    <w:p w14:paraId="483243C8" w14:textId="77777777" w:rsidR="00824130" w:rsidRPr="00D80201" w:rsidRDefault="00824130">
      <w:pPr>
        <w:rPr>
          <w:szCs w:val="26"/>
        </w:rPr>
      </w:pPr>
    </w:p>
    <w:p w14:paraId="4B5F334F" w14:textId="77777777" w:rsidR="00824130" w:rsidRPr="00D80201" w:rsidRDefault="00824130">
      <w:pPr>
        <w:rPr>
          <w:szCs w:val="26"/>
        </w:rPr>
      </w:pPr>
    </w:p>
    <w:p w14:paraId="1E404DDF" w14:textId="77777777" w:rsidR="00824130" w:rsidRPr="00D80201" w:rsidRDefault="00824130">
      <w:pPr>
        <w:rPr>
          <w:szCs w:val="26"/>
        </w:rPr>
      </w:pPr>
    </w:p>
    <w:p w14:paraId="23F81445" w14:textId="77777777" w:rsidR="00824130" w:rsidRPr="00D80201" w:rsidRDefault="00824130">
      <w:pPr>
        <w:rPr>
          <w:szCs w:val="26"/>
        </w:rPr>
      </w:pPr>
    </w:p>
    <w:p w14:paraId="7F2E4DA4" w14:textId="77777777" w:rsidR="00824130" w:rsidRPr="00D80201" w:rsidRDefault="00824130">
      <w:pPr>
        <w:rPr>
          <w:szCs w:val="26"/>
        </w:rPr>
      </w:pPr>
    </w:p>
    <w:p w14:paraId="2E657DB9" w14:textId="77777777" w:rsidR="00824130" w:rsidRPr="00D80201" w:rsidRDefault="00824130">
      <w:pPr>
        <w:rPr>
          <w:szCs w:val="26"/>
        </w:rPr>
      </w:pPr>
    </w:p>
    <w:p w14:paraId="0694E07A" w14:textId="77777777" w:rsidR="00824130" w:rsidRPr="00D80201" w:rsidRDefault="00824130">
      <w:pPr>
        <w:rPr>
          <w:szCs w:val="26"/>
        </w:rPr>
      </w:pPr>
    </w:p>
    <w:p w14:paraId="187459A0" w14:textId="77777777" w:rsidR="00824130" w:rsidRPr="00D80201" w:rsidRDefault="00824130">
      <w:pPr>
        <w:rPr>
          <w:szCs w:val="26"/>
        </w:rPr>
      </w:pPr>
    </w:p>
    <w:p w14:paraId="429F1688" w14:textId="77777777" w:rsidR="00824130" w:rsidRPr="00D80201" w:rsidRDefault="00824130">
      <w:pPr>
        <w:rPr>
          <w:szCs w:val="26"/>
        </w:rPr>
      </w:pPr>
    </w:p>
    <w:p w14:paraId="6C303D37" w14:textId="77777777" w:rsidR="00824130" w:rsidRPr="00D80201" w:rsidRDefault="00824130">
      <w:pPr>
        <w:rPr>
          <w:szCs w:val="26"/>
        </w:rPr>
      </w:pPr>
    </w:p>
    <w:p w14:paraId="11A950B5" w14:textId="77777777" w:rsidR="00824130" w:rsidRPr="00D80201" w:rsidRDefault="00824130">
      <w:pPr>
        <w:rPr>
          <w:szCs w:val="26"/>
        </w:rPr>
      </w:pPr>
    </w:p>
    <w:p w14:paraId="2789EE9F" w14:textId="77777777" w:rsidR="00824130" w:rsidRPr="00D80201" w:rsidRDefault="00824130">
      <w:pPr>
        <w:rPr>
          <w:szCs w:val="26"/>
        </w:rPr>
      </w:pPr>
    </w:p>
    <w:p w14:paraId="71940C72" w14:textId="77777777" w:rsidR="00824130" w:rsidRPr="00D80201" w:rsidRDefault="00824130">
      <w:pPr>
        <w:rPr>
          <w:szCs w:val="26"/>
        </w:rPr>
      </w:pPr>
    </w:p>
    <w:p w14:paraId="57AE6494" w14:textId="77777777" w:rsidR="00824130" w:rsidRPr="00D80201" w:rsidRDefault="00824130">
      <w:pPr>
        <w:rPr>
          <w:szCs w:val="26"/>
        </w:rPr>
      </w:pPr>
    </w:p>
    <w:p w14:paraId="585562A6" w14:textId="77777777" w:rsidR="00824130" w:rsidRPr="00D80201" w:rsidRDefault="00824130">
      <w:pPr>
        <w:rPr>
          <w:szCs w:val="26"/>
        </w:rPr>
      </w:pPr>
    </w:p>
    <w:p w14:paraId="5EB64ED2" w14:textId="77777777" w:rsidR="00824130" w:rsidRPr="00D80201" w:rsidRDefault="00824130">
      <w:pPr>
        <w:rPr>
          <w:szCs w:val="26"/>
        </w:rPr>
      </w:pPr>
    </w:p>
    <w:p w14:paraId="12FACA4C" w14:textId="77777777" w:rsidR="00824130" w:rsidRPr="00D80201" w:rsidRDefault="00824130">
      <w:pPr>
        <w:rPr>
          <w:szCs w:val="26"/>
        </w:rPr>
      </w:pPr>
    </w:p>
    <w:p w14:paraId="3A2F90B0" w14:textId="77777777" w:rsidR="00824130" w:rsidRPr="00D80201" w:rsidRDefault="00824130">
      <w:pPr>
        <w:rPr>
          <w:szCs w:val="26"/>
        </w:rPr>
      </w:pPr>
    </w:p>
    <w:p w14:paraId="4DCE89ED" w14:textId="77777777" w:rsidR="00824130" w:rsidRPr="00D80201" w:rsidRDefault="00824130">
      <w:pPr>
        <w:rPr>
          <w:szCs w:val="26"/>
        </w:rPr>
      </w:pPr>
    </w:p>
    <w:p w14:paraId="078E28B6" w14:textId="77777777" w:rsidR="00824130" w:rsidRPr="00D80201" w:rsidRDefault="00824130">
      <w:pPr>
        <w:rPr>
          <w:szCs w:val="26"/>
        </w:rPr>
      </w:pPr>
    </w:p>
    <w:p w14:paraId="73BC78E6" w14:textId="77777777" w:rsidR="00824130" w:rsidRPr="00D80201" w:rsidRDefault="00824130">
      <w:pPr>
        <w:rPr>
          <w:szCs w:val="26"/>
        </w:rPr>
      </w:pPr>
    </w:p>
    <w:p w14:paraId="207704E5" w14:textId="77777777" w:rsidR="00824130" w:rsidRPr="00D80201" w:rsidRDefault="00824130">
      <w:pPr>
        <w:rPr>
          <w:szCs w:val="26"/>
        </w:rPr>
      </w:pPr>
    </w:p>
    <w:p w14:paraId="11038A0E" w14:textId="77777777" w:rsidR="00824130" w:rsidRPr="00D80201" w:rsidRDefault="00824130">
      <w:pPr>
        <w:rPr>
          <w:szCs w:val="26"/>
        </w:rPr>
      </w:pPr>
    </w:p>
    <w:p w14:paraId="4FD3EBCA" w14:textId="77777777" w:rsidR="00824130" w:rsidRPr="00D80201" w:rsidRDefault="00824130">
      <w:pPr>
        <w:rPr>
          <w:szCs w:val="26"/>
        </w:rPr>
      </w:pPr>
    </w:p>
    <w:p w14:paraId="100980C6" w14:textId="77777777" w:rsidR="00824130" w:rsidRPr="00D80201" w:rsidRDefault="00824130">
      <w:pPr>
        <w:pStyle w:val="Caption"/>
        <w:rPr>
          <w:rFonts w:ascii="Times New Roman" w:hAnsi="Times New Roman"/>
          <w:b w:val="0"/>
          <w:sz w:val="26"/>
          <w:szCs w:val="26"/>
        </w:rPr>
      </w:pPr>
      <w:r w:rsidRPr="00D80201">
        <w:rPr>
          <w:rFonts w:ascii="Times New Roman" w:hAnsi="Times New Roman"/>
          <w:b w:val="0"/>
          <w:sz w:val="26"/>
          <w:szCs w:val="26"/>
        </w:rPr>
        <w:t>TABLE OF CONTENTS</w:t>
      </w:r>
    </w:p>
    <w:p w14:paraId="579DDDFB" w14:textId="77777777" w:rsidR="00824130" w:rsidRPr="00D80201" w:rsidRDefault="00824130">
      <w:pPr>
        <w:tabs>
          <w:tab w:val="left" w:leader="dot" w:pos="720"/>
          <w:tab w:val="left" w:pos="1440"/>
          <w:tab w:val="left" w:pos="2160"/>
          <w:tab w:val="left" w:leader="dot" w:pos="9360"/>
        </w:tabs>
        <w:rPr>
          <w:szCs w:val="26"/>
        </w:rPr>
      </w:pPr>
      <w:r w:rsidRPr="00D80201">
        <w:rPr>
          <w:szCs w:val="26"/>
        </w:rPr>
        <w:t>TABLE OF CONTENTS</w:t>
      </w:r>
      <w:r w:rsidRPr="00D80201">
        <w:rPr>
          <w:szCs w:val="26"/>
        </w:rPr>
        <w:tab/>
        <w:t>i</w:t>
      </w:r>
      <w:r>
        <w:rPr>
          <w:szCs w:val="26"/>
        </w:rPr>
        <w:t>ii</w:t>
      </w:r>
    </w:p>
    <w:p w14:paraId="5E59CCE9" w14:textId="77777777" w:rsidR="00824130" w:rsidRPr="00D80201" w:rsidRDefault="00824130">
      <w:pPr>
        <w:tabs>
          <w:tab w:val="left" w:pos="720"/>
          <w:tab w:val="left" w:pos="1440"/>
          <w:tab w:val="left" w:pos="2160"/>
          <w:tab w:val="left" w:pos="9360"/>
        </w:tabs>
        <w:rPr>
          <w:szCs w:val="26"/>
        </w:rPr>
      </w:pPr>
    </w:p>
    <w:p w14:paraId="3616E19C" w14:textId="77777777" w:rsidR="00824130" w:rsidRPr="00D80201" w:rsidRDefault="00824130">
      <w:pPr>
        <w:tabs>
          <w:tab w:val="left" w:pos="720"/>
          <w:tab w:val="left" w:pos="1440"/>
          <w:tab w:val="left" w:pos="2160"/>
          <w:tab w:val="left" w:leader="dot" w:pos="9360"/>
        </w:tabs>
        <w:rPr>
          <w:szCs w:val="26"/>
        </w:rPr>
      </w:pPr>
      <w:r w:rsidRPr="00D80201">
        <w:rPr>
          <w:szCs w:val="26"/>
        </w:rPr>
        <w:t>GLOSSARY OF TERMS</w:t>
      </w:r>
      <w:r w:rsidRPr="00D80201">
        <w:rPr>
          <w:szCs w:val="26"/>
        </w:rPr>
        <w:tab/>
        <w:t>vii</w:t>
      </w:r>
    </w:p>
    <w:p w14:paraId="26D9E4C8" w14:textId="77777777" w:rsidR="00824130" w:rsidRPr="00D80201" w:rsidRDefault="00824130">
      <w:pPr>
        <w:tabs>
          <w:tab w:val="left" w:pos="720"/>
          <w:tab w:val="left" w:pos="1440"/>
          <w:tab w:val="left" w:pos="2160"/>
          <w:tab w:val="left" w:leader="dot" w:pos="9360"/>
        </w:tabs>
        <w:rPr>
          <w:szCs w:val="26"/>
        </w:rPr>
      </w:pPr>
    </w:p>
    <w:p w14:paraId="102A8E99" w14:textId="77777777" w:rsidR="00824130" w:rsidRPr="00D80201" w:rsidRDefault="00824130">
      <w:pPr>
        <w:tabs>
          <w:tab w:val="left" w:pos="720"/>
          <w:tab w:val="left" w:pos="1440"/>
          <w:tab w:val="left" w:pos="2160"/>
          <w:tab w:val="left" w:leader="dot" w:pos="9072"/>
          <w:tab w:val="left" w:leader="dot" w:pos="9360"/>
        </w:tabs>
        <w:ind w:right="412"/>
        <w:rPr>
          <w:szCs w:val="26"/>
        </w:rPr>
      </w:pPr>
      <w:r w:rsidRPr="00D80201">
        <w:rPr>
          <w:szCs w:val="26"/>
        </w:rPr>
        <w:t>JOINT ST</w:t>
      </w:r>
      <w:r>
        <w:rPr>
          <w:szCs w:val="26"/>
        </w:rPr>
        <w:t>ATEMENT OF PROCEDURAL HISTORY</w:t>
      </w:r>
      <w:r>
        <w:rPr>
          <w:szCs w:val="26"/>
        </w:rPr>
        <w:tab/>
        <w:t>….</w:t>
      </w:r>
      <w:r w:rsidRPr="00D80201">
        <w:rPr>
          <w:szCs w:val="26"/>
        </w:rPr>
        <w:t>1</w:t>
      </w:r>
    </w:p>
    <w:p w14:paraId="4BAD3110" w14:textId="77777777" w:rsidR="00824130" w:rsidRPr="00D80201" w:rsidRDefault="00824130">
      <w:pPr>
        <w:tabs>
          <w:tab w:val="left" w:pos="720"/>
          <w:tab w:val="left" w:pos="1440"/>
          <w:tab w:val="left" w:pos="2160"/>
          <w:tab w:val="left" w:leader="dot" w:pos="9360"/>
        </w:tabs>
        <w:rPr>
          <w:szCs w:val="26"/>
        </w:rPr>
      </w:pPr>
    </w:p>
    <w:p w14:paraId="4E401677" w14:textId="77777777" w:rsidR="00824130" w:rsidRPr="00D80201" w:rsidRDefault="00824130">
      <w:pPr>
        <w:tabs>
          <w:tab w:val="left" w:pos="720"/>
          <w:tab w:val="left" w:pos="1440"/>
          <w:tab w:val="left" w:pos="2160"/>
          <w:tab w:val="left" w:leader="dot" w:pos="9360"/>
        </w:tabs>
        <w:rPr>
          <w:szCs w:val="26"/>
        </w:rPr>
      </w:pPr>
      <w:r w:rsidRPr="00D80201">
        <w:rPr>
          <w:szCs w:val="26"/>
        </w:rPr>
        <w:t>SUPPLEMENTAL PROCEDURAL HISTORY AND BACKGROUND</w:t>
      </w:r>
      <w:r w:rsidRPr="00D80201">
        <w:rPr>
          <w:szCs w:val="26"/>
        </w:rPr>
        <w:tab/>
      </w:r>
      <w:r>
        <w:rPr>
          <w:szCs w:val="26"/>
        </w:rPr>
        <w:t>8</w:t>
      </w:r>
    </w:p>
    <w:p w14:paraId="0BAAC367" w14:textId="77777777" w:rsidR="00824130" w:rsidRPr="00D80201" w:rsidRDefault="00824130">
      <w:pPr>
        <w:tabs>
          <w:tab w:val="left" w:pos="720"/>
          <w:tab w:val="left" w:pos="1440"/>
          <w:tab w:val="left" w:pos="2160"/>
          <w:tab w:val="left" w:leader="dot" w:pos="9360"/>
        </w:tabs>
        <w:rPr>
          <w:szCs w:val="26"/>
        </w:rPr>
      </w:pPr>
    </w:p>
    <w:p w14:paraId="3116F6AC" w14:textId="77777777" w:rsidR="00824130" w:rsidRPr="00D80201" w:rsidRDefault="00824130">
      <w:pPr>
        <w:tabs>
          <w:tab w:val="left" w:pos="720"/>
          <w:tab w:val="left" w:pos="1440"/>
          <w:tab w:val="left" w:pos="2160"/>
          <w:tab w:val="left" w:leader="dot" w:pos="9360"/>
        </w:tabs>
        <w:rPr>
          <w:szCs w:val="26"/>
        </w:rPr>
      </w:pPr>
      <w:r w:rsidRPr="00D80201">
        <w:rPr>
          <w:szCs w:val="26"/>
        </w:rPr>
        <w:t>ARGUMENT</w:t>
      </w:r>
    </w:p>
    <w:p w14:paraId="5901FD6C" w14:textId="77777777" w:rsidR="00824130" w:rsidRPr="00D80201" w:rsidRDefault="00824130">
      <w:pPr>
        <w:tabs>
          <w:tab w:val="left" w:pos="720"/>
          <w:tab w:val="left" w:pos="1440"/>
          <w:tab w:val="left" w:pos="2160"/>
          <w:tab w:val="left" w:leader="dot" w:pos="9360"/>
        </w:tabs>
        <w:rPr>
          <w:szCs w:val="26"/>
        </w:rPr>
      </w:pPr>
    </w:p>
    <w:p w14:paraId="3C640960"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Relevant Factors:  What are the factors that should be considered in determining whether the ISO’s transmission Access Charge proposal</w:t>
      </w:r>
    </w:p>
    <w:p w14:paraId="64C88C5A"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r w:rsidRPr="00D80201">
        <w:rPr>
          <w:sz w:val="26"/>
          <w:szCs w:val="26"/>
        </w:rPr>
        <w:tab/>
        <w:t xml:space="preserve"> is just, reasonable and not unduly discriminatory?</w:t>
      </w:r>
      <w:r w:rsidRPr="00D80201">
        <w:rPr>
          <w:sz w:val="26"/>
          <w:szCs w:val="26"/>
        </w:rPr>
        <w:tab/>
      </w:r>
      <w:r>
        <w:rPr>
          <w:sz w:val="26"/>
          <w:szCs w:val="26"/>
        </w:rPr>
        <w:t>9</w:t>
      </w:r>
    </w:p>
    <w:p w14:paraId="7CBD48C9"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049E3D09" w14:textId="77777777" w:rsidR="00824130" w:rsidRPr="00D80201" w:rsidRDefault="00824130">
      <w:pPr>
        <w:pStyle w:val="Heading1A"/>
        <w:numPr>
          <w:ilvl w:val="0"/>
          <w:numId w:val="0"/>
        </w:numPr>
        <w:tabs>
          <w:tab w:val="num" w:pos="0"/>
          <w:tab w:val="left" w:pos="720"/>
          <w:tab w:val="left" w:pos="1440"/>
          <w:tab w:val="left" w:pos="2160"/>
          <w:tab w:val="left" w:leader="dot" w:pos="9360"/>
        </w:tabs>
        <w:ind w:left="720" w:hanging="720"/>
      </w:pPr>
      <w:r w:rsidRPr="00D80201">
        <w:t>II.</w:t>
      </w:r>
      <w:r w:rsidRPr="00D80201">
        <w:tab/>
        <w:t>Phantom Congestion</w:t>
      </w:r>
    </w:p>
    <w:p w14:paraId="4598390B"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phantom Congestion exists.</w:t>
      </w:r>
      <w:r w:rsidRPr="00D80201">
        <w:rPr>
          <w:sz w:val="26"/>
          <w:szCs w:val="26"/>
        </w:rPr>
        <w:tab/>
        <w:t>1</w:t>
      </w:r>
      <w:r>
        <w:rPr>
          <w:sz w:val="26"/>
          <w:szCs w:val="26"/>
        </w:rPr>
        <w:t>9</w:t>
      </w:r>
    </w:p>
    <w:p w14:paraId="7BD12C5D" w14:textId="77777777" w:rsidR="00824130" w:rsidRPr="00D80201" w:rsidRDefault="00824130">
      <w:pPr>
        <w:pStyle w:val="OutHead2"/>
        <w:numPr>
          <w:ilvl w:val="0"/>
          <w:numId w:val="0"/>
        </w:numPr>
        <w:tabs>
          <w:tab w:val="left" w:pos="720"/>
          <w:tab w:val="left" w:pos="1440"/>
          <w:tab w:val="left" w:pos="2160"/>
          <w:tab w:val="left" w:leader="dot" w:pos="9360"/>
        </w:tabs>
        <w:ind w:left="1440" w:hanging="720"/>
        <w:rPr>
          <w:sz w:val="26"/>
          <w:szCs w:val="26"/>
        </w:rPr>
      </w:pPr>
    </w:p>
    <w:p w14:paraId="229FF608"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What is the cause of phantom Congestion?</w:t>
      </w:r>
      <w:r w:rsidRPr="00D80201">
        <w:rPr>
          <w:sz w:val="26"/>
          <w:szCs w:val="26"/>
        </w:rPr>
        <w:tab/>
      </w:r>
      <w:r>
        <w:rPr>
          <w:sz w:val="26"/>
          <w:szCs w:val="26"/>
        </w:rPr>
        <w:t>21</w:t>
      </w:r>
    </w:p>
    <w:p w14:paraId="6DAE4953"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523FECBD"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What is the economic impact of phantom Congestion?</w:t>
      </w:r>
      <w:r w:rsidRPr="00D80201">
        <w:rPr>
          <w:sz w:val="26"/>
          <w:szCs w:val="26"/>
        </w:rPr>
        <w:tab/>
      </w:r>
      <w:r>
        <w:rPr>
          <w:sz w:val="26"/>
          <w:szCs w:val="26"/>
        </w:rPr>
        <w:t>24</w:t>
      </w:r>
    </w:p>
    <w:p w14:paraId="7969E49A"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6E73CEE5"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there are alternative means to address phantom Congestion and, if so, the impact on the issues in this proceeding.</w:t>
      </w:r>
      <w:r w:rsidRPr="00D80201">
        <w:rPr>
          <w:sz w:val="26"/>
          <w:szCs w:val="26"/>
        </w:rPr>
        <w:tab/>
        <w:t>2</w:t>
      </w:r>
      <w:r>
        <w:rPr>
          <w:sz w:val="26"/>
          <w:szCs w:val="26"/>
        </w:rPr>
        <w:t>9</w:t>
      </w:r>
    </w:p>
    <w:p w14:paraId="6BD51735"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68E83B5F" w14:textId="77777777" w:rsidR="00824130" w:rsidRPr="00D80201" w:rsidRDefault="00824130">
      <w:pPr>
        <w:pStyle w:val="OutHead1"/>
        <w:numPr>
          <w:ilvl w:val="0"/>
          <w:numId w:val="30"/>
        </w:numPr>
        <w:rPr>
          <w:sz w:val="26"/>
          <w:szCs w:val="26"/>
        </w:rPr>
      </w:pPr>
      <w:r w:rsidRPr="00D80201">
        <w:rPr>
          <w:sz w:val="26"/>
          <w:szCs w:val="26"/>
        </w:rPr>
        <w:t>“Cost Shift”</w:t>
      </w:r>
    </w:p>
    <w:p w14:paraId="303A93BD"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52428689"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ISO’s proposal for the inclusion of a “cost shift” cap for ten years in the transmission Access Charge proposal is just, reasonable and not unduly discriminator</w:t>
      </w:r>
      <w:r w:rsidRPr="00D80201">
        <w:rPr>
          <w:sz w:val="26"/>
          <w:szCs w:val="26"/>
        </w:rPr>
        <w:tab/>
      </w:r>
      <w:r>
        <w:rPr>
          <w:sz w:val="26"/>
          <w:szCs w:val="26"/>
        </w:rPr>
        <w:t>33</w:t>
      </w:r>
    </w:p>
    <w:p w14:paraId="5D301D8B"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19EA4D4B" w14:textId="77777777" w:rsidR="00824130" w:rsidRDefault="00824130">
      <w:pPr>
        <w:pStyle w:val="OutHead2"/>
        <w:tabs>
          <w:tab w:val="left" w:pos="720"/>
          <w:tab w:val="left" w:pos="1440"/>
          <w:tab w:val="left" w:pos="2160"/>
          <w:tab w:val="left" w:leader="dot" w:pos="9360"/>
        </w:tabs>
        <w:rPr>
          <w:sz w:val="26"/>
          <w:szCs w:val="26"/>
        </w:rPr>
      </w:pPr>
      <w:r w:rsidRPr="00D80201">
        <w:rPr>
          <w:sz w:val="26"/>
          <w:szCs w:val="26"/>
        </w:rPr>
        <w:t>If the proposed “cost shift” is unjust, unreasonable and unduly discriminatory, whether a different “cost shift” cap or transition period is just, reasonable and not unduly discriminatory</w:t>
      </w:r>
      <w:r w:rsidRPr="00D80201">
        <w:rPr>
          <w:sz w:val="26"/>
          <w:szCs w:val="26"/>
        </w:rPr>
        <w:tab/>
        <w:t>.</w:t>
      </w:r>
      <w:r>
        <w:rPr>
          <w:sz w:val="26"/>
          <w:szCs w:val="26"/>
        </w:rPr>
        <w:t>43</w:t>
      </w:r>
    </w:p>
    <w:p w14:paraId="4CA3EA05" w14:textId="77777777" w:rsidR="00824130" w:rsidRDefault="00824130">
      <w:pPr>
        <w:pStyle w:val="OutHead2"/>
        <w:numPr>
          <w:ilvl w:val="0"/>
          <w:numId w:val="0"/>
        </w:numPr>
        <w:tabs>
          <w:tab w:val="left" w:pos="1440"/>
          <w:tab w:val="left" w:pos="2160"/>
          <w:tab w:val="left" w:leader="dot" w:pos="9360"/>
        </w:tabs>
        <w:rPr>
          <w:sz w:val="26"/>
          <w:szCs w:val="26"/>
        </w:rPr>
      </w:pPr>
    </w:p>
    <w:p w14:paraId="4755AF5D" w14:textId="77777777" w:rsidR="00824130" w:rsidRPr="00D80201" w:rsidRDefault="00824130">
      <w:pPr>
        <w:pStyle w:val="OutHead2"/>
        <w:numPr>
          <w:ilvl w:val="0"/>
          <w:numId w:val="0"/>
        </w:numPr>
        <w:tabs>
          <w:tab w:val="left" w:pos="1440"/>
          <w:tab w:val="left" w:pos="2160"/>
          <w:tab w:val="left" w:leader="dot" w:pos="9360"/>
        </w:tabs>
        <w:ind w:left="720"/>
        <w:rPr>
          <w:sz w:val="26"/>
          <w:szCs w:val="26"/>
        </w:rPr>
      </w:pPr>
    </w:p>
    <w:p w14:paraId="3D354BB1"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it is just, reasonable and not unduly discriminatory to exclude New High Voltage Facilities from the calculation of the Transition Charge.</w:t>
      </w:r>
      <w:r w:rsidRPr="00D80201">
        <w:rPr>
          <w:sz w:val="26"/>
          <w:szCs w:val="26"/>
        </w:rPr>
        <w:tab/>
      </w:r>
      <w:r>
        <w:rPr>
          <w:sz w:val="26"/>
          <w:szCs w:val="26"/>
        </w:rPr>
        <w:t>45</w:t>
      </w:r>
    </w:p>
    <w:p w14:paraId="40A59506" w14:textId="77777777" w:rsidR="00824130" w:rsidRPr="00D80201" w:rsidRDefault="00824130">
      <w:pPr>
        <w:pStyle w:val="OutHead2"/>
        <w:numPr>
          <w:ilvl w:val="0"/>
          <w:numId w:val="0"/>
        </w:numPr>
        <w:tabs>
          <w:tab w:val="left" w:pos="720"/>
          <w:tab w:val="left" w:pos="1440"/>
          <w:tab w:val="left" w:pos="2160"/>
          <w:tab w:val="left" w:leader="dot" w:pos="9360"/>
        </w:tabs>
        <w:rPr>
          <w:sz w:val="26"/>
          <w:szCs w:val="26"/>
        </w:rPr>
      </w:pPr>
    </w:p>
    <w:p w14:paraId="2B52EB36" w14:textId="77777777" w:rsidR="00824130" w:rsidRPr="00D80201" w:rsidRDefault="00824130">
      <w:pPr>
        <w:pStyle w:val="OutHead2"/>
        <w:numPr>
          <w:ilvl w:val="0"/>
          <w:numId w:val="0"/>
        </w:numPr>
        <w:tabs>
          <w:tab w:val="left" w:pos="1440"/>
          <w:tab w:val="left" w:pos="2160"/>
          <w:tab w:val="left" w:leader="dot" w:pos="9360"/>
        </w:tabs>
        <w:ind w:left="720" w:hanging="720"/>
        <w:rPr>
          <w:sz w:val="26"/>
          <w:szCs w:val="26"/>
        </w:rPr>
      </w:pPr>
      <w:r>
        <w:rPr>
          <w:sz w:val="26"/>
          <w:szCs w:val="26"/>
        </w:rPr>
        <w:t>IV</w:t>
      </w:r>
      <w:r w:rsidRPr="00D80201">
        <w:rPr>
          <w:sz w:val="26"/>
          <w:szCs w:val="26"/>
        </w:rPr>
        <w:t>.</w:t>
      </w:r>
      <w:r w:rsidRPr="00D80201">
        <w:rPr>
          <w:sz w:val="26"/>
          <w:szCs w:val="26"/>
        </w:rPr>
        <w:tab/>
        <w:t xml:space="preserve">New Facilities:  Whether the immediate inclusion of New High Voltage Facilities in the </w:t>
      </w:r>
      <w:r>
        <w:rPr>
          <w:sz w:val="26"/>
          <w:szCs w:val="26"/>
        </w:rPr>
        <w:t>grid wide</w:t>
      </w:r>
      <w:r w:rsidRPr="00D80201">
        <w:rPr>
          <w:sz w:val="26"/>
          <w:szCs w:val="26"/>
        </w:rPr>
        <w:t xml:space="preserve"> component of the High Voltage Access Charge is just, reasonable and not unduly discriminatory.</w:t>
      </w:r>
      <w:r w:rsidRPr="00D80201">
        <w:rPr>
          <w:sz w:val="26"/>
          <w:szCs w:val="26"/>
        </w:rPr>
        <w:tab/>
        <w:t>4</w:t>
      </w:r>
      <w:r>
        <w:rPr>
          <w:sz w:val="26"/>
          <w:szCs w:val="26"/>
        </w:rPr>
        <w:t>9</w:t>
      </w:r>
    </w:p>
    <w:p w14:paraId="27163CE7"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1B2B2BEF" w14:textId="77777777" w:rsidR="00824130" w:rsidRPr="00D80201" w:rsidRDefault="00824130">
      <w:pPr>
        <w:pStyle w:val="OutHead1"/>
        <w:numPr>
          <w:ilvl w:val="0"/>
          <w:numId w:val="31"/>
        </w:numPr>
      </w:pPr>
      <w:r w:rsidRPr="00D80201">
        <w:t>FTRs</w:t>
      </w:r>
    </w:p>
    <w:p w14:paraId="62412446"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781970F6"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it is just, reasonable and not unduly discriminatory to treat the Original Participating TOs’ FTRs differently than New Participating TOs in Section 9.4.3 of the ISO Tariff.</w:t>
      </w:r>
      <w:r w:rsidRPr="00D80201">
        <w:rPr>
          <w:sz w:val="26"/>
          <w:szCs w:val="26"/>
        </w:rPr>
        <w:tab/>
      </w:r>
      <w:r>
        <w:rPr>
          <w:sz w:val="26"/>
          <w:szCs w:val="26"/>
        </w:rPr>
        <w:t>51</w:t>
      </w:r>
    </w:p>
    <w:p w14:paraId="030F7DEA"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045E26E5"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provisions of the ISO Tariff relating to the netting of Usage Charges against Usage Charge revenues associated with FTRs received under Section 9.4.3 (specifically the definitions of New FTR Revenue and Transmission Revenue Credit) are just, reasonable and not unduly discriminatory.</w:t>
      </w:r>
      <w:r w:rsidRPr="00D80201">
        <w:rPr>
          <w:sz w:val="26"/>
          <w:szCs w:val="26"/>
        </w:rPr>
        <w:tab/>
      </w:r>
      <w:r>
        <w:rPr>
          <w:sz w:val="26"/>
          <w:szCs w:val="26"/>
        </w:rPr>
        <w:t>5</w:t>
      </w:r>
      <w:r w:rsidRPr="00D80201">
        <w:rPr>
          <w:sz w:val="26"/>
          <w:szCs w:val="26"/>
        </w:rPr>
        <w:t>6</w:t>
      </w:r>
    </w:p>
    <w:p w14:paraId="2B06CB1A"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3EAA7FD9"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it is just, reasonable and not unduly discriminatory that the provision of FTRs to New Participating TOs under Section 9.4.3 terminates at the earlier of the end of the transition period or termination of an Existing Contract.</w:t>
      </w:r>
      <w:r w:rsidRPr="00D80201">
        <w:rPr>
          <w:sz w:val="26"/>
          <w:szCs w:val="26"/>
        </w:rPr>
        <w:tab/>
      </w:r>
      <w:r>
        <w:rPr>
          <w:sz w:val="26"/>
          <w:szCs w:val="26"/>
        </w:rPr>
        <w:t>59</w:t>
      </w:r>
    </w:p>
    <w:p w14:paraId="2DF78981"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0C62D79C"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Amendment No. 27 is unjust, unreasonable and unduly discriminatory because it does not specify the methodology for the allocation of FTRs pursuant to Section 9.4.3 of the ISO Tariff.</w:t>
      </w:r>
      <w:r w:rsidRPr="00D80201">
        <w:rPr>
          <w:sz w:val="26"/>
          <w:szCs w:val="26"/>
        </w:rPr>
        <w:tab/>
      </w:r>
      <w:r>
        <w:rPr>
          <w:sz w:val="26"/>
          <w:szCs w:val="26"/>
        </w:rPr>
        <w:t>61</w:t>
      </w:r>
    </w:p>
    <w:p w14:paraId="46F6228F"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6B98AC33"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FTRs should be allocated pursuant to Section 9.4.3 of the ISO Tariff for transmission built by a New Participating TO after it becomes a Participating TO.</w:t>
      </w:r>
      <w:r w:rsidRPr="00D80201">
        <w:rPr>
          <w:sz w:val="26"/>
          <w:szCs w:val="26"/>
        </w:rPr>
        <w:tab/>
      </w:r>
      <w:r>
        <w:rPr>
          <w:sz w:val="26"/>
          <w:szCs w:val="26"/>
        </w:rPr>
        <w:t>6</w:t>
      </w:r>
      <w:r w:rsidRPr="00D80201">
        <w:rPr>
          <w:sz w:val="26"/>
          <w:szCs w:val="26"/>
        </w:rPr>
        <w:t>3</w:t>
      </w:r>
    </w:p>
    <w:p w14:paraId="5B132214"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080F355B"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Section 7.3.1.6 of the ISO Tariff should be modified to address the situation in which a New Participating TO has been allocated FTRs pursuant to Section 9.4.3 of the ISO Tariff over a jointly-owned interface with an Original Participating TO.</w:t>
      </w:r>
      <w:r w:rsidRPr="00D80201">
        <w:rPr>
          <w:sz w:val="26"/>
          <w:szCs w:val="26"/>
        </w:rPr>
        <w:tab/>
      </w:r>
      <w:r>
        <w:rPr>
          <w:sz w:val="26"/>
          <w:szCs w:val="26"/>
        </w:rPr>
        <w:t>65</w:t>
      </w:r>
    </w:p>
    <w:p w14:paraId="4A7EA09A"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76E404CA"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definition of Transmission Revenue Credits for Original Participating TOs should be revised to 1) reflect the fact that Original Participating TOs often have two roles, Transmission Owner and Energy supplier and 2) address the subtraction of “any charges attributable to the Participating TO (but not those attributable to the FTR Holder) pursuant to Section 7.3.1.7.”</w:t>
      </w:r>
      <w:r w:rsidRPr="00D80201">
        <w:rPr>
          <w:sz w:val="26"/>
          <w:szCs w:val="26"/>
        </w:rPr>
        <w:tab/>
      </w:r>
      <w:r>
        <w:rPr>
          <w:sz w:val="26"/>
          <w:szCs w:val="26"/>
        </w:rPr>
        <w:t>67</w:t>
      </w:r>
    </w:p>
    <w:p w14:paraId="2498B936"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120621F7"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Treatment of Existing Contracts</w:t>
      </w:r>
    </w:p>
    <w:p w14:paraId="1051AFF0"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28D74E4D"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ISO’s transmission Access Charge proposal is unjust, unreasonable and unduly discriminatory because it fails to compensate in-kind reliability support provided under Existing Contracts if the Existing Rights holder were to become a Participating TO.</w:t>
      </w:r>
      <w:r w:rsidRPr="00D80201">
        <w:rPr>
          <w:sz w:val="26"/>
          <w:szCs w:val="26"/>
        </w:rPr>
        <w:tab/>
      </w:r>
      <w:r>
        <w:rPr>
          <w:sz w:val="26"/>
          <w:szCs w:val="26"/>
        </w:rPr>
        <w:t>69</w:t>
      </w:r>
    </w:p>
    <w:p w14:paraId="66E397B8"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44404D14"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ISO’s transmission Access Charge proposal is unjust, unreasonable and unduly discriminatory against entities who would become New Participating TOs through conversion of Existing Contracts alone.</w:t>
      </w:r>
      <w:r w:rsidRPr="00D80201">
        <w:rPr>
          <w:sz w:val="26"/>
          <w:szCs w:val="26"/>
        </w:rPr>
        <w:tab/>
      </w:r>
      <w:r>
        <w:rPr>
          <w:sz w:val="26"/>
          <w:szCs w:val="26"/>
        </w:rPr>
        <w:t>71</w:t>
      </w:r>
    </w:p>
    <w:p w14:paraId="71D9CCEF"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4B97D067"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 xml:space="preserve">High-Low </w:t>
      </w:r>
      <w:smartTag w:uri="urn:schemas-microsoft-com:office:smarttags" w:element="place">
        <w:smartTag w:uri="urn:schemas-microsoft-com:office:smarttags" w:element="City">
          <w:r w:rsidRPr="00D80201">
            <w:rPr>
              <w:sz w:val="26"/>
              <w:szCs w:val="26"/>
            </w:rPr>
            <w:t>Split</w:t>
          </w:r>
        </w:smartTag>
      </w:smartTag>
      <w:r w:rsidRPr="00D80201">
        <w:rPr>
          <w:sz w:val="26"/>
          <w:szCs w:val="26"/>
        </w:rPr>
        <w:t>:  Whether the ISO’s proposed procedure for the allocation of the costs of transmission facilities between High Voltage and Low Voltage is just, reasonable and not unduly discriminatory.</w:t>
      </w:r>
      <w:r w:rsidRPr="00D80201">
        <w:rPr>
          <w:sz w:val="26"/>
          <w:szCs w:val="26"/>
        </w:rPr>
        <w:tab/>
      </w:r>
      <w:r>
        <w:rPr>
          <w:sz w:val="26"/>
          <w:szCs w:val="26"/>
        </w:rPr>
        <w:t>75</w:t>
      </w:r>
    </w:p>
    <w:p w14:paraId="1A22E8B2"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4845B002"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Time-of-Use Rates</w:t>
      </w:r>
    </w:p>
    <w:p w14:paraId="347E112C"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636593A8"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ISO’s proposed transmission Access Charge methodology is just, reasonable and not unduly discriminatory without employing time-of-use or coincident peak rates.</w:t>
      </w:r>
      <w:r w:rsidRPr="00D80201">
        <w:rPr>
          <w:sz w:val="26"/>
          <w:szCs w:val="26"/>
        </w:rPr>
        <w:tab/>
      </w:r>
      <w:r>
        <w:rPr>
          <w:sz w:val="26"/>
          <w:szCs w:val="26"/>
        </w:rPr>
        <w:t>79</w:t>
      </w:r>
    </w:p>
    <w:p w14:paraId="4ADE8998"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565165D5"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If the ISO transmission Access Charge proposal is unjust, unreasonable and unduly discriminatory, is a time-of-use or coincident peak methodology just, reasonable and not unduly discriminatory for the transmission Access Charge methodology.</w:t>
      </w:r>
      <w:r w:rsidRPr="00D80201">
        <w:rPr>
          <w:sz w:val="26"/>
          <w:szCs w:val="26"/>
        </w:rPr>
        <w:tab/>
      </w:r>
      <w:r>
        <w:rPr>
          <w:sz w:val="26"/>
          <w:szCs w:val="26"/>
        </w:rPr>
        <w:t>85</w:t>
      </w:r>
    </w:p>
    <w:p w14:paraId="0BBC7F83"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597483FA"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Guidelines for Economic Benefit Analysis:  Is Amendment No. 49 unjust, unreasonable and unduly nondiscriminatory because it failed to provide guidelines filed with the Commission for the analysis of the economic benefits of proposed transmission expansions.</w:t>
      </w:r>
      <w:r w:rsidRPr="00D80201">
        <w:rPr>
          <w:sz w:val="26"/>
          <w:szCs w:val="26"/>
        </w:rPr>
        <w:tab/>
      </w:r>
      <w:r>
        <w:rPr>
          <w:sz w:val="26"/>
          <w:szCs w:val="26"/>
        </w:rPr>
        <w:t>89</w:t>
      </w:r>
    </w:p>
    <w:p w14:paraId="65F80148"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765623D5"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Definitions</w:t>
      </w:r>
    </w:p>
    <w:p w14:paraId="61A9AC2C"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453EEF52"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definition of PTO Service Area is just, reasonable and not unduly discriminatory.</w:t>
      </w:r>
      <w:r w:rsidRPr="00D80201">
        <w:rPr>
          <w:sz w:val="26"/>
          <w:szCs w:val="26"/>
        </w:rPr>
        <w:tab/>
      </w:r>
      <w:r>
        <w:rPr>
          <w:sz w:val="26"/>
          <w:szCs w:val="26"/>
        </w:rPr>
        <w:t>90</w:t>
      </w:r>
    </w:p>
    <w:p w14:paraId="1A7006BE"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56BF545B"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or not the definition of Transmission Revenue Credit must be revised to be consistent with Opinion No. 458.</w:t>
      </w:r>
      <w:r w:rsidRPr="00D80201">
        <w:rPr>
          <w:sz w:val="26"/>
          <w:szCs w:val="26"/>
        </w:rPr>
        <w:tab/>
      </w:r>
      <w:r>
        <w:rPr>
          <w:sz w:val="26"/>
          <w:szCs w:val="26"/>
        </w:rPr>
        <w:t>90</w:t>
      </w:r>
    </w:p>
    <w:p w14:paraId="0513FCC8" w14:textId="77777777" w:rsidR="00824130" w:rsidRPr="00D80201" w:rsidRDefault="00824130">
      <w:pPr>
        <w:pStyle w:val="OutHead2"/>
        <w:numPr>
          <w:ilvl w:val="0"/>
          <w:numId w:val="0"/>
        </w:numPr>
        <w:tabs>
          <w:tab w:val="left" w:pos="720"/>
          <w:tab w:val="left" w:pos="1440"/>
          <w:tab w:val="left" w:pos="2160"/>
          <w:tab w:val="left" w:leader="dot" w:pos="9360"/>
        </w:tabs>
        <w:ind w:left="720"/>
        <w:rPr>
          <w:sz w:val="26"/>
          <w:szCs w:val="26"/>
        </w:rPr>
      </w:pPr>
    </w:p>
    <w:p w14:paraId="6AD53056" w14:textId="77777777" w:rsidR="00824130" w:rsidRPr="00D80201" w:rsidRDefault="00824130">
      <w:pPr>
        <w:pStyle w:val="OutHead1"/>
        <w:tabs>
          <w:tab w:val="left" w:pos="720"/>
          <w:tab w:val="left" w:pos="1440"/>
          <w:tab w:val="left" w:pos="2160"/>
          <w:tab w:val="left" w:leader="dot" w:pos="9360"/>
        </w:tabs>
        <w:rPr>
          <w:sz w:val="26"/>
          <w:szCs w:val="26"/>
        </w:rPr>
      </w:pPr>
      <w:r w:rsidRPr="00D80201">
        <w:rPr>
          <w:sz w:val="26"/>
          <w:szCs w:val="26"/>
        </w:rPr>
        <w:t>Issues Resolved by Stipulation</w:t>
      </w:r>
    </w:p>
    <w:p w14:paraId="0FAC4F7A" w14:textId="77777777" w:rsidR="00824130" w:rsidRPr="00D80201" w:rsidRDefault="00824130">
      <w:pPr>
        <w:pStyle w:val="OutHead1"/>
        <w:numPr>
          <w:ilvl w:val="0"/>
          <w:numId w:val="0"/>
        </w:numPr>
        <w:tabs>
          <w:tab w:val="left" w:pos="720"/>
          <w:tab w:val="left" w:pos="1440"/>
          <w:tab w:val="left" w:pos="2160"/>
          <w:tab w:val="left" w:leader="dot" w:pos="9360"/>
        </w:tabs>
        <w:rPr>
          <w:sz w:val="26"/>
          <w:szCs w:val="26"/>
        </w:rPr>
      </w:pPr>
    </w:p>
    <w:p w14:paraId="6071B517" w14:textId="77777777" w:rsidR="00824130" w:rsidRPr="00D80201" w:rsidRDefault="00824130">
      <w:pPr>
        <w:pStyle w:val="OutHead2"/>
        <w:tabs>
          <w:tab w:val="left" w:pos="720"/>
          <w:tab w:val="left" w:pos="1440"/>
          <w:tab w:val="left" w:pos="2160"/>
          <w:tab w:val="left" w:leader="dot" w:pos="9360"/>
        </w:tabs>
        <w:rPr>
          <w:sz w:val="26"/>
          <w:szCs w:val="26"/>
        </w:rPr>
      </w:pPr>
      <w:r w:rsidRPr="00D80201">
        <w:rPr>
          <w:sz w:val="26"/>
          <w:szCs w:val="26"/>
        </w:rPr>
        <w:t>Whether the definition of Gross Load is just, reasonable and not unduly discriminatory.</w:t>
      </w:r>
      <w:r w:rsidRPr="00D80201">
        <w:rPr>
          <w:sz w:val="26"/>
          <w:szCs w:val="26"/>
        </w:rPr>
        <w:tab/>
      </w:r>
      <w:r>
        <w:rPr>
          <w:sz w:val="26"/>
          <w:szCs w:val="26"/>
        </w:rPr>
        <w:t>93</w:t>
      </w:r>
    </w:p>
    <w:p w14:paraId="053D0EEC" w14:textId="77777777" w:rsidR="00824130" w:rsidRDefault="00824130">
      <w:pPr>
        <w:pStyle w:val="OutHead2"/>
        <w:tabs>
          <w:tab w:val="left" w:pos="720"/>
          <w:tab w:val="left" w:pos="1440"/>
          <w:tab w:val="left" w:pos="2160"/>
          <w:tab w:val="left" w:leader="dot" w:pos="9360"/>
        </w:tabs>
        <w:rPr>
          <w:sz w:val="26"/>
          <w:szCs w:val="26"/>
        </w:rPr>
      </w:pPr>
      <w:r w:rsidRPr="00D80201">
        <w:rPr>
          <w:sz w:val="26"/>
          <w:szCs w:val="26"/>
        </w:rPr>
        <w:t>Whether the ISO’s treatment of Metered Subsystems is just, reasonable and not unduly discriminatory.</w:t>
      </w:r>
      <w:r w:rsidRPr="00D80201">
        <w:rPr>
          <w:sz w:val="26"/>
          <w:szCs w:val="26"/>
        </w:rPr>
        <w:tab/>
      </w:r>
      <w:r>
        <w:rPr>
          <w:sz w:val="26"/>
          <w:szCs w:val="26"/>
        </w:rPr>
        <w:t>94</w:t>
      </w:r>
    </w:p>
    <w:p w14:paraId="127225DD" w14:textId="77777777" w:rsidR="00824130" w:rsidRDefault="00824130">
      <w:pPr>
        <w:pStyle w:val="OutHead2"/>
        <w:numPr>
          <w:ilvl w:val="0"/>
          <w:numId w:val="0"/>
        </w:numPr>
        <w:tabs>
          <w:tab w:val="left" w:pos="1440"/>
          <w:tab w:val="left" w:pos="2160"/>
          <w:tab w:val="left" w:leader="dot" w:pos="9360"/>
        </w:tabs>
        <w:rPr>
          <w:sz w:val="26"/>
          <w:szCs w:val="26"/>
        </w:rPr>
      </w:pPr>
    </w:p>
    <w:p w14:paraId="4023569E" w14:textId="77777777" w:rsidR="00824130" w:rsidRDefault="00824130">
      <w:pPr>
        <w:pStyle w:val="OutHead2"/>
        <w:numPr>
          <w:ilvl w:val="0"/>
          <w:numId w:val="0"/>
        </w:numPr>
        <w:tabs>
          <w:tab w:val="left" w:pos="1440"/>
          <w:tab w:val="left" w:pos="2160"/>
          <w:tab w:val="left" w:leader="dot" w:pos="9360"/>
        </w:tabs>
        <w:rPr>
          <w:sz w:val="26"/>
          <w:szCs w:val="26"/>
        </w:rPr>
      </w:pPr>
      <w:r>
        <w:rPr>
          <w:sz w:val="26"/>
          <w:szCs w:val="26"/>
        </w:rPr>
        <w:t>XII.  SUMMARY AND CONCLUSION…………………………………………</w:t>
      </w:r>
      <w:r>
        <w:rPr>
          <w:sz w:val="26"/>
          <w:szCs w:val="26"/>
        </w:rPr>
        <w:tab/>
        <w:t>94</w:t>
      </w:r>
    </w:p>
    <w:p w14:paraId="26BEC23E" w14:textId="77777777" w:rsidR="00824130" w:rsidRDefault="00824130">
      <w:pPr>
        <w:pStyle w:val="OutHead2"/>
        <w:numPr>
          <w:ilvl w:val="0"/>
          <w:numId w:val="0"/>
        </w:numPr>
        <w:tabs>
          <w:tab w:val="left" w:pos="1440"/>
          <w:tab w:val="left" w:pos="2160"/>
          <w:tab w:val="left" w:leader="dot" w:pos="9360"/>
        </w:tabs>
        <w:rPr>
          <w:sz w:val="26"/>
          <w:szCs w:val="26"/>
        </w:rPr>
      </w:pPr>
    </w:p>
    <w:p w14:paraId="7F2E8C00" w14:textId="77777777" w:rsidR="00824130" w:rsidRDefault="00824130">
      <w:pPr>
        <w:pStyle w:val="OutHead2"/>
        <w:numPr>
          <w:ilvl w:val="0"/>
          <w:numId w:val="0"/>
        </w:numPr>
        <w:tabs>
          <w:tab w:val="left" w:pos="1440"/>
          <w:tab w:val="left" w:pos="2160"/>
          <w:tab w:val="left" w:leader="dot" w:pos="9360"/>
        </w:tabs>
        <w:rPr>
          <w:sz w:val="26"/>
          <w:szCs w:val="26"/>
        </w:rPr>
      </w:pPr>
      <w:r>
        <w:rPr>
          <w:sz w:val="26"/>
          <w:szCs w:val="26"/>
        </w:rPr>
        <w:t>XIII.  ORDER…………………………………………</w:t>
      </w:r>
      <w:r>
        <w:rPr>
          <w:sz w:val="26"/>
          <w:szCs w:val="26"/>
        </w:rPr>
        <w:tab/>
        <w:t>112</w:t>
      </w:r>
    </w:p>
    <w:p w14:paraId="37BDE725" w14:textId="77777777" w:rsidR="00824130" w:rsidRDefault="00824130">
      <w:pPr>
        <w:pStyle w:val="OutHead2"/>
        <w:numPr>
          <w:ilvl w:val="0"/>
          <w:numId w:val="0"/>
        </w:numPr>
        <w:tabs>
          <w:tab w:val="left" w:pos="1440"/>
          <w:tab w:val="left" w:pos="2160"/>
          <w:tab w:val="left" w:leader="dot" w:pos="9360"/>
        </w:tabs>
        <w:rPr>
          <w:sz w:val="26"/>
          <w:szCs w:val="26"/>
        </w:rPr>
      </w:pPr>
    </w:p>
    <w:p w14:paraId="0B5935C2" w14:textId="77777777" w:rsidR="00824130" w:rsidRPr="00D61D10" w:rsidRDefault="00824130">
      <w:pPr>
        <w:jc w:val="center"/>
        <w:rPr>
          <w:rFonts w:ascii="Times New Roman Bold" w:hAnsi="Times New Roman Bold"/>
          <w:b/>
          <w:szCs w:val="26"/>
        </w:rPr>
      </w:pPr>
      <w:r w:rsidRPr="00D80201">
        <w:rPr>
          <w:szCs w:val="26"/>
        </w:rPr>
        <w:br w:type="page"/>
      </w:r>
      <w:r w:rsidRPr="00D61D10">
        <w:rPr>
          <w:rFonts w:ascii="Times New Roman Bold" w:hAnsi="Times New Roman Bold"/>
          <w:b/>
          <w:szCs w:val="26"/>
        </w:rPr>
        <w:t>GLOSSARY OF TERMS</w:t>
      </w:r>
    </w:p>
    <w:p w14:paraId="7870199B" w14:textId="77777777" w:rsidR="00824130" w:rsidRDefault="00824130"/>
    <w:tbl>
      <w:tblPr>
        <w:tblStyle w:val="TableGrid"/>
        <w:tblW w:w="0" w:type="auto"/>
        <w:tblCellMar>
          <w:left w:w="115" w:type="dxa"/>
          <w:right w:w="115" w:type="dxa"/>
        </w:tblCellMar>
        <w:tblLook w:val="01E0" w:firstRow="1" w:lastRow="1" w:firstColumn="1" w:lastColumn="1" w:noHBand="0" w:noVBand="0"/>
      </w:tblPr>
      <w:tblGrid>
        <w:gridCol w:w="3687"/>
        <w:gridCol w:w="4943"/>
      </w:tblGrid>
      <w:tr w:rsidR="00824130" w:rsidRPr="00D61D10" w14:paraId="1624E0CE" w14:textId="77777777">
        <w:trPr>
          <w:cantSplit/>
        </w:trPr>
        <w:tc>
          <w:tcPr>
            <w:tcW w:w="3784" w:type="dxa"/>
          </w:tcPr>
          <w:p w14:paraId="7F93501B" w14:textId="77777777" w:rsidR="00824130" w:rsidRPr="00D61D10" w:rsidRDefault="00824130">
            <w:pPr>
              <w:pStyle w:val="BodyText"/>
              <w:spacing w:after="240"/>
              <w:rPr>
                <w:sz w:val="26"/>
                <w:szCs w:val="26"/>
              </w:rPr>
            </w:pPr>
            <w:r>
              <w:rPr>
                <w:sz w:val="26"/>
                <w:szCs w:val="26"/>
              </w:rPr>
              <w:t>12-CP</w:t>
            </w:r>
          </w:p>
        </w:tc>
        <w:tc>
          <w:tcPr>
            <w:tcW w:w="5086" w:type="dxa"/>
          </w:tcPr>
          <w:p w14:paraId="5175254D" w14:textId="77777777" w:rsidR="00824130" w:rsidRPr="00D61D10" w:rsidRDefault="00824130">
            <w:pPr>
              <w:pStyle w:val="BodyText"/>
              <w:spacing w:after="240"/>
              <w:rPr>
                <w:sz w:val="26"/>
                <w:szCs w:val="26"/>
              </w:rPr>
            </w:pPr>
            <w:r>
              <w:rPr>
                <w:sz w:val="26"/>
                <w:szCs w:val="26"/>
              </w:rPr>
              <w:t>Average of the 12 monthly system coincident peaks, or Coincident Peak Pricing (A method of allocating transmission service costs to transmission customers based upon peak usage.)</w:t>
            </w:r>
          </w:p>
        </w:tc>
      </w:tr>
      <w:tr w:rsidR="00824130" w:rsidRPr="00D61D10" w14:paraId="424A041B" w14:textId="77777777">
        <w:trPr>
          <w:cantSplit/>
        </w:trPr>
        <w:tc>
          <w:tcPr>
            <w:tcW w:w="3784" w:type="dxa"/>
          </w:tcPr>
          <w:p w14:paraId="1FD0EC8B" w14:textId="77777777" w:rsidR="00824130" w:rsidRPr="00D61D10" w:rsidRDefault="00824130">
            <w:pPr>
              <w:pStyle w:val="BodyText"/>
              <w:spacing w:after="240"/>
              <w:rPr>
                <w:sz w:val="26"/>
                <w:szCs w:val="26"/>
              </w:rPr>
            </w:pPr>
            <w:smartTag w:uri="urn:schemas-microsoft-com:office:smarttags" w:element="place">
              <w:smartTag w:uri="urn:schemas-microsoft-com:office:smarttags" w:element="City">
                <w:r>
                  <w:rPr>
                    <w:sz w:val="26"/>
                    <w:szCs w:val="26"/>
                  </w:rPr>
                  <w:t>Burbank</w:t>
                </w:r>
              </w:smartTag>
            </w:smartTag>
          </w:p>
        </w:tc>
        <w:tc>
          <w:tcPr>
            <w:tcW w:w="5086" w:type="dxa"/>
          </w:tcPr>
          <w:p w14:paraId="2D0F62B2" w14:textId="77777777" w:rsidR="00824130" w:rsidRPr="00D61D10" w:rsidRDefault="00824130">
            <w:pPr>
              <w:pStyle w:val="BodyText"/>
              <w:spacing w:after="240"/>
              <w:rPr>
                <w:sz w:val="26"/>
                <w:szCs w:val="26"/>
              </w:rPr>
            </w:pPr>
            <w:r>
              <w:rPr>
                <w:sz w:val="26"/>
                <w:szCs w:val="26"/>
              </w:rPr>
              <w:t xml:space="preserve">City of </w:t>
            </w:r>
            <w:smartTag w:uri="urn:schemas-microsoft-com:office:smarttags" w:element="place">
              <w:smartTag w:uri="urn:schemas-microsoft-com:office:smarttags" w:element="City">
                <w:r>
                  <w:rPr>
                    <w:sz w:val="26"/>
                    <w:szCs w:val="26"/>
                  </w:rPr>
                  <w:t>Burbank</w:t>
                </w:r>
              </w:smartTag>
            </w:smartTag>
          </w:p>
        </w:tc>
      </w:tr>
      <w:tr w:rsidR="00824130" w:rsidRPr="00D61D10" w14:paraId="7F5CE945" w14:textId="77777777">
        <w:trPr>
          <w:cantSplit/>
        </w:trPr>
        <w:tc>
          <w:tcPr>
            <w:tcW w:w="3784" w:type="dxa"/>
          </w:tcPr>
          <w:p w14:paraId="2C8C578D" w14:textId="77777777" w:rsidR="00824130" w:rsidRDefault="00824130">
            <w:pPr>
              <w:pStyle w:val="BodyText"/>
              <w:spacing w:after="240"/>
              <w:rPr>
                <w:sz w:val="26"/>
                <w:szCs w:val="26"/>
              </w:rPr>
            </w:pPr>
            <w:r>
              <w:rPr>
                <w:sz w:val="26"/>
                <w:szCs w:val="26"/>
              </w:rPr>
              <w:t xml:space="preserve">CAC/EPUC </w:t>
            </w:r>
          </w:p>
        </w:tc>
        <w:tc>
          <w:tcPr>
            <w:tcW w:w="5086" w:type="dxa"/>
          </w:tcPr>
          <w:p w14:paraId="1F078A9A" w14:textId="77777777" w:rsidR="00824130" w:rsidRDefault="00824130">
            <w:pPr>
              <w:pStyle w:val="BodyText"/>
              <w:spacing w:after="240"/>
              <w:rPr>
                <w:sz w:val="26"/>
                <w:szCs w:val="26"/>
              </w:rPr>
            </w:pPr>
            <w:r>
              <w:rPr>
                <w:sz w:val="26"/>
                <w:szCs w:val="26"/>
              </w:rPr>
              <w:t xml:space="preserve">Cogeneration Association of </w:t>
            </w:r>
            <w:smartTag w:uri="urn:schemas-microsoft-com:office:smarttags" w:element="place">
              <w:smartTag w:uri="urn:schemas-microsoft-com:office:smarttags" w:element="State">
                <w:r>
                  <w:rPr>
                    <w:sz w:val="26"/>
                    <w:szCs w:val="26"/>
                  </w:rPr>
                  <w:t>California</w:t>
                </w:r>
              </w:smartTag>
            </w:smartTag>
            <w:r>
              <w:rPr>
                <w:sz w:val="26"/>
                <w:szCs w:val="26"/>
              </w:rPr>
              <w:t xml:space="preserve"> ad Energy Producers and Users Coalition</w:t>
            </w:r>
          </w:p>
        </w:tc>
      </w:tr>
      <w:tr w:rsidR="00824130" w:rsidRPr="00D61D10" w14:paraId="56C58A4E" w14:textId="77777777">
        <w:trPr>
          <w:cantSplit/>
        </w:trPr>
        <w:tc>
          <w:tcPr>
            <w:tcW w:w="3784" w:type="dxa"/>
          </w:tcPr>
          <w:p w14:paraId="2A6DE62B" w14:textId="77777777" w:rsidR="00824130" w:rsidRPr="00D61D10" w:rsidRDefault="00824130">
            <w:pPr>
              <w:pStyle w:val="BodyText"/>
              <w:spacing w:after="240"/>
              <w:rPr>
                <w:sz w:val="26"/>
                <w:szCs w:val="26"/>
              </w:rPr>
            </w:pPr>
            <w:r>
              <w:rPr>
                <w:sz w:val="26"/>
                <w:szCs w:val="26"/>
              </w:rPr>
              <w:t>CEOB or EOB</w:t>
            </w:r>
          </w:p>
        </w:tc>
        <w:tc>
          <w:tcPr>
            <w:tcW w:w="5086" w:type="dxa"/>
          </w:tcPr>
          <w:p w14:paraId="5523BAE3" w14:textId="77777777" w:rsidR="00824130" w:rsidRPr="00D61D10" w:rsidRDefault="00824130">
            <w:pPr>
              <w:pStyle w:val="BodyText"/>
              <w:spacing w:after="240"/>
              <w:rPr>
                <w:sz w:val="26"/>
                <w:szCs w:val="26"/>
              </w:rPr>
            </w:pPr>
            <w:smartTag w:uri="urn:schemas-microsoft-com:office:smarttags" w:element="place">
              <w:smartTag w:uri="urn:schemas-microsoft-com:office:smarttags" w:element="State">
                <w:r>
                  <w:rPr>
                    <w:sz w:val="26"/>
                    <w:szCs w:val="26"/>
                  </w:rPr>
                  <w:t>California</w:t>
                </w:r>
              </w:smartTag>
            </w:smartTag>
            <w:r>
              <w:rPr>
                <w:sz w:val="26"/>
                <w:szCs w:val="26"/>
              </w:rPr>
              <w:t xml:space="preserve"> Electricity Oversight Board</w:t>
            </w:r>
          </w:p>
        </w:tc>
      </w:tr>
      <w:tr w:rsidR="00824130" w:rsidRPr="00D61D10" w14:paraId="7880137B" w14:textId="77777777">
        <w:trPr>
          <w:cantSplit/>
        </w:trPr>
        <w:tc>
          <w:tcPr>
            <w:tcW w:w="3784" w:type="dxa"/>
          </w:tcPr>
          <w:p w14:paraId="7357A521" w14:textId="77777777" w:rsidR="00824130" w:rsidRDefault="00824130">
            <w:pPr>
              <w:pStyle w:val="BodyText"/>
              <w:spacing w:after="240"/>
              <w:rPr>
                <w:sz w:val="26"/>
                <w:szCs w:val="26"/>
              </w:rPr>
            </w:pPr>
            <w:r>
              <w:rPr>
                <w:sz w:val="26"/>
                <w:szCs w:val="26"/>
              </w:rPr>
              <w:t xml:space="preserve">Cities/M-S-R </w:t>
            </w:r>
          </w:p>
        </w:tc>
        <w:tc>
          <w:tcPr>
            <w:tcW w:w="5086" w:type="dxa"/>
          </w:tcPr>
          <w:p w14:paraId="0466D82E" w14:textId="77777777" w:rsidR="00824130" w:rsidRDefault="00824130">
            <w:pPr>
              <w:pStyle w:val="BodyText"/>
              <w:spacing w:after="240"/>
              <w:rPr>
                <w:sz w:val="26"/>
                <w:szCs w:val="26"/>
              </w:rPr>
            </w:pPr>
            <w:r>
              <w:rPr>
                <w:sz w:val="26"/>
                <w:szCs w:val="26"/>
              </w:rPr>
              <w:t>M-S-R Public Power Agency</w:t>
            </w:r>
          </w:p>
        </w:tc>
      </w:tr>
      <w:tr w:rsidR="00824130" w:rsidRPr="00D61D10" w14:paraId="66069533" w14:textId="77777777">
        <w:trPr>
          <w:cantSplit/>
        </w:trPr>
        <w:tc>
          <w:tcPr>
            <w:tcW w:w="3784" w:type="dxa"/>
          </w:tcPr>
          <w:p w14:paraId="64784D6B" w14:textId="77777777" w:rsidR="00824130" w:rsidRDefault="00824130">
            <w:pPr>
              <w:pStyle w:val="BodyText"/>
              <w:spacing w:after="240"/>
              <w:rPr>
                <w:sz w:val="26"/>
                <w:szCs w:val="26"/>
              </w:rPr>
            </w:pPr>
            <w:r>
              <w:rPr>
                <w:sz w:val="26"/>
                <w:szCs w:val="26"/>
              </w:rPr>
              <w:t>CMUA</w:t>
            </w:r>
          </w:p>
        </w:tc>
        <w:tc>
          <w:tcPr>
            <w:tcW w:w="5086" w:type="dxa"/>
          </w:tcPr>
          <w:p w14:paraId="763EE5E6" w14:textId="77777777" w:rsidR="00824130" w:rsidRDefault="00824130">
            <w:pPr>
              <w:pStyle w:val="BodyText"/>
              <w:spacing w:after="240"/>
              <w:rPr>
                <w:sz w:val="26"/>
                <w:szCs w:val="26"/>
              </w:rPr>
            </w:pPr>
            <w:smartTag w:uri="urn:schemas-microsoft-com:office:smarttags" w:element="place">
              <w:smartTag w:uri="urn:schemas-microsoft-com:office:smarttags" w:element="State">
                <w:r>
                  <w:rPr>
                    <w:sz w:val="26"/>
                    <w:szCs w:val="26"/>
                  </w:rPr>
                  <w:t>California</w:t>
                </w:r>
              </w:smartTag>
            </w:smartTag>
            <w:r>
              <w:rPr>
                <w:sz w:val="26"/>
                <w:szCs w:val="26"/>
              </w:rPr>
              <w:t xml:space="preserve"> Municipal Utilities Association</w:t>
            </w:r>
          </w:p>
        </w:tc>
      </w:tr>
      <w:tr w:rsidR="00824130" w:rsidRPr="00D61D10" w14:paraId="37CB2640" w14:textId="77777777">
        <w:trPr>
          <w:cantSplit/>
        </w:trPr>
        <w:tc>
          <w:tcPr>
            <w:tcW w:w="3784" w:type="dxa"/>
          </w:tcPr>
          <w:p w14:paraId="2596AE0E" w14:textId="77777777" w:rsidR="00824130" w:rsidRPr="00D61D10" w:rsidRDefault="00824130">
            <w:pPr>
              <w:pStyle w:val="BodyText"/>
              <w:spacing w:after="240"/>
              <w:rPr>
                <w:sz w:val="26"/>
                <w:szCs w:val="26"/>
              </w:rPr>
            </w:pPr>
            <w:r>
              <w:rPr>
                <w:sz w:val="26"/>
                <w:szCs w:val="26"/>
              </w:rPr>
              <w:t>COI</w:t>
            </w:r>
          </w:p>
        </w:tc>
        <w:tc>
          <w:tcPr>
            <w:tcW w:w="5086" w:type="dxa"/>
          </w:tcPr>
          <w:p w14:paraId="20A0117A" w14:textId="77777777" w:rsidR="00824130" w:rsidRPr="00D61D10" w:rsidRDefault="00824130">
            <w:pPr>
              <w:pStyle w:val="BodyText"/>
              <w:spacing w:after="240"/>
              <w:rPr>
                <w:sz w:val="26"/>
                <w:szCs w:val="26"/>
              </w:rPr>
            </w:pPr>
            <w:r>
              <w:rPr>
                <w:sz w:val="26"/>
                <w:szCs w:val="26"/>
              </w:rPr>
              <w:t>California-Oregon Intertie</w:t>
            </w:r>
          </w:p>
        </w:tc>
      </w:tr>
      <w:tr w:rsidR="00824130" w:rsidRPr="00D61D10" w14:paraId="6505C0B0" w14:textId="77777777">
        <w:trPr>
          <w:cantSplit/>
        </w:trPr>
        <w:tc>
          <w:tcPr>
            <w:tcW w:w="3784" w:type="dxa"/>
          </w:tcPr>
          <w:p w14:paraId="0787302F" w14:textId="77777777" w:rsidR="00824130" w:rsidRDefault="00824130">
            <w:pPr>
              <w:pStyle w:val="BodyText"/>
              <w:spacing w:after="240"/>
              <w:rPr>
                <w:sz w:val="26"/>
                <w:szCs w:val="26"/>
              </w:rPr>
            </w:pPr>
            <w:r>
              <w:rPr>
                <w:sz w:val="26"/>
                <w:szCs w:val="26"/>
              </w:rPr>
              <w:t>COTP</w:t>
            </w:r>
          </w:p>
        </w:tc>
        <w:tc>
          <w:tcPr>
            <w:tcW w:w="5086" w:type="dxa"/>
          </w:tcPr>
          <w:p w14:paraId="685020C3" w14:textId="77777777" w:rsidR="00824130" w:rsidRDefault="00824130">
            <w:pPr>
              <w:pStyle w:val="BodyText"/>
              <w:spacing w:after="240"/>
              <w:rPr>
                <w:sz w:val="26"/>
                <w:szCs w:val="26"/>
              </w:rPr>
            </w:pPr>
            <w:smartTag w:uri="urn:schemas-microsoft-com:office:smarttags" w:element="place">
              <w:smartTag w:uri="urn:schemas-microsoft-com:office:smarttags" w:element="State">
                <w:r>
                  <w:rPr>
                    <w:sz w:val="26"/>
                    <w:szCs w:val="26"/>
                  </w:rPr>
                  <w:t>California</w:t>
                </w:r>
              </w:smartTag>
            </w:smartTag>
            <w:r>
              <w:rPr>
                <w:sz w:val="26"/>
                <w:szCs w:val="26"/>
              </w:rPr>
              <w:t xml:space="preserve"> </w:t>
            </w:r>
            <w:smartTag w:uri="urn:schemas-microsoft-com:office:smarttags" w:element="place">
              <w:smartTag w:uri="urn:schemas-microsoft-com:office:smarttags" w:element="State">
                <w:r>
                  <w:rPr>
                    <w:sz w:val="26"/>
                    <w:szCs w:val="26"/>
                  </w:rPr>
                  <w:t>Oregon</w:t>
                </w:r>
              </w:smartTag>
            </w:smartTag>
            <w:r>
              <w:rPr>
                <w:sz w:val="26"/>
                <w:szCs w:val="26"/>
              </w:rPr>
              <w:t xml:space="preserve"> Transmission Project</w:t>
            </w:r>
          </w:p>
        </w:tc>
      </w:tr>
      <w:tr w:rsidR="00824130" w:rsidRPr="00D61D10" w14:paraId="190A3EEB" w14:textId="77777777">
        <w:trPr>
          <w:cantSplit/>
        </w:trPr>
        <w:tc>
          <w:tcPr>
            <w:tcW w:w="3784" w:type="dxa"/>
          </w:tcPr>
          <w:p w14:paraId="28BE16B3" w14:textId="77777777" w:rsidR="00824130" w:rsidRDefault="00824130">
            <w:pPr>
              <w:pStyle w:val="BodyText"/>
              <w:spacing w:after="240"/>
              <w:rPr>
                <w:sz w:val="26"/>
                <w:szCs w:val="26"/>
              </w:rPr>
            </w:pPr>
            <w:r>
              <w:rPr>
                <w:sz w:val="26"/>
                <w:szCs w:val="26"/>
              </w:rPr>
              <w:t>CRRs</w:t>
            </w:r>
          </w:p>
        </w:tc>
        <w:tc>
          <w:tcPr>
            <w:tcW w:w="5086" w:type="dxa"/>
          </w:tcPr>
          <w:p w14:paraId="1F79A70C" w14:textId="77777777" w:rsidR="00824130" w:rsidRDefault="00824130">
            <w:pPr>
              <w:pStyle w:val="BodyText"/>
              <w:spacing w:after="240"/>
              <w:rPr>
                <w:sz w:val="26"/>
                <w:szCs w:val="26"/>
              </w:rPr>
            </w:pPr>
            <w:r>
              <w:rPr>
                <w:sz w:val="26"/>
                <w:szCs w:val="26"/>
              </w:rPr>
              <w:t>Congestion Revenue Rights</w:t>
            </w:r>
          </w:p>
        </w:tc>
      </w:tr>
      <w:tr w:rsidR="00824130" w:rsidRPr="00D61D10" w14:paraId="0F1D3820" w14:textId="77777777">
        <w:trPr>
          <w:cantSplit/>
        </w:trPr>
        <w:tc>
          <w:tcPr>
            <w:tcW w:w="3784" w:type="dxa"/>
          </w:tcPr>
          <w:p w14:paraId="391C82C1" w14:textId="77777777" w:rsidR="00824130" w:rsidRDefault="00824130">
            <w:pPr>
              <w:pStyle w:val="BodyText"/>
              <w:spacing w:after="240"/>
              <w:rPr>
                <w:sz w:val="26"/>
                <w:szCs w:val="26"/>
              </w:rPr>
            </w:pPr>
            <w:r>
              <w:rPr>
                <w:sz w:val="26"/>
                <w:szCs w:val="26"/>
              </w:rPr>
              <w:t>DWR</w:t>
            </w:r>
          </w:p>
        </w:tc>
        <w:tc>
          <w:tcPr>
            <w:tcW w:w="5086" w:type="dxa"/>
          </w:tcPr>
          <w:p w14:paraId="15D10799" w14:textId="77777777" w:rsidR="00824130" w:rsidRDefault="00824130">
            <w:pPr>
              <w:pStyle w:val="BodyText"/>
              <w:spacing w:after="240"/>
              <w:rPr>
                <w:sz w:val="26"/>
                <w:szCs w:val="26"/>
              </w:rPr>
            </w:pPr>
            <w:r>
              <w:rPr>
                <w:sz w:val="26"/>
                <w:szCs w:val="26"/>
              </w:rPr>
              <w:t>California Department of Water Resources – State Water Project</w:t>
            </w:r>
          </w:p>
        </w:tc>
      </w:tr>
      <w:tr w:rsidR="00824130" w:rsidRPr="00D61D10" w14:paraId="038640B1" w14:textId="77777777">
        <w:trPr>
          <w:cantSplit/>
        </w:trPr>
        <w:tc>
          <w:tcPr>
            <w:tcW w:w="3784" w:type="dxa"/>
          </w:tcPr>
          <w:p w14:paraId="6EFED84C" w14:textId="77777777" w:rsidR="00824130" w:rsidRDefault="00824130">
            <w:pPr>
              <w:pStyle w:val="BodyText"/>
              <w:spacing w:after="240"/>
              <w:rPr>
                <w:sz w:val="26"/>
                <w:szCs w:val="26"/>
              </w:rPr>
            </w:pPr>
            <w:r>
              <w:rPr>
                <w:sz w:val="26"/>
                <w:szCs w:val="26"/>
              </w:rPr>
              <w:t>ETC</w:t>
            </w:r>
          </w:p>
        </w:tc>
        <w:tc>
          <w:tcPr>
            <w:tcW w:w="5086" w:type="dxa"/>
          </w:tcPr>
          <w:p w14:paraId="41BCD00C" w14:textId="77777777" w:rsidR="00824130" w:rsidRDefault="00824130">
            <w:pPr>
              <w:pStyle w:val="BodyText"/>
              <w:spacing w:after="240"/>
              <w:rPr>
                <w:sz w:val="26"/>
                <w:szCs w:val="26"/>
              </w:rPr>
            </w:pPr>
            <w:r>
              <w:rPr>
                <w:sz w:val="26"/>
                <w:szCs w:val="26"/>
              </w:rPr>
              <w:t>Existing Transmission Contract or Existing Contract</w:t>
            </w:r>
          </w:p>
        </w:tc>
      </w:tr>
      <w:tr w:rsidR="00824130" w:rsidRPr="00D61D10" w14:paraId="1FE8FEFC" w14:textId="77777777">
        <w:trPr>
          <w:cantSplit/>
        </w:trPr>
        <w:tc>
          <w:tcPr>
            <w:tcW w:w="3784" w:type="dxa"/>
          </w:tcPr>
          <w:p w14:paraId="506C8218" w14:textId="77777777" w:rsidR="00824130" w:rsidRDefault="00824130">
            <w:pPr>
              <w:pStyle w:val="BodyText"/>
              <w:spacing w:after="240"/>
              <w:rPr>
                <w:sz w:val="26"/>
                <w:szCs w:val="26"/>
              </w:rPr>
            </w:pPr>
            <w:r>
              <w:rPr>
                <w:sz w:val="26"/>
                <w:szCs w:val="26"/>
              </w:rPr>
              <w:t>FPA</w:t>
            </w:r>
          </w:p>
        </w:tc>
        <w:tc>
          <w:tcPr>
            <w:tcW w:w="5086" w:type="dxa"/>
          </w:tcPr>
          <w:p w14:paraId="6DC7AA9B" w14:textId="77777777" w:rsidR="00824130" w:rsidRDefault="00824130">
            <w:pPr>
              <w:pStyle w:val="BodyText"/>
              <w:spacing w:after="240"/>
              <w:rPr>
                <w:sz w:val="26"/>
                <w:szCs w:val="26"/>
              </w:rPr>
            </w:pPr>
            <w:r>
              <w:rPr>
                <w:sz w:val="26"/>
                <w:szCs w:val="26"/>
              </w:rPr>
              <w:t>Federal Power Act</w:t>
            </w:r>
          </w:p>
        </w:tc>
      </w:tr>
      <w:tr w:rsidR="00824130" w:rsidRPr="00D61D10" w14:paraId="2BCFD8DA" w14:textId="77777777">
        <w:trPr>
          <w:cantSplit/>
        </w:trPr>
        <w:tc>
          <w:tcPr>
            <w:tcW w:w="3784" w:type="dxa"/>
          </w:tcPr>
          <w:p w14:paraId="488ADAFE" w14:textId="77777777" w:rsidR="00824130" w:rsidRDefault="00824130">
            <w:pPr>
              <w:pStyle w:val="BodyText"/>
              <w:spacing w:after="240"/>
              <w:rPr>
                <w:sz w:val="26"/>
                <w:szCs w:val="26"/>
              </w:rPr>
            </w:pPr>
            <w:r>
              <w:rPr>
                <w:sz w:val="26"/>
                <w:szCs w:val="26"/>
              </w:rPr>
              <w:t>FTRs</w:t>
            </w:r>
          </w:p>
        </w:tc>
        <w:tc>
          <w:tcPr>
            <w:tcW w:w="5086" w:type="dxa"/>
          </w:tcPr>
          <w:p w14:paraId="12002D20" w14:textId="77777777" w:rsidR="00824130" w:rsidRDefault="00824130">
            <w:pPr>
              <w:pStyle w:val="BodyText"/>
              <w:spacing w:after="240"/>
              <w:rPr>
                <w:sz w:val="26"/>
                <w:szCs w:val="26"/>
              </w:rPr>
            </w:pPr>
            <w:r>
              <w:rPr>
                <w:sz w:val="26"/>
                <w:szCs w:val="26"/>
              </w:rPr>
              <w:t>Firm Transmission Rights</w:t>
            </w:r>
          </w:p>
        </w:tc>
      </w:tr>
      <w:tr w:rsidR="00824130" w:rsidRPr="00D61D10" w14:paraId="0879E624" w14:textId="77777777">
        <w:trPr>
          <w:cantSplit/>
        </w:trPr>
        <w:tc>
          <w:tcPr>
            <w:tcW w:w="3784" w:type="dxa"/>
          </w:tcPr>
          <w:p w14:paraId="5FBEEDD3" w14:textId="77777777" w:rsidR="00824130" w:rsidRDefault="00824130">
            <w:pPr>
              <w:pStyle w:val="BodyText"/>
              <w:spacing w:after="240"/>
              <w:rPr>
                <w:sz w:val="26"/>
                <w:szCs w:val="26"/>
              </w:rPr>
            </w:pPr>
            <w:r>
              <w:rPr>
                <w:sz w:val="26"/>
                <w:szCs w:val="26"/>
              </w:rPr>
              <w:t>GE</w:t>
            </w:r>
          </w:p>
        </w:tc>
        <w:tc>
          <w:tcPr>
            <w:tcW w:w="5086" w:type="dxa"/>
          </w:tcPr>
          <w:p w14:paraId="3AB68E32" w14:textId="77777777" w:rsidR="00824130" w:rsidRDefault="00824130">
            <w:pPr>
              <w:pStyle w:val="BodyText"/>
              <w:spacing w:after="240"/>
              <w:rPr>
                <w:sz w:val="26"/>
                <w:szCs w:val="26"/>
              </w:rPr>
            </w:pPr>
            <w:r>
              <w:rPr>
                <w:sz w:val="26"/>
                <w:szCs w:val="26"/>
              </w:rPr>
              <w:t>Governmental Entity</w:t>
            </w:r>
          </w:p>
        </w:tc>
      </w:tr>
      <w:tr w:rsidR="00824130" w:rsidRPr="00D61D10" w14:paraId="1F05C455" w14:textId="77777777">
        <w:trPr>
          <w:cantSplit/>
        </w:trPr>
        <w:tc>
          <w:tcPr>
            <w:tcW w:w="3784" w:type="dxa"/>
          </w:tcPr>
          <w:p w14:paraId="477E9B9D" w14:textId="77777777" w:rsidR="00824130" w:rsidRDefault="00824130">
            <w:pPr>
              <w:pStyle w:val="BodyText"/>
              <w:spacing w:after="240"/>
              <w:rPr>
                <w:sz w:val="26"/>
                <w:szCs w:val="26"/>
              </w:rPr>
            </w:pPr>
            <w:smartTag w:uri="urn:schemas-microsoft-com:office:smarttags" w:element="place">
              <w:smartTag w:uri="urn:schemas-microsoft-com:office:smarttags" w:element="City">
                <w:r>
                  <w:rPr>
                    <w:sz w:val="26"/>
                    <w:szCs w:val="26"/>
                  </w:rPr>
                  <w:t>Glendale</w:t>
                </w:r>
              </w:smartTag>
            </w:smartTag>
          </w:p>
        </w:tc>
        <w:tc>
          <w:tcPr>
            <w:tcW w:w="5086" w:type="dxa"/>
          </w:tcPr>
          <w:p w14:paraId="5F24BA23" w14:textId="77777777" w:rsidR="00824130" w:rsidRDefault="00824130">
            <w:pPr>
              <w:pStyle w:val="BodyText"/>
              <w:spacing w:after="240"/>
              <w:rPr>
                <w:sz w:val="26"/>
                <w:szCs w:val="26"/>
              </w:rPr>
            </w:pPr>
            <w:r>
              <w:rPr>
                <w:sz w:val="26"/>
                <w:szCs w:val="26"/>
              </w:rPr>
              <w:t xml:space="preserve">City of </w:t>
            </w:r>
            <w:smartTag w:uri="urn:schemas-microsoft-com:office:smarttags" w:element="place">
              <w:smartTag w:uri="urn:schemas-microsoft-com:office:smarttags" w:element="City">
                <w:r>
                  <w:rPr>
                    <w:sz w:val="26"/>
                    <w:szCs w:val="26"/>
                  </w:rPr>
                  <w:t>Glendale</w:t>
                </w:r>
              </w:smartTag>
            </w:smartTag>
          </w:p>
        </w:tc>
      </w:tr>
      <w:tr w:rsidR="00824130" w:rsidRPr="00D61D10" w14:paraId="081E4621" w14:textId="77777777">
        <w:trPr>
          <w:cantSplit/>
        </w:trPr>
        <w:tc>
          <w:tcPr>
            <w:tcW w:w="3784" w:type="dxa"/>
          </w:tcPr>
          <w:p w14:paraId="3B49AEC5" w14:textId="77777777" w:rsidR="00824130" w:rsidRDefault="00824130">
            <w:pPr>
              <w:pStyle w:val="BodyText"/>
              <w:spacing w:after="240"/>
              <w:rPr>
                <w:sz w:val="26"/>
                <w:szCs w:val="26"/>
              </w:rPr>
            </w:pPr>
            <w:r>
              <w:rPr>
                <w:sz w:val="26"/>
                <w:szCs w:val="26"/>
              </w:rPr>
              <w:t>HV</w:t>
            </w:r>
          </w:p>
        </w:tc>
        <w:tc>
          <w:tcPr>
            <w:tcW w:w="5086" w:type="dxa"/>
          </w:tcPr>
          <w:p w14:paraId="14C296C2" w14:textId="77777777" w:rsidR="00824130" w:rsidRDefault="00824130">
            <w:pPr>
              <w:pStyle w:val="BodyText"/>
              <w:spacing w:after="240"/>
              <w:rPr>
                <w:sz w:val="26"/>
                <w:szCs w:val="26"/>
              </w:rPr>
            </w:pPr>
            <w:r>
              <w:rPr>
                <w:sz w:val="26"/>
                <w:szCs w:val="26"/>
              </w:rPr>
              <w:t>High Voltage</w:t>
            </w:r>
          </w:p>
        </w:tc>
      </w:tr>
      <w:tr w:rsidR="00824130" w:rsidRPr="00D61D10" w14:paraId="759C453E" w14:textId="77777777">
        <w:trPr>
          <w:cantSplit/>
        </w:trPr>
        <w:tc>
          <w:tcPr>
            <w:tcW w:w="3784" w:type="dxa"/>
          </w:tcPr>
          <w:p w14:paraId="0C751591" w14:textId="77777777" w:rsidR="00824130" w:rsidRPr="00D61D10" w:rsidRDefault="00824130">
            <w:pPr>
              <w:pStyle w:val="BodyText"/>
              <w:spacing w:after="240"/>
              <w:rPr>
                <w:sz w:val="26"/>
                <w:szCs w:val="26"/>
              </w:rPr>
            </w:pPr>
            <w:r>
              <w:rPr>
                <w:sz w:val="26"/>
                <w:szCs w:val="26"/>
              </w:rPr>
              <w:t>HVAC or HV access charge</w:t>
            </w:r>
          </w:p>
        </w:tc>
        <w:tc>
          <w:tcPr>
            <w:tcW w:w="5086" w:type="dxa"/>
          </w:tcPr>
          <w:p w14:paraId="02C90A49" w14:textId="77777777" w:rsidR="00824130" w:rsidRPr="00D61D10" w:rsidRDefault="00824130">
            <w:pPr>
              <w:pStyle w:val="BodyText"/>
              <w:spacing w:after="240"/>
              <w:rPr>
                <w:sz w:val="26"/>
                <w:szCs w:val="26"/>
              </w:rPr>
            </w:pPr>
            <w:r>
              <w:rPr>
                <w:sz w:val="26"/>
                <w:szCs w:val="26"/>
              </w:rPr>
              <w:t>High Voltage Access Charge</w:t>
            </w:r>
          </w:p>
        </w:tc>
      </w:tr>
      <w:tr w:rsidR="00824130" w:rsidRPr="00D61D10" w14:paraId="409107B9" w14:textId="77777777">
        <w:trPr>
          <w:cantSplit/>
        </w:trPr>
        <w:tc>
          <w:tcPr>
            <w:tcW w:w="3784" w:type="dxa"/>
          </w:tcPr>
          <w:p w14:paraId="07195A9C" w14:textId="77777777" w:rsidR="00824130" w:rsidRPr="00D61D10" w:rsidRDefault="00824130">
            <w:pPr>
              <w:pStyle w:val="BodyText"/>
              <w:spacing w:after="240"/>
              <w:rPr>
                <w:sz w:val="26"/>
                <w:szCs w:val="26"/>
              </w:rPr>
            </w:pPr>
            <w:r>
              <w:rPr>
                <w:sz w:val="26"/>
                <w:szCs w:val="26"/>
              </w:rPr>
              <w:t>HVTRR</w:t>
            </w:r>
          </w:p>
        </w:tc>
        <w:tc>
          <w:tcPr>
            <w:tcW w:w="5086" w:type="dxa"/>
          </w:tcPr>
          <w:p w14:paraId="72B5B942" w14:textId="77777777" w:rsidR="00824130" w:rsidRPr="00D61D10" w:rsidRDefault="00824130">
            <w:pPr>
              <w:pStyle w:val="BodyText"/>
              <w:spacing w:after="240"/>
              <w:rPr>
                <w:sz w:val="26"/>
                <w:szCs w:val="26"/>
              </w:rPr>
            </w:pPr>
            <w:r>
              <w:rPr>
                <w:sz w:val="26"/>
                <w:szCs w:val="26"/>
              </w:rPr>
              <w:t>High Voltage Transmission Revenue Requirement</w:t>
            </w:r>
          </w:p>
        </w:tc>
      </w:tr>
      <w:tr w:rsidR="00824130" w:rsidRPr="00D61D10" w14:paraId="39B07E09" w14:textId="77777777">
        <w:trPr>
          <w:cantSplit/>
        </w:trPr>
        <w:tc>
          <w:tcPr>
            <w:tcW w:w="3784" w:type="dxa"/>
          </w:tcPr>
          <w:p w14:paraId="16E209AB" w14:textId="77777777" w:rsidR="00824130" w:rsidRDefault="00824130">
            <w:pPr>
              <w:pStyle w:val="BodyText"/>
              <w:spacing w:after="240"/>
              <w:rPr>
                <w:sz w:val="26"/>
                <w:szCs w:val="26"/>
              </w:rPr>
            </w:pPr>
            <w:r>
              <w:rPr>
                <w:sz w:val="26"/>
                <w:szCs w:val="26"/>
              </w:rPr>
              <w:t>IID</w:t>
            </w:r>
          </w:p>
        </w:tc>
        <w:tc>
          <w:tcPr>
            <w:tcW w:w="5086" w:type="dxa"/>
          </w:tcPr>
          <w:p w14:paraId="7899A734" w14:textId="77777777" w:rsidR="00824130" w:rsidRDefault="00824130">
            <w:pPr>
              <w:pStyle w:val="BodyText"/>
              <w:spacing w:after="240"/>
              <w:rPr>
                <w:sz w:val="26"/>
                <w:szCs w:val="26"/>
              </w:rPr>
            </w:pPr>
            <w:r>
              <w:rPr>
                <w:sz w:val="26"/>
                <w:szCs w:val="26"/>
              </w:rPr>
              <w:t>Imperial Irrigation District</w:t>
            </w:r>
          </w:p>
        </w:tc>
      </w:tr>
      <w:tr w:rsidR="00824130" w:rsidRPr="00D61D10" w14:paraId="1489E975" w14:textId="77777777">
        <w:trPr>
          <w:cantSplit/>
        </w:trPr>
        <w:tc>
          <w:tcPr>
            <w:tcW w:w="3784" w:type="dxa"/>
          </w:tcPr>
          <w:p w14:paraId="42DFFAC2" w14:textId="77777777" w:rsidR="00824130" w:rsidRDefault="00824130">
            <w:pPr>
              <w:pStyle w:val="BodyText"/>
              <w:spacing w:after="240"/>
              <w:rPr>
                <w:sz w:val="26"/>
                <w:szCs w:val="26"/>
              </w:rPr>
            </w:pPr>
            <w:r>
              <w:rPr>
                <w:sz w:val="26"/>
                <w:szCs w:val="26"/>
              </w:rPr>
              <w:t>IOU</w:t>
            </w:r>
          </w:p>
        </w:tc>
        <w:tc>
          <w:tcPr>
            <w:tcW w:w="5086" w:type="dxa"/>
          </w:tcPr>
          <w:p w14:paraId="25A3B600" w14:textId="77777777" w:rsidR="00824130" w:rsidRDefault="00824130">
            <w:pPr>
              <w:pStyle w:val="BodyText"/>
              <w:spacing w:after="240"/>
              <w:rPr>
                <w:sz w:val="26"/>
                <w:szCs w:val="26"/>
              </w:rPr>
            </w:pPr>
            <w:r>
              <w:rPr>
                <w:sz w:val="26"/>
                <w:szCs w:val="26"/>
              </w:rPr>
              <w:t>Investor Owned Utility</w:t>
            </w:r>
          </w:p>
        </w:tc>
      </w:tr>
      <w:tr w:rsidR="00824130" w:rsidRPr="00D61D10" w14:paraId="6777E3DE" w14:textId="77777777">
        <w:trPr>
          <w:cantSplit/>
        </w:trPr>
        <w:tc>
          <w:tcPr>
            <w:tcW w:w="3784" w:type="dxa"/>
          </w:tcPr>
          <w:p w14:paraId="09CDDD9D" w14:textId="77777777" w:rsidR="00824130" w:rsidRPr="00D61D10" w:rsidRDefault="00824130">
            <w:pPr>
              <w:pStyle w:val="BodyText"/>
              <w:spacing w:after="240"/>
              <w:rPr>
                <w:sz w:val="26"/>
                <w:szCs w:val="26"/>
              </w:rPr>
            </w:pPr>
            <w:r w:rsidRPr="00D61D10">
              <w:rPr>
                <w:sz w:val="26"/>
                <w:szCs w:val="26"/>
              </w:rPr>
              <w:t>ISO</w:t>
            </w:r>
          </w:p>
        </w:tc>
        <w:tc>
          <w:tcPr>
            <w:tcW w:w="5086" w:type="dxa"/>
          </w:tcPr>
          <w:p w14:paraId="39BB74AD" w14:textId="77777777" w:rsidR="00824130" w:rsidRPr="00D61D10" w:rsidRDefault="00824130">
            <w:pPr>
              <w:pStyle w:val="BodyText"/>
              <w:spacing w:after="240"/>
              <w:rPr>
                <w:sz w:val="26"/>
                <w:szCs w:val="26"/>
              </w:rPr>
            </w:pPr>
            <w:r w:rsidRPr="00D61D10">
              <w:rPr>
                <w:sz w:val="26"/>
                <w:szCs w:val="26"/>
              </w:rPr>
              <w:t>California Independent System Operator Corporation</w:t>
            </w:r>
          </w:p>
        </w:tc>
      </w:tr>
      <w:tr w:rsidR="00824130" w:rsidRPr="00D61D10" w14:paraId="0DCDCEBD" w14:textId="77777777">
        <w:trPr>
          <w:cantSplit/>
        </w:trPr>
        <w:tc>
          <w:tcPr>
            <w:tcW w:w="3784" w:type="dxa"/>
          </w:tcPr>
          <w:p w14:paraId="7D6D9F60" w14:textId="77777777" w:rsidR="00824130" w:rsidRPr="00D61D10" w:rsidRDefault="00824130">
            <w:pPr>
              <w:pStyle w:val="BodyText"/>
              <w:spacing w:after="240"/>
              <w:rPr>
                <w:sz w:val="26"/>
                <w:szCs w:val="26"/>
              </w:rPr>
            </w:pPr>
            <w:r>
              <w:rPr>
                <w:sz w:val="26"/>
                <w:szCs w:val="26"/>
              </w:rPr>
              <w:t xml:space="preserve">LADWP </w:t>
            </w:r>
          </w:p>
        </w:tc>
        <w:tc>
          <w:tcPr>
            <w:tcW w:w="5086" w:type="dxa"/>
          </w:tcPr>
          <w:p w14:paraId="71881D02" w14:textId="77777777" w:rsidR="00824130" w:rsidRPr="00D61D10" w:rsidRDefault="00824130">
            <w:pPr>
              <w:pStyle w:val="BodyText"/>
              <w:spacing w:after="240"/>
              <w:rPr>
                <w:sz w:val="26"/>
                <w:szCs w:val="26"/>
              </w:rPr>
            </w:pPr>
            <w:r>
              <w:rPr>
                <w:sz w:val="26"/>
                <w:szCs w:val="26"/>
              </w:rPr>
              <w:t>Los Angeles Department of Water and Power</w:t>
            </w:r>
          </w:p>
        </w:tc>
      </w:tr>
      <w:tr w:rsidR="00824130" w:rsidRPr="00D61D10" w14:paraId="1726AFAD" w14:textId="77777777">
        <w:trPr>
          <w:cantSplit/>
        </w:trPr>
        <w:tc>
          <w:tcPr>
            <w:tcW w:w="3784" w:type="dxa"/>
          </w:tcPr>
          <w:p w14:paraId="2B80E9A0" w14:textId="77777777" w:rsidR="00824130" w:rsidRDefault="00824130">
            <w:pPr>
              <w:pStyle w:val="BodyText"/>
              <w:spacing w:after="240"/>
              <w:rPr>
                <w:sz w:val="26"/>
                <w:szCs w:val="26"/>
              </w:rPr>
            </w:pPr>
            <w:r>
              <w:rPr>
                <w:sz w:val="26"/>
                <w:szCs w:val="26"/>
              </w:rPr>
              <w:t>Lassen</w:t>
            </w:r>
          </w:p>
        </w:tc>
        <w:tc>
          <w:tcPr>
            <w:tcW w:w="5086" w:type="dxa"/>
          </w:tcPr>
          <w:p w14:paraId="0B8F651D" w14:textId="77777777" w:rsidR="00824130" w:rsidRDefault="00824130">
            <w:pPr>
              <w:pStyle w:val="BodyText"/>
              <w:spacing w:after="240"/>
              <w:rPr>
                <w:sz w:val="26"/>
                <w:szCs w:val="26"/>
              </w:rPr>
            </w:pPr>
            <w:r>
              <w:rPr>
                <w:sz w:val="26"/>
                <w:szCs w:val="26"/>
              </w:rPr>
              <w:t>Lassen Municipal Utility District</w:t>
            </w:r>
          </w:p>
        </w:tc>
      </w:tr>
      <w:tr w:rsidR="00824130" w:rsidRPr="00D61D10" w14:paraId="30028091" w14:textId="77777777">
        <w:trPr>
          <w:cantSplit/>
        </w:trPr>
        <w:tc>
          <w:tcPr>
            <w:tcW w:w="3784" w:type="dxa"/>
          </w:tcPr>
          <w:p w14:paraId="422E44C8" w14:textId="77777777" w:rsidR="00824130" w:rsidRDefault="00824130">
            <w:pPr>
              <w:pStyle w:val="BodyText"/>
              <w:spacing w:after="240"/>
              <w:rPr>
                <w:sz w:val="26"/>
                <w:szCs w:val="26"/>
              </w:rPr>
            </w:pPr>
            <w:r>
              <w:rPr>
                <w:sz w:val="26"/>
                <w:szCs w:val="26"/>
              </w:rPr>
              <w:t>LMP</w:t>
            </w:r>
          </w:p>
        </w:tc>
        <w:tc>
          <w:tcPr>
            <w:tcW w:w="5086" w:type="dxa"/>
          </w:tcPr>
          <w:p w14:paraId="04118AB2" w14:textId="77777777" w:rsidR="00824130" w:rsidRDefault="00824130">
            <w:pPr>
              <w:pStyle w:val="BodyText"/>
              <w:spacing w:after="240"/>
              <w:rPr>
                <w:sz w:val="26"/>
                <w:szCs w:val="26"/>
              </w:rPr>
            </w:pPr>
            <w:r>
              <w:rPr>
                <w:sz w:val="26"/>
                <w:szCs w:val="26"/>
              </w:rPr>
              <w:t>Locational Marginal Pricing</w:t>
            </w:r>
          </w:p>
        </w:tc>
      </w:tr>
      <w:tr w:rsidR="00824130" w:rsidRPr="00D61D10" w14:paraId="6A4F520B" w14:textId="77777777">
        <w:trPr>
          <w:cantSplit/>
        </w:trPr>
        <w:tc>
          <w:tcPr>
            <w:tcW w:w="3784" w:type="dxa"/>
          </w:tcPr>
          <w:p w14:paraId="6B0B1377" w14:textId="77777777" w:rsidR="00824130" w:rsidRDefault="00824130">
            <w:pPr>
              <w:pStyle w:val="BodyText"/>
              <w:spacing w:after="240"/>
              <w:rPr>
                <w:sz w:val="26"/>
                <w:szCs w:val="26"/>
              </w:rPr>
            </w:pPr>
            <w:r>
              <w:rPr>
                <w:sz w:val="26"/>
                <w:szCs w:val="26"/>
              </w:rPr>
              <w:t>LSE</w:t>
            </w:r>
          </w:p>
        </w:tc>
        <w:tc>
          <w:tcPr>
            <w:tcW w:w="5086" w:type="dxa"/>
          </w:tcPr>
          <w:p w14:paraId="22F69F70" w14:textId="77777777" w:rsidR="00824130" w:rsidRDefault="00824130">
            <w:pPr>
              <w:pStyle w:val="BodyText"/>
              <w:spacing w:after="240"/>
              <w:rPr>
                <w:sz w:val="26"/>
                <w:szCs w:val="26"/>
              </w:rPr>
            </w:pPr>
            <w:r>
              <w:rPr>
                <w:sz w:val="26"/>
                <w:szCs w:val="26"/>
              </w:rPr>
              <w:t>Load Serving Entity</w:t>
            </w:r>
          </w:p>
        </w:tc>
      </w:tr>
      <w:tr w:rsidR="00824130" w:rsidRPr="00D61D10" w14:paraId="19CF3A86" w14:textId="77777777">
        <w:trPr>
          <w:cantSplit/>
        </w:trPr>
        <w:tc>
          <w:tcPr>
            <w:tcW w:w="3784" w:type="dxa"/>
          </w:tcPr>
          <w:p w14:paraId="000B5F58" w14:textId="77777777" w:rsidR="00824130" w:rsidRDefault="00824130">
            <w:pPr>
              <w:pStyle w:val="BodyText"/>
              <w:spacing w:after="240"/>
              <w:rPr>
                <w:sz w:val="26"/>
                <w:szCs w:val="26"/>
              </w:rPr>
            </w:pPr>
            <w:smartTag w:uri="urn:schemas-microsoft-com:office:smarttags" w:element="place">
              <w:smartTag w:uri="urn:schemas-microsoft-com:office:smarttags" w:element="City">
                <w:r>
                  <w:rPr>
                    <w:sz w:val="26"/>
                    <w:szCs w:val="26"/>
                  </w:rPr>
                  <w:t>LV</w:t>
                </w:r>
              </w:smartTag>
            </w:smartTag>
          </w:p>
        </w:tc>
        <w:tc>
          <w:tcPr>
            <w:tcW w:w="5086" w:type="dxa"/>
          </w:tcPr>
          <w:p w14:paraId="4F55634C" w14:textId="77777777" w:rsidR="00824130" w:rsidRDefault="00824130">
            <w:pPr>
              <w:pStyle w:val="BodyText"/>
              <w:spacing w:after="240"/>
              <w:rPr>
                <w:sz w:val="26"/>
                <w:szCs w:val="26"/>
              </w:rPr>
            </w:pPr>
            <w:r>
              <w:rPr>
                <w:sz w:val="26"/>
                <w:szCs w:val="26"/>
              </w:rPr>
              <w:t xml:space="preserve">Low Voltage </w:t>
            </w:r>
          </w:p>
        </w:tc>
      </w:tr>
      <w:tr w:rsidR="00824130" w:rsidRPr="00D61D10" w14:paraId="4830C25F" w14:textId="77777777">
        <w:trPr>
          <w:cantSplit/>
        </w:trPr>
        <w:tc>
          <w:tcPr>
            <w:tcW w:w="3784" w:type="dxa"/>
          </w:tcPr>
          <w:p w14:paraId="3E04D49C" w14:textId="77777777" w:rsidR="00824130" w:rsidRDefault="00824130">
            <w:pPr>
              <w:pStyle w:val="BodyText"/>
              <w:spacing w:after="240"/>
              <w:rPr>
                <w:sz w:val="26"/>
                <w:szCs w:val="26"/>
              </w:rPr>
            </w:pPr>
            <w:r>
              <w:rPr>
                <w:sz w:val="26"/>
                <w:szCs w:val="26"/>
              </w:rPr>
              <w:t>LVTRR</w:t>
            </w:r>
          </w:p>
        </w:tc>
        <w:tc>
          <w:tcPr>
            <w:tcW w:w="5086" w:type="dxa"/>
          </w:tcPr>
          <w:p w14:paraId="5A5D4BC6" w14:textId="77777777" w:rsidR="00824130" w:rsidRDefault="00824130">
            <w:pPr>
              <w:pStyle w:val="BodyText"/>
              <w:spacing w:after="240"/>
              <w:rPr>
                <w:sz w:val="26"/>
                <w:szCs w:val="26"/>
              </w:rPr>
            </w:pPr>
            <w:r>
              <w:rPr>
                <w:sz w:val="26"/>
                <w:szCs w:val="26"/>
              </w:rPr>
              <w:t>Low Voltage Transmission Revenue Requirement</w:t>
            </w:r>
          </w:p>
        </w:tc>
      </w:tr>
      <w:tr w:rsidR="00824130" w:rsidRPr="00D61D10" w14:paraId="59AFF4F5" w14:textId="77777777">
        <w:trPr>
          <w:cantSplit/>
        </w:trPr>
        <w:tc>
          <w:tcPr>
            <w:tcW w:w="3784" w:type="dxa"/>
          </w:tcPr>
          <w:p w14:paraId="119D8F61" w14:textId="77777777" w:rsidR="00824130" w:rsidRDefault="00824130">
            <w:pPr>
              <w:pStyle w:val="BodyText"/>
              <w:spacing w:after="240"/>
              <w:rPr>
                <w:sz w:val="26"/>
                <w:szCs w:val="26"/>
              </w:rPr>
            </w:pPr>
            <w:r>
              <w:rPr>
                <w:sz w:val="26"/>
                <w:szCs w:val="26"/>
              </w:rPr>
              <w:t>MD02</w:t>
            </w:r>
          </w:p>
        </w:tc>
        <w:tc>
          <w:tcPr>
            <w:tcW w:w="5086" w:type="dxa"/>
          </w:tcPr>
          <w:p w14:paraId="6492400C" w14:textId="77777777" w:rsidR="00824130" w:rsidRDefault="00824130">
            <w:pPr>
              <w:pStyle w:val="BodyText"/>
              <w:spacing w:after="240"/>
              <w:rPr>
                <w:sz w:val="26"/>
                <w:szCs w:val="26"/>
              </w:rPr>
            </w:pPr>
            <w:r>
              <w:rPr>
                <w:sz w:val="26"/>
                <w:szCs w:val="26"/>
              </w:rPr>
              <w:t>ISO’s Market Redesign proposal</w:t>
            </w:r>
          </w:p>
        </w:tc>
      </w:tr>
      <w:tr w:rsidR="00824130" w:rsidRPr="00D61D10" w14:paraId="2C374A8B" w14:textId="77777777">
        <w:trPr>
          <w:cantSplit/>
        </w:trPr>
        <w:tc>
          <w:tcPr>
            <w:tcW w:w="3784" w:type="dxa"/>
          </w:tcPr>
          <w:p w14:paraId="4E554AB9" w14:textId="77777777" w:rsidR="00824130" w:rsidRPr="00D61D10" w:rsidRDefault="00824130">
            <w:pPr>
              <w:pStyle w:val="BodyText"/>
              <w:spacing w:after="240"/>
              <w:rPr>
                <w:sz w:val="26"/>
                <w:szCs w:val="26"/>
              </w:rPr>
            </w:pPr>
            <w:r>
              <w:rPr>
                <w:sz w:val="26"/>
                <w:szCs w:val="26"/>
              </w:rPr>
              <w:t>MID</w:t>
            </w:r>
          </w:p>
        </w:tc>
        <w:tc>
          <w:tcPr>
            <w:tcW w:w="5086" w:type="dxa"/>
          </w:tcPr>
          <w:p w14:paraId="39206E61" w14:textId="77777777" w:rsidR="00824130" w:rsidRPr="00D61D10" w:rsidRDefault="00824130">
            <w:pPr>
              <w:pStyle w:val="BodyText"/>
              <w:spacing w:after="240"/>
              <w:rPr>
                <w:sz w:val="26"/>
                <w:szCs w:val="26"/>
              </w:rPr>
            </w:pPr>
            <w:r>
              <w:rPr>
                <w:sz w:val="26"/>
                <w:szCs w:val="26"/>
              </w:rPr>
              <w:t>Modesto Irrigation District</w:t>
            </w:r>
          </w:p>
        </w:tc>
      </w:tr>
      <w:tr w:rsidR="00824130" w:rsidRPr="00D61D10" w14:paraId="4C80D1A7" w14:textId="77777777">
        <w:trPr>
          <w:cantSplit/>
        </w:trPr>
        <w:tc>
          <w:tcPr>
            <w:tcW w:w="3784" w:type="dxa"/>
          </w:tcPr>
          <w:p w14:paraId="60337F06" w14:textId="77777777" w:rsidR="00824130" w:rsidRDefault="00824130">
            <w:pPr>
              <w:pStyle w:val="BodyText"/>
              <w:spacing w:after="240"/>
              <w:rPr>
                <w:sz w:val="26"/>
                <w:szCs w:val="26"/>
              </w:rPr>
            </w:pPr>
            <w:r>
              <w:rPr>
                <w:sz w:val="26"/>
                <w:szCs w:val="26"/>
              </w:rPr>
              <w:t>MSS</w:t>
            </w:r>
          </w:p>
        </w:tc>
        <w:tc>
          <w:tcPr>
            <w:tcW w:w="5086" w:type="dxa"/>
          </w:tcPr>
          <w:p w14:paraId="329D02CA" w14:textId="77777777" w:rsidR="00824130" w:rsidRDefault="00824130">
            <w:pPr>
              <w:pStyle w:val="BodyText"/>
              <w:spacing w:after="240"/>
              <w:rPr>
                <w:sz w:val="26"/>
                <w:szCs w:val="26"/>
              </w:rPr>
            </w:pPr>
            <w:r>
              <w:rPr>
                <w:sz w:val="26"/>
                <w:szCs w:val="26"/>
              </w:rPr>
              <w:t>Metered Subsystem</w:t>
            </w:r>
          </w:p>
        </w:tc>
      </w:tr>
      <w:tr w:rsidR="00824130" w:rsidRPr="00D61D10" w14:paraId="67455D3B" w14:textId="77777777">
        <w:trPr>
          <w:cantSplit/>
        </w:trPr>
        <w:tc>
          <w:tcPr>
            <w:tcW w:w="3784" w:type="dxa"/>
          </w:tcPr>
          <w:p w14:paraId="04F7DE72" w14:textId="77777777" w:rsidR="00824130" w:rsidRPr="00D61D10" w:rsidRDefault="00824130">
            <w:pPr>
              <w:pStyle w:val="BodyText"/>
              <w:spacing w:after="240"/>
              <w:rPr>
                <w:sz w:val="26"/>
                <w:szCs w:val="26"/>
              </w:rPr>
            </w:pPr>
            <w:r>
              <w:rPr>
                <w:sz w:val="26"/>
                <w:szCs w:val="26"/>
              </w:rPr>
              <w:t>MWD</w:t>
            </w:r>
          </w:p>
        </w:tc>
        <w:tc>
          <w:tcPr>
            <w:tcW w:w="5086" w:type="dxa"/>
          </w:tcPr>
          <w:p w14:paraId="341D68AC" w14:textId="77777777" w:rsidR="00824130" w:rsidRDefault="00824130">
            <w:pPr>
              <w:pStyle w:val="BodyText"/>
              <w:spacing w:after="240"/>
              <w:rPr>
                <w:sz w:val="26"/>
                <w:szCs w:val="26"/>
              </w:rPr>
            </w:pPr>
            <w:r>
              <w:rPr>
                <w:sz w:val="26"/>
                <w:szCs w:val="26"/>
              </w:rPr>
              <w:t>Metropolitan Water District</w:t>
            </w:r>
          </w:p>
        </w:tc>
      </w:tr>
      <w:tr w:rsidR="00824130" w:rsidRPr="00D61D10" w14:paraId="0C53BF4A" w14:textId="77777777">
        <w:trPr>
          <w:cantSplit/>
        </w:trPr>
        <w:tc>
          <w:tcPr>
            <w:tcW w:w="3784" w:type="dxa"/>
          </w:tcPr>
          <w:p w14:paraId="6B169CF6" w14:textId="77777777" w:rsidR="00824130" w:rsidRDefault="00824130">
            <w:pPr>
              <w:pStyle w:val="BodyText"/>
              <w:spacing w:after="240"/>
              <w:rPr>
                <w:sz w:val="26"/>
                <w:szCs w:val="26"/>
              </w:rPr>
            </w:pPr>
            <w:r>
              <w:rPr>
                <w:sz w:val="26"/>
                <w:szCs w:val="26"/>
              </w:rPr>
              <w:t>MWh</w:t>
            </w:r>
          </w:p>
        </w:tc>
        <w:tc>
          <w:tcPr>
            <w:tcW w:w="5086" w:type="dxa"/>
          </w:tcPr>
          <w:p w14:paraId="5D908539" w14:textId="77777777" w:rsidR="00824130" w:rsidRDefault="00824130">
            <w:pPr>
              <w:pStyle w:val="BodyText"/>
              <w:spacing w:after="240"/>
              <w:rPr>
                <w:sz w:val="26"/>
                <w:szCs w:val="26"/>
              </w:rPr>
            </w:pPr>
            <w:r>
              <w:rPr>
                <w:sz w:val="26"/>
                <w:szCs w:val="26"/>
              </w:rPr>
              <w:t>Megawatt/hour</w:t>
            </w:r>
          </w:p>
        </w:tc>
      </w:tr>
      <w:tr w:rsidR="00824130" w:rsidRPr="00D61D10" w14:paraId="58C9E1B1" w14:textId="77777777">
        <w:trPr>
          <w:cantSplit/>
        </w:trPr>
        <w:tc>
          <w:tcPr>
            <w:tcW w:w="3784" w:type="dxa"/>
          </w:tcPr>
          <w:p w14:paraId="03DE3CB9" w14:textId="77777777" w:rsidR="00824130" w:rsidRPr="00D61D10" w:rsidRDefault="00824130">
            <w:pPr>
              <w:pStyle w:val="BodyText"/>
              <w:spacing w:after="240"/>
              <w:rPr>
                <w:sz w:val="26"/>
                <w:szCs w:val="26"/>
              </w:rPr>
            </w:pPr>
            <w:r w:rsidRPr="00D61D10">
              <w:rPr>
                <w:sz w:val="26"/>
                <w:szCs w:val="26"/>
              </w:rPr>
              <w:t>NCPA</w:t>
            </w:r>
          </w:p>
        </w:tc>
        <w:tc>
          <w:tcPr>
            <w:tcW w:w="5086" w:type="dxa"/>
          </w:tcPr>
          <w:p w14:paraId="7FCC3994" w14:textId="77777777" w:rsidR="00824130" w:rsidRPr="00D61D10" w:rsidRDefault="00824130">
            <w:pPr>
              <w:pStyle w:val="BodyText"/>
              <w:spacing w:after="240"/>
              <w:rPr>
                <w:sz w:val="26"/>
                <w:szCs w:val="26"/>
              </w:rPr>
            </w:pPr>
            <w:r>
              <w:rPr>
                <w:sz w:val="26"/>
                <w:szCs w:val="26"/>
              </w:rPr>
              <w:t>Northern California Power Agency</w:t>
            </w:r>
          </w:p>
        </w:tc>
      </w:tr>
      <w:tr w:rsidR="00824130" w:rsidRPr="00D61D10" w14:paraId="2253EAC8" w14:textId="77777777">
        <w:trPr>
          <w:cantSplit/>
        </w:trPr>
        <w:tc>
          <w:tcPr>
            <w:tcW w:w="3784" w:type="dxa"/>
          </w:tcPr>
          <w:p w14:paraId="53E4381D" w14:textId="77777777" w:rsidR="00824130" w:rsidRPr="00D61D10" w:rsidRDefault="00824130">
            <w:pPr>
              <w:pStyle w:val="BodyText"/>
              <w:spacing w:after="240"/>
              <w:rPr>
                <w:sz w:val="26"/>
                <w:szCs w:val="26"/>
              </w:rPr>
            </w:pPr>
            <w:r>
              <w:rPr>
                <w:sz w:val="26"/>
                <w:szCs w:val="26"/>
              </w:rPr>
              <w:t>OPTO</w:t>
            </w:r>
          </w:p>
        </w:tc>
        <w:tc>
          <w:tcPr>
            <w:tcW w:w="5086" w:type="dxa"/>
          </w:tcPr>
          <w:p w14:paraId="75499131" w14:textId="77777777" w:rsidR="00824130" w:rsidRDefault="00824130">
            <w:pPr>
              <w:pStyle w:val="BodyText"/>
              <w:spacing w:after="240"/>
              <w:rPr>
                <w:sz w:val="26"/>
                <w:szCs w:val="26"/>
              </w:rPr>
            </w:pPr>
            <w:r>
              <w:rPr>
                <w:sz w:val="26"/>
                <w:szCs w:val="26"/>
              </w:rPr>
              <w:t>Old Participating Transmission Owner</w:t>
            </w:r>
          </w:p>
        </w:tc>
      </w:tr>
      <w:tr w:rsidR="00824130" w:rsidRPr="00D61D10" w14:paraId="3D7DDF8B" w14:textId="77777777">
        <w:trPr>
          <w:cantSplit/>
        </w:trPr>
        <w:tc>
          <w:tcPr>
            <w:tcW w:w="3784" w:type="dxa"/>
          </w:tcPr>
          <w:p w14:paraId="0862B661" w14:textId="77777777" w:rsidR="00824130" w:rsidRPr="00D61D10" w:rsidRDefault="00824130">
            <w:pPr>
              <w:pStyle w:val="BodyText"/>
              <w:spacing w:after="240"/>
              <w:rPr>
                <w:sz w:val="26"/>
                <w:szCs w:val="26"/>
              </w:rPr>
            </w:pPr>
            <w:r w:rsidRPr="00D61D10">
              <w:rPr>
                <w:sz w:val="26"/>
                <w:szCs w:val="26"/>
              </w:rPr>
              <w:t>Participating TOs</w:t>
            </w:r>
            <w:r>
              <w:rPr>
                <w:sz w:val="26"/>
                <w:szCs w:val="26"/>
              </w:rPr>
              <w:t xml:space="preserve"> or PTOs</w:t>
            </w:r>
          </w:p>
        </w:tc>
        <w:tc>
          <w:tcPr>
            <w:tcW w:w="5086" w:type="dxa"/>
          </w:tcPr>
          <w:p w14:paraId="4DFB51CC" w14:textId="77777777" w:rsidR="00824130" w:rsidRPr="00D61D10" w:rsidRDefault="00824130">
            <w:pPr>
              <w:pStyle w:val="BodyText"/>
              <w:spacing w:after="240"/>
              <w:rPr>
                <w:sz w:val="26"/>
                <w:szCs w:val="26"/>
              </w:rPr>
            </w:pPr>
            <w:r>
              <w:rPr>
                <w:sz w:val="26"/>
                <w:szCs w:val="26"/>
              </w:rPr>
              <w:t>Transmission Owners that have turned over Operational Control of their transmission facilities and Entitlements to the ISO</w:t>
            </w:r>
          </w:p>
        </w:tc>
      </w:tr>
      <w:tr w:rsidR="00824130" w:rsidRPr="00D61D10" w14:paraId="31A4E231" w14:textId="77777777">
        <w:trPr>
          <w:cantSplit/>
        </w:trPr>
        <w:tc>
          <w:tcPr>
            <w:tcW w:w="3784" w:type="dxa"/>
          </w:tcPr>
          <w:p w14:paraId="20F5A892" w14:textId="77777777" w:rsidR="00824130" w:rsidRPr="00D61D10" w:rsidRDefault="00824130">
            <w:pPr>
              <w:pStyle w:val="BodyText"/>
              <w:spacing w:after="240"/>
              <w:rPr>
                <w:sz w:val="26"/>
                <w:szCs w:val="26"/>
              </w:rPr>
            </w:pPr>
            <w:r w:rsidRPr="00D61D10">
              <w:rPr>
                <w:sz w:val="26"/>
                <w:szCs w:val="26"/>
              </w:rPr>
              <w:t>PG&amp;E</w:t>
            </w:r>
          </w:p>
        </w:tc>
        <w:tc>
          <w:tcPr>
            <w:tcW w:w="5086" w:type="dxa"/>
          </w:tcPr>
          <w:p w14:paraId="0B50B10C" w14:textId="77777777" w:rsidR="00824130" w:rsidRPr="00D61D10" w:rsidRDefault="00824130">
            <w:pPr>
              <w:pStyle w:val="BodyText"/>
              <w:spacing w:after="240"/>
              <w:rPr>
                <w:sz w:val="26"/>
                <w:szCs w:val="26"/>
              </w:rPr>
            </w:pPr>
            <w:r w:rsidRPr="00D61D10">
              <w:rPr>
                <w:sz w:val="26"/>
                <w:szCs w:val="26"/>
              </w:rPr>
              <w:t>Pacific Gas and Electric Company</w:t>
            </w:r>
          </w:p>
        </w:tc>
      </w:tr>
      <w:tr w:rsidR="00824130" w:rsidRPr="00D61D10" w14:paraId="16C3B592" w14:textId="77777777">
        <w:trPr>
          <w:cantSplit/>
        </w:trPr>
        <w:tc>
          <w:tcPr>
            <w:tcW w:w="3784" w:type="dxa"/>
          </w:tcPr>
          <w:p w14:paraId="1D863A8F" w14:textId="77777777" w:rsidR="00824130" w:rsidRPr="00D61D10" w:rsidRDefault="00824130">
            <w:pPr>
              <w:pStyle w:val="BodyText"/>
              <w:spacing w:after="240"/>
              <w:rPr>
                <w:sz w:val="26"/>
                <w:szCs w:val="26"/>
              </w:rPr>
            </w:pPr>
            <w:r>
              <w:rPr>
                <w:sz w:val="26"/>
                <w:szCs w:val="26"/>
              </w:rPr>
              <w:t>QF</w:t>
            </w:r>
          </w:p>
        </w:tc>
        <w:tc>
          <w:tcPr>
            <w:tcW w:w="5086" w:type="dxa"/>
          </w:tcPr>
          <w:p w14:paraId="418141BD" w14:textId="77777777" w:rsidR="00824130" w:rsidRPr="00D61D10" w:rsidRDefault="00824130">
            <w:pPr>
              <w:pStyle w:val="BodyText"/>
              <w:spacing w:after="240"/>
              <w:rPr>
                <w:sz w:val="26"/>
                <w:szCs w:val="26"/>
              </w:rPr>
            </w:pPr>
            <w:r>
              <w:rPr>
                <w:sz w:val="26"/>
                <w:szCs w:val="26"/>
              </w:rPr>
              <w:t xml:space="preserve">Qualifying Facility </w:t>
            </w:r>
          </w:p>
        </w:tc>
      </w:tr>
      <w:tr w:rsidR="00824130" w:rsidRPr="00D61D10" w14:paraId="64A0D53D" w14:textId="77777777">
        <w:trPr>
          <w:cantSplit/>
        </w:trPr>
        <w:tc>
          <w:tcPr>
            <w:tcW w:w="3784" w:type="dxa"/>
          </w:tcPr>
          <w:p w14:paraId="6D196792" w14:textId="77777777" w:rsidR="00824130" w:rsidRDefault="00824130">
            <w:pPr>
              <w:pStyle w:val="BodyText"/>
              <w:spacing w:after="240"/>
              <w:rPr>
                <w:sz w:val="26"/>
                <w:szCs w:val="26"/>
              </w:rPr>
            </w:pPr>
            <w:r>
              <w:rPr>
                <w:sz w:val="26"/>
                <w:szCs w:val="26"/>
              </w:rPr>
              <w:t>RTO</w:t>
            </w:r>
          </w:p>
        </w:tc>
        <w:tc>
          <w:tcPr>
            <w:tcW w:w="5086" w:type="dxa"/>
          </w:tcPr>
          <w:p w14:paraId="02A73B76" w14:textId="77777777" w:rsidR="00824130" w:rsidRDefault="00824130">
            <w:pPr>
              <w:pStyle w:val="BodyText"/>
              <w:spacing w:after="240"/>
              <w:rPr>
                <w:sz w:val="26"/>
                <w:szCs w:val="26"/>
              </w:rPr>
            </w:pPr>
            <w:r>
              <w:rPr>
                <w:sz w:val="26"/>
                <w:szCs w:val="26"/>
              </w:rPr>
              <w:t>Regional Transmission Organization</w:t>
            </w:r>
          </w:p>
        </w:tc>
      </w:tr>
      <w:tr w:rsidR="00824130" w:rsidRPr="00D61D10" w14:paraId="4B58D529" w14:textId="77777777">
        <w:trPr>
          <w:cantSplit/>
        </w:trPr>
        <w:tc>
          <w:tcPr>
            <w:tcW w:w="3784" w:type="dxa"/>
          </w:tcPr>
          <w:p w14:paraId="092167EC" w14:textId="77777777" w:rsidR="00824130" w:rsidRPr="00D61D10" w:rsidRDefault="00824130">
            <w:pPr>
              <w:pStyle w:val="BodyText"/>
              <w:spacing w:after="240"/>
              <w:rPr>
                <w:sz w:val="26"/>
                <w:szCs w:val="26"/>
              </w:rPr>
            </w:pPr>
            <w:smartTag w:uri="urn:schemas-microsoft-com:office:smarttags" w:element="place">
              <w:smartTag w:uri="urn:schemas-microsoft-com:office:smarttags" w:element="City">
                <w:r>
                  <w:rPr>
                    <w:sz w:val="26"/>
                    <w:szCs w:val="26"/>
                  </w:rPr>
                  <w:t>San Francisco</w:t>
                </w:r>
              </w:smartTag>
            </w:smartTag>
          </w:p>
        </w:tc>
        <w:tc>
          <w:tcPr>
            <w:tcW w:w="5086" w:type="dxa"/>
          </w:tcPr>
          <w:p w14:paraId="619C7C49" w14:textId="77777777" w:rsidR="00824130" w:rsidRPr="00D61D10" w:rsidRDefault="00824130">
            <w:pPr>
              <w:pStyle w:val="BodyText"/>
              <w:spacing w:after="240"/>
              <w:rPr>
                <w:sz w:val="26"/>
                <w:szCs w:val="26"/>
              </w:rPr>
            </w:pPr>
            <w:r>
              <w:rPr>
                <w:sz w:val="26"/>
                <w:szCs w:val="26"/>
              </w:rPr>
              <w:t xml:space="preserve">City and </w:t>
            </w:r>
            <w:smartTag w:uri="urn:schemas-microsoft-com:office:smarttags" w:element="place">
              <w:smartTag w:uri="urn:schemas-microsoft-com:office:smarttags" w:element="PlaceType">
                <w:r>
                  <w:rPr>
                    <w:sz w:val="26"/>
                    <w:szCs w:val="26"/>
                  </w:rPr>
                  <w:t>County</w:t>
                </w:r>
              </w:smartTag>
              <w:r>
                <w:rPr>
                  <w:sz w:val="26"/>
                  <w:szCs w:val="26"/>
                </w:rPr>
                <w:t xml:space="preserve"> of </w:t>
              </w:r>
              <w:smartTag w:uri="urn:schemas-microsoft-com:office:smarttags" w:element="PlaceName">
                <w:r>
                  <w:rPr>
                    <w:sz w:val="26"/>
                    <w:szCs w:val="26"/>
                  </w:rPr>
                  <w:t>San Francisco</w:t>
                </w:r>
              </w:smartTag>
            </w:smartTag>
          </w:p>
        </w:tc>
      </w:tr>
      <w:tr w:rsidR="00824130" w:rsidRPr="00D61D10" w14:paraId="7F704826" w14:textId="77777777">
        <w:trPr>
          <w:cantSplit/>
        </w:trPr>
        <w:tc>
          <w:tcPr>
            <w:tcW w:w="3784" w:type="dxa"/>
          </w:tcPr>
          <w:p w14:paraId="29F65B2A" w14:textId="77777777" w:rsidR="00824130" w:rsidRPr="00D61D10" w:rsidRDefault="00824130">
            <w:pPr>
              <w:pStyle w:val="BodyText"/>
              <w:spacing w:after="240"/>
              <w:rPr>
                <w:sz w:val="26"/>
                <w:szCs w:val="26"/>
              </w:rPr>
            </w:pPr>
            <w:r w:rsidRPr="00D61D10">
              <w:rPr>
                <w:sz w:val="26"/>
                <w:szCs w:val="26"/>
              </w:rPr>
              <w:t>SDG&amp;E</w:t>
            </w:r>
          </w:p>
        </w:tc>
        <w:tc>
          <w:tcPr>
            <w:tcW w:w="5086" w:type="dxa"/>
          </w:tcPr>
          <w:p w14:paraId="6B1428DB" w14:textId="77777777" w:rsidR="00824130" w:rsidRPr="00D61D10" w:rsidRDefault="00824130">
            <w:pPr>
              <w:pStyle w:val="BodyText"/>
              <w:spacing w:after="240"/>
              <w:rPr>
                <w:sz w:val="26"/>
                <w:szCs w:val="26"/>
              </w:rPr>
            </w:pPr>
            <w:r w:rsidRPr="00D61D10">
              <w:rPr>
                <w:sz w:val="26"/>
                <w:szCs w:val="26"/>
              </w:rPr>
              <w:t>San Diego Gas &amp; Electric Company</w:t>
            </w:r>
          </w:p>
        </w:tc>
      </w:tr>
      <w:tr w:rsidR="00824130" w:rsidRPr="00D61D10" w14:paraId="322D94A1" w14:textId="77777777">
        <w:trPr>
          <w:cantSplit/>
        </w:trPr>
        <w:tc>
          <w:tcPr>
            <w:tcW w:w="3784" w:type="dxa"/>
          </w:tcPr>
          <w:p w14:paraId="118CDDE8" w14:textId="77777777" w:rsidR="00824130" w:rsidRPr="00D61D10" w:rsidRDefault="00824130">
            <w:pPr>
              <w:pStyle w:val="BodyText"/>
              <w:spacing w:after="240"/>
              <w:rPr>
                <w:sz w:val="26"/>
                <w:szCs w:val="26"/>
              </w:rPr>
            </w:pPr>
            <w:r w:rsidRPr="00D61D10">
              <w:rPr>
                <w:sz w:val="26"/>
                <w:szCs w:val="26"/>
              </w:rPr>
              <w:t>SCE</w:t>
            </w:r>
          </w:p>
        </w:tc>
        <w:tc>
          <w:tcPr>
            <w:tcW w:w="5086" w:type="dxa"/>
          </w:tcPr>
          <w:p w14:paraId="6429C9BF" w14:textId="77777777" w:rsidR="00824130" w:rsidRPr="00D61D10" w:rsidRDefault="00824130">
            <w:pPr>
              <w:pStyle w:val="BodyText"/>
              <w:spacing w:after="240"/>
              <w:rPr>
                <w:sz w:val="26"/>
                <w:szCs w:val="26"/>
              </w:rPr>
            </w:pPr>
            <w:r w:rsidRPr="00D61D10">
              <w:rPr>
                <w:sz w:val="26"/>
                <w:szCs w:val="26"/>
              </w:rPr>
              <w:t>Southern California Edison Company</w:t>
            </w:r>
          </w:p>
        </w:tc>
      </w:tr>
      <w:tr w:rsidR="00824130" w:rsidRPr="00D61D10" w14:paraId="779DAF5B" w14:textId="77777777">
        <w:trPr>
          <w:cantSplit/>
        </w:trPr>
        <w:tc>
          <w:tcPr>
            <w:tcW w:w="3784" w:type="dxa"/>
          </w:tcPr>
          <w:p w14:paraId="19ABC214" w14:textId="77777777" w:rsidR="00824130" w:rsidRPr="00D61D10" w:rsidRDefault="00824130">
            <w:pPr>
              <w:pStyle w:val="BodyText"/>
              <w:spacing w:after="240"/>
              <w:rPr>
                <w:sz w:val="26"/>
                <w:szCs w:val="26"/>
              </w:rPr>
            </w:pPr>
            <w:r>
              <w:rPr>
                <w:sz w:val="26"/>
                <w:szCs w:val="26"/>
              </w:rPr>
              <w:t>SMUD</w:t>
            </w:r>
          </w:p>
        </w:tc>
        <w:tc>
          <w:tcPr>
            <w:tcW w:w="5086" w:type="dxa"/>
          </w:tcPr>
          <w:p w14:paraId="6D4127B8" w14:textId="77777777" w:rsidR="00824130" w:rsidRPr="00D61D10" w:rsidRDefault="00824130">
            <w:pPr>
              <w:pStyle w:val="BodyText"/>
              <w:spacing w:after="240"/>
              <w:rPr>
                <w:sz w:val="26"/>
                <w:szCs w:val="26"/>
              </w:rPr>
            </w:pPr>
            <w:r>
              <w:rPr>
                <w:sz w:val="26"/>
                <w:szCs w:val="26"/>
              </w:rPr>
              <w:t>Sacramento Municipal Utility District</w:t>
            </w:r>
          </w:p>
        </w:tc>
      </w:tr>
      <w:tr w:rsidR="00824130" w:rsidRPr="00D61D10" w14:paraId="047B33EF" w14:textId="77777777">
        <w:trPr>
          <w:cantSplit/>
        </w:trPr>
        <w:tc>
          <w:tcPr>
            <w:tcW w:w="3784" w:type="dxa"/>
          </w:tcPr>
          <w:p w14:paraId="775D3D73" w14:textId="77777777" w:rsidR="00824130" w:rsidRDefault="00824130">
            <w:pPr>
              <w:pStyle w:val="BodyText"/>
              <w:spacing w:after="240"/>
              <w:rPr>
                <w:sz w:val="26"/>
                <w:szCs w:val="26"/>
              </w:rPr>
            </w:pPr>
            <w:r>
              <w:rPr>
                <w:sz w:val="26"/>
                <w:szCs w:val="26"/>
              </w:rPr>
              <w:t>Southern Cities or SC</w:t>
            </w:r>
          </w:p>
        </w:tc>
        <w:tc>
          <w:tcPr>
            <w:tcW w:w="5086" w:type="dxa"/>
          </w:tcPr>
          <w:p w14:paraId="4F0B6DAC" w14:textId="77777777" w:rsidR="00824130" w:rsidRDefault="00824130">
            <w:pPr>
              <w:pStyle w:val="BodyText"/>
              <w:spacing w:after="240"/>
              <w:rPr>
                <w:sz w:val="26"/>
                <w:szCs w:val="26"/>
              </w:rPr>
            </w:pPr>
            <w:r>
              <w:rPr>
                <w:sz w:val="26"/>
                <w:szCs w:val="26"/>
              </w:rPr>
              <w:t xml:space="preserve">The Cities of </w:t>
            </w:r>
            <w:smartTag w:uri="urn:schemas-microsoft-com:office:smarttags" w:element="place">
              <w:smartTag w:uri="urn:schemas-microsoft-com:office:smarttags" w:element="City">
                <w:r>
                  <w:rPr>
                    <w:sz w:val="26"/>
                    <w:szCs w:val="26"/>
                  </w:rPr>
                  <w:t>Anaheim</w:t>
                </w:r>
              </w:smartTag>
            </w:smartTag>
            <w:r>
              <w:rPr>
                <w:sz w:val="26"/>
                <w:szCs w:val="26"/>
              </w:rPr>
              <w:t xml:space="preserve">, </w:t>
            </w:r>
            <w:smartTag w:uri="urn:schemas-microsoft-com:office:smarttags" w:element="place">
              <w:smartTag w:uri="urn:schemas-microsoft-com:office:smarttags" w:element="City">
                <w:r>
                  <w:rPr>
                    <w:sz w:val="26"/>
                    <w:szCs w:val="26"/>
                  </w:rPr>
                  <w:t>Azusa</w:t>
                </w:r>
              </w:smartTag>
            </w:smartTag>
            <w:r>
              <w:rPr>
                <w:sz w:val="26"/>
                <w:szCs w:val="26"/>
              </w:rPr>
              <w:t xml:space="preserve">, Banning, </w:t>
            </w:r>
            <w:smartTag w:uri="urn:schemas-microsoft-com:office:smarttags" w:element="place">
              <w:smartTag w:uri="urn:schemas-microsoft-com:office:smarttags" w:element="City">
                <w:r>
                  <w:rPr>
                    <w:sz w:val="26"/>
                    <w:szCs w:val="26"/>
                  </w:rPr>
                  <w:t>Colton</w:t>
                </w:r>
              </w:smartTag>
            </w:smartTag>
            <w:r>
              <w:rPr>
                <w:sz w:val="26"/>
                <w:szCs w:val="26"/>
              </w:rPr>
              <w:t xml:space="preserve"> and </w:t>
            </w:r>
            <w:smartTag w:uri="urn:schemas-microsoft-com:office:smarttags" w:element="place">
              <w:smartTag w:uri="urn:schemas-microsoft-com:office:smarttags" w:element="City">
                <w:r>
                  <w:rPr>
                    <w:sz w:val="26"/>
                    <w:szCs w:val="26"/>
                  </w:rPr>
                  <w:t>Riverside</w:t>
                </w:r>
              </w:smartTag>
            </w:smartTag>
          </w:p>
        </w:tc>
      </w:tr>
      <w:tr w:rsidR="00824130" w:rsidRPr="00D61D10" w14:paraId="6750A39F" w14:textId="77777777">
        <w:trPr>
          <w:cantSplit/>
        </w:trPr>
        <w:tc>
          <w:tcPr>
            <w:tcW w:w="3784" w:type="dxa"/>
          </w:tcPr>
          <w:p w14:paraId="05840024" w14:textId="77777777" w:rsidR="00824130" w:rsidRDefault="00824130">
            <w:pPr>
              <w:pStyle w:val="BodyText"/>
              <w:spacing w:after="240"/>
              <w:rPr>
                <w:sz w:val="26"/>
                <w:szCs w:val="26"/>
              </w:rPr>
            </w:pPr>
            <w:r>
              <w:rPr>
                <w:sz w:val="26"/>
                <w:szCs w:val="26"/>
              </w:rPr>
              <w:t>SWC</w:t>
            </w:r>
          </w:p>
        </w:tc>
        <w:tc>
          <w:tcPr>
            <w:tcW w:w="5086" w:type="dxa"/>
          </w:tcPr>
          <w:p w14:paraId="34060DEA" w14:textId="77777777" w:rsidR="00824130" w:rsidRDefault="00824130">
            <w:pPr>
              <w:pStyle w:val="BodyText"/>
              <w:spacing w:after="240"/>
              <w:rPr>
                <w:sz w:val="26"/>
                <w:szCs w:val="26"/>
              </w:rPr>
            </w:pPr>
            <w:r>
              <w:rPr>
                <w:sz w:val="26"/>
                <w:szCs w:val="26"/>
              </w:rPr>
              <w:t>State Water Contractors</w:t>
            </w:r>
          </w:p>
        </w:tc>
      </w:tr>
      <w:tr w:rsidR="00824130" w:rsidRPr="00D61D10" w14:paraId="08B8063C" w14:textId="77777777">
        <w:trPr>
          <w:cantSplit/>
        </w:trPr>
        <w:tc>
          <w:tcPr>
            <w:tcW w:w="3784" w:type="dxa"/>
          </w:tcPr>
          <w:p w14:paraId="1BA1EDE5" w14:textId="77777777" w:rsidR="00824130" w:rsidRPr="00D61D10" w:rsidRDefault="00824130">
            <w:pPr>
              <w:pStyle w:val="BodyText"/>
              <w:spacing w:after="240"/>
              <w:rPr>
                <w:sz w:val="26"/>
                <w:szCs w:val="26"/>
              </w:rPr>
            </w:pPr>
            <w:r>
              <w:rPr>
                <w:sz w:val="26"/>
                <w:szCs w:val="26"/>
              </w:rPr>
              <w:t>SWP</w:t>
            </w:r>
          </w:p>
        </w:tc>
        <w:tc>
          <w:tcPr>
            <w:tcW w:w="5086" w:type="dxa"/>
          </w:tcPr>
          <w:p w14:paraId="2E302995" w14:textId="77777777" w:rsidR="00824130" w:rsidRPr="00D61D10" w:rsidRDefault="00824130">
            <w:pPr>
              <w:pStyle w:val="BodyText"/>
              <w:spacing w:after="240"/>
              <w:rPr>
                <w:sz w:val="26"/>
                <w:szCs w:val="26"/>
              </w:rPr>
            </w:pPr>
            <w:r>
              <w:rPr>
                <w:sz w:val="26"/>
                <w:szCs w:val="26"/>
              </w:rPr>
              <w:t>California Department of Water Resources – State Water Project</w:t>
            </w:r>
          </w:p>
        </w:tc>
      </w:tr>
      <w:tr w:rsidR="00824130" w:rsidRPr="00D61D10" w14:paraId="625217F9" w14:textId="77777777">
        <w:trPr>
          <w:cantSplit/>
        </w:trPr>
        <w:tc>
          <w:tcPr>
            <w:tcW w:w="3784" w:type="dxa"/>
          </w:tcPr>
          <w:p w14:paraId="16D3DBC1" w14:textId="77777777" w:rsidR="00824130" w:rsidRDefault="00824130">
            <w:pPr>
              <w:pStyle w:val="BodyText"/>
              <w:spacing w:after="240"/>
              <w:rPr>
                <w:sz w:val="26"/>
                <w:szCs w:val="26"/>
              </w:rPr>
            </w:pPr>
            <w:r>
              <w:rPr>
                <w:sz w:val="26"/>
                <w:szCs w:val="26"/>
              </w:rPr>
              <w:t>TAC</w:t>
            </w:r>
          </w:p>
        </w:tc>
        <w:tc>
          <w:tcPr>
            <w:tcW w:w="5086" w:type="dxa"/>
          </w:tcPr>
          <w:p w14:paraId="58A2382E" w14:textId="77777777" w:rsidR="00824130" w:rsidRDefault="00824130">
            <w:pPr>
              <w:pStyle w:val="BodyText"/>
              <w:spacing w:after="240"/>
              <w:rPr>
                <w:sz w:val="26"/>
                <w:szCs w:val="26"/>
              </w:rPr>
            </w:pPr>
            <w:r>
              <w:rPr>
                <w:sz w:val="26"/>
                <w:szCs w:val="26"/>
              </w:rPr>
              <w:t>Transmission Access Charge</w:t>
            </w:r>
          </w:p>
        </w:tc>
      </w:tr>
      <w:tr w:rsidR="00824130" w:rsidRPr="00D61D10" w14:paraId="5446C835" w14:textId="77777777">
        <w:trPr>
          <w:cantSplit/>
        </w:trPr>
        <w:tc>
          <w:tcPr>
            <w:tcW w:w="3784" w:type="dxa"/>
          </w:tcPr>
          <w:p w14:paraId="026E8E71" w14:textId="77777777" w:rsidR="00824130" w:rsidRPr="00D61D10" w:rsidRDefault="00824130">
            <w:pPr>
              <w:pStyle w:val="BodyText"/>
              <w:spacing w:after="240"/>
              <w:rPr>
                <w:sz w:val="26"/>
                <w:szCs w:val="26"/>
              </w:rPr>
            </w:pPr>
            <w:r>
              <w:rPr>
                <w:sz w:val="26"/>
                <w:szCs w:val="26"/>
              </w:rPr>
              <w:t>TACWG</w:t>
            </w:r>
          </w:p>
        </w:tc>
        <w:tc>
          <w:tcPr>
            <w:tcW w:w="5086" w:type="dxa"/>
          </w:tcPr>
          <w:p w14:paraId="665B3680" w14:textId="77777777" w:rsidR="00824130" w:rsidRPr="00D61D10" w:rsidRDefault="00824130">
            <w:pPr>
              <w:pStyle w:val="BodyText"/>
              <w:spacing w:after="240"/>
              <w:rPr>
                <w:sz w:val="26"/>
                <w:szCs w:val="26"/>
              </w:rPr>
            </w:pPr>
            <w:r>
              <w:rPr>
                <w:sz w:val="26"/>
                <w:szCs w:val="26"/>
              </w:rPr>
              <w:t>Transmission Access Charge Work Group</w:t>
            </w:r>
          </w:p>
        </w:tc>
      </w:tr>
      <w:tr w:rsidR="00824130" w:rsidRPr="00D61D10" w14:paraId="6C660B62" w14:textId="77777777">
        <w:trPr>
          <w:cantSplit/>
        </w:trPr>
        <w:tc>
          <w:tcPr>
            <w:tcW w:w="3784" w:type="dxa"/>
          </w:tcPr>
          <w:p w14:paraId="3A7B85D3" w14:textId="77777777" w:rsidR="00824130" w:rsidRPr="00D61D10" w:rsidRDefault="00824130">
            <w:pPr>
              <w:pStyle w:val="BodyText"/>
              <w:spacing w:after="240"/>
              <w:rPr>
                <w:sz w:val="26"/>
                <w:szCs w:val="26"/>
              </w:rPr>
            </w:pPr>
            <w:r>
              <w:rPr>
                <w:sz w:val="26"/>
                <w:szCs w:val="26"/>
              </w:rPr>
              <w:t>TANC</w:t>
            </w:r>
          </w:p>
        </w:tc>
        <w:tc>
          <w:tcPr>
            <w:tcW w:w="5086" w:type="dxa"/>
          </w:tcPr>
          <w:p w14:paraId="2FC9D10F" w14:textId="77777777" w:rsidR="00824130" w:rsidRPr="00D61D10" w:rsidRDefault="00824130">
            <w:pPr>
              <w:pStyle w:val="BodyText"/>
              <w:spacing w:after="240"/>
              <w:rPr>
                <w:sz w:val="26"/>
                <w:szCs w:val="26"/>
              </w:rPr>
            </w:pPr>
            <w:r>
              <w:rPr>
                <w:sz w:val="26"/>
                <w:szCs w:val="26"/>
              </w:rPr>
              <w:t>Transmission Agency of Northern California</w:t>
            </w:r>
          </w:p>
        </w:tc>
      </w:tr>
      <w:tr w:rsidR="00824130" w:rsidRPr="00D61D10" w14:paraId="305E3894" w14:textId="77777777">
        <w:trPr>
          <w:cantSplit/>
        </w:trPr>
        <w:tc>
          <w:tcPr>
            <w:tcW w:w="3784" w:type="dxa"/>
          </w:tcPr>
          <w:p w14:paraId="21CF8DC3" w14:textId="77777777" w:rsidR="00824130" w:rsidRDefault="00824130">
            <w:pPr>
              <w:pStyle w:val="BodyText"/>
              <w:spacing w:after="240"/>
              <w:rPr>
                <w:sz w:val="26"/>
                <w:szCs w:val="26"/>
              </w:rPr>
            </w:pPr>
            <w:r>
              <w:rPr>
                <w:sz w:val="26"/>
                <w:szCs w:val="26"/>
              </w:rPr>
              <w:t>TCA</w:t>
            </w:r>
          </w:p>
        </w:tc>
        <w:tc>
          <w:tcPr>
            <w:tcW w:w="5086" w:type="dxa"/>
          </w:tcPr>
          <w:p w14:paraId="327E3FB1" w14:textId="77777777" w:rsidR="00824130" w:rsidRDefault="00824130">
            <w:pPr>
              <w:pStyle w:val="BodyText"/>
              <w:spacing w:after="240"/>
              <w:rPr>
                <w:sz w:val="26"/>
                <w:szCs w:val="26"/>
              </w:rPr>
            </w:pPr>
            <w:r>
              <w:rPr>
                <w:sz w:val="26"/>
                <w:szCs w:val="26"/>
              </w:rPr>
              <w:t>Transmission Control Agreement</w:t>
            </w:r>
          </w:p>
        </w:tc>
      </w:tr>
      <w:tr w:rsidR="00824130" w:rsidRPr="00D61D10" w14:paraId="221C7EB7" w14:textId="77777777">
        <w:trPr>
          <w:cantSplit/>
        </w:trPr>
        <w:tc>
          <w:tcPr>
            <w:tcW w:w="3784" w:type="dxa"/>
          </w:tcPr>
          <w:p w14:paraId="29AD3FFD" w14:textId="77777777" w:rsidR="00824130" w:rsidRPr="00D61D10" w:rsidRDefault="00824130">
            <w:pPr>
              <w:pStyle w:val="BodyText"/>
              <w:spacing w:after="240"/>
              <w:rPr>
                <w:sz w:val="26"/>
                <w:szCs w:val="26"/>
              </w:rPr>
            </w:pPr>
            <w:r>
              <w:rPr>
                <w:sz w:val="26"/>
                <w:szCs w:val="26"/>
              </w:rPr>
              <w:t>TOU</w:t>
            </w:r>
          </w:p>
        </w:tc>
        <w:tc>
          <w:tcPr>
            <w:tcW w:w="5086" w:type="dxa"/>
          </w:tcPr>
          <w:p w14:paraId="767C858E" w14:textId="77777777" w:rsidR="00824130" w:rsidRPr="00D61D10" w:rsidRDefault="00824130">
            <w:pPr>
              <w:pStyle w:val="BodyText"/>
              <w:spacing w:after="240"/>
              <w:rPr>
                <w:sz w:val="26"/>
                <w:szCs w:val="26"/>
              </w:rPr>
            </w:pPr>
            <w:r>
              <w:rPr>
                <w:sz w:val="26"/>
                <w:szCs w:val="26"/>
              </w:rPr>
              <w:t>Time-of-use pricing</w:t>
            </w:r>
          </w:p>
        </w:tc>
      </w:tr>
      <w:tr w:rsidR="00824130" w:rsidRPr="00D61D10" w14:paraId="31216AE0" w14:textId="77777777">
        <w:trPr>
          <w:cantSplit/>
        </w:trPr>
        <w:tc>
          <w:tcPr>
            <w:tcW w:w="3784" w:type="dxa"/>
          </w:tcPr>
          <w:p w14:paraId="3A35FC23" w14:textId="77777777" w:rsidR="00824130" w:rsidRDefault="00824130">
            <w:pPr>
              <w:pStyle w:val="BodyText"/>
              <w:spacing w:after="240"/>
              <w:rPr>
                <w:sz w:val="26"/>
                <w:szCs w:val="26"/>
              </w:rPr>
            </w:pPr>
            <w:r>
              <w:rPr>
                <w:sz w:val="26"/>
                <w:szCs w:val="26"/>
              </w:rPr>
              <w:t>TRBA</w:t>
            </w:r>
          </w:p>
        </w:tc>
        <w:tc>
          <w:tcPr>
            <w:tcW w:w="5086" w:type="dxa"/>
          </w:tcPr>
          <w:p w14:paraId="44169365" w14:textId="77777777" w:rsidR="00824130" w:rsidRDefault="00824130">
            <w:pPr>
              <w:pStyle w:val="BodyText"/>
              <w:spacing w:after="240"/>
              <w:rPr>
                <w:sz w:val="26"/>
                <w:szCs w:val="26"/>
              </w:rPr>
            </w:pPr>
            <w:r>
              <w:rPr>
                <w:sz w:val="26"/>
                <w:szCs w:val="26"/>
              </w:rPr>
              <w:t>Transmission Revenue Balancing Account</w:t>
            </w:r>
          </w:p>
        </w:tc>
      </w:tr>
      <w:tr w:rsidR="00824130" w:rsidRPr="00D61D10" w14:paraId="0DE52122" w14:textId="77777777">
        <w:trPr>
          <w:cantSplit/>
        </w:trPr>
        <w:tc>
          <w:tcPr>
            <w:tcW w:w="3784" w:type="dxa"/>
          </w:tcPr>
          <w:p w14:paraId="6A0DDD67" w14:textId="77777777" w:rsidR="00824130" w:rsidRDefault="00824130">
            <w:pPr>
              <w:pStyle w:val="BodyText"/>
              <w:spacing w:after="240"/>
              <w:rPr>
                <w:sz w:val="26"/>
                <w:szCs w:val="26"/>
              </w:rPr>
            </w:pPr>
            <w:r>
              <w:rPr>
                <w:sz w:val="26"/>
                <w:szCs w:val="26"/>
              </w:rPr>
              <w:t>TRR</w:t>
            </w:r>
          </w:p>
        </w:tc>
        <w:tc>
          <w:tcPr>
            <w:tcW w:w="5086" w:type="dxa"/>
          </w:tcPr>
          <w:p w14:paraId="30F3A3F1" w14:textId="77777777" w:rsidR="00824130" w:rsidRDefault="00824130">
            <w:pPr>
              <w:pStyle w:val="BodyText"/>
              <w:spacing w:after="240"/>
              <w:rPr>
                <w:sz w:val="26"/>
                <w:szCs w:val="26"/>
              </w:rPr>
            </w:pPr>
            <w:r>
              <w:rPr>
                <w:sz w:val="26"/>
                <w:szCs w:val="26"/>
              </w:rPr>
              <w:t>Transmission Revenue Requirement</w:t>
            </w:r>
          </w:p>
        </w:tc>
      </w:tr>
      <w:tr w:rsidR="00824130" w:rsidRPr="00D61D10" w14:paraId="4C8DCFAA" w14:textId="77777777">
        <w:trPr>
          <w:cantSplit/>
        </w:trPr>
        <w:tc>
          <w:tcPr>
            <w:tcW w:w="3784" w:type="dxa"/>
          </w:tcPr>
          <w:p w14:paraId="2A34BAE4" w14:textId="77777777" w:rsidR="00824130" w:rsidRDefault="00824130">
            <w:pPr>
              <w:pStyle w:val="BodyText"/>
              <w:spacing w:after="240"/>
              <w:rPr>
                <w:sz w:val="26"/>
                <w:szCs w:val="26"/>
              </w:rPr>
            </w:pPr>
            <w:smartTag w:uri="urn:schemas-microsoft-com:office:smarttags" w:element="place">
              <w:smartTag w:uri="urn:schemas-microsoft-com:office:smarttags" w:element="City">
                <w:r>
                  <w:rPr>
                    <w:sz w:val="26"/>
                    <w:szCs w:val="26"/>
                  </w:rPr>
                  <w:t>Turlock</w:t>
                </w:r>
              </w:smartTag>
            </w:smartTag>
          </w:p>
        </w:tc>
        <w:tc>
          <w:tcPr>
            <w:tcW w:w="5086" w:type="dxa"/>
          </w:tcPr>
          <w:p w14:paraId="43F296BE" w14:textId="77777777" w:rsidR="00824130" w:rsidRDefault="00824130">
            <w:pPr>
              <w:pStyle w:val="BodyText"/>
              <w:spacing w:after="240"/>
              <w:rPr>
                <w:sz w:val="26"/>
                <w:szCs w:val="26"/>
              </w:rPr>
            </w:pPr>
            <w:r>
              <w:rPr>
                <w:sz w:val="26"/>
                <w:szCs w:val="26"/>
              </w:rPr>
              <w:t>Turlock Irrigation District</w:t>
            </w:r>
          </w:p>
        </w:tc>
      </w:tr>
      <w:tr w:rsidR="00824130" w:rsidRPr="00D61D10" w14:paraId="6D80F4BF" w14:textId="77777777">
        <w:trPr>
          <w:cantSplit/>
        </w:trPr>
        <w:tc>
          <w:tcPr>
            <w:tcW w:w="3784" w:type="dxa"/>
          </w:tcPr>
          <w:p w14:paraId="77648206" w14:textId="77777777" w:rsidR="00824130" w:rsidRDefault="00824130">
            <w:pPr>
              <w:pStyle w:val="BodyText"/>
              <w:spacing w:after="240"/>
              <w:rPr>
                <w:sz w:val="26"/>
                <w:szCs w:val="26"/>
              </w:rPr>
            </w:pPr>
            <w:r>
              <w:rPr>
                <w:sz w:val="26"/>
                <w:szCs w:val="26"/>
              </w:rPr>
              <w:t>TURN</w:t>
            </w:r>
          </w:p>
        </w:tc>
        <w:tc>
          <w:tcPr>
            <w:tcW w:w="5086" w:type="dxa"/>
          </w:tcPr>
          <w:p w14:paraId="65DD1524" w14:textId="77777777" w:rsidR="00824130" w:rsidRDefault="00824130">
            <w:pPr>
              <w:pStyle w:val="BodyText"/>
              <w:spacing w:after="240"/>
              <w:rPr>
                <w:sz w:val="26"/>
                <w:szCs w:val="26"/>
              </w:rPr>
            </w:pPr>
            <w:r>
              <w:rPr>
                <w:sz w:val="26"/>
                <w:szCs w:val="26"/>
              </w:rPr>
              <w:t>Utility Reform Network</w:t>
            </w:r>
          </w:p>
        </w:tc>
      </w:tr>
      <w:tr w:rsidR="00824130" w:rsidRPr="00D61D10" w14:paraId="50314B8F" w14:textId="77777777">
        <w:trPr>
          <w:cantSplit/>
        </w:trPr>
        <w:tc>
          <w:tcPr>
            <w:tcW w:w="3784" w:type="dxa"/>
          </w:tcPr>
          <w:p w14:paraId="073A2818" w14:textId="77777777" w:rsidR="00824130" w:rsidRPr="00D61D10" w:rsidRDefault="00824130">
            <w:pPr>
              <w:pStyle w:val="BodyText"/>
              <w:spacing w:after="240"/>
              <w:rPr>
                <w:sz w:val="26"/>
                <w:szCs w:val="26"/>
              </w:rPr>
            </w:pPr>
            <w:r>
              <w:rPr>
                <w:sz w:val="26"/>
                <w:szCs w:val="26"/>
              </w:rPr>
              <w:t>UDC</w:t>
            </w:r>
          </w:p>
        </w:tc>
        <w:tc>
          <w:tcPr>
            <w:tcW w:w="5086" w:type="dxa"/>
          </w:tcPr>
          <w:p w14:paraId="5D20D8FD" w14:textId="77777777" w:rsidR="00824130" w:rsidRPr="00D61D10" w:rsidRDefault="00824130">
            <w:pPr>
              <w:pStyle w:val="BodyText"/>
              <w:spacing w:after="240"/>
              <w:rPr>
                <w:sz w:val="26"/>
                <w:szCs w:val="26"/>
              </w:rPr>
            </w:pPr>
            <w:r>
              <w:rPr>
                <w:sz w:val="26"/>
                <w:szCs w:val="26"/>
              </w:rPr>
              <w:t>Utility Distribution Company</w:t>
            </w:r>
          </w:p>
        </w:tc>
      </w:tr>
      <w:tr w:rsidR="00824130" w:rsidRPr="00D61D10" w14:paraId="54F78122" w14:textId="77777777">
        <w:trPr>
          <w:cantSplit/>
        </w:trPr>
        <w:tc>
          <w:tcPr>
            <w:tcW w:w="3784" w:type="dxa"/>
          </w:tcPr>
          <w:p w14:paraId="0E2C8B23" w14:textId="77777777" w:rsidR="00824130" w:rsidRPr="00D61D10" w:rsidRDefault="00824130">
            <w:pPr>
              <w:pStyle w:val="BodyText"/>
              <w:spacing w:after="240"/>
              <w:rPr>
                <w:sz w:val="26"/>
                <w:szCs w:val="26"/>
              </w:rPr>
            </w:pPr>
            <w:smartTag w:uri="urn:schemas-microsoft-com:office:smarttags" w:element="place">
              <w:smartTag w:uri="urn:schemas-microsoft-com:office:smarttags" w:element="City">
                <w:r>
                  <w:rPr>
                    <w:sz w:val="26"/>
                    <w:szCs w:val="26"/>
                  </w:rPr>
                  <w:t>Vernon</w:t>
                </w:r>
              </w:smartTag>
            </w:smartTag>
          </w:p>
        </w:tc>
        <w:tc>
          <w:tcPr>
            <w:tcW w:w="5086" w:type="dxa"/>
          </w:tcPr>
          <w:p w14:paraId="5DE27D8D" w14:textId="77777777" w:rsidR="00824130" w:rsidRPr="00D61D10" w:rsidRDefault="00824130">
            <w:pPr>
              <w:pStyle w:val="BodyText"/>
              <w:spacing w:after="240"/>
              <w:rPr>
                <w:sz w:val="26"/>
                <w:szCs w:val="26"/>
              </w:rPr>
            </w:pPr>
            <w:r>
              <w:rPr>
                <w:sz w:val="26"/>
                <w:szCs w:val="26"/>
              </w:rPr>
              <w:t xml:space="preserve">City of </w:t>
            </w:r>
            <w:smartTag w:uri="urn:schemas-microsoft-com:office:smarttags" w:element="place">
              <w:smartTag w:uri="urn:schemas-microsoft-com:office:smarttags" w:element="City">
                <w:r>
                  <w:rPr>
                    <w:sz w:val="26"/>
                    <w:szCs w:val="26"/>
                  </w:rPr>
                  <w:t>Vernon</w:t>
                </w:r>
              </w:smartTag>
            </w:smartTag>
          </w:p>
        </w:tc>
      </w:tr>
      <w:tr w:rsidR="00824130" w:rsidRPr="00D61D10" w14:paraId="7E083E95" w14:textId="77777777">
        <w:trPr>
          <w:cantSplit/>
        </w:trPr>
        <w:tc>
          <w:tcPr>
            <w:tcW w:w="3784" w:type="dxa"/>
          </w:tcPr>
          <w:p w14:paraId="3621D94F" w14:textId="77777777" w:rsidR="00824130" w:rsidRDefault="00824130">
            <w:pPr>
              <w:pStyle w:val="BodyText"/>
              <w:spacing w:after="240"/>
              <w:rPr>
                <w:sz w:val="26"/>
                <w:szCs w:val="26"/>
              </w:rPr>
            </w:pPr>
            <w:r>
              <w:rPr>
                <w:sz w:val="26"/>
                <w:szCs w:val="26"/>
              </w:rPr>
              <w:t xml:space="preserve">WAPA </w:t>
            </w:r>
          </w:p>
        </w:tc>
        <w:tc>
          <w:tcPr>
            <w:tcW w:w="5086" w:type="dxa"/>
          </w:tcPr>
          <w:p w14:paraId="4B9A6B03" w14:textId="77777777" w:rsidR="00824130" w:rsidRDefault="00824130">
            <w:pPr>
              <w:pStyle w:val="BodyText"/>
              <w:spacing w:after="240"/>
              <w:rPr>
                <w:sz w:val="26"/>
                <w:szCs w:val="26"/>
              </w:rPr>
            </w:pPr>
            <w:r>
              <w:rPr>
                <w:sz w:val="26"/>
                <w:szCs w:val="26"/>
              </w:rPr>
              <w:t>Western Area Power Administration</w:t>
            </w:r>
          </w:p>
        </w:tc>
      </w:tr>
      <w:tr w:rsidR="00824130" w:rsidRPr="00D61D10" w14:paraId="410EE99C" w14:textId="77777777">
        <w:trPr>
          <w:cantSplit/>
        </w:trPr>
        <w:tc>
          <w:tcPr>
            <w:tcW w:w="3784" w:type="dxa"/>
          </w:tcPr>
          <w:p w14:paraId="1D55DAEF" w14:textId="77777777" w:rsidR="00824130" w:rsidRDefault="00824130">
            <w:pPr>
              <w:pStyle w:val="BodyText"/>
              <w:spacing w:after="240"/>
              <w:rPr>
                <w:sz w:val="26"/>
                <w:szCs w:val="26"/>
              </w:rPr>
            </w:pPr>
            <w:r>
              <w:rPr>
                <w:sz w:val="26"/>
                <w:szCs w:val="26"/>
              </w:rPr>
              <w:t>Williams</w:t>
            </w:r>
          </w:p>
        </w:tc>
        <w:tc>
          <w:tcPr>
            <w:tcW w:w="5086" w:type="dxa"/>
          </w:tcPr>
          <w:p w14:paraId="01BCBF98" w14:textId="77777777" w:rsidR="00824130" w:rsidRDefault="00824130">
            <w:pPr>
              <w:pStyle w:val="BodyText"/>
              <w:spacing w:after="240"/>
              <w:rPr>
                <w:sz w:val="26"/>
                <w:szCs w:val="26"/>
              </w:rPr>
            </w:pPr>
            <w:r>
              <w:rPr>
                <w:sz w:val="26"/>
                <w:szCs w:val="26"/>
              </w:rPr>
              <w:t>Williams Energy and Marketing Company</w:t>
            </w:r>
          </w:p>
        </w:tc>
      </w:tr>
      <w:tr w:rsidR="00824130" w:rsidRPr="00D61D10" w14:paraId="5A38E8B0" w14:textId="77777777">
        <w:trPr>
          <w:cantSplit/>
        </w:trPr>
        <w:tc>
          <w:tcPr>
            <w:tcW w:w="3784" w:type="dxa"/>
          </w:tcPr>
          <w:p w14:paraId="7424D2C6" w14:textId="77777777" w:rsidR="00824130" w:rsidRPr="00D61D10" w:rsidRDefault="00824130">
            <w:pPr>
              <w:pStyle w:val="BodyText"/>
              <w:spacing w:after="240"/>
              <w:rPr>
                <w:sz w:val="26"/>
                <w:szCs w:val="26"/>
              </w:rPr>
            </w:pPr>
            <w:r>
              <w:rPr>
                <w:sz w:val="26"/>
                <w:szCs w:val="26"/>
              </w:rPr>
              <w:t>WECC</w:t>
            </w:r>
          </w:p>
        </w:tc>
        <w:tc>
          <w:tcPr>
            <w:tcW w:w="5086" w:type="dxa"/>
          </w:tcPr>
          <w:p w14:paraId="43B6E340" w14:textId="77777777" w:rsidR="00824130" w:rsidRPr="00D61D10" w:rsidRDefault="00824130">
            <w:pPr>
              <w:pStyle w:val="BodyText"/>
              <w:spacing w:after="240"/>
              <w:rPr>
                <w:sz w:val="26"/>
                <w:szCs w:val="26"/>
              </w:rPr>
            </w:pPr>
            <w:r>
              <w:rPr>
                <w:sz w:val="26"/>
                <w:szCs w:val="26"/>
              </w:rPr>
              <w:t>Western Electric Coordinating Council</w:t>
            </w:r>
          </w:p>
        </w:tc>
      </w:tr>
    </w:tbl>
    <w:p w14:paraId="54438AFE" w14:textId="77777777" w:rsidR="00824130" w:rsidRPr="00AC33C2" w:rsidRDefault="00824130"/>
    <w:p w14:paraId="3E38110F" w14:textId="77777777" w:rsidR="00824130" w:rsidRPr="00D80201" w:rsidRDefault="00824130">
      <w:pPr>
        <w:spacing w:after="240"/>
        <w:ind w:left="1440"/>
        <w:rPr>
          <w:szCs w:val="26"/>
        </w:rPr>
      </w:pPr>
    </w:p>
    <w:p w14:paraId="07F33DAD" w14:textId="77777777" w:rsidR="00824130" w:rsidRDefault="00824130">
      <w:pPr>
        <w:spacing w:after="360"/>
        <w:jc w:val="center"/>
        <w:rPr>
          <w:b/>
          <w:szCs w:val="26"/>
        </w:rPr>
      </w:pPr>
    </w:p>
    <w:p w14:paraId="1991C56E" w14:textId="77777777" w:rsidR="00824130" w:rsidRPr="00D80201" w:rsidRDefault="00824130">
      <w:pPr>
        <w:spacing w:after="360"/>
        <w:jc w:val="center"/>
        <w:rPr>
          <w:b/>
          <w:szCs w:val="26"/>
        </w:rPr>
        <w:sectPr w:rsidR="00824130" w:rsidRPr="00D80201">
          <w:headerReference w:type="even" r:id="rId11"/>
          <w:headerReference w:type="default" r:id="rId12"/>
          <w:footerReference w:type="first" r:id="rId13"/>
          <w:pgSz w:w="12240" w:h="15840" w:code="1"/>
          <w:pgMar w:top="1440" w:right="1440" w:bottom="1440" w:left="2160" w:header="720" w:footer="720" w:gutter="0"/>
          <w:pgNumType w:fmt="lowerRoman" w:start="1"/>
          <w:cols w:space="720"/>
          <w:titlePg/>
          <w:docGrid w:linePitch="360"/>
        </w:sectPr>
      </w:pPr>
    </w:p>
    <w:p w14:paraId="084FCD8E" w14:textId="77777777" w:rsidR="00824130" w:rsidRPr="00D80201" w:rsidRDefault="00824130">
      <w:pPr>
        <w:jc w:val="center"/>
        <w:rPr>
          <w:b/>
          <w:szCs w:val="26"/>
        </w:rPr>
      </w:pPr>
      <w:r w:rsidRPr="00D80201">
        <w:rPr>
          <w:b/>
          <w:szCs w:val="26"/>
        </w:rPr>
        <w:t xml:space="preserve">INTRODUCTION </w:t>
      </w:r>
    </w:p>
    <w:p w14:paraId="788D63B9" w14:textId="77777777" w:rsidR="00824130" w:rsidRPr="00D80201" w:rsidRDefault="00824130">
      <w:pPr>
        <w:spacing w:before="360" w:after="480"/>
        <w:rPr>
          <w:szCs w:val="26"/>
        </w:rPr>
      </w:pPr>
      <w:r>
        <w:rPr>
          <w:szCs w:val="26"/>
        </w:rPr>
        <w:t>1.</w:t>
      </w:r>
      <w:r w:rsidRPr="00D80201">
        <w:rPr>
          <w:szCs w:val="26"/>
        </w:rPr>
        <w:tab/>
        <w:t>The goal of this proceeding is to develop just and reasonable tariff provisions for transmission access charges for the transmission grid controlled by the California Independent System Operator Corporation (</w:t>
      </w:r>
      <w:r w:rsidRPr="00D80201">
        <w:rPr>
          <w:szCs w:val="26"/>
        </w:rPr>
        <w:sym w:font="WP TypographicSymbols" w:char="0041"/>
      </w:r>
      <w:r w:rsidRPr="00D80201">
        <w:rPr>
          <w:szCs w:val="26"/>
        </w:rPr>
        <w:t>ISO</w:t>
      </w:r>
      <w:r w:rsidRPr="00D80201">
        <w:rPr>
          <w:szCs w:val="26"/>
        </w:rPr>
        <w:sym w:font="WP TypographicSymbols" w:char="0040"/>
      </w:r>
      <w:r w:rsidRPr="00D80201">
        <w:rPr>
          <w:szCs w:val="26"/>
        </w:rPr>
        <w:t xml:space="preserve">).  In Amendment Nos. 27, 34, and 49 to its Tariff, the ISO has proposed tariff provisions which develop a single </w:t>
      </w:r>
      <w:r>
        <w:rPr>
          <w:szCs w:val="26"/>
        </w:rPr>
        <w:t>grid wide</w:t>
      </w:r>
      <w:r w:rsidRPr="00D80201">
        <w:rPr>
          <w:szCs w:val="26"/>
        </w:rPr>
        <w:t xml:space="preserve"> high voltage Transmission Access Charge (“TAC”).  This is the tariff which is the subject of this proceeding, and the tariff which the Commission must determine is just and reasonable pursuant to Sections 205 and 206 of the Federal Power Act.</w:t>
      </w:r>
    </w:p>
    <w:p w14:paraId="6337B7AD" w14:textId="77777777" w:rsidR="00824130" w:rsidRPr="00D80201" w:rsidRDefault="00824130">
      <w:pPr>
        <w:jc w:val="center"/>
        <w:rPr>
          <w:b/>
          <w:szCs w:val="26"/>
        </w:rPr>
      </w:pPr>
      <w:r w:rsidRPr="00D80201">
        <w:rPr>
          <w:b/>
          <w:szCs w:val="26"/>
        </w:rPr>
        <w:t>JOINT STATEMENT OF PROCEDURAL HISTORY</w:t>
      </w:r>
      <w:r w:rsidRPr="00D80201">
        <w:rPr>
          <w:rStyle w:val="FootnoteReference"/>
        </w:rPr>
        <w:footnoteReference w:id="1"/>
      </w:r>
    </w:p>
    <w:p w14:paraId="6B8E5145" w14:textId="77777777" w:rsidR="00824130" w:rsidRPr="00D80201" w:rsidRDefault="00824130">
      <w:pPr>
        <w:jc w:val="center"/>
        <w:rPr>
          <w:b/>
          <w:szCs w:val="26"/>
        </w:rPr>
      </w:pPr>
    </w:p>
    <w:p w14:paraId="4DD0B3B6" w14:textId="77777777" w:rsidR="00824130" w:rsidRPr="00D80201" w:rsidRDefault="00824130">
      <w:pPr>
        <w:widowControl/>
        <w:numPr>
          <w:ilvl w:val="0"/>
          <w:numId w:val="17"/>
        </w:numPr>
        <w:autoSpaceDE/>
        <w:autoSpaceDN/>
        <w:adjustRightInd/>
        <w:rPr>
          <w:b/>
          <w:szCs w:val="26"/>
        </w:rPr>
      </w:pPr>
      <w:r w:rsidRPr="00D80201">
        <w:rPr>
          <w:b/>
          <w:szCs w:val="26"/>
        </w:rPr>
        <w:t>Amendment No. 27 Filed</w:t>
      </w:r>
    </w:p>
    <w:p w14:paraId="5A8B1978" w14:textId="77777777" w:rsidR="00824130" w:rsidRPr="00D80201" w:rsidRDefault="00824130">
      <w:pPr>
        <w:rPr>
          <w:b/>
          <w:szCs w:val="26"/>
        </w:rPr>
      </w:pPr>
    </w:p>
    <w:p w14:paraId="255CEDF5" w14:textId="77777777" w:rsidR="00824130" w:rsidRPr="00D80201" w:rsidRDefault="00824130">
      <w:pPr>
        <w:rPr>
          <w:szCs w:val="26"/>
        </w:rPr>
      </w:pPr>
      <w:r>
        <w:rPr>
          <w:szCs w:val="26"/>
        </w:rPr>
        <w:t>2.</w:t>
      </w:r>
      <w:r>
        <w:rPr>
          <w:szCs w:val="26"/>
        </w:rPr>
        <w:tab/>
      </w:r>
      <w:r w:rsidRPr="00D80201">
        <w:rPr>
          <w:szCs w:val="26"/>
        </w:rPr>
        <w:t>On March 31, 2000, the California Independent System Operator Corporation (“ISO”) filed Amendment No. 27 to the ISO Tariff, proposing a new methodology for determining the ISO’s TAC, through which Transmission Owners</w:t>
      </w:r>
      <w:r w:rsidRPr="00D80201">
        <w:rPr>
          <w:rStyle w:val="FootnoteReference"/>
        </w:rPr>
        <w:footnoteReference w:id="2"/>
      </w:r>
      <w:r w:rsidRPr="00D80201">
        <w:rPr>
          <w:szCs w:val="26"/>
        </w:rPr>
        <w:t xml:space="preserve"> (“TOs”) that have turned operational control of their transmission facilities and entitlements to the ISO (“Participating TOs,” or “PTOs”) recover the costs of those facilities and entitlements.  This filing was required by legislation restructuring the </w:t>
      </w:r>
      <w:smartTag w:uri="urn:schemas-microsoft-com:office:smarttags" w:element="place">
        <w:smartTag w:uri="urn:schemas-microsoft-com:office:smarttags" w:element="State">
          <w:r w:rsidRPr="00D80201">
            <w:rPr>
              <w:szCs w:val="26"/>
            </w:rPr>
            <w:t>California</w:t>
          </w:r>
        </w:smartTag>
      </w:smartTag>
      <w:r w:rsidRPr="00D80201">
        <w:rPr>
          <w:szCs w:val="26"/>
        </w:rPr>
        <w:t xml:space="preserve"> electric industry</w:t>
      </w:r>
      <w:r w:rsidRPr="00D80201">
        <w:rPr>
          <w:rStyle w:val="FootnoteReference"/>
        </w:rPr>
        <w:footnoteReference w:id="3"/>
      </w:r>
      <w:r w:rsidRPr="00D80201">
        <w:rPr>
          <w:szCs w:val="26"/>
        </w:rPr>
        <w:t xml:space="preserve"> and later by the Commission.</w:t>
      </w:r>
      <w:r w:rsidRPr="00D80201">
        <w:rPr>
          <w:rStyle w:val="FootnoteReference"/>
          <w:b w:val="0"/>
        </w:rPr>
        <w:footnoteReference w:id="4"/>
      </w:r>
      <w:r w:rsidRPr="00D80201">
        <w:rPr>
          <w:b/>
          <w:szCs w:val="26"/>
        </w:rPr>
        <w:t xml:space="preserve"> </w:t>
      </w:r>
      <w:r w:rsidRPr="00D80201">
        <w:rPr>
          <w:szCs w:val="26"/>
        </w:rPr>
        <w:t xml:space="preserve"> Amendment No. 27 was developed over a more than two year period.</w:t>
      </w:r>
      <w:r w:rsidRPr="00D80201">
        <w:rPr>
          <w:rStyle w:val="FootnoteReference"/>
          <w:b w:val="0"/>
        </w:rPr>
        <w:footnoteReference w:id="5"/>
      </w:r>
    </w:p>
    <w:p w14:paraId="79218FEA" w14:textId="77777777" w:rsidR="00824130" w:rsidRPr="00D80201" w:rsidRDefault="00824130">
      <w:pPr>
        <w:rPr>
          <w:szCs w:val="26"/>
        </w:rPr>
      </w:pPr>
      <w:r>
        <w:rPr>
          <w:szCs w:val="26"/>
        </w:rPr>
        <w:t>3.</w:t>
      </w:r>
      <w:r>
        <w:rPr>
          <w:szCs w:val="26"/>
        </w:rPr>
        <w:tab/>
      </w:r>
      <w:r w:rsidRPr="00D80201">
        <w:rPr>
          <w:szCs w:val="26"/>
        </w:rPr>
        <w:t>Since the ISO operations date, the access charge and wheeling access charge consisted of separate utility-specific rates based on the Transmission Revenue Requirement (“TRR”) of the PTO.  Where transmission facilities were jointly owned, the wheeling access charge was a blended rate.  Under Amendment No. 27 this methodology continued in effect until a new PTO joined the ISO.  Once that occurred, the access charge for high voltage transmission facilities</w:t>
      </w:r>
      <w:r w:rsidRPr="00D80201">
        <w:rPr>
          <w:rStyle w:val="FootnoteReference"/>
        </w:rPr>
        <w:footnoteReference w:id="6"/>
      </w:r>
      <w:r w:rsidRPr="00D80201">
        <w:rPr>
          <w:szCs w:val="26"/>
        </w:rPr>
        <w:t xml:space="preserve"> was to be assessed based on the combined TRRs of all of the PTOs in each “TAC Area.”  The TAC areas correspond, in general, to each of the three control areas that were originally combined to form the ISO Control Area,</w:t>
      </w:r>
      <w:r w:rsidRPr="00D80201">
        <w:rPr>
          <w:rStyle w:val="FootnoteReference"/>
        </w:rPr>
        <w:footnoteReference w:id="7"/>
      </w:r>
      <w:r w:rsidRPr="00D80201">
        <w:rPr>
          <w:szCs w:val="26"/>
        </w:rPr>
        <w:t xml:space="preserve"> and, if the Los Angeles Department of Water and Power (“LADWP”) chose to become a PTO, its control area would become a fourth TAC area.</w:t>
      </w:r>
    </w:p>
    <w:p w14:paraId="179B01E4" w14:textId="77777777" w:rsidR="00824130" w:rsidRPr="00D80201" w:rsidRDefault="00824130">
      <w:pPr>
        <w:ind w:firstLine="720"/>
        <w:rPr>
          <w:szCs w:val="26"/>
        </w:rPr>
      </w:pPr>
    </w:p>
    <w:p w14:paraId="30A4414D" w14:textId="77777777" w:rsidR="00824130" w:rsidRPr="00D80201" w:rsidRDefault="00824130">
      <w:pPr>
        <w:rPr>
          <w:szCs w:val="26"/>
        </w:rPr>
      </w:pPr>
      <w:r>
        <w:rPr>
          <w:szCs w:val="26"/>
        </w:rPr>
        <w:t>4.</w:t>
      </w:r>
      <w:r>
        <w:rPr>
          <w:szCs w:val="26"/>
        </w:rPr>
        <w:tab/>
      </w:r>
      <w:r w:rsidRPr="00D80201">
        <w:rPr>
          <w:szCs w:val="26"/>
        </w:rPr>
        <w:t xml:space="preserve">In Amendment No. 27, the ISO proposes a ten-year period of transition during which the High Voltage Access Charges (“HV access charge” or “HVAC”) for the TAC areas gradually combine to form a single ISO </w:t>
      </w:r>
      <w:r>
        <w:rPr>
          <w:szCs w:val="26"/>
        </w:rPr>
        <w:t>grid wide</w:t>
      </w:r>
      <w:r w:rsidRPr="00D80201">
        <w:rPr>
          <w:szCs w:val="26"/>
        </w:rPr>
        <w:t xml:space="preserve"> access charge.  The proposal is to blend a cumulative ten percent per year of the individual High Voltage Transmission Revenue Requirements (“HVTRRs”) for each TAC Area with the sum of all PTOs' HVTRRs.  In addition, all new high voltage facilities, including capital additions to existing high voltage facilities are immediately included in the ISO </w:t>
      </w:r>
      <w:r>
        <w:rPr>
          <w:szCs w:val="26"/>
        </w:rPr>
        <w:t>grid wide</w:t>
      </w:r>
      <w:r w:rsidRPr="00D80201">
        <w:rPr>
          <w:szCs w:val="26"/>
        </w:rPr>
        <w:t xml:space="preserve"> rate.  The low voltage access charge would continue to be based on each PTO's Low Voltage Transmission Revenue Requirements (“LVTRRs”).  Among other provisions, Amendment No. 27 includes a proposed cap on the amount of the cost increases associated with the addition of new PTOs that the ratepayers of the Original Participating TOs (“OPTOs”) would be required to assume during the ten-year transition period.  This cap was set at an annual $32 million for Pacific Gas and Electric Company (“PG&amp;E”) and Southern California Edison Company (“SCE”) and $8 million for San Diego Gas &amp;</w:t>
      </w:r>
      <w:r>
        <w:rPr>
          <w:szCs w:val="26"/>
        </w:rPr>
        <w:t xml:space="preserve"> </w:t>
      </w:r>
      <w:r w:rsidRPr="00D80201">
        <w:rPr>
          <w:szCs w:val="26"/>
        </w:rPr>
        <w:t>Electric (“SDG&amp;E”).  Amendment No. 27 also includes a mechanism to prevent the ratepayers of New Participating TOs from incurring an increase in transmission rates as a result of joining the ISO.</w:t>
      </w:r>
    </w:p>
    <w:p w14:paraId="2869E6AA" w14:textId="77777777" w:rsidR="00824130" w:rsidRPr="00D80201" w:rsidRDefault="00824130">
      <w:pPr>
        <w:ind w:firstLine="720"/>
        <w:rPr>
          <w:szCs w:val="26"/>
        </w:rPr>
      </w:pPr>
    </w:p>
    <w:p w14:paraId="01C2CA60" w14:textId="77777777" w:rsidR="00824130" w:rsidRPr="00D80201" w:rsidRDefault="00824130">
      <w:pPr>
        <w:rPr>
          <w:szCs w:val="26"/>
        </w:rPr>
      </w:pPr>
      <w:r>
        <w:rPr>
          <w:szCs w:val="26"/>
        </w:rPr>
        <w:t>5.</w:t>
      </w:r>
      <w:r>
        <w:rPr>
          <w:szCs w:val="26"/>
        </w:rPr>
        <w:tab/>
      </w:r>
      <w:r w:rsidRPr="00D80201">
        <w:rPr>
          <w:szCs w:val="26"/>
        </w:rPr>
        <w:t xml:space="preserve">The Commission noticed the filing on </w:t>
      </w:r>
      <w:smartTag w:uri="urn:schemas-microsoft-com:office:smarttags" w:element="date">
        <w:smartTagPr>
          <w:attr w:name="Month" w:val="4"/>
          <w:attr w:name="Day" w:val="7"/>
          <w:attr w:name="Year" w:val="2000"/>
        </w:smartTagPr>
        <w:r w:rsidRPr="00D80201">
          <w:rPr>
            <w:szCs w:val="26"/>
          </w:rPr>
          <w:t>April 7, 2000</w:t>
        </w:r>
      </w:smartTag>
      <w:r w:rsidRPr="00D80201">
        <w:rPr>
          <w:szCs w:val="26"/>
        </w:rPr>
        <w:t>.  Numerous parties submitted timely interventions, protests, or comments.</w:t>
      </w:r>
      <w:r w:rsidRPr="00D80201">
        <w:rPr>
          <w:rStyle w:val="FootnoteReference"/>
        </w:rPr>
        <w:footnoteReference w:id="8"/>
      </w:r>
      <w:r w:rsidRPr="00D80201">
        <w:rPr>
          <w:szCs w:val="26"/>
        </w:rPr>
        <w:t xml:space="preserve">  On </w:t>
      </w:r>
      <w:smartTag w:uri="urn:schemas-microsoft-com:office:smarttags" w:element="date">
        <w:smartTagPr>
          <w:attr w:name="Month" w:val="5"/>
          <w:attr w:name="Day" w:val="8"/>
          <w:attr w:name="Year" w:val="2000"/>
        </w:smartTagPr>
        <w:r w:rsidRPr="00D80201">
          <w:rPr>
            <w:szCs w:val="26"/>
          </w:rPr>
          <w:t>May 8, 2000</w:t>
        </w:r>
      </w:smartTag>
      <w:r w:rsidRPr="00D80201">
        <w:rPr>
          <w:szCs w:val="26"/>
        </w:rPr>
        <w:t xml:space="preserve">, the ISO filed an Answer to the protests and comments, to which SCE filed a reply and </w:t>
      </w:r>
      <w:smartTag w:uri="urn:schemas-microsoft-com:office:smarttags" w:element="place">
        <w:smartTag w:uri="urn:schemas-microsoft-com:office:smarttags" w:element="City">
          <w:r w:rsidRPr="00D80201">
            <w:rPr>
              <w:szCs w:val="26"/>
            </w:rPr>
            <w:t>Vernon</w:t>
          </w:r>
        </w:smartTag>
      </w:smartTag>
      <w:r w:rsidRPr="00D80201">
        <w:rPr>
          <w:szCs w:val="26"/>
        </w:rPr>
        <w:t xml:space="preserve"> filed an opposition to the reply.  By order issued </w:t>
      </w:r>
      <w:smartTag w:uri="urn:schemas-microsoft-com:office:smarttags" w:element="date">
        <w:smartTagPr>
          <w:attr w:name="Month" w:val="5"/>
          <w:attr w:name="Day" w:val="31"/>
          <w:attr w:name="Year" w:val="2000"/>
        </w:smartTagPr>
        <w:r w:rsidRPr="00D80201">
          <w:rPr>
            <w:szCs w:val="26"/>
          </w:rPr>
          <w:t>May 31, 2000</w:t>
        </w:r>
      </w:smartTag>
      <w:r w:rsidRPr="00D80201">
        <w:rPr>
          <w:szCs w:val="26"/>
        </w:rPr>
        <w:t xml:space="preserve">, the Commission accepted the interventions as well the untimely motions to intervene.  The Commission found good cause to accept the Answer filed by the ISO, but rejected the reply filed by SCE and </w:t>
      </w:r>
      <w:smartTag w:uri="urn:schemas-microsoft-com:office:smarttags" w:element="place">
        <w:smartTag w:uri="urn:schemas-microsoft-com:office:smarttags" w:element="City">
          <w:r w:rsidRPr="00D80201">
            <w:rPr>
              <w:szCs w:val="26"/>
            </w:rPr>
            <w:t>Vernon</w:t>
          </w:r>
        </w:smartTag>
      </w:smartTag>
      <w:r w:rsidRPr="00D80201">
        <w:rPr>
          <w:szCs w:val="26"/>
        </w:rPr>
        <w:t xml:space="preserve">’s opposition to the reply.  The Commission accepted for filing, suspended, and set for hearing the proposed access charge methodology and related tariff revisions, but held the hearing in abeyance pending efforts at settlement under the auspices of a Settlement Judge.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91 FERC ¶ 61,205 (2000) (“May 31</w:t>
      </w:r>
      <w:r w:rsidRPr="00D80201">
        <w:rPr>
          <w:szCs w:val="26"/>
          <w:vertAlign w:val="superscript"/>
        </w:rPr>
        <w:t>st</w:t>
      </w:r>
      <w:r w:rsidRPr="00D80201">
        <w:rPr>
          <w:szCs w:val="26"/>
        </w:rPr>
        <w:t xml:space="preserve"> Order”).  The May 31</w:t>
      </w:r>
      <w:r w:rsidRPr="00D80201">
        <w:rPr>
          <w:szCs w:val="26"/>
          <w:vertAlign w:val="superscript"/>
        </w:rPr>
        <w:t>st</w:t>
      </w:r>
      <w:r w:rsidRPr="00D80201">
        <w:rPr>
          <w:szCs w:val="26"/>
        </w:rPr>
        <w:t xml:space="preserve"> Order also provided guidance regarding a number of specific aspects of the access charge proposal, finding some reasonable, rejecting some, and suggesting further investigation of others.</w:t>
      </w:r>
    </w:p>
    <w:p w14:paraId="28DA6459" w14:textId="77777777" w:rsidR="00824130" w:rsidRPr="00D80201" w:rsidRDefault="00824130">
      <w:pPr>
        <w:rPr>
          <w:szCs w:val="26"/>
        </w:rPr>
      </w:pPr>
    </w:p>
    <w:p w14:paraId="5D4868E6" w14:textId="77777777" w:rsidR="00824130" w:rsidRPr="00D80201" w:rsidRDefault="00824130">
      <w:pPr>
        <w:keepNext/>
        <w:widowControl/>
        <w:numPr>
          <w:ilvl w:val="0"/>
          <w:numId w:val="17"/>
        </w:numPr>
        <w:autoSpaceDE/>
        <w:autoSpaceDN/>
        <w:adjustRightInd/>
        <w:rPr>
          <w:b/>
          <w:szCs w:val="26"/>
        </w:rPr>
      </w:pPr>
      <w:r w:rsidRPr="00D80201">
        <w:rPr>
          <w:b/>
          <w:szCs w:val="26"/>
        </w:rPr>
        <w:t>Settlement Judge Proceedings and Certain Related Amendments</w:t>
      </w:r>
    </w:p>
    <w:p w14:paraId="3DED23BC" w14:textId="77777777" w:rsidR="00824130" w:rsidRPr="00D80201" w:rsidRDefault="00824130">
      <w:pPr>
        <w:keepNext/>
        <w:rPr>
          <w:b/>
          <w:szCs w:val="26"/>
        </w:rPr>
      </w:pPr>
    </w:p>
    <w:p w14:paraId="4D80B784" w14:textId="77777777" w:rsidR="00824130" w:rsidRPr="00D80201" w:rsidRDefault="00824130">
      <w:pPr>
        <w:rPr>
          <w:szCs w:val="26"/>
        </w:rPr>
      </w:pPr>
      <w:r>
        <w:rPr>
          <w:szCs w:val="26"/>
        </w:rPr>
        <w:t>6.</w:t>
      </w:r>
      <w:r>
        <w:rPr>
          <w:szCs w:val="26"/>
        </w:rPr>
        <w:tab/>
      </w:r>
      <w:r w:rsidRPr="00D80201">
        <w:rPr>
          <w:szCs w:val="26"/>
        </w:rPr>
        <w:t xml:space="preserve">On </w:t>
      </w:r>
      <w:smartTag w:uri="urn:schemas-microsoft-com:office:smarttags" w:element="date">
        <w:smartTagPr>
          <w:attr w:name="Month" w:val="6"/>
          <w:attr w:name="Day" w:val="1"/>
          <w:attr w:name="Year" w:val="2000"/>
        </w:smartTagPr>
        <w:r w:rsidRPr="00D80201">
          <w:rPr>
            <w:szCs w:val="26"/>
          </w:rPr>
          <w:t>June 1, 2000</w:t>
        </w:r>
      </w:smartTag>
      <w:r w:rsidRPr="00D80201">
        <w:rPr>
          <w:szCs w:val="26"/>
        </w:rPr>
        <w:t xml:space="preserve">, the Chief Judge issued an order scheduling the first settlement conference.  This conference convened </w:t>
      </w:r>
      <w:smartTag w:uri="urn:schemas-microsoft-com:office:smarttags" w:element="date">
        <w:smartTagPr>
          <w:attr w:name="Month" w:val="6"/>
          <w:attr w:name="Day" w:val="9"/>
          <w:attr w:name="Year" w:val="2000"/>
        </w:smartTagPr>
        <w:r w:rsidRPr="00D80201">
          <w:rPr>
            <w:szCs w:val="26"/>
          </w:rPr>
          <w:t>June 9, 2000</w:t>
        </w:r>
      </w:smartTag>
      <w:r w:rsidRPr="00D80201">
        <w:rPr>
          <w:szCs w:val="26"/>
        </w:rPr>
        <w:t>, and on that date the Chief Judge issued a Protective Order in this proceeding.  Efforts at settlement would continue for the next two and a half years.</w:t>
      </w:r>
      <w:r w:rsidRPr="00D80201">
        <w:rPr>
          <w:rStyle w:val="FootnoteReference"/>
        </w:rPr>
        <w:footnoteReference w:id="9"/>
      </w:r>
    </w:p>
    <w:p w14:paraId="5E0D2316" w14:textId="77777777" w:rsidR="00824130" w:rsidRPr="00D80201" w:rsidRDefault="00824130">
      <w:pPr>
        <w:ind w:firstLine="720"/>
        <w:rPr>
          <w:szCs w:val="26"/>
        </w:rPr>
      </w:pPr>
    </w:p>
    <w:p w14:paraId="3907DE8E" w14:textId="77777777" w:rsidR="00824130" w:rsidRPr="00D80201" w:rsidRDefault="00824130">
      <w:pPr>
        <w:rPr>
          <w:szCs w:val="26"/>
        </w:rPr>
      </w:pPr>
      <w:r>
        <w:rPr>
          <w:szCs w:val="26"/>
        </w:rPr>
        <w:t>7.</w:t>
      </w:r>
      <w:r>
        <w:rPr>
          <w:szCs w:val="26"/>
        </w:rPr>
        <w:tab/>
      </w:r>
      <w:r w:rsidRPr="00D80201">
        <w:rPr>
          <w:szCs w:val="26"/>
        </w:rPr>
        <w:t xml:space="preserve">On </w:t>
      </w:r>
      <w:smartTag w:uri="urn:schemas-microsoft-com:office:smarttags" w:element="date">
        <w:smartTagPr>
          <w:attr w:name="Month" w:val="12"/>
          <w:attr w:name="Day" w:val="9"/>
          <w:attr w:name="Year" w:val="2002"/>
        </w:smartTagPr>
        <w:r w:rsidRPr="00D80201">
          <w:rPr>
            <w:szCs w:val="26"/>
          </w:rPr>
          <w:t>December 9, 2002</w:t>
        </w:r>
      </w:smartTag>
      <w:r w:rsidRPr="00D80201">
        <w:rPr>
          <w:szCs w:val="26"/>
        </w:rPr>
        <w:t xml:space="preserve">, Chief Judge Wagner declared that “the differences among the parties appear to be too great and impossible to overcome.”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101 FERC ¶ 63,024 at P 5</w:t>
      </w:r>
      <w:r>
        <w:rPr>
          <w:szCs w:val="26"/>
        </w:rPr>
        <w:t xml:space="preserve"> (2002)</w:t>
      </w:r>
      <w:r w:rsidRPr="00D80201">
        <w:rPr>
          <w:szCs w:val="26"/>
        </w:rPr>
        <w:t>.  Judge Wagner terminated the Settlement Judge procedures, designated the undersigned as Presiding Administrative Law Judge, and required a Track 2 procedural schedule.</w:t>
      </w:r>
    </w:p>
    <w:p w14:paraId="7DF1C613" w14:textId="77777777" w:rsidR="00824130" w:rsidRPr="00D80201" w:rsidRDefault="00824130">
      <w:pPr>
        <w:ind w:firstLine="720"/>
        <w:rPr>
          <w:szCs w:val="26"/>
        </w:rPr>
      </w:pPr>
    </w:p>
    <w:p w14:paraId="3F48B499" w14:textId="77777777" w:rsidR="00824130" w:rsidRPr="00D80201" w:rsidRDefault="00824130">
      <w:pPr>
        <w:tabs>
          <w:tab w:val="left" w:pos="390"/>
        </w:tabs>
        <w:rPr>
          <w:szCs w:val="26"/>
        </w:rPr>
      </w:pPr>
      <w:r>
        <w:rPr>
          <w:szCs w:val="26"/>
        </w:rPr>
        <w:t>8.</w:t>
      </w:r>
      <w:r>
        <w:rPr>
          <w:szCs w:val="26"/>
        </w:rPr>
        <w:tab/>
      </w:r>
      <w:r>
        <w:rPr>
          <w:szCs w:val="26"/>
        </w:rPr>
        <w:tab/>
      </w:r>
      <w:r w:rsidRPr="00D80201">
        <w:rPr>
          <w:szCs w:val="26"/>
        </w:rPr>
        <w:t xml:space="preserve">During the course of settlement negotiations the ISO filed four amendments to the ISO Tariff.  The ISO filed Amendment No. 34 to its Tariff in Docket No. ER01-819-000.  On </w:t>
      </w:r>
      <w:smartTag w:uri="urn:schemas-microsoft-com:office:smarttags" w:element="date">
        <w:smartTagPr>
          <w:attr w:name="Month" w:val="2"/>
          <w:attr w:name="Day" w:val="21"/>
          <w:attr w:name="Year" w:val="2001"/>
        </w:smartTagPr>
        <w:r w:rsidRPr="00D80201">
          <w:rPr>
            <w:szCs w:val="26"/>
          </w:rPr>
          <w:t>February 21, 2001</w:t>
        </w:r>
      </w:smartTag>
      <w:r w:rsidRPr="00D80201">
        <w:rPr>
          <w:szCs w:val="26"/>
        </w:rPr>
        <w:t xml:space="preserve">, the Commission permitted Amendment No. 34 to become effective as of </w:t>
      </w:r>
      <w:smartTag w:uri="urn:schemas-microsoft-com:office:smarttags" w:element="date">
        <w:smartTagPr>
          <w:attr w:name="Month" w:val="1"/>
          <w:attr w:name="Day" w:val="1"/>
          <w:attr w:name="Year" w:val="2001"/>
        </w:smartTagPr>
        <w:r w:rsidRPr="00D80201">
          <w:rPr>
            <w:szCs w:val="26"/>
          </w:rPr>
          <w:t>January 1, 2001</w:t>
        </w:r>
      </w:smartTag>
      <w:r w:rsidRPr="00D80201">
        <w:rPr>
          <w:szCs w:val="26"/>
        </w:rPr>
        <w:t>, and consolidated that docket with Docket No. ER00-2019-000 for purposes of hearing and settlement discussions.</w:t>
      </w:r>
      <w:r w:rsidRPr="00D80201">
        <w:rPr>
          <w:rStyle w:val="FootnoteReference"/>
        </w:rPr>
        <w:footnoteReference w:id="10"/>
      </w:r>
      <w:r w:rsidRPr="00D80201">
        <w:rPr>
          <w:b/>
          <w:szCs w:val="26"/>
        </w:rPr>
        <w:t xml:space="preserve"> </w:t>
      </w:r>
      <w:r w:rsidRPr="00D80201">
        <w:rPr>
          <w:szCs w:val="26"/>
        </w:rPr>
        <w:t xml:space="preserv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94 FERC ¶ 61,147 (2001).  </w:t>
      </w:r>
    </w:p>
    <w:p w14:paraId="6345286C" w14:textId="77777777" w:rsidR="00824130" w:rsidRPr="00D80201" w:rsidRDefault="00824130">
      <w:pPr>
        <w:tabs>
          <w:tab w:val="left" w:pos="390"/>
        </w:tabs>
        <w:ind w:firstLine="720"/>
        <w:rPr>
          <w:szCs w:val="26"/>
        </w:rPr>
      </w:pPr>
    </w:p>
    <w:p w14:paraId="6F2CA514" w14:textId="77777777" w:rsidR="00824130" w:rsidRPr="00D80201" w:rsidRDefault="00824130">
      <w:pPr>
        <w:rPr>
          <w:szCs w:val="26"/>
        </w:rPr>
      </w:pPr>
      <w:r>
        <w:rPr>
          <w:szCs w:val="26"/>
        </w:rPr>
        <w:t>9.</w:t>
      </w:r>
      <w:r>
        <w:rPr>
          <w:szCs w:val="26"/>
        </w:rPr>
        <w:tab/>
      </w:r>
      <w:r w:rsidRPr="00D80201">
        <w:rPr>
          <w:szCs w:val="26"/>
        </w:rPr>
        <w:t xml:space="preserve">On </w:t>
      </w:r>
      <w:smartTag w:uri="urn:schemas-microsoft-com:office:smarttags" w:element="date">
        <w:smartTagPr>
          <w:attr w:name="Month" w:val="6"/>
          <w:attr w:name="Day" w:val="28"/>
          <w:attr w:name="Year" w:val="2002"/>
        </w:smartTagPr>
        <w:r w:rsidRPr="00D80201">
          <w:rPr>
            <w:szCs w:val="26"/>
          </w:rPr>
          <w:t>June 28, 2002</w:t>
        </w:r>
      </w:smartTag>
      <w:r w:rsidRPr="00D80201">
        <w:rPr>
          <w:szCs w:val="26"/>
        </w:rPr>
        <w:t xml:space="preserve">, the ISO filed Amendment No. 45.  The Commission accepted the filing on </w:t>
      </w:r>
      <w:smartTag w:uri="urn:schemas-microsoft-com:office:smarttags" w:element="date">
        <w:smartTagPr>
          <w:attr w:name="Month" w:val="8"/>
          <w:attr w:name="Day" w:val="27"/>
          <w:attr w:name="Year" w:val="2002"/>
        </w:smartTagPr>
        <w:r w:rsidRPr="00D80201">
          <w:rPr>
            <w:szCs w:val="26"/>
          </w:rPr>
          <w:t>August 27, 2002</w:t>
        </w:r>
      </w:smartTag>
      <w:r w:rsidRPr="00D80201">
        <w:rPr>
          <w:szCs w:val="26"/>
        </w:rPr>
        <w:t xml:space="preserve">, requiring minor modifications, and made Amendment No. 45 effective </w:t>
      </w:r>
      <w:smartTag w:uri="urn:schemas-microsoft-com:office:smarttags" w:element="date">
        <w:smartTagPr>
          <w:attr w:name="Month" w:val="7"/>
          <w:attr w:name="Day" w:val="1"/>
          <w:attr w:name="Year" w:val="2002"/>
        </w:smartTagPr>
        <w:r w:rsidRPr="00D80201">
          <w:rPr>
            <w:szCs w:val="26"/>
          </w:rPr>
          <w:t>July 1, 2002</w:t>
        </w:r>
      </w:smartTag>
      <w:r w:rsidRPr="00D80201">
        <w:rPr>
          <w:szCs w:val="26"/>
        </w:rPr>
        <w:t xml:space="preserv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100 FERC ¶ 61,209 (2002).  The ISO made a compliance filing on </w:t>
      </w:r>
      <w:smartTag w:uri="urn:schemas-microsoft-com:office:smarttags" w:element="date">
        <w:smartTagPr>
          <w:attr w:name="Month" w:val="9"/>
          <w:attr w:name="Day" w:val="11"/>
          <w:attr w:name="Year" w:val="2002"/>
        </w:smartTagPr>
        <w:r w:rsidRPr="00D80201">
          <w:rPr>
            <w:szCs w:val="26"/>
          </w:rPr>
          <w:t>September 11, 2002</w:t>
        </w:r>
      </w:smartTag>
      <w:r w:rsidRPr="00D80201">
        <w:rPr>
          <w:szCs w:val="26"/>
        </w:rPr>
        <w:t>, which the Commission accepted.  Letter Order in Docket No. ER02-2192-001 (</w:t>
      </w:r>
      <w:smartTag w:uri="urn:schemas-microsoft-com:office:smarttags" w:element="date">
        <w:smartTagPr>
          <w:attr w:name="Month" w:val="1"/>
          <w:attr w:name="Day" w:val="1"/>
          <w:attr w:name="Year" w:val="2003"/>
        </w:smartTagPr>
        <w:r w:rsidRPr="00D80201">
          <w:rPr>
            <w:szCs w:val="26"/>
          </w:rPr>
          <w:t>January 1, 2003</w:t>
        </w:r>
      </w:smartTag>
      <w:r w:rsidRPr="00D80201">
        <w:rPr>
          <w:szCs w:val="26"/>
        </w:rPr>
        <w:t>).</w:t>
      </w:r>
    </w:p>
    <w:p w14:paraId="1EC5D50C" w14:textId="77777777" w:rsidR="00824130" w:rsidRPr="00D80201" w:rsidRDefault="00824130">
      <w:pPr>
        <w:ind w:firstLine="720"/>
        <w:rPr>
          <w:szCs w:val="26"/>
        </w:rPr>
      </w:pPr>
    </w:p>
    <w:p w14:paraId="268AECAD" w14:textId="77777777" w:rsidR="00824130" w:rsidRPr="00D80201" w:rsidRDefault="00824130">
      <w:pPr>
        <w:rPr>
          <w:szCs w:val="26"/>
        </w:rPr>
      </w:pPr>
      <w:r>
        <w:rPr>
          <w:szCs w:val="26"/>
        </w:rPr>
        <w:t>10.</w:t>
      </w:r>
      <w:r>
        <w:rPr>
          <w:szCs w:val="26"/>
        </w:rPr>
        <w:tab/>
      </w:r>
      <w:r w:rsidRPr="00D80201">
        <w:rPr>
          <w:szCs w:val="26"/>
        </w:rPr>
        <w:t xml:space="preserve">On </w:t>
      </w:r>
      <w:smartTag w:uri="urn:schemas-microsoft-com:office:smarttags" w:element="date">
        <w:smartTagPr>
          <w:attr w:name="Month" w:val="7"/>
          <w:attr w:name="Day" w:val="15"/>
          <w:attr w:name="Year" w:val="2002"/>
        </w:smartTagPr>
        <w:r w:rsidRPr="00D80201">
          <w:rPr>
            <w:szCs w:val="26"/>
          </w:rPr>
          <w:t>July 15, 2002</w:t>
        </w:r>
      </w:smartTag>
      <w:r w:rsidRPr="00D80201">
        <w:rPr>
          <w:szCs w:val="26"/>
        </w:rPr>
        <w:t xml:space="preserve">, the ISO filed Amendment No. 46 to the ISO Tariff.  The Commission conditionally accepted Amendment No. 46 by order issued </w:t>
      </w:r>
      <w:smartTag w:uri="urn:schemas-microsoft-com:office:smarttags" w:element="date">
        <w:smartTagPr>
          <w:attr w:name="Month" w:val="8"/>
          <w:attr w:name="Day" w:val="30"/>
          <w:attr w:name="Year" w:val="2002"/>
        </w:smartTagPr>
        <w:r w:rsidRPr="00D80201">
          <w:rPr>
            <w:szCs w:val="26"/>
          </w:rPr>
          <w:t>August 30, 2002</w:t>
        </w:r>
      </w:smartTag>
      <w:r w:rsidRPr="00D80201">
        <w:rPr>
          <w:szCs w:val="26"/>
        </w:rPr>
        <w:t xml:space="preserv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i/>
          <w:szCs w:val="26"/>
          <w:u w:val="single"/>
        </w:rPr>
        <w:t>.</w:t>
      </w:r>
      <w:r w:rsidRPr="00D80201">
        <w:rPr>
          <w:szCs w:val="26"/>
        </w:rPr>
        <w:t xml:space="preserve">, 100 FERC ¶ 61,234, </w:t>
      </w:r>
      <w:r w:rsidRPr="00481E41">
        <w:rPr>
          <w:szCs w:val="26"/>
          <w:u w:val="single"/>
        </w:rPr>
        <w:t>reh’g denied</w:t>
      </w:r>
      <w:r w:rsidRPr="00D80201">
        <w:rPr>
          <w:szCs w:val="26"/>
        </w:rPr>
        <w:t xml:space="preserve">, 102 FERC ¶ 61,146 (2003).  The ISO submitted its compliance filing on </w:t>
      </w:r>
      <w:smartTag w:uri="urn:schemas-microsoft-com:office:smarttags" w:element="date">
        <w:smartTagPr>
          <w:attr w:name="Month" w:val="9"/>
          <w:attr w:name="Day" w:val="27"/>
          <w:attr w:name="Year" w:val="2002"/>
        </w:smartTagPr>
        <w:r w:rsidRPr="00D80201">
          <w:rPr>
            <w:szCs w:val="26"/>
          </w:rPr>
          <w:t>September 27, 2002</w:t>
        </w:r>
      </w:smartTag>
      <w:r w:rsidRPr="00D80201">
        <w:rPr>
          <w:szCs w:val="26"/>
        </w:rPr>
        <w:t>, which the Commission accepted.  Letter Order in Docket No. ER02-2321-003 (</w:t>
      </w:r>
      <w:smartTag w:uri="urn:schemas-microsoft-com:office:smarttags" w:element="date">
        <w:smartTagPr>
          <w:attr w:name="Month" w:val="1"/>
          <w:attr w:name="Day" w:val="1"/>
          <w:attr w:name="Year" w:val="2003"/>
        </w:smartTagPr>
        <w:r w:rsidRPr="00D80201">
          <w:rPr>
            <w:szCs w:val="26"/>
          </w:rPr>
          <w:t>January 1, 2003</w:t>
        </w:r>
      </w:smartTag>
      <w:r w:rsidRPr="00D80201">
        <w:rPr>
          <w:szCs w:val="26"/>
        </w:rPr>
        <w:t>).</w:t>
      </w:r>
    </w:p>
    <w:p w14:paraId="3AA66EFB" w14:textId="77777777" w:rsidR="00824130" w:rsidRPr="00D80201" w:rsidRDefault="00824130">
      <w:pPr>
        <w:ind w:firstLine="720"/>
        <w:rPr>
          <w:szCs w:val="26"/>
        </w:rPr>
      </w:pPr>
    </w:p>
    <w:p w14:paraId="1DFC6DA0" w14:textId="77777777" w:rsidR="00824130" w:rsidRPr="00D80201" w:rsidRDefault="00824130">
      <w:pPr>
        <w:rPr>
          <w:szCs w:val="26"/>
        </w:rPr>
      </w:pPr>
      <w:r>
        <w:rPr>
          <w:szCs w:val="26"/>
        </w:rPr>
        <w:t>11.</w:t>
      </w:r>
      <w:r>
        <w:rPr>
          <w:szCs w:val="26"/>
        </w:rPr>
        <w:tab/>
      </w:r>
      <w:r w:rsidRPr="00D80201">
        <w:rPr>
          <w:szCs w:val="26"/>
        </w:rPr>
        <w:t xml:space="preserve">The ISO filed Amendment No. 47 to the ISO Tariff, which the Commission approved without modification by order issued </w:t>
      </w:r>
      <w:smartTag w:uri="urn:schemas-microsoft-com:office:smarttags" w:element="date">
        <w:smartTagPr>
          <w:attr w:name="Month" w:val="1"/>
          <w:attr w:name="Day" w:val="24"/>
          <w:attr w:name="Year" w:val="2003"/>
        </w:smartTagPr>
        <w:r w:rsidRPr="00D80201">
          <w:rPr>
            <w:szCs w:val="26"/>
          </w:rPr>
          <w:t>January 24, 2003</w:t>
        </w:r>
      </w:smartTag>
      <w:r w:rsidRPr="00D80201">
        <w:rPr>
          <w:szCs w:val="26"/>
        </w:rPr>
        <w:t xml:space="preserv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102 FERC ¶  61,061 (2003).</w:t>
      </w:r>
    </w:p>
    <w:p w14:paraId="78064FD0" w14:textId="77777777" w:rsidR="00824130" w:rsidRPr="00D80201" w:rsidRDefault="00824130">
      <w:pPr>
        <w:ind w:firstLine="720"/>
        <w:rPr>
          <w:szCs w:val="26"/>
        </w:rPr>
      </w:pPr>
    </w:p>
    <w:p w14:paraId="2530E3B6" w14:textId="77777777" w:rsidR="00824130" w:rsidRPr="00D80201" w:rsidRDefault="00824130">
      <w:pPr>
        <w:rPr>
          <w:szCs w:val="26"/>
        </w:rPr>
      </w:pPr>
      <w:r>
        <w:rPr>
          <w:szCs w:val="26"/>
        </w:rPr>
        <w:t>12.</w:t>
      </w:r>
      <w:r>
        <w:rPr>
          <w:szCs w:val="26"/>
        </w:rPr>
        <w:tab/>
      </w:r>
      <w:r w:rsidRPr="00D80201">
        <w:rPr>
          <w:szCs w:val="26"/>
        </w:rPr>
        <w:t xml:space="preserve">The City of </w:t>
      </w:r>
      <w:smartTag w:uri="urn:schemas-microsoft-com:office:smarttags" w:element="place">
        <w:smartTag w:uri="urn:schemas-microsoft-com:office:smarttags" w:element="City">
          <w:r w:rsidRPr="00D80201">
            <w:rPr>
              <w:szCs w:val="26"/>
            </w:rPr>
            <w:t>Vernon</w:t>
          </w:r>
        </w:smartTag>
      </w:smartTag>
      <w:r w:rsidRPr="00D80201">
        <w:rPr>
          <w:szCs w:val="26"/>
        </w:rPr>
        <w:t xml:space="preserve"> joined the ISO, effective </w:t>
      </w:r>
      <w:smartTag w:uri="urn:schemas-microsoft-com:office:smarttags" w:element="date">
        <w:smartTagPr>
          <w:attr w:name="Month" w:val="1"/>
          <w:attr w:name="Day" w:val="1"/>
          <w:attr w:name="Year" w:val="2001"/>
        </w:smartTagPr>
        <w:r w:rsidRPr="00D80201">
          <w:rPr>
            <w:szCs w:val="26"/>
          </w:rPr>
          <w:t>January 1, 2001</w:t>
        </w:r>
      </w:smartTag>
      <w:r w:rsidRPr="00D80201">
        <w:rPr>
          <w:szCs w:val="26"/>
        </w:rPr>
        <w:t xml:space="preserve">, and thereby triggered the process of blending the PTOs’ TRRs in accordance with the framework set forth in Amendment No. 27.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94 FERC ¶ 61,141 (2001).</w:t>
      </w:r>
    </w:p>
    <w:p w14:paraId="5F9C8E6A" w14:textId="77777777" w:rsidR="00824130" w:rsidRPr="00D80201" w:rsidRDefault="00824130">
      <w:pPr>
        <w:ind w:firstLine="720"/>
        <w:rPr>
          <w:szCs w:val="26"/>
        </w:rPr>
      </w:pPr>
    </w:p>
    <w:p w14:paraId="1410556C" w14:textId="77777777" w:rsidR="00824130" w:rsidRPr="00D80201" w:rsidRDefault="00824130">
      <w:pPr>
        <w:rPr>
          <w:szCs w:val="26"/>
        </w:rPr>
      </w:pPr>
      <w:r>
        <w:rPr>
          <w:szCs w:val="26"/>
        </w:rPr>
        <w:t>13.</w:t>
      </w:r>
      <w:r>
        <w:rPr>
          <w:szCs w:val="26"/>
        </w:rPr>
        <w:tab/>
      </w:r>
      <w:r w:rsidRPr="00D80201">
        <w:rPr>
          <w:szCs w:val="26"/>
        </w:rPr>
        <w:t xml:space="preserve">On </w:t>
      </w:r>
      <w:smartTag w:uri="urn:schemas-microsoft-com:office:smarttags" w:element="date">
        <w:smartTagPr>
          <w:attr w:name="Month" w:val="10"/>
          <w:attr w:name="Day" w:val="18"/>
          <w:attr w:name="Year" w:val="2002"/>
        </w:smartTagPr>
        <w:r w:rsidRPr="00D80201">
          <w:rPr>
            <w:szCs w:val="26"/>
          </w:rPr>
          <w:t>October 18, 2002</w:t>
        </w:r>
      </w:smartTag>
      <w:r w:rsidRPr="00D80201">
        <w:rPr>
          <w:szCs w:val="26"/>
        </w:rPr>
        <w:t xml:space="preserve">, the Cities of Anaheim, </w:t>
      </w:r>
      <w:smartTag w:uri="urn:schemas-microsoft-com:office:smarttags" w:element="place">
        <w:smartTag w:uri="urn:schemas-microsoft-com:office:smarttags" w:element="City">
          <w:r w:rsidRPr="00D80201">
            <w:rPr>
              <w:szCs w:val="26"/>
            </w:rPr>
            <w:t>Azusa</w:t>
          </w:r>
        </w:smartTag>
      </w:smartTag>
      <w:r w:rsidRPr="00D80201">
        <w:rPr>
          <w:szCs w:val="26"/>
        </w:rPr>
        <w:t xml:space="preserve">, Banning and </w:t>
      </w:r>
      <w:smartTag w:uri="urn:schemas-microsoft-com:office:smarttags" w:element="place">
        <w:smartTag w:uri="urn:schemas-microsoft-com:office:smarttags" w:element="City">
          <w:r w:rsidRPr="00D80201">
            <w:rPr>
              <w:szCs w:val="26"/>
            </w:rPr>
            <w:t>Riverside</w:t>
          </w:r>
        </w:smartTag>
      </w:smartTag>
      <w:r w:rsidRPr="00D80201">
        <w:rPr>
          <w:szCs w:val="26"/>
        </w:rPr>
        <w:t xml:space="preserve"> filed to join the ISO effective </w:t>
      </w:r>
      <w:smartTag w:uri="urn:schemas-microsoft-com:office:smarttags" w:element="date">
        <w:smartTagPr>
          <w:attr w:name="Month" w:val="1"/>
          <w:attr w:name="Day" w:val="1"/>
          <w:attr w:name="Year" w:val="2003"/>
        </w:smartTagPr>
        <w:r w:rsidRPr="00D80201">
          <w:rPr>
            <w:szCs w:val="26"/>
          </w:rPr>
          <w:t>January 1, 2003</w:t>
        </w:r>
      </w:smartTag>
      <w:r w:rsidRPr="00D80201">
        <w:rPr>
          <w:szCs w:val="26"/>
        </w:rPr>
        <w:t xml:space="preserve">.  </w:t>
      </w:r>
      <w:r w:rsidRPr="00D80201">
        <w:rPr>
          <w:szCs w:val="26"/>
          <w:u w:val="single"/>
        </w:rPr>
        <w:t>City of Azusa</w:t>
      </w:r>
      <w:r w:rsidRPr="00D80201">
        <w:rPr>
          <w:szCs w:val="26"/>
        </w:rPr>
        <w:t xml:space="preserve">, 101 FERC ¶ 61,352 (2002), </w:t>
      </w:r>
      <w:r w:rsidRPr="00D80201">
        <w:rPr>
          <w:szCs w:val="26"/>
          <w:u w:val="single"/>
        </w:rPr>
        <w:t>clarified</w:t>
      </w:r>
      <w:r w:rsidRPr="00D80201">
        <w:rPr>
          <w:szCs w:val="26"/>
        </w:rPr>
        <w:t xml:space="preserve">, 102 FERC ¶ 61,153 (2003).  </w:t>
      </w:r>
    </w:p>
    <w:p w14:paraId="51A9CCB3" w14:textId="77777777" w:rsidR="00824130" w:rsidRPr="00D80201" w:rsidRDefault="00824130">
      <w:pPr>
        <w:ind w:firstLine="720"/>
        <w:rPr>
          <w:szCs w:val="26"/>
        </w:rPr>
      </w:pPr>
    </w:p>
    <w:p w14:paraId="7A1EDF44" w14:textId="77777777" w:rsidR="00824130" w:rsidRPr="00D80201" w:rsidRDefault="00824130">
      <w:pPr>
        <w:widowControl/>
        <w:numPr>
          <w:ilvl w:val="0"/>
          <w:numId w:val="17"/>
        </w:numPr>
        <w:autoSpaceDE/>
        <w:autoSpaceDN/>
        <w:adjustRightInd/>
        <w:rPr>
          <w:b/>
          <w:szCs w:val="26"/>
        </w:rPr>
      </w:pPr>
      <w:r w:rsidRPr="00D80201">
        <w:rPr>
          <w:b/>
          <w:szCs w:val="26"/>
        </w:rPr>
        <w:t>Hearing and Further Amendments</w:t>
      </w:r>
    </w:p>
    <w:p w14:paraId="0D6837A8" w14:textId="77777777" w:rsidR="00824130" w:rsidRPr="00D80201" w:rsidRDefault="00824130">
      <w:pPr>
        <w:rPr>
          <w:b/>
          <w:szCs w:val="26"/>
        </w:rPr>
      </w:pPr>
    </w:p>
    <w:p w14:paraId="722BD68F" w14:textId="77777777" w:rsidR="00824130" w:rsidRPr="00D80201" w:rsidRDefault="00824130">
      <w:pPr>
        <w:rPr>
          <w:szCs w:val="26"/>
        </w:rPr>
      </w:pPr>
      <w:r>
        <w:rPr>
          <w:szCs w:val="26"/>
        </w:rPr>
        <w:t>14.</w:t>
      </w:r>
      <w:r>
        <w:rPr>
          <w:szCs w:val="26"/>
        </w:rPr>
        <w:tab/>
      </w:r>
      <w:r w:rsidRPr="00D80201">
        <w:rPr>
          <w:szCs w:val="26"/>
        </w:rPr>
        <w:t xml:space="preserve">The undersigned Presiding Judge convened the first pre-hearing conference in the litigation phase of this proceeding on </w:t>
      </w:r>
      <w:smartTag w:uri="urn:schemas-microsoft-com:office:smarttags" w:element="date">
        <w:smartTagPr>
          <w:attr w:name="Month" w:val="12"/>
          <w:attr w:name="Day" w:val="17"/>
          <w:attr w:name="Year" w:val="2002"/>
        </w:smartTagPr>
        <w:r w:rsidRPr="00D80201">
          <w:rPr>
            <w:szCs w:val="26"/>
          </w:rPr>
          <w:t>December 17, 2002</w:t>
        </w:r>
      </w:smartTag>
      <w:r w:rsidRPr="00D80201">
        <w:rPr>
          <w:szCs w:val="26"/>
        </w:rPr>
        <w:t>.  Following the hearing, an order promulgating a procedural schedule was issued.</w:t>
      </w:r>
    </w:p>
    <w:p w14:paraId="16D32470" w14:textId="77777777" w:rsidR="00824130" w:rsidRPr="00D80201" w:rsidRDefault="00824130">
      <w:pPr>
        <w:ind w:firstLine="720"/>
        <w:rPr>
          <w:szCs w:val="26"/>
        </w:rPr>
      </w:pPr>
    </w:p>
    <w:p w14:paraId="3D299329" w14:textId="77777777" w:rsidR="00824130" w:rsidRPr="00D80201" w:rsidRDefault="00824130">
      <w:pPr>
        <w:ind w:firstLine="720"/>
        <w:rPr>
          <w:szCs w:val="26"/>
        </w:rPr>
      </w:pPr>
      <w:r w:rsidRPr="00D80201">
        <w:rPr>
          <w:szCs w:val="26"/>
        </w:rPr>
        <w:t xml:space="preserve">The ISO filed Updated Direct Testimony on </w:t>
      </w:r>
      <w:smartTag w:uri="urn:schemas-microsoft-com:office:smarttags" w:element="date">
        <w:smartTagPr>
          <w:attr w:name="Month" w:val="2"/>
          <w:attr w:name="Day" w:val="14"/>
          <w:attr w:name="Year" w:val="2003"/>
        </w:smartTagPr>
        <w:r w:rsidRPr="00D80201">
          <w:rPr>
            <w:szCs w:val="26"/>
          </w:rPr>
          <w:t>February 14, 2003</w:t>
        </w:r>
      </w:smartTag>
      <w:r w:rsidRPr="00D80201">
        <w:rPr>
          <w:szCs w:val="26"/>
        </w:rPr>
        <w:t xml:space="preserve">.  </w:t>
      </w:r>
    </w:p>
    <w:p w14:paraId="7EFF67C1" w14:textId="77777777" w:rsidR="00824130" w:rsidRPr="00D80201" w:rsidRDefault="00824130">
      <w:pPr>
        <w:ind w:firstLine="720"/>
        <w:rPr>
          <w:szCs w:val="26"/>
        </w:rPr>
      </w:pPr>
    </w:p>
    <w:p w14:paraId="273C4B7B" w14:textId="77777777" w:rsidR="00824130" w:rsidRPr="00D80201" w:rsidRDefault="00824130">
      <w:pPr>
        <w:rPr>
          <w:szCs w:val="26"/>
        </w:rPr>
      </w:pPr>
      <w:r>
        <w:rPr>
          <w:szCs w:val="26"/>
        </w:rPr>
        <w:t>15.</w:t>
      </w:r>
      <w:r>
        <w:rPr>
          <w:szCs w:val="26"/>
        </w:rPr>
        <w:tab/>
      </w:r>
      <w:r w:rsidRPr="00D80201">
        <w:rPr>
          <w:szCs w:val="26"/>
        </w:rPr>
        <w:t xml:space="preserve">On </w:t>
      </w:r>
      <w:smartTag w:uri="urn:schemas-microsoft-com:office:smarttags" w:element="date">
        <w:smartTagPr>
          <w:attr w:name="Month" w:val="3"/>
          <w:attr w:name="Day" w:val="11"/>
          <w:attr w:name="Year" w:val="2003"/>
        </w:smartTagPr>
        <w:r w:rsidRPr="00D80201">
          <w:rPr>
            <w:szCs w:val="26"/>
          </w:rPr>
          <w:t>March 11, 2003</w:t>
        </w:r>
      </w:smartTag>
      <w:r w:rsidRPr="00D80201">
        <w:rPr>
          <w:szCs w:val="26"/>
        </w:rPr>
        <w:t xml:space="preserve">, the ISO filed Amendment No. 49 to the ISO Tariff in Docket No. ER03-608-000 and requested that it be made effective </w:t>
      </w:r>
      <w:smartTag w:uri="urn:schemas-microsoft-com:office:smarttags" w:element="date">
        <w:smartTagPr>
          <w:attr w:name="Month" w:val="6"/>
          <w:attr w:name="Day" w:val="1"/>
          <w:attr w:name="Year" w:val="2003"/>
        </w:smartTagPr>
        <w:r w:rsidRPr="00D80201">
          <w:rPr>
            <w:szCs w:val="26"/>
          </w:rPr>
          <w:t>June 1, 2003</w:t>
        </w:r>
      </w:smartTag>
      <w:r w:rsidRPr="00D80201">
        <w:rPr>
          <w:szCs w:val="26"/>
        </w:rPr>
        <w:t xml:space="preserve">.  In Amendment No. 49, the ISO proposes certain modifications to the methodology it proposes in Amendment No. 27.  On </w:t>
      </w:r>
      <w:smartTag w:uri="urn:schemas-microsoft-com:office:smarttags" w:element="date">
        <w:smartTagPr>
          <w:attr w:name="Year" w:val="2003"/>
          <w:attr w:name="Day" w:val="4"/>
          <w:attr w:name="Month" w:val="4"/>
        </w:smartTagPr>
        <w:r w:rsidRPr="00D80201">
          <w:rPr>
            <w:szCs w:val="26"/>
          </w:rPr>
          <w:t>April 4, 2003</w:t>
        </w:r>
      </w:smartTag>
      <w:r w:rsidRPr="00D80201">
        <w:rPr>
          <w:szCs w:val="26"/>
        </w:rPr>
        <w:t>, in response to a request from the parties, the Chief Judge revised the Track 2 procedura</w:t>
      </w:r>
      <w:r>
        <w:rPr>
          <w:szCs w:val="26"/>
        </w:rPr>
        <w:t>l schedule so that the Intervene</w:t>
      </w:r>
      <w:r w:rsidRPr="00D80201">
        <w:rPr>
          <w:szCs w:val="26"/>
        </w:rPr>
        <w:t xml:space="preserve">rs could file answering testimony on </w:t>
      </w:r>
      <w:smartTag w:uri="urn:schemas-microsoft-com:office:smarttags" w:element="date">
        <w:smartTagPr>
          <w:attr w:name="Year" w:val="2003"/>
          <w:attr w:name="Day" w:val="2"/>
          <w:attr w:name="Month" w:val="6"/>
        </w:smartTagPr>
        <w:r w:rsidRPr="00D80201">
          <w:rPr>
            <w:szCs w:val="26"/>
          </w:rPr>
          <w:t>June 2, 2003</w:t>
        </w:r>
      </w:smartTag>
      <w:r w:rsidRPr="00D80201">
        <w:rPr>
          <w:szCs w:val="26"/>
        </w:rPr>
        <w:t>, thus allowing them time to address the ISO’s modified proposal.</w:t>
      </w:r>
    </w:p>
    <w:p w14:paraId="4F28649B" w14:textId="77777777" w:rsidR="00824130" w:rsidRPr="00D80201" w:rsidRDefault="00824130">
      <w:pPr>
        <w:ind w:firstLine="720"/>
        <w:rPr>
          <w:szCs w:val="26"/>
        </w:rPr>
      </w:pPr>
    </w:p>
    <w:p w14:paraId="5BA86D9E" w14:textId="77777777" w:rsidR="00824130" w:rsidRPr="00D80201" w:rsidRDefault="00824130">
      <w:pPr>
        <w:rPr>
          <w:szCs w:val="26"/>
        </w:rPr>
      </w:pPr>
      <w:r>
        <w:rPr>
          <w:szCs w:val="26"/>
        </w:rPr>
        <w:t>16.</w:t>
      </w:r>
      <w:r>
        <w:rPr>
          <w:szCs w:val="26"/>
        </w:rPr>
        <w:tab/>
      </w:r>
      <w:r w:rsidRPr="00D80201">
        <w:rPr>
          <w:szCs w:val="26"/>
        </w:rPr>
        <w:t xml:space="preserve">The Commission noticed the filing of Amendment No. 49 on </w:t>
      </w:r>
      <w:smartTag w:uri="urn:schemas-microsoft-com:office:smarttags" w:element="date">
        <w:smartTagPr>
          <w:attr w:name="Month" w:val="3"/>
          <w:attr w:name="Day" w:val="13"/>
          <w:attr w:name="Year" w:val="2003"/>
        </w:smartTagPr>
        <w:r w:rsidRPr="00D80201">
          <w:rPr>
            <w:szCs w:val="26"/>
          </w:rPr>
          <w:t>March 13, 2003</w:t>
        </w:r>
      </w:smartTag>
      <w:r w:rsidRPr="00D80201">
        <w:rPr>
          <w:szCs w:val="26"/>
        </w:rPr>
        <w:t>, as Docket No. ER03-608.  Numerous parties filed motions to intervene, protests, or comments.</w:t>
      </w:r>
      <w:r w:rsidRPr="00D80201">
        <w:rPr>
          <w:rStyle w:val="FootnoteReference"/>
        </w:rPr>
        <w:t xml:space="preserve"> </w:t>
      </w:r>
      <w:r w:rsidRPr="00D80201">
        <w:rPr>
          <w:rStyle w:val="FootnoteReference"/>
        </w:rPr>
        <w:footnoteReference w:id="11"/>
      </w:r>
      <w:r w:rsidRPr="00D80201">
        <w:rPr>
          <w:szCs w:val="26"/>
        </w:rPr>
        <w:t xml:space="preserve">  On </w:t>
      </w:r>
      <w:smartTag w:uri="urn:schemas-microsoft-com:office:smarttags" w:element="date">
        <w:smartTagPr>
          <w:attr w:name="Month" w:val="4"/>
          <w:attr w:name="Day" w:val="16"/>
          <w:attr w:name="Year" w:val="2003"/>
        </w:smartTagPr>
        <w:r w:rsidRPr="00D80201">
          <w:rPr>
            <w:szCs w:val="26"/>
          </w:rPr>
          <w:t>April 16, 2003</w:t>
        </w:r>
      </w:smartTag>
      <w:r w:rsidRPr="00D80201">
        <w:rPr>
          <w:szCs w:val="26"/>
        </w:rPr>
        <w:t>, the ISO and SCE filed answers to the protests.  On </w:t>
      </w:r>
      <w:smartTag w:uri="urn:schemas-microsoft-com:office:smarttags" w:element="date">
        <w:smartTagPr>
          <w:attr w:name="Month" w:val="5"/>
          <w:attr w:name="Day" w:val="30"/>
          <w:attr w:name="Year" w:val="2003"/>
        </w:smartTagPr>
        <w:r w:rsidRPr="00D80201">
          <w:rPr>
            <w:szCs w:val="26"/>
          </w:rPr>
          <w:t>May 30, 2003</w:t>
        </w:r>
      </w:smartTag>
      <w:r w:rsidRPr="00D80201">
        <w:rPr>
          <w:szCs w:val="26"/>
        </w:rPr>
        <w:t xml:space="preserve">, the Commission accepted the interventions and the answers, and accepted in part, suspended in part, and rejected in part Amendment No. 49.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103 FERC ¶ 61,260 (2003).  The Commission set for hearing those portions of Amendment No. 49 that it suspended and consolidated them with ongoing proceeding in Docket Nos. ER00-2019-006 and ER01-819-002.</w:t>
      </w:r>
    </w:p>
    <w:p w14:paraId="67822209" w14:textId="77777777" w:rsidR="00824130" w:rsidRPr="00D80201" w:rsidRDefault="00824130">
      <w:pPr>
        <w:ind w:firstLine="720"/>
        <w:rPr>
          <w:szCs w:val="26"/>
        </w:rPr>
      </w:pPr>
    </w:p>
    <w:p w14:paraId="066092BB" w14:textId="77777777" w:rsidR="00824130" w:rsidRPr="00D80201" w:rsidRDefault="00824130">
      <w:pPr>
        <w:rPr>
          <w:szCs w:val="26"/>
        </w:rPr>
      </w:pPr>
      <w:r>
        <w:rPr>
          <w:szCs w:val="26"/>
        </w:rPr>
        <w:t>17.</w:t>
      </w:r>
      <w:r>
        <w:rPr>
          <w:szCs w:val="26"/>
        </w:rPr>
        <w:tab/>
      </w:r>
      <w:r w:rsidRPr="00D80201">
        <w:rPr>
          <w:szCs w:val="26"/>
        </w:rPr>
        <w:t>On May 30, 2003, SCE, and on June 2, 2003, NCPA, MID, TANC, Vernon, Southern Cities, SWP, MWD/SWC, PG&amp;E, SDG&amp;E, and CEOB filed Answering Testimony.</w:t>
      </w:r>
    </w:p>
    <w:p w14:paraId="41E9D325" w14:textId="77777777" w:rsidR="00824130" w:rsidRPr="00D80201" w:rsidRDefault="00824130">
      <w:pPr>
        <w:ind w:firstLine="720"/>
        <w:rPr>
          <w:szCs w:val="26"/>
        </w:rPr>
      </w:pPr>
    </w:p>
    <w:p w14:paraId="425609A8" w14:textId="77777777" w:rsidR="00824130" w:rsidRPr="00D80201" w:rsidRDefault="00824130">
      <w:pPr>
        <w:rPr>
          <w:szCs w:val="26"/>
        </w:rPr>
      </w:pPr>
      <w:r>
        <w:rPr>
          <w:szCs w:val="26"/>
        </w:rPr>
        <w:t>18.</w:t>
      </w:r>
      <w:r>
        <w:rPr>
          <w:szCs w:val="26"/>
        </w:rPr>
        <w:tab/>
      </w:r>
      <w:r w:rsidRPr="00D80201">
        <w:rPr>
          <w:szCs w:val="26"/>
        </w:rPr>
        <w:t xml:space="preserve">On </w:t>
      </w:r>
      <w:smartTag w:uri="urn:schemas-microsoft-com:office:smarttags" w:element="date">
        <w:smartTagPr>
          <w:attr w:name="Month" w:val="7"/>
          <w:attr w:name="Day" w:val="10"/>
          <w:attr w:name="Year" w:val="2003"/>
        </w:smartTagPr>
        <w:r w:rsidRPr="00D80201">
          <w:rPr>
            <w:szCs w:val="26"/>
          </w:rPr>
          <w:t>July 10, 2003</w:t>
        </w:r>
      </w:smartTag>
      <w:r w:rsidRPr="00D80201">
        <w:rPr>
          <w:szCs w:val="26"/>
        </w:rPr>
        <w:t xml:space="preserve">, the Commission issued an Order on Rehearing on Amendment No. 27.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104 FERC ¶ 61,062 (2003).  </w:t>
      </w:r>
    </w:p>
    <w:p w14:paraId="79BD5C5A" w14:textId="77777777" w:rsidR="00824130" w:rsidRPr="00D80201" w:rsidRDefault="00824130">
      <w:pPr>
        <w:ind w:firstLine="720"/>
        <w:rPr>
          <w:b/>
          <w:szCs w:val="26"/>
        </w:rPr>
      </w:pPr>
    </w:p>
    <w:p w14:paraId="708CDF3B" w14:textId="77777777" w:rsidR="00824130" w:rsidRPr="00D80201" w:rsidRDefault="00824130">
      <w:pPr>
        <w:rPr>
          <w:szCs w:val="26"/>
        </w:rPr>
      </w:pPr>
      <w:r>
        <w:rPr>
          <w:szCs w:val="26"/>
        </w:rPr>
        <w:t>19.</w:t>
      </w:r>
      <w:r>
        <w:rPr>
          <w:szCs w:val="26"/>
        </w:rPr>
        <w:tab/>
      </w:r>
      <w:r w:rsidRPr="00D80201">
        <w:rPr>
          <w:szCs w:val="26"/>
        </w:rPr>
        <w:t xml:space="preserve">Commission Staff filed Direct and Answering Testimony on </w:t>
      </w:r>
      <w:smartTag w:uri="urn:schemas-microsoft-com:office:smarttags" w:element="date">
        <w:smartTagPr>
          <w:attr w:name="Month" w:val="8"/>
          <w:attr w:name="Day" w:val="4"/>
          <w:attr w:name="Year" w:val="2003"/>
        </w:smartTagPr>
        <w:r w:rsidRPr="00D80201">
          <w:rPr>
            <w:szCs w:val="26"/>
          </w:rPr>
          <w:t>August 4, 2003</w:t>
        </w:r>
      </w:smartTag>
      <w:r w:rsidRPr="00D80201">
        <w:rPr>
          <w:szCs w:val="26"/>
        </w:rPr>
        <w:t>.</w:t>
      </w:r>
    </w:p>
    <w:p w14:paraId="675CC20F" w14:textId="77777777" w:rsidR="00824130" w:rsidRPr="00D80201" w:rsidRDefault="00824130">
      <w:pPr>
        <w:ind w:firstLine="720"/>
        <w:rPr>
          <w:szCs w:val="26"/>
        </w:rPr>
      </w:pPr>
    </w:p>
    <w:p w14:paraId="6C8D9B61" w14:textId="77777777" w:rsidR="00824130" w:rsidRPr="00D80201" w:rsidRDefault="00824130">
      <w:pPr>
        <w:rPr>
          <w:szCs w:val="26"/>
        </w:rPr>
      </w:pPr>
      <w:r>
        <w:rPr>
          <w:szCs w:val="26"/>
        </w:rPr>
        <w:t>20.</w:t>
      </w:r>
      <w:r>
        <w:rPr>
          <w:szCs w:val="26"/>
        </w:rPr>
        <w:tab/>
      </w:r>
      <w:r w:rsidRPr="00D80201">
        <w:rPr>
          <w:szCs w:val="26"/>
        </w:rPr>
        <w:t xml:space="preserve">On </w:t>
      </w:r>
      <w:smartTag w:uri="urn:schemas-microsoft-com:office:smarttags" w:element="date">
        <w:smartTagPr>
          <w:attr w:name="Month" w:val="8"/>
          <w:attr w:name="Day" w:val="18"/>
          <w:attr w:name="Year" w:val="2003"/>
        </w:smartTagPr>
        <w:r w:rsidRPr="00D80201">
          <w:rPr>
            <w:szCs w:val="26"/>
          </w:rPr>
          <w:t>August 18, 2003</w:t>
        </w:r>
      </w:smartTag>
      <w:r w:rsidRPr="00D80201">
        <w:rPr>
          <w:szCs w:val="26"/>
        </w:rPr>
        <w:t xml:space="preserve">, the ISO filed Amendment No. 57 to the ISO Tariff.  On </w:t>
      </w:r>
      <w:smartTag w:uri="urn:schemas-microsoft-com:office:smarttags" w:element="date">
        <w:smartTagPr>
          <w:attr w:name="Month" w:val="10"/>
          <w:attr w:name="Day" w:val="17"/>
          <w:attr w:name="Year" w:val="2003"/>
        </w:smartTagPr>
        <w:r w:rsidRPr="00D80201">
          <w:rPr>
            <w:szCs w:val="26"/>
          </w:rPr>
          <w:t>October 17, 2003</w:t>
        </w:r>
      </w:smartTag>
      <w:r w:rsidRPr="00D80201">
        <w:rPr>
          <w:szCs w:val="26"/>
        </w:rPr>
        <w:t>, the Commission conditionally approved Amendment No. 57, subject to the outcome of this proceeding.</w:t>
      </w:r>
    </w:p>
    <w:p w14:paraId="0F8EC197" w14:textId="77777777" w:rsidR="00824130" w:rsidRPr="00D80201" w:rsidRDefault="00824130">
      <w:pPr>
        <w:ind w:firstLine="720"/>
        <w:rPr>
          <w:szCs w:val="26"/>
        </w:rPr>
      </w:pPr>
    </w:p>
    <w:p w14:paraId="72A58050" w14:textId="77777777" w:rsidR="00824130" w:rsidRPr="00D80201" w:rsidRDefault="00824130">
      <w:pPr>
        <w:rPr>
          <w:szCs w:val="26"/>
        </w:rPr>
      </w:pPr>
      <w:r>
        <w:rPr>
          <w:szCs w:val="26"/>
        </w:rPr>
        <w:t>21.</w:t>
      </w:r>
      <w:r>
        <w:rPr>
          <w:szCs w:val="26"/>
        </w:rPr>
        <w:tab/>
      </w:r>
      <w:r w:rsidRPr="00D80201">
        <w:rPr>
          <w:szCs w:val="26"/>
        </w:rPr>
        <w:t xml:space="preserve">On </w:t>
      </w:r>
      <w:smartTag w:uri="urn:schemas-microsoft-com:office:smarttags" w:element="date">
        <w:smartTagPr>
          <w:attr w:name="Month" w:val="8"/>
          <w:attr w:name="Day" w:val="27"/>
          <w:attr w:name="Year" w:val="2003"/>
        </w:smartTagPr>
        <w:r w:rsidRPr="00D80201">
          <w:rPr>
            <w:szCs w:val="26"/>
          </w:rPr>
          <w:t>August 27, 2003</w:t>
        </w:r>
      </w:smartTag>
      <w:r w:rsidRPr="00D80201">
        <w:rPr>
          <w:szCs w:val="26"/>
        </w:rPr>
        <w:t xml:space="preserve">, SCE filed a Motion for Partial Summary Disposition regarding the types of facilities that will be placed under the ISO’s operational control and included in the PTO’s TRRs.  PG&amp;E and SWP filed answers on </w:t>
      </w:r>
      <w:smartTag w:uri="urn:schemas-microsoft-com:office:smarttags" w:element="date">
        <w:smartTagPr>
          <w:attr w:name="Month" w:val="9"/>
          <w:attr w:name="Day" w:val="11"/>
          <w:attr w:name="Year" w:val="2003"/>
        </w:smartTagPr>
        <w:r w:rsidRPr="00D80201">
          <w:rPr>
            <w:szCs w:val="26"/>
          </w:rPr>
          <w:t>September 11, 2003</w:t>
        </w:r>
      </w:smartTag>
      <w:r w:rsidRPr="00D80201">
        <w:rPr>
          <w:szCs w:val="26"/>
        </w:rPr>
        <w:t xml:space="preserve">.  On </w:t>
      </w:r>
      <w:smartTag w:uri="urn:schemas-microsoft-com:office:smarttags" w:element="date">
        <w:smartTagPr>
          <w:attr w:name="Month" w:val="10"/>
          <w:attr w:name="Day" w:val="21"/>
          <w:attr w:name="Year" w:val="2003"/>
        </w:smartTagPr>
        <w:r w:rsidRPr="00D80201">
          <w:rPr>
            <w:szCs w:val="26"/>
          </w:rPr>
          <w:t>October 21, 2003</w:t>
        </w:r>
      </w:smartTag>
      <w:r w:rsidRPr="00D80201">
        <w:rPr>
          <w:szCs w:val="26"/>
        </w:rPr>
        <w:t xml:space="preserve">, the undersigned Presiding Judge issued a Partial Initial Decision granting this motion.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105 FERC ¶ 63,008 at P 16 (2003).  The Partial Initial Decision is now pending before the Commission.</w:t>
      </w:r>
    </w:p>
    <w:p w14:paraId="523881AF" w14:textId="77777777" w:rsidR="00824130" w:rsidRPr="00D80201" w:rsidRDefault="00824130">
      <w:pPr>
        <w:ind w:firstLine="720"/>
        <w:rPr>
          <w:szCs w:val="26"/>
        </w:rPr>
      </w:pPr>
    </w:p>
    <w:p w14:paraId="5CD403E5" w14:textId="77777777" w:rsidR="00824130" w:rsidRPr="00D80201" w:rsidRDefault="00824130">
      <w:pPr>
        <w:rPr>
          <w:szCs w:val="26"/>
        </w:rPr>
      </w:pPr>
      <w:r>
        <w:rPr>
          <w:szCs w:val="26"/>
        </w:rPr>
        <w:t>22.</w:t>
      </w:r>
      <w:r>
        <w:rPr>
          <w:szCs w:val="26"/>
        </w:rPr>
        <w:tab/>
      </w:r>
      <w:r w:rsidRPr="00D80201">
        <w:rPr>
          <w:szCs w:val="26"/>
        </w:rPr>
        <w:t xml:space="preserve">NCPA, MID, Vernon, Southern Cities, SWP, PG&amp;E, SCE, SDG&amp;E, and CEOB filed Cross-Answering Testimony on September 10, 2003.  </w:t>
      </w:r>
    </w:p>
    <w:p w14:paraId="4CA6428E" w14:textId="77777777" w:rsidR="00824130" w:rsidRPr="00D80201" w:rsidRDefault="00824130">
      <w:pPr>
        <w:ind w:firstLine="720"/>
        <w:rPr>
          <w:szCs w:val="26"/>
        </w:rPr>
      </w:pPr>
    </w:p>
    <w:p w14:paraId="21541DAD" w14:textId="77777777" w:rsidR="00824130" w:rsidRPr="00D80201" w:rsidRDefault="00824130">
      <w:pPr>
        <w:rPr>
          <w:szCs w:val="26"/>
        </w:rPr>
      </w:pPr>
      <w:r>
        <w:rPr>
          <w:szCs w:val="26"/>
        </w:rPr>
        <w:t>23.</w:t>
      </w:r>
      <w:r>
        <w:rPr>
          <w:szCs w:val="26"/>
        </w:rPr>
        <w:tab/>
      </w:r>
      <w:r w:rsidRPr="00D80201">
        <w:rPr>
          <w:szCs w:val="26"/>
        </w:rPr>
        <w:t xml:space="preserve">On the same date, the ISO filed Supplemental Testimony regarding phantom congestion.  </w:t>
      </w:r>
    </w:p>
    <w:p w14:paraId="33033264" w14:textId="77777777" w:rsidR="00824130" w:rsidRPr="00D80201" w:rsidRDefault="00824130">
      <w:pPr>
        <w:ind w:firstLine="720"/>
        <w:rPr>
          <w:szCs w:val="26"/>
        </w:rPr>
      </w:pPr>
    </w:p>
    <w:p w14:paraId="1CB0F72E" w14:textId="77777777" w:rsidR="00824130" w:rsidRPr="00D80201" w:rsidRDefault="00824130">
      <w:pPr>
        <w:rPr>
          <w:szCs w:val="26"/>
        </w:rPr>
      </w:pPr>
      <w:r>
        <w:rPr>
          <w:szCs w:val="26"/>
        </w:rPr>
        <w:t>24.</w:t>
      </w:r>
      <w:r>
        <w:rPr>
          <w:szCs w:val="26"/>
        </w:rPr>
        <w:tab/>
      </w:r>
      <w:r w:rsidRPr="00D80201">
        <w:rPr>
          <w:szCs w:val="26"/>
        </w:rPr>
        <w:t xml:space="preserve">On </w:t>
      </w:r>
      <w:smartTag w:uri="urn:schemas-microsoft-com:office:smarttags" w:element="date">
        <w:smartTagPr>
          <w:attr w:name="Month" w:val="10"/>
          <w:attr w:name="Day" w:val="9"/>
          <w:attr w:name="Year" w:val="2003"/>
        </w:smartTagPr>
        <w:r w:rsidRPr="00D80201">
          <w:rPr>
            <w:szCs w:val="26"/>
          </w:rPr>
          <w:t>October 9, 2003</w:t>
        </w:r>
      </w:smartTag>
      <w:r w:rsidRPr="00D80201">
        <w:rPr>
          <w:szCs w:val="26"/>
        </w:rPr>
        <w:t xml:space="preserve">, the undersigned Presiding Judge issued an order, among other things, approving and adopting a joint stipulation of CAC/EPUC, SCE and the ISO regarding the definition of Gross Load. The joint parties stipulated as follows: </w:t>
      </w:r>
    </w:p>
    <w:p w14:paraId="4C0752D0" w14:textId="77777777" w:rsidR="00824130" w:rsidRPr="00D80201" w:rsidRDefault="00824130">
      <w:pPr>
        <w:ind w:firstLine="720"/>
        <w:rPr>
          <w:szCs w:val="26"/>
        </w:rPr>
      </w:pPr>
    </w:p>
    <w:p w14:paraId="5000CAC1" w14:textId="77777777" w:rsidR="00824130" w:rsidRPr="00D80201" w:rsidRDefault="00824130">
      <w:pPr>
        <w:ind w:left="720" w:firstLine="720"/>
        <w:rPr>
          <w:szCs w:val="26"/>
        </w:rPr>
      </w:pPr>
      <w:r w:rsidRPr="00D80201">
        <w:rPr>
          <w:szCs w:val="26"/>
        </w:rPr>
        <w:t>1.</w:t>
      </w:r>
      <w:r w:rsidRPr="00D80201">
        <w:rPr>
          <w:szCs w:val="26"/>
        </w:rPr>
        <w:tab/>
        <w:t xml:space="preserve">In Amendment No. 27 to the ISO Tariff (Docket ER00-2019), the ISO excluded from the calculation of Gross Load 1) any Load that could be curtailed concurrently with an outage of the Generating Unit serving the Load and 2) the “on-site” Load of a retail customer if such customer was served by a Qualifying Facility (QF) as of March 31, 2001, and if the QF secured Standby Service from a Participating TO. </w:t>
      </w:r>
    </w:p>
    <w:p w14:paraId="496F3C1C" w14:textId="77777777" w:rsidR="00824130" w:rsidRPr="00D80201" w:rsidRDefault="00824130">
      <w:pPr>
        <w:ind w:firstLine="720"/>
        <w:rPr>
          <w:szCs w:val="26"/>
        </w:rPr>
      </w:pPr>
    </w:p>
    <w:p w14:paraId="4B61CA86" w14:textId="77777777" w:rsidR="00824130" w:rsidRPr="00D80201" w:rsidRDefault="00824130">
      <w:pPr>
        <w:ind w:left="720" w:firstLine="720"/>
        <w:rPr>
          <w:szCs w:val="26"/>
        </w:rPr>
      </w:pPr>
      <w:r w:rsidRPr="00D80201">
        <w:rPr>
          <w:szCs w:val="26"/>
        </w:rPr>
        <w:t>2.</w:t>
      </w:r>
      <w:r w:rsidRPr="00D80201">
        <w:rPr>
          <w:szCs w:val="26"/>
        </w:rPr>
        <w:tab/>
        <w:t xml:space="preserve">The exclusion was expanded to include the on-site Load of all QFs’, regardless of when they started receiving service from the QF, through Amendment No. 49 to the ISO Tariff (Docket ER03-608).  </w:t>
      </w:r>
    </w:p>
    <w:p w14:paraId="01A3540B" w14:textId="77777777" w:rsidR="00824130" w:rsidRPr="00D80201" w:rsidRDefault="00824130">
      <w:pPr>
        <w:ind w:firstLine="720"/>
        <w:rPr>
          <w:szCs w:val="26"/>
        </w:rPr>
      </w:pPr>
    </w:p>
    <w:p w14:paraId="71DBE9E8" w14:textId="77777777" w:rsidR="00824130" w:rsidRPr="00D80201" w:rsidRDefault="00824130">
      <w:pPr>
        <w:ind w:left="720" w:firstLine="720"/>
        <w:rPr>
          <w:szCs w:val="26"/>
        </w:rPr>
      </w:pPr>
      <w:r w:rsidRPr="00D80201">
        <w:rPr>
          <w:szCs w:val="26"/>
        </w:rPr>
        <w:t>3.</w:t>
      </w:r>
      <w:r w:rsidRPr="00D80201">
        <w:rPr>
          <w:szCs w:val="26"/>
        </w:rPr>
        <w:tab/>
        <w:t xml:space="preserve">Certain Parties have sought to extend such exclusion to on-site Loads of non-QF Generators that obtain Standby Service.  The extension of the exclusion is supported by the Cross-answering testimony of James Ross (attached hereto as Exhibit A) and the deposition testimony of Debi Le Vine (attached hereto as Exhibit B).  No Party has filed testimony in this proceeding objecting to such an expansion of the exclusion.  </w:t>
      </w:r>
    </w:p>
    <w:p w14:paraId="1CA9672A" w14:textId="77777777" w:rsidR="00824130" w:rsidRPr="00D80201" w:rsidRDefault="00824130">
      <w:pPr>
        <w:ind w:firstLine="720"/>
        <w:rPr>
          <w:szCs w:val="26"/>
        </w:rPr>
      </w:pPr>
    </w:p>
    <w:p w14:paraId="29E77B45" w14:textId="77777777" w:rsidR="00824130" w:rsidRPr="00D80201" w:rsidRDefault="00824130">
      <w:pPr>
        <w:ind w:left="720" w:firstLine="720"/>
        <w:rPr>
          <w:szCs w:val="26"/>
        </w:rPr>
      </w:pPr>
      <w:r w:rsidRPr="00D80201">
        <w:rPr>
          <w:szCs w:val="26"/>
        </w:rPr>
        <w:t>4.</w:t>
      </w:r>
      <w:r w:rsidRPr="00D80201">
        <w:rPr>
          <w:szCs w:val="26"/>
        </w:rPr>
        <w:tab/>
        <w:t>The tariff proposed by the ISO in</w:t>
      </w:r>
      <w:r>
        <w:rPr>
          <w:szCs w:val="26"/>
        </w:rPr>
        <w:t xml:space="preserve"> Docket ER00-2019 and in Docket </w:t>
      </w:r>
      <w:r w:rsidRPr="00D80201">
        <w:rPr>
          <w:szCs w:val="26"/>
        </w:rPr>
        <w:t xml:space="preserve">ER03-608 thus should be amended, in the ISO compliance filing that will result from this case, to include a new definition of Gross Load.  The new definition will be effective as of </w:t>
      </w:r>
      <w:smartTag w:uri="urn:schemas-microsoft-com:office:smarttags" w:element="date">
        <w:smartTagPr>
          <w:attr w:name="Month" w:val="1"/>
          <w:attr w:name="Day" w:val="1"/>
          <w:attr w:name="Year" w:val="2001"/>
        </w:smartTagPr>
        <w:r w:rsidRPr="00D80201">
          <w:rPr>
            <w:szCs w:val="26"/>
          </w:rPr>
          <w:t>January 1, 2001</w:t>
        </w:r>
      </w:smartTag>
      <w:r w:rsidRPr="00D80201">
        <w:rPr>
          <w:szCs w:val="26"/>
        </w:rPr>
        <w:t>.  The new definition, to be reflected on ISO Tariff Sheet No. 319, is:</w:t>
      </w:r>
    </w:p>
    <w:p w14:paraId="3070C4B5" w14:textId="77777777" w:rsidR="00824130" w:rsidRPr="00D80201" w:rsidRDefault="00824130">
      <w:pPr>
        <w:ind w:firstLine="720"/>
        <w:rPr>
          <w:szCs w:val="26"/>
        </w:rPr>
      </w:pPr>
    </w:p>
    <w:p w14:paraId="713727E5" w14:textId="77777777" w:rsidR="00824130" w:rsidRPr="00D80201" w:rsidRDefault="00824130">
      <w:pPr>
        <w:ind w:firstLine="720"/>
        <w:rPr>
          <w:szCs w:val="26"/>
        </w:rPr>
      </w:pPr>
      <w:r w:rsidRPr="00D80201">
        <w:rPr>
          <w:b/>
          <w:szCs w:val="26"/>
          <w:u w:val="single"/>
        </w:rPr>
        <w:t xml:space="preserve">Gross Load: </w:t>
      </w:r>
      <w:r w:rsidRPr="00D80201">
        <w:rPr>
          <w:b/>
          <w:szCs w:val="26"/>
        </w:rPr>
        <w:tab/>
      </w:r>
      <w:r w:rsidRPr="00D80201">
        <w:rPr>
          <w:szCs w:val="26"/>
        </w:rPr>
        <w:t>For the purposes of calculating the transmission Access Charge, Gross Load is all Energy (adjusted for distribution losses) delivered for the supply of Loads directly connected to the transmission facilities or Distribution System of a UDC or MSS, and all Energy provided by a Scheduling Coordinator for the supply of Loads not directly connected to the transmission facilities or Distribution System of a UDC or MSS.  Gross Load shall exclude Load with respect to which the Wheeling Access Charge is payable and the portion of the Load of an individual retail customer of a UDC, MSS, or Scheduling Coordinator that is served by a Generating Unit that:  (a) is located on the customer’s site or provides service to the customer’s site through arrangements as authorized by Section 218 of the California Public Utilities Code; and (b) secures Standby Service from a Participating TO under terms approved by a Local Regulatory Authority or FERC, as applicable, or can be curtailed concurrently with an outage of the Generating Unit serving the Load.  Gross Load forecasts consistent with filed TRR will be provided by each Participating TO to the ISO.</w:t>
      </w:r>
    </w:p>
    <w:p w14:paraId="6C027BB8" w14:textId="77777777" w:rsidR="00824130" w:rsidRPr="00D80201" w:rsidRDefault="00824130">
      <w:pPr>
        <w:ind w:firstLine="720"/>
        <w:rPr>
          <w:szCs w:val="26"/>
        </w:rPr>
      </w:pPr>
    </w:p>
    <w:p w14:paraId="365121AE" w14:textId="77777777" w:rsidR="00824130" w:rsidRPr="00D80201" w:rsidRDefault="00824130">
      <w:pPr>
        <w:rPr>
          <w:szCs w:val="26"/>
        </w:rPr>
      </w:pPr>
      <w:r>
        <w:rPr>
          <w:szCs w:val="26"/>
        </w:rPr>
        <w:t>25.</w:t>
      </w:r>
      <w:r>
        <w:rPr>
          <w:szCs w:val="26"/>
        </w:rPr>
        <w:tab/>
      </w:r>
      <w:r w:rsidRPr="00D80201">
        <w:rPr>
          <w:szCs w:val="26"/>
        </w:rPr>
        <w:t xml:space="preserve">The ISO filed Rebuttal Testimony on </w:t>
      </w:r>
      <w:smartTag w:uri="urn:schemas-microsoft-com:office:smarttags" w:element="date">
        <w:smartTagPr>
          <w:attr w:name="Month" w:val="10"/>
          <w:attr w:name="Day" w:val="2"/>
          <w:attr w:name="Year" w:val="2003"/>
        </w:smartTagPr>
        <w:r w:rsidRPr="00D80201">
          <w:rPr>
            <w:szCs w:val="26"/>
          </w:rPr>
          <w:t>October 2, 2003</w:t>
        </w:r>
      </w:smartTag>
      <w:r w:rsidRPr="00D80201">
        <w:rPr>
          <w:szCs w:val="26"/>
        </w:rPr>
        <w:t xml:space="preserve">.  </w:t>
      </w:r>
    </w:p>
    <w:p w14:paraId="6185CFF9" w14:textId="77777777" w:rsidR="00824130" w:rsidRPr="00D80201" w:rsidRDefault="00824130">
      <w:pPr>
        <w:ind w:firstLine="720"/>
        <w:rPr>
          <w:szCs w:val="26"/>
        </w:rPr>
      </w:pPr>
    </w:p>
    <w:p w14:paraId="65887366" w14:textId="77777777" w:rsidR="00824130" w:rsidRPr="00D80201" w:rsidRDefault="00824130">
      <w:pPr>
        <w:rPr>
          <w:szCs w:val="26"/>
        </w:rPr>
      </w:pPr>
      <w:r>
        <w:rPr>
          <w:szCs w:val="26"/>
        </w:rPr>
        <w:t>26.</w:t>
      </w:r>
      <w:r>
        <w:rPr>
          <w:szCs w:val="26"/>
        </w:rPr>
        <w:tab/>
      </w:r>
      <w:r w:rsidRPr="00D80201">
        <w:rPr>
          <w:szCs w:val="26"/>
        </w:rPr>
        <w:t xml:space="preserve">SWP and MWD/SWC filed testimony responding to the ISO’s Supplemental Testimony on </w:t>
      </w:r>
      <w:smartTag w:uri="urn:schemas-microsoft-com:office:smarttags" w:element="date">
        <w:smartTagPr>
          <w:attr w:name="Month" w:val="10"/>
          <w:attr w:name="Day" w:val="20"/>
          <w:attr w:name="Year" w:val="2003"/>
        </w:smartTagPr>
        <w:r w:rsidRPr="00D80201">
          <w:rPr>
            <w:szCs w:val="26"/>
          </w:rPr>
          <w:t>October 20, 2003</w:t>
        </w:r>
      </w:smartTag>
      <w:r w:rsidRPr="00D80201">
        <w:rPr>
          <w:szCs w:val="26"/>
        </w:rPr>
        <w:t>.</w:t>
      </w:r>
    </w:p>
    <w:p w14:paraId="3EBFF821" w14:textId="77777777" w:rsidR="00824130" w:rsidRDefault="00824130">
      <w:pPr>
        <w:rPr>
          <w:szCs w:val="26"/>
        </w:rPr>
      </w:pPr>
    </w:p>
    <w:p w14:paraId="659EEF4A" w14:textId="77777777" w:rsidR="00824130" w:rsidRDefault="00824130">
      <w:pPr>
        <w:rPr>
          <w:szCs w:val="26"/>
        </w:rPr>
      </w:pPr>
      <w:r>
        <w:rPr>
          <w:szCs w:val="26"/>
        </w:rPr>
        <w:t>27.</w:t>
      </w:r>
      <w:r>
        <w:rPr>
          <w:szCs w:val="26"/>
        </w:rPr>
        <w:tab/>
      </w:r>
      <w:r w:rsidRPr="00D80201">
        <w:rPr>
          <w:szCs w:val="26"/>
        </w:rPr>
        <w:t xml:space="preserve">The hearing commenced on </w:t>
      </w:r>
      <w:smartTag w:uri="urn:schemas-microsoft-com:office:smarttags" w:element="date">
        <w:smartTagPr>
          <w:attr w:name="Month" w:val="10"/>
          <w:attr w:name="Day" w:val="21"/>
          <w:attr w:name="Year" w:val="2003"/>
        </w:smartTagPr>
        <w:r w:rsidRPr="00D80201">
          <w:rPr>
            <w:szCs w:val="26"/>
          </w:rPr>
          <w:t>October 21, 2003</w:t>
        </w:r>
      </w:smartTag>
      <w:r w:rsidRPr="00D80201">
        <w:rPr>
          <w:szCs w:val="26"/>
        </w:rPr>
        <w:t xml:space="preserve">, and concluded on </w:t>
      </w:r>
      <w:smartTag w:uri="urn:schemas-microsoft-com:office:smarttags" w:element="date">
        <w:smartTagPr>
          <w:attr w:name="Month" w:val="11"/>
          <w:attr w:name="Day" w:val="14"/>
          <w:attr w:name="Year" w:val="2003"/>
        </w:smartTagPr>
        <w:r w:rsidRPr="00D80201">
          <w:rPr>
            <w:szCs w:val="26"/>
          </w:rPr>
          <w:t>November 14, 2003</w:t>
        </w:r>
      </w:smartTag>
      <w:r>
        <w:rPr>
          <w:szCs w:val="26"/>
        </w:rPr>
        <w:t>.</w:t>
      </w:r>
    </w:p>
    <w:p w14:paraId="1D4ED9E7" w14:textId="77777777" w:rsidR="00824130" w:rsidRPr="00D80201" w:rsidRDefault="00824130">
      <w:pPr>
        <w:ind w:firstLine="720"/>
        <w:rPr>
          <w:szCs w:val="26"/>
        </w:rPr>
      </w:pPr>
    </w:p>
    <w:p w14:paraId="750A3B98" w14:textId="77777777" w:rsidR="00824130" w:rsidRPr="00D80201" w:rsidRDefault="00824130">
      <w:pPr>
        <w:rPr>
          <w:szCs w:val="26"/>
        </w:rPr>
      </w:pPr>
      <w:r>
        <w:rPr>
          <w:szCs w:val="26"/>
        </w:rPr>
        <w:t>28.</w:t>
      </w:r>
      <w:r>
        <w:rPr>
          <w:szCs w:val="26"/>
        </w:rPr>
        <w:tab/>
      </w:r>
      <w:r w:rsidRPr="00D80201">
        <w:rPr>
          <w:szCs w:val="26"/>
        </w:rPr>
        <w:t xml:space="preserve">Due to the length of the hearing, Chief Judge Wagner issued an order on </w:t>
      </w:r>
      <w:smartTag w:uri="urn:schemas-microsoft-com:office:smarttags" w:element="date">
        <w:smartTagPr>
          <w:attr w:name="Month" w:val="11"/>
          <w:attr w:name="Day" w:val="10"/>
          <w:attr w:name="Year" w:val="2003"/>
        </w:smartTagPr>
        <w:r w:rsidRPr="00D80201">
          <w:rPr>
            <w:szCs w:val="26"/>
          </w:rPr>
          <w:t>November 10, 2003</w:t>
        </w:r>
      </w:smartTag>
      <w:r w:rsidRPr="00D80201">
        <w:rPr>
          <w:szCs w:val="26"/>
        </w:rPr>
        <w:t xml:space="preserve">, further extending the Track 2 procedural dates such that initial briefs were due </w:t>
      </w:r>
      <w:smartTag w:uri="urn:schemas-microsoft-com:office:smarttags" w:element="date">
        <w:smartTagPr>
          <w:attr w:name="Month" w:val="12"/>
          <w:attr w:name="Day" w:val="17"/>
          <w:attr w:name="Year" w:val="2003"/>
        </w:smartTagPr>
        <w:r w:rsidRPr="00D80201">
          <w:rPr>
            <w:szCs w:val="26"/>
          </w:rPr>
          <w:t>December 17, 2003</w:t>
        </w:r>
      </w:smartTag>
      <w:r w:rsidRPr="00D80201">
        <w:rPr>
          <w:szCs w:val="26"/>
        </w:rPr>
        <w:t xml:space="preserve">, reply briefs were due </w:t>
      </w:r>
      <w:smartTag w:uri="urn:schemas-microsoft-com:office:smarttags" w:element="date">
        <w:smartTagPr>
          <w:attr w:name="Month" w:val="1"/>
          <w:attr w:name="Day" w:val="13"/>
          <w:attr w:name="Year" w:val="2004"/>
        </w:smartTagPr>
        <w:r w:rsidRPr="00D80201">
          <w:rPr>
            <w:szCs w:val="26"/>
          </w:rPr>
          <w:t>January 13, 2004</w:t>
        </w:r>
      </w:smartTag>
      <w:r w:rsidRPr="00D80201">
        <w:rPr>
          <w:szCs w:val="26"/>
        </w:rPr>
        <w:t xml:space="preserve">, and this Initial Decision became due on </w:t>
      </w:r>
      <w:smartTag w:uri="urn:schemas-microsoft-com:office:smarttags" w:element="date">
        <w:smartTagPr>
          <w:attr w:name="Month" w:val="3"/>
          <w:attr w:name="Day" w:val="11"/>
          <w:attr w:name="Year" w:val="2004"/>
        </w:smartTagPr>
        <w:r w:rsidRPr="00D80201">
          <w:rPr>
            <w:szCs w:val="26"/>
          </w:rPr>
          <w:t>March 11, 2004</w:t>
        </w:r>
      </w:smartTag>
      <w:r w:rsidRPr="00D80201">
        <w:rPr>
          <w:szCs w:val="26"/>
        </w:rPr>
        <w:t>.</w:t>
      </w:r>
    </w:p>
    <w:p w14:paraId="249D3DC4" w14:textId="77777777" w:rsidR="00824130" w:rsidRPr="00D80201" w:rsidRDefault="00824130">
      <w:pPr>
        <w:ind w:firstLine="720"/>
        <w:rPr>
          <w:szCs w:val="26"/>
        </w:rPr>
      </w:pPr>
    </w:p>
    <w:p w14:paraId="3F57524F" w14:textId="77777777" w:rsidR="00824130" w:rsidRPr="00D80201" w:rsidRDefault="00824130">
      <w:pPr>
        <w:jc w:val="center"/>
        <w:rPr>
          <w:b/>
          <w:szCs w:val="26"/>
        </w:rPr>
      </w:pPr>
      <w:r w:rsidRPr="00D80201">
        <w:rPr>
          <w:b/>
          <w:szCs w:val="26"/>
        </w:rPr>
        <w:t>SUPPLEMENTAL PROCEDURAL HISTORY AND BACKGROUND</w:t>
      </w:r>
    </w:p>
    <w:p w14:paraId="13FD6CD4" w14:textId="77777777" w:rsidR="00824130" w:rsidRPr="00D80201" w:rsidRDefault="00824130">
      <w:pPr>
        <w:jc w:val="center"/>
        <w:rPr>
          <w:szCs w:val="26"/>
        </w:rPr>
      </w:pPr>
    </w:p>
    <w:p w14:paraId="7C44C978" w14:textId="77777777" w:rsidR="00824130" w:rsidRPr="00D80201" w:rsidRDefault="00824130">
      <w:pPr>
        <w:tabs>
          <w:tab w:val="left" w:pos="390"/>
        </w:tabs>
        <w:rPr>
          <w:szCs w:val="26"/>
        </w:rPr>
      </w:pPr>
      <w:r>
        <w:rPr>
          <w:szCs w:val="26"/>
        </w:rPr>
        <w:t>29.</w:t>
      </w:r>
      <w:r>
        <w:rPr>
          <w:szCs w:val="26"/>
        </w:rPr>
        <w:tab/>
      </w:r>
      <w:r>
        <w:rPr>
          <w:szCs w:val="26"/>
        </w:rPr>
        <w:tab/>
      </w:r>
      <w:r w:rsidRPr="00D80201">
        <w:rPr>
          <w:szCs w:val="26"/>
        </w:rPr>
        <w:t xml:space="preserve">The Joint Procedural History identifies, but does not describe, subsequent amendments to the ISO Tariff that have modified the Access Charge proposal included in Amendment No. 27.  When the City of </w:t>
      </w:r>
      <w:smartTag w:uri="urn:schemas-microsoft-com:office:smarttags" w:element="place">
        <w:smartTag w:uri="urn:schemas-microsoft-com:office:smarttags" w:element="City">
          <w:r w:rsidRPr="00D80201">
            <w:rPr>
              <w:szCs w:val="26"/>
            </w:rPr>
            <w:t>Vernon</w:t>
          </w:r>
        </w:smartTag>
      </w:smartTag>
      <w:r w:rsidRPr="00D80201">
        <w:rPr>
          <w:szCs w:val="26"/>
        </w:rPr>
        <w:t xml:space="preserve"> joined the ISO, effective </w:t>
      </w:r>
      <w:smartTag w:uri="urn:schemas-microsoft-com:office:smarttags" w:element="date">
        <w:smartTagPr>
          <w:attr w:name="Month" w:val="1"/>
          <w:attr w:name="Day" w:val="1"/>
          <w:attr w:name="Year" w:val="2001"/>
        </w:smartTagPr>
        <w:r w:rsidRPr="00D80201">
          <w:rPr>
            <w:szCs w:val="26"/>
          </w:rPr>
          <w:t>January 1, 2001</w:t>
        </w:r>
      </w:smartTag>
      <w:r w:rsidRPr="00D80201">
        <w:rPr>
          <w:szCs w:val="26"/>
        </w:rPr>
        <w:t xml:space="preserve">, and thereby triggered the process of blending the PTOs’ TRRs in accordance with the framework set forth in Amendment No. 27, the ISO filed Amendment No. 34 to revise the ISO Tariff to reflect that the City of </w:t>
      </w:r>
      <w:smartTag w:uri="urn:schemas-microsoft-com:office:smarttags" w:element="place">
        <w:smartTag w:uri="urn:schemas-microsoft-com:office:smarttags" w:element="City">
          <w:r w:rsidRPr="00D80201">
            <w:rPr>
              <w:szCs w:val="26"/>
            </w:rPr>
            <w:t>Vernon</w:t>
          </w:r>
        </w:smartTag>
      </w:smartTag>
      <w:r w:rsidRPr="00D80201">
        <w:rPr>
          <w:szCs w:val="26"/>
        </w:rPr>
        <w:t xml:space="preserve"> had joined the ISO.  The ISO</w:t>
      </w:r>
      <w:smartTag w:uri="urn:schemas-microsoft-com:office:smarttags" w:element="PersonName">
        <w:r w:rsidRPr="00D80201">
          <w:rPr>
            <w:szCs w:val="26"/>
          </w:rPr>
          <w:t>'</w:t>
        </w:r>
      </w:smartTag>
      <w:r w:rsidRPr="00D80201">
        <w:rPr>
          <w:szCs w:val="26"/>
        </w:rPr>
        <w:t xml:space="preserve">s revisions included both definitional changes to reflect </w:t>
      </w:r>
      <w:smartTag w:uri="urn:schemas-microsoft-com:office:smarttags" w:element="place">
        <w:smartTag w:uri="urn:schemas-microsoft-com:office:smarttags" w:element="City">
          <w:r w:rsidRPr="00D80201">
            <w:rPr>
              <w:szCs w:val="26"/>
            </w:rPr>
            <w:t>Vernon</w:t>
          </w:r>
        </w:smartTag>
      </w:smartTag>
      <w:smartTag w:uri="urn:schemas-microsoft-com:office:smarttags" w:element="PersonName">
        <w:r w:rsidRPr="00D80201">
          <w:rPr>
            <w:szCs w:val="26"/>
          </w:rPr>
          <w:t>'</w:t>
        </w:r>
      </w:smartTag>
      <w:r w:rsidRPr="00D80201">
        <w:rPr>
          <w:szCs w:val="26"/>
        </w:rPr>
        <w:t xml:space="preserve">s joining the ISO and changes to clarify and revise billing provisions to implement the new access charge rate design.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94 FERC ¶ 61,147 (2001).  </w:t>
      </w:r>
    </w:p>
    <w:p w14:paraId="75F1F33B" w14:textId="77777777" w:rsidR="00824130" w:rsidRPr="00D80201" w:rsidRDefault="00824130">
      <w:pPr>
        <w:tabs>
          <w:tab w:val="left" w:pos="390"/>
        </w:tabs>
        <w:ind w:firstLine="720"/>
        <w:rPr>
          <w:szCs w:val="26"/>
        </w:rPr>
      </w:pPr>
    </w:p>
    <w:p w14:paraId="5E0D1B56" w14:textId="77777777" w:rsidR="00824130" w:rsidRPr="00D80201" w:rsidRDefault="00824130">
      <w:pPr>
        <w:tabs>
          <w:tab w:val="left" w:pos="390"/>
        </w:tabs>
        <w:rPr>
          <w:szCs w:val="26"/>
        </w:rPr>
      </w:pPr>
      <w:r>
        <w:rPr>
          <w:szCs w:val="26"/>
        </w:rPr>
        <w:t>30.</w:t>
      </w:r>
      <w:r>
        <w:rPr>
          <w:szCs w:val="26"/>
        </w:rPr>
        <w:tab/>
      </w:r>
      <w:r>
        <w:rPr>
          <w:szCs w:val="26"/>
        </w:rPr>
        <w:tab/>
      </w:r>
      <w:r w:rsidRPr="00D80201">
        <w:rPr>
          <w:szCs w:val="26"/>
        </w:rPr>
        <w:t xml:space="preserve">Amendment No. 45 modified the process for updating the high voltage access charge to provide for revisions any time the Commission accepts a modified TRR from a PTO and clarified who pays the wheeling access charge.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100 FERC ¶ 61,209 (2002).  Amendment No. 46 modified the ISO Tariff concerning the operational relationship of metered subsystem operators to the ISO.  The provisions allowed certain vertically integrated utilities to continue to operate in a fashion that adhered to their vertically integrated utility status, minimized the ancillary service requirements of the ISO, and required the metered subsystem to pay certain ISO charges based upon the actual use of the ISO Controlled Grid.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i/>
          <w:szCs w:val="26"/>
        </w:rPr>
        <w:t>,</w:t>
      </w:r>
      <w:r w:rsidRPr="00D80201">
        <w:rPr>
          <w:szCs w:val="26"/>
        </w:rPr>
        <w:t xml:space="preserve"> 100 FERC ¶ 61,234 (2002).  </w:t>
      </w:r>
    </w:p>
    <w:p w14:paraId="37DEAAA7" w14:textId="77777777" w:rsidR="00824130" w:rsidRPr="00D80201" w:rsidRDefault="00824130">
      <w:pPr>
        <w:tabs>
          <w:tab w:val="left" w:pos="390"/>
        </w:tabs>
        <w:ind w:firstLine="720"/>
        <w:rPr>
          <w:szCs w:val="26"/>
        </w:rPr>
      </w:pPr>
    </w:p>
    <w:p w14:paraId="74459E88" w14:textId="77777777" w:rsidR="00824130" w:rsidRPr="00D80201" w:rsidRDefault="00824130">
      <w:pPr>
        <w:tabs>
          <w:tab w:val="left" w:pos="390"/>
        </w:tabs>
        <w:rPr>
          <w:szCs w:val="26"/>
        </w:rPr>
      </w:pPr>
      <w:r>
        <w:rPr>
          <w:szCs w:val="26"/>
        </w:rPr>
        <w:t>31.</w:t>
      </w:r>
      <w:r>
        <w:rPr>
          <w:szCs w:val="26"/>
        </w:rPr>
        <w:tab/>
      </w:r>
      <w:r>
        <w:rPr>
          <w:szCs w:val="26"/>
        </w:rPr>
        <w:tab/>
      </w:r>
      <w:r w:rsidRPr="00D80201">
        <w:rPr>
          <w:szCs w:val="26"/>
        </w:rPr>
        <w:t xml:space="preserve">When the four Southern Cities (“SC”) filed to join the ISO effective </w:t>
      </w:r>
      <w:smartTag w:uri="urn:schemas-microsoft-com:office:smarttags" w:element="date">
        <w:smartTagPr>
          <w:attr w:name="Month" w:val="1"/>
          <w:attr w:name="Day" w:val="1"/>
          <w:attr w:name="Year" w:val="2003"/>
        </w:smartTagPr>
        <w:r w:rsidRPr="00D80201">
          <w:rPr>
            <w:szCs w:val="26"/>
          </w:rPr>
          <w:t>January 1, 2003</w:t>
        </w:r>
      </w:smartTag>
      <w:r w:rsidRPr="00D80201">
        <w:rPr>
          <w:szCs w:val="26"/>
        </w:rPr>
        <w:t xml:space="preserve">, the ISO filed Amendment No. 47 to the ISO Tariff to make it consistent with the provisions of the TCA that were being amended to allow the SC to become PTOs.  Amendment No. 47 changed definitions and added new sections to address issues concerning SC preservation of tax exempt status.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102 FERC ¶ 61,061 (2003).  </w:t>
      </w:r>
    </w:p>
    <w:p w14:paraId="2DDFCDC1" w14:textId="77777777" w:rsidR="00824130" w:rsidRPr="00D80201" w:rsidRDefault="00824130">
      <w:pPr>
        <w:tabs>
          <w:tab w:val="left" w:pos="390"/>
        </w:tabs>
        <w:ind w:firstLine="720"/>
        <w:rPr>
          <w:szCs w:val="26"/>
        </w:rPr>
      </w:pPr>
    </w:p>
    <w:p w14:paraId="7DE532CF" w14:textId="77777777" w:rsidR="00824130" w:rsidRPr="00D80201" w:rsidRDefault="00824130">
      <w:pPr>
        <w:tabs>
          <w:tab w:val="left" w:pos="390"/>
        </w:tabs>
        <w:rPr>
          <w:szCs w:val="26"/>
        </w:rPr>
      </w:pPr>
      <w:r>
        <w:rPr>
          <w:szCs w:val="26"/>
        </w:rPr>
        <w:t>32.</w:t>
      </w:r>
      <w:r>
        <w:rPr>
          <w:szCs w:val="26"/>
        </w:rPr>
        <w:tab/>
      </w:r>
      <w:r>
        <w:rPr>
          <w:szCs w:val="26"/>
        </w:rPr>
        <w:tab/>
      </w:r>
      <w:r w:rsidRPr="00D80201">
        <w:rPr>
          <w:szCs w:val="26"/>
        </w:rPr>
        <w:t xml:space="preserve">In Amendment No. 49, the ISO proposes certain modifications to the methodology it filed in Amendment No. 27 in order to address concerns raised in settlement negotiations and problems identified in the course of administering this methodology during the intervening years.  In its order on Amendment No. 49, the Commission set for hearing five issues:  (i) removal of new high voltage transmission investments from the calculation of the cost shift cap, (ii) allocation of costs between high and low voltage transmission facilities, (iii) revisions to the definition of transmission revenue credits, (iv) conversion of existing rights to firm transmission rights, and (v) the treatment of behind-the-meter load.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103 FERC ¶ 61,260 at PP 6-7 (2003).  Among the provisions of Amendment No. 49 approved by the Commission was the elimination of the Revenue Review Panel, an option for review of the TRR of governmental PTOs (subject to appeal to the Commission).  </w:t>
      </w:r>
      <w:smartTag w:uri="urn:schemas-microsoft-com:office:smarttags" w:element="place">
        <w:smartTag w:uri="urn:schemas-microsoft-com:office:smarttags" w:element="State">
          <w:r w:rsidRPr="00481E41">
            <w:rPr>
              <w:szCs w:val="26"/>
              <w:u w:val="single"/>
            </w:rPr>
            <w:t>Id.</w:t>
          </w:r>
        </w:smartTag>
      </w:smartTag>
      <w:r w:rsidRPr="00D80201">
        <w:rPr>
          <w:szCs w:val="26"/>
        </w:rPr>
        <w:t xml:space="preserve"> at P 21.  Amendment No. 57 corrects an omission from Amendment No. 49 to address revenue disbursement to a PTO that has no end-use customers.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105 FERC ¶ 61,071 (2003).</w:t>
      </w:r>
    </w:p>
    <w:p w14:paraId="5CDB3D43" w14:textId="77777777" w:rsidR="00824130" w:rsidRPr="00D80201" w:rsidRDefault="00824130">
      <w:pPr>
        <w:tabs>
          <w:tab w:val="left" w:pos="390"/>
        </w:tabs>
        <w:ind w:firstLine="720"/>
        <w:rPr>
          <w:szCs w:val="26"/>
        </w:rPr>
      </w:pPr>
    </w:p>
    <w:p w14:paraId="61CA1C2A" w14:textId="77777777" w:rsidR="00824130" w:rsidRPr="00D80201" w:rsidRDefault="00824130">
      <w:pPr>
        <w:tabs>
          <w:tab w:val="left" w:pos="390"/>
        </w:tabs>
        <w:rPr>
          <w:szCs w:val="26"/>
        </w:rPr>
      </w:pPr>
      <w:r>
        <w:rPr>
          <w:szCs w:val="26"/>
        </w:rPr>
        <w:t>33.</w:t>
      </w:r>
      <w:r>
        <w:rPr>
          <w:szCs w:val="26"/>
        </w:rPr>
        <w:tab/>
      </w:r>
      <w:r>
        <w:rPr>
          <w:szCs w:val="26"/>
        </w:rPr>
        <w:tab/>
      </w:r>
      <w:r w:rsidRPr="00D80201">
        <w:rPr>
          <w:szCs w:val="26"/>
        </w:rPr>
        <w:t xml:space="preserve">On </w:t>
      </w:r>
      <w:smartTag w:uri="urn:schemas-microsoft-com:office:smarttags" w:element="date">
        <w:smartTagPr>
          <w:attr w:name="Month" w:val="7"/>
          <w:attr w:name="Day" w:val="1"/>
          <w:attr w:name="Year" w:val="2003"/>
        </w:smartTagPr>
        <w:r w:rsidRPr="00D80201">
          <w:rPr>
            <w:szCs w:val="26"/>
          </w:rPr>
          <w:t>July 1, 2003</w:t>
        </w:r>
      </w:smartTag>
      <w:r w:rsidRPr="00D80201">
        <w:rPr>
          <w:szCs w:val="26"/>
        </w:rPr>
        <w:t>, based on the Commissio</w:t>
      </w:r>
      <w:r>
        <w:rPr>
          <w:szCs w:val="26"/>
        </w:rPr>
        <w:t>n’s orders on Amendments No. 27</w:t>
      </w:r>
      <w:r w:rsidRPr="00D80201">
        <w:rPr>
          <w:szCs w:val="26"/>
        </w:rPr>
        <w:t xml:space="preserve"> and No. 49, the ISO filed a motion seeking a determination that certain issues were outside of the scope of this proceeding.  Subsequently SCE and MID filed motions addressing the appropriate scope of issues and Vernon filed a motion to strike certain testimony regarding the effect of the Commission’s rejection, in its order on Amendment No. 27, of the “buy down” provision, which would have required new PTOs, during the transition period, to apply any benefits from reduced transmission rates to reduce their TRRs.  PG&amp;E, SCE, SDG&amp;E, Staff, SC, NCPA, TANC, MID and the ISO filed answers regarding the inclusion of certain issues.  On July 16, 2003, the undersigned Presiding Judge convened a conference to address these motions.  After full consideration of the all of the pleadings and oral argument of the parties and Staff, the undersigned Presiding Judge excluded from the scope of the hearing the following issues:  (1) whether a postage stamp rate, as opposed to license stamp rates, was just and reasonable; (2) whether the requirement that PTOs offer to turn all of their transmission facilities over to the ISO’s operational control is just and reasonable; (3) whether the cost of reliability services should be included in a PTO’s TRR; (4) issues regarding Commission review of the TRR of governmental entities.  The undersigned Presiding Judge rejected requests to exclude from the scope of the hearing the following issues:  (1) whether a cost shift cap was just and reasonable in principle, as opposed to whether the level and duration was just and reasonable; (2) issues of whether phantom Congestion exists, how it is caused, and alternative methods of resolving phantom Congestion; (3) issues concerning the revisions to Section 3.2 of the ISO Tariff in Amendment No. 49; and (4) issues concerning the types of facilities that may be turned over to the ISO’s operational control.  The undersigned Presiding Judge also rejected Vernon’s motion to strike, instructing that the Commission’s ruling on the buy down provision would go to the weight, rather than the admissibility, of the evidence in question.  The parties revised testimony accordingly prior to, and during, the hearing.</w:t>
      </w:r>
    </w:p>
    <w:p w14:paraId="21A75585" w14:textId="77777777" w:rsidR="00824130" w:rsidRPr="00D80201" w:rsidRDefault="00824130">
      <w:pPr>
        <w:jc w:val="center"/>
        <w:rPr>
          <w:b/>
          <w:szCs w:val="26"/>
        </w:rPr>
      </w:pPr>
    </w:p>
    <w:p w14:paraId="2B889620" w14:textId="77777777" w:rsidR="00824130" w:rsidRPr="00D80201" w:rsidRDefault="00824130">
      <w:pPr>
        <w:numPr>
          <w:ilvl w:val="0"/>
          <w:numId w:val="15"/>
        </w:numPr>
        <w:rPr>
          <w:b/>
          <w:szCs w:val="26"/>
        </w:rPr>
      </w:pPr>
      <w:r w:rsidRPr="00D80201">
        <w:rPr>
          <w:b/>
          <w:szCs w:val="26"/>
        </w:rPr>
        <w:t xml:space="preserve">Relevant Factors: What are the factors that should be considered in determining whether the ISO’s transmission Access Charge proposal is just, reasonable and not unduly discriminatory?  </w:t>
      </w:r>
    </w:p>
    <w:p w14:paraId="31F4160E" w14:textId="77777777" w:rsidR="00824130" w:rsidRPr="00D80201" w:rsidRDefault="00824130">
      <w:pPr>
        <w:ind w:left="360"/>
        <w:rPr>
          <w:b/>
          <w:szCs w:val="26"/>
        </w:rPr>
      </w:pPr>
    </w:p>
    <w:p w14:paraId="7BFED50C" w14:textId="77777777" w:rsidR="00824130" w:rsidRPr="00D80201" w:rsidRDefault="00824130">
      <w:pPr>
        <w:ind w:left="360"/>
        <w:rPr>
          <w:b/>
          <w:szCs w:val="26"/>
        </w:rPr>
      </w:pPr>
      <w:r>
        <w:rPr>
          <w:b/>
          <w:szCs w:val="26"/>
        </w:rPr>
        <w:t>Position of the Parties</w:t>
      </w:r>
    </w:p>
    <w:p w14:paraId="7A4035E0" w14:textId="77777777" w:rsidR="00824130" w:rsidRPr="00D80201" w:rsidRDefault="00824130">
      <w:pPr>
        <w:rPr>
          <w:b/>
          <w:szCs w:val="26"/>
        </w:rPr>
      </w:pPr>
    </w:p>
    <w:p w14:paraId="0C5FD0C8" w14:textId="77777777" w:rsidR="00824130" w:rsidRPr="00D80201" w:rsidRDefault="00824130">
      <w:pPr>
        <w:rPr>
          <w:color w:val="000000"/>
          <w:szCs w:val="26"/>
        </w:rPr>
      </w:pPr>
      <w:r>
        <w:rPr>
          <w:color w:val="000000"/>
          <w:szCs w:val="26"/>
        </w:rPr>
        <w:t>34.</w:t>
      </w:r>
      <w:r>
        <w:rPr>
          <w:color w:val="000000"/>
          <w:szCs w:val="26"/>
        </w:rPr>
        <w:tab/>
      </w:r>
      <w:r w:rsidRPr="00D80201">
        <w:rPr>
          <w:color w:val="000000"/>
          <w:szCs w:val="26"/>
        </w:rPr>
        <w:t xml:space="preserve">According to the ISO, the first consideration must be whether Amendments 27, 34, and 49, as proposed by the ISO, are just, reasonable and not unduly discriminatory under Commission principles and precedent, not whether alternative proposals might be preferable.  The ISO argues that the applicable Commission principles and precedent include the Commission transmission pricing policy, cost causation principles, and the Commission’s Order setting the ISO’s proposal for hearing.  In addition, the ISO contends that the “balance of benefits and burdens” established by the ISO’s TAC proposal is a relevant and important consideration, but only as to whether the different treatment accorded different PTOs during the transition period constitutes undue discrimination.  </w:t>
      </w:r>
    </w:p>
    <w:p w14:paraId="52D94C9E" w14:textId="77777777" w:rsidR="00824130" w:rsidRPr="00D80201" w:rsidRDefault="00824130">
      <w:pPr>
        <w:ind w:firstLine="780"/>
        <w:rPr>
          <w:color w:val="000000"/>
          <w:szCs w:val="26"/>
        </w:rPr>
      </w:pPr>
    </w:p>
    <w:p w14:paraId="755D1992" w14:textId="77777777" w:rsidR="00824130" w:rsidRPr="00D80201" w:rsidRDefault="00824130">
      <w:pPr>
        <w:rPr>
          <w:b/>
          <w:color w:val="000000"/>
          <w:szCs w:val="26"/>
        </w:rPr>
      </w:pPr>
      <w:r>
        <w:rPr>
          <w:color w:val="000000"/>
          <w:szCs w:val="26"/>
        </w:rPr>
        <w:t>35.</w:t>
      </w:r>
      <w:r>
        <w:rPr>
          <w:color w:val="000000"/>
          <w:szCs w:val="26"/>
        </w:rPr>
        <w:tab/>
      </w:r>
      <w:r w:rsidRPr="00D80201">
        <w:rPr>
          <w:color w:val="000000"/>
          <w:szCs w:val="26"/>
        </w:rPr>
        <w:t xml:space="preserve">The ISO also disputes SWP’s contention, discussed more fully below, that the ISO carries the burden on time-sensitive pricing.  The ISO counters that its methodology is not interim, and that the burden of complying with its own tariff has been met and does not equate with bearing the burden of proving whether the TAC is just, reasonable, and not unduly discriminatory.    </w:t>
      </w:r>
    </w:p>
    <w:p w14:paraId="0FAADD85" w14:textId="77777777" w:rsidR="00824130" w:rsidRPr="00D80201" w:rsidRDefault="00824130">
      <w:pPr>
        <w:ind w:firstLine="780"/>
        <w:rPr>
          <w:b/>
          <w:color w:val="000000"/>
          <w:szCs w:val="26"/>
        </w:rPr>
      </w:pPr>
    </w:p>
    <w:p w14:paraId="2900E4F3" w14:textId="77777777" w:rsidR="00824130" w:rsidRPr="00D80201" w:rsidRDefault="00824130">
      <w:pPr>
        <w:rPr>
          <w:color w:val="000000"/>
          <w:szCs w:val="26"/>
        </w:rPr>
      </w:pPr>
      <w:r>
        <w:rPr>
          <w:color w:val="000000"/>
          <w:szCs w:val="26"/>
        </w:rPr>
        <w:t>36.</w:t>
      </w:r>
      <w:r>
        <w:rPr>
          <w:color w:val="000000"/>
          <w:szCs w:val="26"/>
        </w:rPr>
        <w:tab/>
      </w:r>
      <w:r w:rsidRPr="00D80201">
        <w:rPr>
          <w:color w:val="000000"/>
          <w:szCs w:val="26"/>
        </w:rPr>
        <w:t xml:space="preserve">Staff agrees with the ISO that the Commission must first decide whether the ISO’s proposed amendments are just, reasonable and not unduly discriminatory before deciding whether or not to consider alternative schemes proposed by the parties.  In addition, Staff states that in order to get a complete picture of the effect of the TAC, an analysis of benefits and burdens should include all the benefits and burdens which accrue to all the parties affected by the TAC, not just those defined as part of the “cost shift” and used to calculate the cost shift cap.  Staff also points out that this proceeding will not decide the issues in the ISO’s Comprehensive Market Redesign Proposal 2002, known as </w:t>
      </w:r>
      <w:r>
        <w:rPr>
          <w:color w:val="000000"/>
          <w:szCs w:val="26"/>
        </w:rPr>
        <w:t>MD02</w:t>
      </w:r>
      <w:r w:rsidRPr="00D80201">
        <w:rPr>
          <w:color w:val="000000"/>
          <w:szCs w:val="26"/>
        </w:rPr>
        <w:t xml:space="preserve">, now pending in Docket No. ER02-1656-000 and its various subdockets.  </w:t>
      </w:r>
    </w:p>
    <w:p w14:paraId="225C0982" w14:textId="77777777" w:rsidR="00824130" w:rsidRPr="00D80201" w:rsidRDefault="00824130">
      <w:pPr>
        <w:ind w:firstLine="780"/>
        <w:rPr>
          <w:color w:val="000000"/>
          <w:szCs w:val="26"/>
        </w:rPr>
      </w:pPr>
    </w:p>
    <w:p w14:paraId="3FE581CA" w14:textId="77777777" w:rsidR="00824130" w:rsidRPr="00D80201" w:rsidRDefault="00824130">
      <w:pPr>
        <w:rPr>
          <w:b/>
          <w:color w:val="000000"/>
          <w:szCs w:val="26"/>
        </w:rPr>
      </w:pPr>
      <w:r>
        <w:rPr>
          <w:color w:val="000000"/>
          <w:szCs w:val="26"/>
        </w:rPr>
        <w:t>37.</w:t>
      </w:r>
      <w:r>
        <w:rPr>
          <w:color w:val="000000"/>
          <w:szCs w:val="26"/>
        </w:rPr>
        <w:tab/>
      </w:r>
      <w:r w:rsidRPr="00D80201">
        <w:rPr>
          <w:color w:val="000000"/>
          <w:szCs w:val="26"/>
        </w:rPr>
        <w:t xml:space="preserve">In its reply brief, Staff responds to SWC’s argument, discussed more fully below, that the flat </w:t>
      </w:r>
      <w:r>
        <w:rPr>
          <w:color w:val="000000"/>
          <w:szCs w:val="26"/>
        </w:rPr>
        <w:t>MWh</w:t>
      </w:r>
      <w:r w:rsidRPr="00D80201">
        <w:rPr>
          <w:color w:val="000000"/>
          <w:szCs w:val="26"/>
        </w:rPr>
        <w:t xml:space="preserve">-based TAC does not conform to the Commission’s Transmission Pricing Policy.  Staff counters that the Commission has already held that the ISO’s prior methodology, which was also based on flat </w:t>
      </w:r>
      <w:r>
        <w:rPr>
          <w:color w:val="000000"/>
          <w:szCs w:val="26"/>
        </w:rPr>
        <w:t>MWh</w:t>
      </w:r>
      <w:r w:rsidRPr="00D80201">
        <w:rPr>
          <w:color w:val="000000"/>
          <w:szCs w:val="26"/>
        </w:rPr>
        <w:t xml:space="preserve">-based charges and preceded the TAC, conformed to the Commission’s Transmission Pricing Policy.  </w:t>
      </w:r>
      <w:r w:rsidRPr="00D80201">
        <w:rPr>
          <w:color w:val="000000"/>
          <w:szCs w:val="26"/>
          <w:u w:val="single"/>
        </w:rPr>
        <w:t>Pacific Gas and Elec. Co.</w:t>
      </w:r>
      <w:r w:rsidRPr="00D80201">
        <w:rPr>
          <w:i/>
          <w:color w:val="000000"/>
          <w:szCs w:val="26"/>
        </w:rPr>
        <w:t>,</w:t>
      </w:r>
      <w:r w:rsidRPr="00D80201">
        <w:rPr>
          <w:color w:val="000000"/>
          <w:szCs w:val="26"/>
        </w:rPr>
        <w:t xml:space="preserve"> 80 FERC ¶ 61,128 (1997).  </w:t>
      </w:r>
    </w:p>
    <w:p w14:paraId="62B0F9BF" w14:textId="77777777" w:rsidR="00824130" w:rsidRPr="00D80201" w:rsidRDefault="00824130">
      <w:pPr>
        <w:ind w:firstLine="360"/>
        <w:rPr>
          <w:color w:val="000000"/>
          <w:szCs w:val="26"/>
        </w:rPr>
      </w:pPr>
    </w:p>
    <w:p w14:paraId="3A6A0CA6" w14:textId="77777777" w:rsidR="00824130" w:rsidRDefault="00824130">
      <w:pPr>
        <w:pStyle w:val="FootnoteText"/>
        <w:ind w:firstLine="0"/>
        <w:rPr>
          <w:szCs w:val="26"/>
        </w:rPr>
      </w:pPr>
      <w:r>
        <w:rPr>
          <w:szCs w:val="26"/>
        </w:rPr>
        <w:t>38.</w:t>
      </w:r>
      <w:r>
        <w:rPr>
          <w:szCs w:val="26"/>
        </w:rPr>
        <w:tab/>
      </w:r>
      <w:r w:rsidRPr="00D80201">
        <w:rPr>
          <w:szCs w:val="26"/>
        </w:rPr>
        <w:t>SCE argues that the proposed amendments must be evaluated under the Federal Power Act’s standard of just and reasonableness.  SCE argues that the Commission has issued two Orders in this proceeding providing a list of factors to consider: (1) whether the TAC constitutes an equitable balance of costs and benefits; (2) the impact of the proposed TAC rate increase on the OPTOs’ rate payers; (3) whether the TAC benefits the OPTOs’ rate payers; (4) how the Commission’s rulings on the various issues may impact the original compromise and should be taken into account in setting the cost-shift caps and the transition period; (5) the applicability of the Commission’s ruling that the award of free FTRs for the new PTOs during the period of transition is reasonable; and (6) that the resolution of phantom congestion need not occur through the TAC.</w:t>
      </w:r>
      <w:r w:rsidRPr="00D80201">
        <w:rPr>
          <w:rStyle w:val="FootnoteReference"/>
          <w:color w:val="000000"/>
        </w:rPr>
        <w:footnoteReference w:id="12"/>
      </w:r>
      <w:r w:rsidRPr="00D80201">
        <w:rPr>
          <w:b/>
          <w:szCs w:val="26"/>
        </w:rPr>
        <w:t xml:space="preserve"> </w:t>
      </w:r>
      <w:r w:rsidRPr="00D80201">
        <w:rPr>
          <w:szCs w:val="26"/>
        </w:rPr>
        <w:t xml:space="preserve"> </w:t>
      </w:r>
    </w:p>
    <w:p w14:paraId="1174043D" w14:textId="77777777" w:rsidR="00824130" w:rsidRPr="00D80201" w:rsidRDefault="00824130">
      <w:pPr>
        <w:pStyle w:val="FootnoteText"/>
        <w:rPr>
          <w:szCs w:val="26"/>
        </w:rPr>
      </w:pPr>
    </w:p>
    <w:p w14:paraId="2AD35A06" w14:textId="77777777" w:rsidR="00824130" w:rsidRPr="00D80201" w:rsidRDefault="00824130">
      <w:pPr>
        <w:pStyle w:val="FootnoteText"/>
        <w:ind w:firstLine="0"/>
        <w:rPr>
          <w:szCs w:val="26"/>
        </w:rPr>
      </w:pPr>
      <w:r>
        <w:rPr>
          <w:szCs w:val="26"/>
        </w:rPr>
        <w:t>39.</w:t>
      </w:r>
      <w:r>
        <w:rPr>
          <w:szCs w:val="26"/>
        </w:rPr>
        <w:tab/>
      </w:r>
      <w:r w:rsidRPr="00D80201">
        <w:rPr>
          <w:szCs w:val="26"/>
        </w:rPr>
        <w:t xml:space="preserve">PG&amp;E argues that the undersigned should evaluate the benefits and burdens among the affected classes of stakeholders and whether there is equal treatment for all PTOs.  </w:t>
      </w:r>
      <w:smartTag w:uri="urn:schemas-microsoft-com:office:smarttags" w:element="place">
        <w:smartTag w:uri="urn:schemas-microsoft-com:office:smarttags" w:element="State">
          <w:r w:rsidRPr="00D80201">
            <w:rPr>
              <w:iCs/>
              <w:szCs w:val="26"/>
              <w:u w:val="single"/>
            </w:rPr>
            <w:t>Cal.</w:t>
          </w:r>
        </w:smartTag>
      </w:smartTag>
      <w:r w:rsidRPr="00D80201">
        <w:rPr>
          <w:iCs/>
          <w:szCs w:val="26"/>
          <w:u w:val="single"/>
        </w:rPr>
        <w:t xml:space="preserve"> Indep. Sys. Operator Corp.</w:t>
      </w:r>
      <w:r w:rsidRPr="00D80201">
        <w:rPr>
          <w:szCs w:val="26"/>
        </w:rPr>
        <w:t xml:space="preserve">, </w:t>
      </w:r>
      <w:bookmarkStart w:id="0" w:name="OLE_LINK1"/>
      <w:r w:rsidRPr="00D80201">
        <w:rPr>
          <w:szCs w:val="26"/>
        </w:rPr>
        <w:t xml:space="preserve">91 FERC ¶ 61,205 at 61,722 </w:t>
      </w:r>
      <w:bookmarkEnd w:id="0"/>
      <w:r w:rsidRPr="00D80201">
        <w:rPr>
          <w:szCs w:val="26"/>
        </w:rPr>
        <w:t>(2000).  According to PG&amp;E, the benefits to new PTOs are substantial and quantifiable, while the burdens are minimal.</w:t>
      </w:r>
      <w:r w:rsidRPr="00D80201">
        <w:rPr>
          <w:rStyle w:val="FootnoteReference"/>
          <w:color w:val="000000"/>
        </w:rPr>
        <w:footnoteReference w:id="13"/>
      </w:r>
      <w:r w:rsidRPr="00D80201">
        <w:rPr>
          <w:szCs w:val="26"/>
        </w:rPr>
        <w:t xml:space="preserve">  PG&amp;E also contends that the benefits to the OPTOs are not quantified and the burdens are substantial, because the benefits that the ISO claims are either no longer benefits or are not quantified.  PG&amp;E’s Initial Brief at 7-11.  In particular, PG&amp;E points out that the elimination of the buy-down impacted the OPTO benefits.  </w:t>
      </w:r>
      <w:smartTag w:uri="urn:schemas-microsoft-com:office:smarttags" w:element="place">
        <w:smartTag w:uri="urn:schemas-microsoft-com:office:smarttags" w:element="State">
          <w:r w:rsidRPr="00D80201">
            <w:rPr>
              <w:iCs/>
              <w:szCs w:val="26"/>
              <w:u w:val="single"/>
            </w:rPr>
            <w:t>Cal.</w:t>
          </w:r>
        </w:smartTag>
      </w:smartTag>
      <w:r w:rsidRPr="00D80201">
        <w:rPr>
          <w:iCs/>
          <w:szCs w:val="26"/>
          <w:u w:val="single"/>
        </w:rPr>
        <w:t xml:space="preserve"> Indep. Sys. Operator Corp.</w:t>
      </w:r>
      <w:r w:rsidRPr="00D80201">
        <w:rPr>
          <w:i/>
          <w:iCs/>
          <w:szCs w:val="26"/>
        </w:rPr>
        <w:t xml:space="preserve">, </w:t>
      </w:r>
      <w:r w:rsidRPr="00D80201">
        <w:rPr>
          <w:iCs/>
          <w:szCs w:val="26"/>
        </w:rPr>
        <w:t>91 FERC</w:t>
      </w:r>
      <w:r w:rsidRPr="00D80201">
        <w:rPr>
          <w:szCs w:val="26"/>
        </w:rPr>
        <w:t xml:space="preserve"> at </w:t>
      </w:r>
      <w:r>
        <w:rPr>
          <w:szCs w:val="26"/>
        </w:rPr>
        <w:t xml:space="preserve">¶ 61,205 at </w:t>
      </w:r>
      <w:r w:rsidRPr="00D80201">
        <w:rPr>
          <w:szCs w:val="26"/>
        </w:rPr>
        <w:t xml:space="preserve">61,725.  In addition, PG&amp;E posits that market benefits should not be considered as part of the equitable balance of benefits and burdens between the new PTOs and the OPTOs.  PG&amp;E also suggests that the TAC proposal be reviewed in five years.  </w:t>
      </w:r>
    </w:p>
    <w:p w14:paraId="0931650F" w14:textId="77777777" w:rsidR="00824130" w:rsidRPr="00D80201" w:rsidRDefault="00824130">
      <w:pPr>
        <w:pStyle w:val="FootnoteText"/>
        <w:rPr>
          <w:szCs w:val="26"/>
        </w:rPr>
      </w:pPr>
    </w:p>
    <w:p w14:paraId="46FEB1DD" w14:textId="77777777" w:rsidR="00824130" w:rsidRPr="00D80201" w:rsidRDefault="00824130">
      <w:pPr>
        <w:rPr>
          <w:color w:val="000000"/>
          <w:szCs w:val="26"/>
        </w:rPr>
      </w:pPr>
      <w:r>
        <w:rPr>
          <w:color w:val="000000"/>
          <w:szCs w:val="26"/>
        </w:rPr>
        <w:t>40.</w:t>
      </w:r>
      <w:r>
        <w:rPr>
          <w:color w:val="000000"/>
          <w:szCs w:val="26"/>
        </w:rPr>
        <w:tab/>
      </w:r>
      <w:r w:rsidRPr="00D80201">
        <w:rPr>
          <w:color w:val="000000"/>
          <w:szCs w:val="26"/>
        </w:rPr>
        <w:t xml:space="preserve">The EOB believes that the greatest priority is to ensure that the allocation of costs and benefits is roughly commensurate among the stakeholders to comply with basic cost causation principles.  The EOB argues that the compromise nature of the TAC, as emphasized by some parties, is irrelevant.  The EOB argues that the incentives for additional ISO participation should not take precedence over the commensurate allocation of costs and benefits.  In addition, the EOB discusses the context of current conditions in determining whether there is an equitable balance.  Specifically, the Commission’s elimination of the buy-down provision since the ISO filed the TAC, and the breakdown in the California electricity market during 2000 and 2001, have altered the balance since the TAC was filed, and have altered the willingness of potential new PTOs to join the ISO. </w:t>
      </w:r>
    </w:p>
    <w:p w14:paraId="33FA34B7" w14:textId="77777777" w:rsidR="00824130" w:rsidRPr="00D80201" w:rsidRDefault="00824130">
      <w:pPr>
        <w:pStyle w:val="FootnoteText"/>
        <w:rPr>
          <w:szCs w:val="26"/>
        </w:rPr>
      </w:pPr>
    </w:p>
    <w:p w14:paraId="20C52A9F" w14:textId="77777777" w:rsidR="00824130" w:rsidRPr="00D80201" w:rsidRDefault="00824130">
      <w:pPr>
        <w:pStyle w:val="FootnoteText"/>
        <w:ind w:firstLine="0"/>
        <w:rPr>
          <w:szCs w:val="26"/>
        </w:rPr>
      </w:pPr>
      <w:r>
        <w:rPr>
          <w:szCs w:val="26"/>
        </w:rPr>
        <w:t>41.</w:t>
      </w:r>
      <w:r>
        <w:rPr>
          <w:szCs w:val="26"/>
        </w:rPr>
        <w:tab/>
      </w:r>
      <w:r w:rsidRPr="00D80201">
        <w:rPr>
          <w:szCs w:val="26"/>
        </w:rPr>
        <w:t>SDG&amp;E argues that the standard for determining whether a proposed or effective utility rate is just, reasonable and not unduly discriminatory is set forth in Sections 205 and 206 of the Federal Power Act,</w:t>
      </w:r>
      <w:r w:rsidRPr="00D80201">
        <w:rPr>
          <w:rStyle w:val="FootnoteReference"/>
          <w:color w:val="000000"/>
        </w:rPr>
        <w:footnoteReference w:id="14"/>
      </w:r>
      <w:r w:rsidRPr="00D80201">
        <w:rPr>
          <w:szCs w:val="26"/>
        </w:rPr>
        <w:t xml:space="preserve"> and in judicial decisions interpreting them, which hold that the Commission must make its decision based on “substantial evidence.”  </w:t>
      </w:r>
      <w:r w:rsidRPr="00D80201">
        <w:rPr>
          <w:szCs w:val="26"/>
          <w:u w:val="single"/>
        </w:rPr>
        <w:t xml:space="preserve">Algonquin Gas </w:t>
      </w:r>
      <w:r>
        <w:rPr>
          <w:szCs w:val="26"/>
          <w:u w:val="single"/>
        </w:rPr>
        <w:t xml:space="preserve">Transmission Co. </w:t>
      </w:r>
      <w:r w:rsidRPr="00D80201">
        <w:rPr>
          <w:szCs w:val="26"/>
          <w:u w:val="single"/>
        </w:rPr>
        <w:t>v. FERC</w:t>
      </w:r>
      <w:r w:rsidRPr="00D80201">
        <w:rPr>
          <w:szCs w:val="26"/>
        </w:rPr>
        <w:t>, 948 F.2d 1305 (D.C. Cir. 1991).  Through a series of cases regarding the “rolling in” of the cost of gas transmission facilities for recovery through a system wide rate, the D.C. Circuit Court of Appeals has established that the substantial evidence standard requires a showing that the proposed system wide rate provides benefits to all users of the system that justify the spreading of cost of the facilities to all users on a system wide basis.</w:t>
      </w:r>
      <w:r w:rsidRPr="00D80201">
        <w:rPr>
          <w:rStyle w:val="FootnoteReference"/>
          <w:color w:val="000000"/>
        </w:rPr>
        <w:footnoteReference w:id="15"/>
      </w:r>
      <w:r w:rsidRPr="00D80201">
        <w:rPr>
          <w:b/>
          <w:szCs w:val="26"/>
        </w:rPr>
        <w:t xml:space="preserve"> </w:t>
      </w:r>
      <w:r w:rsidRPr="00D80201">
        <w:rPr>
          <w:szCs w:val="26"/>
        </w:rPr>
        <w:t xml:space="preserve"> That same standard applies to electric transmission facilities.</w:t>
      </w:r>
      <w:r w:rsidRPr="00D80201">
        <w:rPr>
          <w:rStyle w:val="FootnoteReference"/>
          <w:color w:val="000000"/>
        </w:rPr>
        <w:footnoteReference w:id="16"/>
      </w:r>
      <w:r w:rsidRPr="00D80201">
        <w:rPr>
          <w:szCs w:val="26"/>
        </w:rPr>
        <w:t xml:space="preserve">  The D.C. Circuit Court of Appeals has held that the substantial evidence standard requires that the benefits be identifiable and describable with reasonable particularity.</w:t>
      </w:r>
      <w:r w:rsidRPr="00D80201">
        <w:rPr>
          <w:rStyle w:val="FootnoteReference"/>
          <w:color w:val="000000"/>
        </w:rPr>
        <w:footnoteReference w:id="17"/>
      </w:r>
      <w:r w:rsidRPr="00D80201">
        <w:rPr>
          <w:szCs w:val="26"/>
        </w:rPr>
        <w:t xml:space="preserve">  SDG&amp;E emphasizes that the benefits need not be commensurate with the burdens, nor do the benefits have to be expressly quantified, so long as they are described with the requisite particularity.</w:t>
      </w:r>
      <w:r w:rsidRPr="00D80201">
        <w:rPr>
          <w:rStyle w:val="FootnoteReference"/>
          <w:color w:val="000000"/>
        </w:rPr>
        <w:footnoteReference w:id="18"/>
      </w:r>
    </w:p>
    <w:p w14:paraId="4700DCF2" w14:textId="77777777" w:rsidR="00824130" w:rsidRPr="00D80201" w:rsidRDefault="00824130">
      <w:pPr>
        <w:rPr>
          <w:color w:val="000000"/>
          <w:szCs w:val="26"/>
        </w:rPr>
      </w:pPr>
    </w:p>
    <w:p w14:paraId="0728F8D3" w14:textId="77777777" w:rsidR="00824130" w:rsidRPr="00D80201" w:rsidRDefault="00824130">
      <w:pPr>
        <w:rPr>
          <w:color w:val="000000"/>
          <w:szCs w:val="26"/>
        </w:rPr>
      </w:pPr>
      <w:r>
        <w:rPr>
          <w:color w:val="000000"/>
          <w:szCs w:val="26"/>
        </w:rPr>
        <w:t>42.</w:t>
      </w:r>
      <w:r>
        <w:rPr>
          <w:color w:val="000000"/>
          <w:szCs w:val="26"/>
        </w:rPr>
        <w:tab/>
      </w:r>
      <w:r w:rsidRPr="00D80201">
        <w:rPr>
          <w:color w:val="000000"/>
          <w:szCs w:val="26"/>
        </w:rPr>
        <w:t xml:space="preserve">SDG&amp;E states that although the Commission already approved a </w:t>
      </w:r>
      <w:r>
        <w:rPr>
          <w:color w:val="000000"/>
          <w:szCs w:val="26"/>
        </w:rPr>
        <w:t>grid wide</w:t>
      </w:r>
      <w:r w:rsidRPr="00D80201">
        <w:rPr>
          <w:color w:val="000000"/>
          <w:szCs w:val="26"/>
        </w:rPr>
        <w:t xml:space="preserve"> rate for the high voltage, SDG&amp;E believes that the record nonetheless indicates that the ISO has failed to meet its burden.  SDG&amp;E argues that although the Commission set this proceeding for hearing under Section 205 and 206 of the Federal Power Act, the Commission did not specifically identify which issues were subject to which burden of proof under the different sections.</w:t>
      </w:r>
      <w:r w:rsidRPr="00D80201">
        <w:rPr>
          <w:rStyle w:val="FootnoteReference"/>
          <w:color w:val="000000"/>
        </w:rPr>
        <w:footnoteReference w:id="19"/>
      </w:r>
      <w:r w:rsidRPr="00D80201">
        <w:rPr>
          <w:b/>
          <w:color w:val="000000"/>
          <w:szCs w:val="26"/>
        </w:rPr>
        <w:t xml:space="preserve"> </w:t>
      </w:r>
      <w:r w:rsidRPr="00D80201">
        <w:rPr>
          <w:color w:val="000000"/>
          <w:szCs w:val="26"/>
        </w:rPr>
        <w:t xml:space="preserve"> The Commission may undertake both analyses in a single issue,</w:t>
      </w:r>
      <w:r w:rsidRPr="00D80201">
        <w:rPr>
          <w:rStyle w:val="FootnoteReference"/>
          <w:color w:val="000000"/>
        </w:rPr>
        <w:footnoteReference w:id="20"/>
      </w:r>
      <w:r w:rsidRPr="00D80201">
        <w:rPr>
          <w:color w:val="000000"/>
          <w:szCs w:val="26"/>
        </w:rPr>
        <w:t xml:space="preserve"> or it may sweep all the issues into its Section 205 analysis and adopt a rate that is different from what the utility proposed, without first finding the current rate to be unlawful, as long as the utility is receptive to the Commission’s rate.</w:t>
      </w:r>
      <w:r w:rsidRPr="00D80201">
        <w:rPr>
          <w:rStyle w:val="FootnoteReference"/>
          <w:color w:val="000000"/>
        </w:rPr>
        <w:footnoteReference w:id="21"/>
      </w:r>
      <w:r w:rsidRPr="00D80201">
        <w:rPr>
          <w:color w:val="000000"/>
          <w:szCs w:val="26"/>
        </w:rPr>
        <w:t xml:space="preserve">  Therefore, SDG&amp;E contends, the undersigned and the Commission are empowered in this proceeding to adopt either the ISO proposal, the proposals of other parties, or a method of the Commission’s own making, so long as the ISO accepts the method adopted by the Commission.  If the ISO does not accept the Commission’s alternative, then the Section 206 standard applies.</w:t>
      </w:r>
      <w:r w:rsidRPr="00D80201">
        <w:rPr>
          <w:rStyle w:val="FootnoteReference"/>
          <w:color w:val="000000"/>
        </w:rPr>
        <w:footnoteReference w:id="22"/>
      </w:r>
      <w:r w:rsidRPr="00D80201">
        <w:rPr>
          <w:color w:val="000000"/>
          <w:szCs w:val="26"/>
        </w:rPr>
        <w:t xml:space="preserve">  </w:t>
      </w:r>
    </w:p>
    <w:p w14:paraId="49DE6003" w14:textId="77777777" w:rsidR="00824130" w:rsidRPr="00D80201" w:rsidRDefault="00824130">
      <w:pPr>
        <w:ind w:firstLine="720"/>
        <w:rPr>
          <w:color w:val="000000"/>
          <w:szCs w:val="26"/>
        </w:rPr>
      </w:pPr>
    </w:p>
    <w:p w14:paraId="7316371E" w14:textId="77777777" w:rsidR="00824130" w:rsidRPr="00D80201" w:rsidRDefault="00824130">
      <w:pPr>
        <w:pStyle w:val="BodyText"/>
        <w:rPr>
          <w:color w:val="000000"/>
          <w:sz w:val="26"/>
          <w:szCs w:val="26"/>
        </w:rPr>
      </w:pPr>
      <w:r>
        <w:rPr>
          <w:color w:val="000000"/>
          <w:sz w:val="26"/>
          <w:szCs w:val="26"/>
        </w:rPr>
        <w:t>43.</w:t>
      </w:r>
      <w:r>
        <w:rPr>
          <w:color w:val="000000"/>
          <w:sz w:val="26"/>
          <w:szCs w:val="26"/>
        </w:rPr>
        <w:tab/>
      </w:r>
      <w:r w:rsidRPr="00D80201">
        <w:rPr>
          <w:color w:val="000000"/>
          <w:sz w:val="26"/>
          <w:szCs w:val="26"/>
        </w:rPr>
        <w:t>SC recommends following two principles as a framework.  First, SC contends that the TAC should be consistent with the comparability standard highlighted in Order No. 888 and its progeny.</w:t>
      </w:r>
      <w:r w:rsidRPr="00D80201">
        <w:rPr>
          <w:rStyle w:val="FootnoteReference"/>
          <w:color w:val="000000"/>
        </w:rPr>
        <w:footnoteReference w:id="23"/>
      </w:r>
      <w:r w:rsidRPr="00D80201">
        <w:rPr>
          <w:color w:val="000000"/>
          <w:sz w:val="26"/>
          <w:szCs w:val="26"/>
        </w:rPr>
        <w:t xml:space="preserve">  Second, SC asserts that the TAC should reflect the fact that the ISO-controlled grid consists of an integrated and dynamic transmission network.  According to SC, under these two principles, all ISO customers should receive transmission service under comparable terms, and all PTOs that have committed transmission facilities and entitlements to the ISO’s operational control should be compensated for the use of their transmission facilities and entitlements on a consistent basis.  </w:t>
      </w:r>
    </w:p>
    <w:p w14:paraId="364D668C" w14:textId="77777777" w:rsidR="00824130" w:rsidRPr="00D80201" w:rsidRDefault="00824130">
      <w:pPr>
        <w:rPr>
          <w:color w:val="000000"/>
          <w:szCs w:val="26"/>
        </w:rPr>
      </w:pPr>
    </w:p>
    <w:p w14:paraId="5263CB05" w14:textId="77777777" w:rsidR="00824130" w:rsidRPr="00D80201" w:rsidRDefault="00824130">
      <w:pPr>
        <w:pStyle w:val="FootnoteText"/>
        <w:ind w:firstLine="0"/>
        <w:rPr>
          <w:szCs w:val="26"/>
        </w:rPr>
      </w:pPr>
      <w:r>
        <w:rPr>
          <w:szCs w:val="26"/>
        </w:rPr>
        <w:t>44.</w:t>
      </w:r>
      <w:r>
        <w:rPr>
          <w:szCs w:val="26"/>
        </w:rPr>
        <w:tab/>
      </w:r>
      <w:r w:rsidRPr="00D80201">
        <w:rPr>
          <w:szCs w:val="26"/>
        </w:rPr>
        <w:t xml:space="preserve">TANC stresses the need to evaluate the TAC to ensure that each element is just, reasonable, and not unduly discriminatory, and posits that the Commission considered that the TAC could be evaluated in such a manner.  </w:t>
      </w:r>
      <w:smartTag w:uri="urn:schemas-microsoft-com:office:smarttags" w:element="place">
        <w:smartTag w:uri="urn:schemas-microsoft-com:office:smarttags" w:element="State">
          <w:r w:rsidRPr="00D80201">
            <w:rPr>
              <w:szCs w:val="26"/>
              <w:u w:val="single"/>
            </w:rPr>
            <w:t>Cal.</w:t>
          </w:r>
        </w:smartTag>
      </w:smartTag>
      <w:r w:rsidRPr="00D80201">
        <w:rPr>
          <w:szCs w:val="26"/>
          <w:u w:val="single"/>
        </w:rPr>
        <w:t xml:space="preserve"> Indep. Sys. Operator Corp.</w:t>
      </w:r>
      <w:r w:rsidRPr="00D80201">
        <w:rPr>
          <w:szCs w:val="26"/>
        </w:rPr>
        <w:t xml:space="preserve">, 91 FERC ¶ 61,205, at 61,723 (2000).  TANC contends that the overall TAC proposal is not an “overall balance of benefits and burdens fair to all parties” because a complete costs-benefits analysis has not been performed.  Ex. TNC-21 at 5, </w:t>
      </w:r>
      <w:r w:rsidRPr="00D80201">
        <w:rPr>
          <w:szCs w:val="26"/>
          <w:u w:val="single"/>
        </w:rPr>
        <w:t>citing</w:t>
      </w:r>
      <w:r w:rsidRPr="00D80201">
        <w:rPr>
          <w:i/>
          <w:szCs w:val="26"/>
        </w:rPr>
        <w:t xml:space="preserve"> </w:t>
      </w:r>
      <w:r w:rsidRPr="00D80201">
        <w:rPr>
          <w:szCs w:val="26"/>
        </w:rPr>
        <w:t xml:space="preserve">TNC-6 at 2-7; </w:t>
      </w:r>
      <w:r w:rsidRPr="00D80201">
        <w:rPr>
          <w:szCs w:val="26"/>
          <w:u w:val="single"/>
        </w:rPr>
        <w:t>see also</w:t>
      </w:r>
      <w:r w:rsidRPr="00D80201">
        <w:rPr>
          <w:szCs w:val="26"/>
        </w:rPr>
        <w:t xml:space="preserve"> TNC-22 at 3-5.  In addition, TANC contends that whether the TAC “reflects a compromise that was developed through a lengthy stakeholder process” is not relevant.  </w:t>
      </w:r>
      <w:r w:rsidRPr="00D80201">
        <w:rPr>
          <w:szCs w:val="26"/>
          <w:u w:val="single"/>
        </w:rPr>
        <w:t xml:space="preserve">NY Indep. Sys. Operator </w:t>
      </w:r>
      <w:r>
        <w:rPr>
          <w:szCs w:val="26"/>
          <w:u w:val="single"/>
        </w:rPr>
        <w:t>Inc.</w:t>
      </w:r>
      <w:r w:rsidRPr="00D80201">
        <w:rPr>
          <w:szCs w:val="26"/>
        </w:rPr>
        <w:t>,</w:t>
      </w:r>
      <w:r w:rsidRPr="00D80201">
        <w:rPr>
          <w:i/>
          <w:szCs w:val="26"/>
        </w:rPr>
        <w:t xml:space="preserve"> </w:t>
      </w:r>
      <w:r w:rsidRPr="00D80201">
        <w:rPr>
          <w:szCs w:val="26"/>
        </w:rPr>
        <w:t>104 FERC ¶ 61,311 at P 29 (2003).</w:t>
      </w:r>
    </w:p>
    <w:p w14:paraId="59706791" w14:textId="77777777" w:rsidR="00824130" w:rsidRPr="00D80201" w:rsidRDefault="00824130">
      <w:pPr>
        <w:ind w:firstLine="720"/>
        <w:rPr>
          <w:color w:val="000000"/>
          <w:szCs w:val="26"/>
        </w:rPr>
      </w:pPr>
    </w:p>
    <w:p w14:paraId="4841FCF8" w14:textId="77777777" w:rsidR="00824130" w:rsidRPr="00D80201" w:rsidRDefault="00824130">
      <w:pPr>
        <w:rPr>
          <w:color w:val="000000"/>
          <w:szCs w:val="26"/>
        </w:rPr>
      </w:pPr>
      <w:r>
        <w:rPr>
          <w:color w:val="000000"/>
          <w:szCs w:val="26"/>
        </w:rPr>
        <w:t>45.</w:t>
      </w:r>
      <w:r>
        <w:rPr>
          <w:color w:val="000000"/>
          <w:szCs w:val="26"/>
        </w:rPr>
        <w:tab/>
      </w:r>
      <w:r w:rsidRPr="00D80201">
        <w:rPr>
          <w:color w:val="000000"/>
          <w:szCs w:val="26"/>
        </w:rPr>
        <w:t xml:space="preserve">NCPA also advocates analyzing the elements, rather than the whole of the TAC, to see whether they are just, reasonable, and not unduly discriminatory.  NCPA disputes that the entire package of the TAC is a balance of all the benefits and burdens that PTOs will face, and contends that there are several burdens of which the ISO did not take account when devising the TAC.  </w:t>
      </w:r>
    </w:p>
    <w:p w14:paraId="26928106" w14:textId="77777777" w:rsidR="00824130" w:rsidRPr="00D80201" w:rsidRDefault="00824130">
      <w:pPr>
        <w:rPr>
          <w:color w:val="000000"/>
          <w:szCs w:val="26"/>
        </w:rPr>
      </w:pPr>
    </w:p>
    <w:p w14:paraId="5D6C8F3B" w14:textId="77777777" w:rsidR="00824130" w:rsidRPr="00D80201" w:rsidRDefault="00824130">
      <w:pPr>
        <w:pStyle w:val="BodyText"/>
        <w:rPr>
          <w:color w:val="000000"/>
          <w:sz w:val="26"/>
          <w:szCs w:val="26"/>
        </w:rPr>
      </w:pPr>
      <w:r>
        <w:rPr>
          <w:color w:val="000000"/>
          <w:sz w:val="26"/>
          <w:szCs w:val="26"/>
        </w:rPr>
        <w:t>46.</w:t>
      </w:r>
      <w:r>
        <w:rPr>
          <w:color w:val="000000"/>
          <w:sz w:val="26"/>
          <w:szCs w:val="26"/>
        </w:rPr>
        <w:tab/>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contends that the ISO proposal, and each of its elements, must be reviewed under the standards of Section 205 of the Federal Power Act.  Vernon also argues that the Commission’s policy is to encourage the formation of RTOs/ISOs to expand RTO/ISO participation of transmission owners in order to provide benefits for all end-use customers.</w:t>
      </w:r>
      <w:r w:rsidRPr="00D80201">
        <w:rPr>
          <w:rStyle w:val="FootnoteReference"/>
          <w:color w:val="000000"/>
        </w:rPr>
        <w:footnoteReference w:id="24"/>
      </w:r>
      <w:r w:rsidRPr="00D80201">
        <w:rPr>
          <w:color w:val="000000"/>
          <w:sz w:val="26"/>
          <w:szCs w:val="26"/>
        </w:rPr>
        <w:t xml:space="preserve">  </w:t>
      </w:r>
    </w:p>
    <w:p w14:paraId="28BFB249" w14:textId="77777777" w:rsidR="00824130" w:rsidRPr="00D80201" w:rsidRDefault="00824130">
      <w:pPr>
        <w:pStyle w:val="BodyText"/>
        <w:ind w:firstLine="720"/>
        <w:rPr>
          <w:color w:val="000000"/>
          <w:sz w:val="26"/>
          <w:szCs w:val="26"/>
        </w:rPr>
      </w:pPr>
    </w:p>
    <w:p w14:paraId="5D276AEB" w14:textId="77777777" w:rsidR="00824130" w:rsidRPr="00D80201" w:rsidRDefault="00824130">
      <w:pPr>
        <w:rPr>
          <w:color w:val="000000"/>
          <w:szCs w:val="26"/>
        </w:rPr>
      </w:pPr>
      <w:r>
        <w:rPr>
          <w:color w:val="000000"/>
          <w:szCs w:val="26"/>
        </w:rPr>
        <w:t>47.</w:t>
      </w:r>
      <w:r>
        <w:rPr>
          <w:color w:val="000000"/>
          <w:szCs w:val="26"/>
        </w:rPr>
        <w:tab/>
      </w:r>
      <w:r w:rsidRPr="00D80201">
        <w:rPr>
          <w:color w:val="000000"/>
          <w:szCs w:val="26"/>
        </w:rPr>
        <w:t xml:space="preserve">MID claims that the ISO has the burden of proof to show that its TAC proposal is just, reasonable, and not unduly discriminatory.  </w:t>
      </w:r>
      <w:r w:rsidRPr="00FC5798">
        <w:rPr>
          <w:color w:val="000000"/>
          <w:szCs w:val="26"/>
          <w:u w:val="single"/>
        </w:rPr>
        <w:t>See</w:t>
      </w:r>
      <w:r w:rsidRPr="00D80201">
        <w:rPr>
          <w:i/>
          <w:color w:val="000000"/>
          <w:szCs w:val="26"/>
        </w:rPr>
        <w:t xml:space="preserve"> </w:t>
      </w:r>
      <w:r>
        <w:rPr>
          <w:color w:val="000000"/>
          <w:szCs w:val="26"/>
          <w:u w:val="single"/>
        </w:rPr>
        <w:t>Entergy Serv</w:t>
      </w:r>
      <w:r w:rsidRPr="00D80201">
        <w:rPr>
          <w:color w:val="000000"/>
          <w:szCs w:val="26"/>
          <w:u w:val="single"/>
        </w:rPr>
        <w:t>. Inc.</w:t>
      </w:r>
      <w:r w:rsidRPr="00D80201">
        <w:rPr>
          <w:color w:val="000000"/>
          <w:szCs w:val="26"/>
        </w:rPr>
        <w:t xml:space="preserve">, 64 FERC ¶ 61,001 at 61,016 (1993).  MID contends that the primary factor in determining if the TAC is just and reasonable and not unduly discriminatory is that all transmission should be treated in the same manner for ratemaking purposes.  </w:t>
      </w:r>
      <w:r w:rsidRPr="00FC5798">
        <w:rPr>
          <w:color w:val="000000"/>
          <w:szCs w:val="26"/>
          <w:u w:val="single"/>
        </w:rPr>
        <w:t>See</w:t>
      </w:r>
      <w:r w:rsidRPr="00D80201">
        <w:rPr>
          <w:i/>
          <w:color w:val="000000"/>
          <w:szCs w:val="26"/>
        </w:rPr>
        <w:t xml:space="preserve"> </w:t>
      </w:r>
      <w:r>
        <w:rPr>
          <w:color w:val="000000"/>
          <w:szCs w:val="26"/>
        </w:rPr>
        <w:t>Tr. 1517:23 - 1518:5, 1525:4 – 1</w:t>
      </w:r>
      <w:r w:rsidRPr="00D80201">
        <w:rPr>
          <w:color w:val="000000"/>
          <w:szCs w:val="26"/>
        </w:rPr>
        <w:t>0.  MID also disputes the ISO’s assertion that the TAC proposal was a compromise of stakeholder proposals.</w:t>
      </w:r>
    </w:p>
    <w:p w14:paraId="4C3D8F63" w14:textId="77777777" w:rsidR="00824130" w:rsidRPr="00D80201" w:rsidRDefault="00824130">
      <w:pPr>
        <w:rPr>
          <w:color w:val="000000"/>
          <w:szCs w:val="26"/>
        </w:rPr>
      </w:pPr>
    </w:p>
    <w:p w14:paraId="70B2B6E2" w14:textId="77777777" w:rsidR="00824130" w:rsidRPr="00D80201" w:rsidRDefault="00824130">
      <w:pPr>
        <w:rPr>
          <w:color w:val="000000"/>
          <w:szCs w:val="26"/>
        </w:rPr>
      </w:pPr>
      <w:r>
        <w:rPr>
          <w:color w:val="000000"/>
          <w:szCs w:val="26"/>
        </w:rPr>
        <w:t>48.</w:t>
      </w:r>
      <w:r>
        <w:rPr>
          <w:color w:val="000000"/>
          <w:szCs w:val="26"/>
        </w:rPr>
        <w:tab/>
      </w:r>
      <w:r w:rsidRPr="00D80201">
        <w:rPr>
          <w:color w:val="000000"/>
          <w:szCs w:val="26"/>
        </w:rPr>
        <w:t>SWP contends that the ISO must establish that Amendment No. 27 meets the standards for sound rate design, as well as standards for nondiscrimination and transparency.  SWP asserts that the ISO has been charged with developing cost-based transmission rates that reflect economic efficiency.</w:t>
      </w:r>
      <w:r w:rsidRPr="00D80201">
        <w:rPr>
          <w:rStyle w:val="FootnoteReference"/>
          <w:color w:val="000000"/>
        </w:rPr>
        <w:footnoteReference w:id="25"/>
      </w:r>
      <w:r w:rsidRPr="00D80201">
        <w:rPr>
          <w:color w:val="000000"/>
          <w:szCs w:val="26"/>
        </w:rPr>
        <w:t xml:space="preserve">  SWP maintains that the ISO’s rates, terms and conditions must not be unduly discriminatory.  In addition, SWP contends that Commission policies promote price signals and demand response.  According to SWP, where transportation rates are regulated, yet the commodity itself is traded competitively, rate regulation does not necessarily provide productive efficiency.</w:t>
      </w:r>
      <w:r w:rsidRPr="00D80201">
        <w:rPr>
          <w:rStyle w:val="FootnoteReference"/>
          <w:color w:val="000000"/>
        </w:rPr>
        <w:footnoteReference w:id="26"/>
      </w:r>
      <w:r w:rsidRPr="00D80201">
        <w:rPr>
          <w:color w:val="000000"/>
          <w:szCs w:val="26"/>
        </w:rPr>
        <w:t xml:space="preserve">  The Commission has emphasized both allocative efficiency and productive efficiency;</w:t>
      </w:r>
      <w:r w:rsidRPr="00D80201">
        <w:rPr>
          <w:rStyle w:val="FootnoteReference"/>
          <w:color w:val="000000"/>
        </w:rPr>
        <w:footnoteReference w:id="27"/>
      </w:r>
      <w:r w:rsidRPr="00D80201">
        <w:rPr>
          <w:color w:val="000000"/>
          <w:szCs w:val="26"/>
        </w:rPr>
        <w:t xml:space="preserve"> unlike allocative efficiency, productive efficiency calls for lower rates during off-peak periods to maximize usage and for interruptible service.</w:t>
      </w:r>
      <w:r w:rsidRPr="00D80201">
        <w:rPr>
          <w:rStyle w:val="FootnoteReference"/>
          <w:color w:val="000000"/>
        </w:rPr>
        <w:footnoteReference w:id="28"/>
      </w:r>
      <w:r w:rsidRPr="00D80201">
        <w:rPr>
          <w:color w:val="000000"/>
          <w:szCs w:val="26"/>
        </w:rPr>
        <w:t xml:space="preserve">  </w:t>
      </w:r>
    </w:p>
    <w:p w14:paraId="131EE7DA" w14:textId="77777777" w:rsidR="00824130" w:rsidRPr="00D80201" w:rsidRDefault="00824130">
      <w:pPr>
        <w:ind w:firstLine="720"/>
        <w:rPr>
          <w:color w:val="000000"/>
          <w:szCs w:val="26"/>
        </w:rPr>
      </w:pPr>
    </w:p>
    <w:p w14:paraId="23B15177" w14:textId="77777777" w:rsidR="00824130" w:rsidRPr="00D80201" w:rsidRDefault="00824130">
      <w:pPr>
        <w:rPr>
          <w:iCs/>
          <w:color w:val="000000"/>
          <w:szCs w:val="26"/>
        </w:rPr>
      </w:pPr>
      <w:r>
        <w:rPr>
          <w:color w:val="000000"/>
          <w:szCs w:val="26"/>
        </w:rPr>
        <w:t>49.</w:t>
      </w:r>
      <w:r>
        <w:rPr>
          <w:color w:val="000000"/>
          <w:szCs w:val="26"/>
        </w:rPr>
        <w:tab/>
      </w:r>
      <w:r w:rsidRPr="00D80201">
        <w:rPr>
          <w:color w:val="000000"/>
          <w:szCs w:val="26"/>
        </w:rPr>
        <w:t>SWP also contends that the ISO carries the burden of proof on time-sensitive pricing.  First, SWP claims that the original TAC methodology was expressly contemplated to be an interim rate.  Second, SWP cites the ISO Tariff section incorporating that statutory language, which provided that among the principles the ISO was required to examine in developing the successor rate was “</w:t>
      </w:r>
      <w:r w:rsidRPr="00D80201">
        <w:rPr>
          <w:i/>
          <w:iCs/>
          <w:color w:val="000000"/>
          <w:szCs w:val="26"/>
        </w:rPr>
        <w:t>the introduction of off-peak transmission rates</w:t>
      </w:r>
      <w:r w:rsidRPr="00D80201">
        <w:rPr>
          <w:color w:val="000000"/>
          <w:szCs w:val="26"/>
        </w:rPr>
        <w:t xml:space="preserve">. . . .” Former ISO Tariff </w:t>
      </w:r>
      <w:r w:rsidRPr="00D80201">
        <w:rPr>
          <w:color w:val="000000"/>
          <w:szCs w:val="26"/>
        </w:rPr>
        <w:sym w:font="WP TypographicSymbols" w:char="0027"/>
      </w:r>
      <w:r w:rsidRPr="00D80201">
        <w:rPr>
          <w:color w:val="000000"/>
          <w:szCs w:val="26"/>
        </w:rPr>
        <w:t xml:space="preserve"> 7.1.6.  SWP contends that the ISO should comply with its own Tariff and bear the burden of showing such compliance.  SWP further asserts that whereas the general rule holds that the party seeking a change in an existing rate or practice bears the burden of proof,</w:t>
      </w:r>
      <w:r w:rsidRPr="00D80201">
        <w:rPr>
          <w:rStyle w:val="FootnoteReference"/>
          <w:color w:val="000000"/>
        </w:rPr>
        <w:footnoteReference w:id="29"/>
      </w:r>
      <w:r w:rsidRPr="00D80201">
        <w:rPr>
          <w:color w:val="000000"/>
          <w:szCs w:val="26"/>
        </w:rPr>
        <w:t xml:space="preserve"> Commission precedent holds that not all rates or practices rise to the level of “settled practice</w:t>
      </w:r>
      <w:r w:rsidRPr="00D80201">
        <w:rPr>
          <w:rFonts w:cs="WP TypographicSymbols"/>
          <w:color w:val="000000"/>
          <w:szCs w:val="26"/>
        </w:rPr>
        <w:t>”</w:t>
      </w:r>
      <w:r w:rsidRPr="00D80201">
        <w:rPr>
          <w:color w:val="000000"/>
          <w:szCs w:val="26"/>
        </w:rPr>
        <w:t xml:space="preserve"> for purposes of imposing a burden of proof. According to SWP, where, as the ISO represented here,</w:t>
      </w:r>
      <w:r w:rsidRPr="00D80201">
        <w:rPr>
          <w:rFonts w:cs="Shruti"/>
          <w:color w:val="000000"/>
          <w:szCs w:val="26"/>
        </w:rPr>
        <w:t xml:space="preserve"> </w:t>
      </w:r>
      <w:r w:rsidRPr="00D80201">
        <w:rPr>
          <w:color w:val="000000"/>
          <w:szCs w:val="26"/>
        </w:rPr>
        <w:t>a rate methodology is only interim and subject to change, the party proposing the rate bears the burden of proof</w:t>
      </w:r>
      <w:r w:rsidRPr="00D80201">
        <w:rPr>
          <w:i/>
          <w:iCs/>
          <w:color w:val="000000"/>
          <w:szCs w:val="26"/>
        </w:rPr>
        <w:t>.</w:t>
      </w:r>
      <w:r w:rsidRPr="00D80201">
        <w:rPr>
          <w:rStyle w:val="FootnoteReference"/>
          <w:iCs/>
          <w:color w:val="000000"/>
        </w:rPr>
        <w:footnoteReference w:id="30"/>
      </w:r>
      <w:r w:rsidRPr="00D80201">
        <w:rPr>
          <w:iCs/>
          <w:color w:val="000000"/>
          <w:szCs w:val="26"/>
        </w:rPr>
        <w:t xml:space="preserve">  </w:t>
      </w:r>
    </w:p>
    <w:p w14:paraId="648F0FB4" w14:textId="77777777" w:rsidR="00824130" w:rsidRPr="00D80201" w:rsidRDefault="00824130">
      <w:pPr>
        <w:ind w:firstLine="720"/>
        <w:rPr>
          <w:color w:val="000000"/>
          <w:szCs w:val="26"/>
        </w:rPr>
      </w:pPr>
    </w:p>
    <w:p w14:paraId="5F5A658C" w14:textId="77777777" w:rsidR="00824130" w:rsidRPr="00D80201" w:rsidRDefault="00824130">
      <w:pPr>
        <w:rPr>
          <w:color w:val="000000"/>
          <w:szCs w:val="26"/>
        </w:rPr>
      </w:pPr>
      <w:r>
        <w:rPr>
          <w:color w:val="000000"/>
          <w:szCs w:val="26"/>
        </w:rPr>
        <w:t>50.</w:t>
      </w:r>
      <w:r>
        <w:rPr>
          <w:color w:val="000000"/>
          <w:szCs w:val="26"/>
        </w:rPr>
        <w:tab/>
      </w:r>
      <w:r w:rsidRPr="00D80201">
        <w:rPr>
          <w:color w:val="000000"/>
          <w:szCs w:val="26"/>
        </w:rPr>
        <w:t xml:space="preserve">SWC contends that the appropriate guidance is the Commission’s “Inquiry Concerning the Commission’s Pricing Policy for Transmission Services Provided by Public Utilities under the Federal Power Act; Policy Statement,” set forth in Ex. SWC-4  That document identifies five Transmission Pricing Principles, which provide that a transmission rate: (1) Must Meet the Traditional Revenue Requirement; (2) Must Reflect Comparability; (3) Should Promote Economic Efficiency; (4) Should Promote Fairness; and (5) Should Be Practical.  </w:t>
      </w:r>
    </w:p>
    <w:p w14:paraId="29F6A10D" w14:textId="77777777" w:rsidR="00824130" w:rsidRPr="00D80201" w:rsidRDefault="00824130">
      <w:pPr>
        <w:ind w:firstLine="720"/>
        <w:rPr>
          <w:color w:val="000000"/>
          <w:szCs w:val="26"/>
        </w:rPr>
      </w:pPr>
    </w:p>
    <w:p w14:paraId="758D267E" w14:textId="77777777" w:rsidR="00824130" w:rsidRPr="00D80201" w:rsidRDefault="00824130">
      <w:pPr>
        <w:rPr>
          <w:color w:val="000000"/>
          <w:szCs w:val="26"/>
        </w:rPr>
      </w:pPr>
      <w:r>
        <w:rPr>
          <w:color w:val="000000"/>
          <w:szCs w:val="26"/>
        </w:rPr>
        <w:t>51.</w:t>
      </w:r>
      <w:r>
        <w:rPr>
          <w:color w:val="000000"/>
          <w:szCs w:val="26"/>
        </w:rPr>
        <w:tab/>
      </w:r>
      <w:r w:rsidRPr="00D80201">
        <w:rPr>
          <w:color w:val="000000"/>
          <w:szCs w:val="26"/>
        </w:rPr>
        <w:t xml:space="preserve">SWC emphasizes that the Commission identified special criteria for evaluating non-conforming proposals, stating that they must be fully supported, with the utility obligated to “supply a complete discussion of how the proposal is intended to take account of the pricing principles.”  Ex. SWC-4 at 14.  Additionally, SWC contends that the Commission requires utilities proposing non-conforming transmission pricing to make a showing of benefits to a broad cross-section of consumers that achieve, among other things, projected price decreases to customers of delivered power.  </w:t>
      </w:r>
      <w:smartTag w:uri="urn:schemas-microsoft-com:office:smarttags" w:element="place">
        <w:smartTag w:uri="urn:schemas-microsoft-com:office:smarttags" w:element="State">
          <w:r w:rsidRPr="00FC5798">
            <w:rPr>
              <w:iCs/>
              <w:color w:val="000000"/>
              <w:szCs w:val="26"/>
              <w:u w:val="single"/>
            </w:rPr>
            <w:t>Id.</w:t>
          </w:r>
        </w:smartTag>
      </w:smartTag>
      <w:r w:rsidRPr="00D80201">
        <w:rPr>
          <w:i/>
          <w:iCs/>
          <w:color w:val="000000"/>
          <w:szCs w:val="26"/>
        </w:rPr>
        <w:t xml:space="preserve">  </w:t>
      </w:r>
      <w:r w:rsidRPr="00D80201">
        <w:rPr>
          <w:iCs/>
          <w:color w:val="000000"/>
          <w:szCs w:val="26"/>
        </w:rPr>
        <w:t xml:space="preserve">SWC argues that recent Commission precedent has reflected adherence to the Transmission Pricing Policy in Order No. 888, Order No. 2000, and the </w:t>
      </w:r>
      <w:r w:rsidRPr="00D80201">
        <w:rPr>
          <w:color w:val="000000"/>
          <w:szCs w:val="26"/>
        </w:rPr>
        <w:t xml:space="preserve">White Paper on Wholesale Market Reform issued </w:t>
      </w:r>
      <w:smartTag w:uri="urn:schemas-microsoft-com:office:smarttags" w:element="date">
        <w:smartTagPr>
          <w:attr w:name="Month" w:val="4"/>
          <w:attr w:name="Day" w:val="28"/>
          <w:attr w:name="Year" w:val="2003"/>
        </w:smartTagPr>
        <w:r w:rsidRPr="00D80201">
          <w:rPr>
            <w:color w:val="000000"/>
            <w:szCs w:val="26"/>
          </w:rPr>
          <w:t>April 28, 2003</w:t>
        </w:r>
      </w:smartTag>
      <w:r w:rsidRPr="00D80201">
        <w:rPr>
          <w:iCs/>
          <w:color w:val="000000"/>
          <w:szCs w:val="26"/>
        </w:rPr>
        <w:t>.  SWC contends that the</w:t>
      </w:r>
      <w:r w:rsidRPr="00D80201">
        <w:rPr>
          <w:color w:val="000000"/>
          <w:szCs w:val="26"/>
        </w:rPr>
        <w:t xml:space="preserve"> TAC should meet the foregoing objectives, standing alone, without consideration of congestion or losses.  </w:t>
      </w:r>
      <w:r w:rsidRPr="00FC5798">
        <w:rPr>
          <w:iCs/>
          <w:color w:val="000000"/>
          <w:szCs w:val="26"/>
          <w:u w:val="single"/>
        </w:rPr>
        <w:t>See</w:t>
      </w:r>
      <w:r w:rsidRPr="00D80201">
        <w:rPr>
          <w:color w:val="000000"/>
          <w:szCs w:val="26"/>
        </w:rPr>
        <w:t xml:space="preserve"> Ex. SWC-1 at 35:3-4.  SWC also argues that a determination whether the ISO’s TAC is just, reasonable, and not unduly discriminatory should, according to the ISO witness Le Vine be made based upon the ISO’s market design in effect today, and not upon any anticipated changes to its market design.  </w:t>
      </w:r>
      <w:r w:rsidRPr="00FC5798">
        <w:rPr>
          <w:iCs/>
          <w:color w:val="000000"/>
          <w:szCs w:val="26"/>
          <w:u w:val="single"/>
        </w:rPr>
        <w:t>See</w:t>
      </w:r>
      <w:r w:rsidRPr="00D80201">
        <w:rPr>
          <w:color w:val="000000"/>
          <w:szCs w:val="26"/>
        </w:rPr>
        <w:t xml:space="preserve"> Tr. 644:15-22.  </w:t>
      </w:r>
    </w:p>
    <w:p w14:paraId="430AA782" w14:textId="77777777" w:rsidR="00824130" w:rsidRPr="00D80201" w:rsidRDefault="00824130">
      <w:pPr>
        <w:ind w:firstLine="720"/>
        <w:rPr>
          <w:color w:val="000000"/>
          <w:szCs w:val="26"/>
        </w:rPr>
      </w:pPr>
    </w:p>
    <w:p w14:paraId="0AC90A42" w14:textId="77777777" w:rsidR="00824130" w:rsidRPr="00D80201" w:rsidRDefault="00824130">
      <w:pPr>
        <w:rPr>
          <w:color w:val="000000"/>
          <w:szCs w:val="26"/>
        </w:rPr>
      </w:pPr>
      <w:r>
        <w:rPr>
          <w:color w:val="000000"/>
          <w:szCs w:val="26"/>
        </w:rPr>
        <w:t>52.</w:t>
      </w:r>
      <w:r>
        <w:rPr>
          <w:color w:val="000000"/>
          <w:szCs w:val="26"/>
        </w:rPr>
        <w:tab/>
      </w:r>
      <w:r w:rsidRPr="00D80201">
        <w:rPr>
          <w:color w:val="000000"/>
          <w:szCs w:val="26"/>
        </w:rPr>
        <w:t xml:space="preserve">In its reply brief, SWC challenges precedent cited by other parties for the propositions that the ISO’s rate methodology is just and reasonable, and that the TAC conforms to transmission pricing principles.  SWC Reply Brief at 10-19.  SWC also contends that the New York ISO is irrelevant as an example of where the Commission has approved another ISO’s flat </w:t>
      </w:r>
      <w:r>
        <w:rPr>
          <w:color w:val="000000"/>
          <w:szCs w:val="26"/>
        </w:rPr>
        <w:t>MWh</w:t>
      </w:r>
      <w:r w:rsidRPr="00D80201">
        <w:rPr>
          <w:color w:val="000000"/>
          <w:szCs w:val="26"/>
        </w:rPr>
        <w:t xml:space="preserve">-based rate methodology.  </w:t>
      </w:r>
    </w:p>
    <w:p w14:paraId="5D9B4C42" w14:textId="77777777" w:rsidR="00824130" w:rsidRPr="00D80201" w:rsidRDefault="00824130">
      <w:pPr>
        <w:tabs>
          <w:tab w:val="left" w:pos="390"/>
        </w:tabs>
        <w:rPr>
          <w:color w:val="000000"/>
          <w:szCs w:val="26"/>
        </w:rPr>
      </w:pPr>
    </w:p>
    <w:p w14:paraId="29C9685A" w14:textId="77777777" w:rsidR="00824130" w:rsidRPr="00D80201" w:rsidRDefault="00824130">
      <w:pPr>
        <w:tabs>
          <w:tab w:val="left" w:pos="390"/>
        </w:tabs>
        <w:ind w:firstLine="720"/>
        <w:rPr>
          <w:b/>
          <w:color w:val="000000"/>
          <w:szCs w:val="26"/>
        </w:rPr>
      </w:pPr>
      <w:r w:rsidRPr="00D80201">
        <w:rPr>
          <w:b/>
          <w:color w:val="000000"/>
          <w:szCs w:val="26"/>
        </w:rPr>
        <w:t>Discussion and Findings</w:t>
      </w:r>
    </w:p>
    <w:p w14:paraId="2EB51F83" w14:textId="77777777" w:rsidR="00824130" w:rsidRPr="00D80201" w:rsidRDefault="00824130">
      <w:pPr>
        <w:tabs>
          <w:tab w:val="left" w:pos="390"/>
        </w:tabs>
        <w:ind w:firstLine="720"/>
        <w:rPr>
          <w:b/>
          <w:color w:val="000000"/>
          <w:szCs w:val="26"/>
        </w:rPr>
      </w:pPr>
    </w:p>
    <w:p w14:paraId="75869DC2" w14:textId="77777777" w:rsidR="00824130" w:rsidRPr="00D80201" w:rsidRDefault="00824130">
      <w:pPr>
        <w:pStyle w:val="BodyTextFirstIndentD"/>
        <w:spacing w:line="240" w:lineRule="auto"/>
        <w:ind w:firstLine="0"/>
        <w:rPr>
          <w:color w:val="000000"/>
        </w:rPr>
      </w:pPr>
      <w:r>
        <w:rPr>
          <w:color w:val="000000"/>
        </w:rPr>
        <w:t>53.</w:t>
      </w:r>
      <w:r>
        <w:rPr>
          <w:color w:val="000000"/>
        </w:rPr>
        <w:tab/>
      </w:r>
      <w:r w:rsidRPr="00D80201">
        <w:rPr>
          <w:color w:val="000000"/>
        </w:rPr>
        <w:t xml:space="preserve">Proposed Amendments 27, 34, and 49 to the ISO Tariff establish a single </w:t>
      </w:r>
      <w:r>
        <w:rPr>
          <w:color w:val="000000"/>
        </w:rPr>
        <w:t>grid wide</w:t>
      </w:r>
      <w:r w:rsidRPr="00D80201">
        <w:rPr>
          <w:color w:val="000000"/>
        </w:rPr>
        <w:t xml:space="preserve"> high voltage TAC which is a formula rate design for the recovery of the PTOs’ TRR. The Commission, under Section 205(e) of the Federal Power Act, must assess the justness and reasonableness of those filed rates, terms and conditions.  In determining the justness and reasonableness of the ISO’s TAC, the undersigned Presiding Judge must, of course, be guided by Commission policy and precedent, including where relevant, the Commission’s Principles of Transmission Pricing, the Commission’s principles of cost causation requiring that costs be assigned to those using and benefiting from the facilities in question,</w:t>
      </w:r>
      <w:r w:rsidRPr="00D80201">
        <w:rPr>
          <w:rStyle w:val="FootnoteReference"/>
          <w:color w:val="000000"/>
        </w:rPr>
        <w:footnoteReference w:id="31"/>
      </w:r>
      <w:r w:rsidRPr="00D80201">
        <w:rPr>
          <w:color w:val="000000"/>
        </w:rPr>
        <w:t xml:space="preserve"> and the Commission’s Order setting this matter for hearing.  </w:t>
      </w:r>
    </w:p>
    <w:p w14:paraId="485F0C05" w14:textId="77777777" w:rsidR="00824130" w:rsidRPr="00D80201" w:rsidRDefault="00824130">
      <w:pPr>
        <w:pStyle w:val="BodyTextFirstIndentD"/>
        <w:spacing w:line="240" w:lineRule="auto"/>
        <w:rPr>
          <w:color w:val="000000"/>
        </w:rPr>
      </w:pPr>
    </w:p>
    <w:p w14:paraId="015CEF11" w14:textId="77777777" w:rsidR="00824130" w:rsidRPr="00D80201" w:rsidRDefault="00824130">
      <w:pPr>
        <w:pStyle w:val="BodyTextFirstIndentD"/>
        <w:spacing w:line="240" w:lineRule="auto"/>
        <w:ind w:firstLine="0"/>
        <w:rPr>
          <w:color w:val="000000"/>
        </w:rPr>
      </w:pPr>
      <w:r>
        <w:rPr>
          <w:color w:val="000000"/>
        </w:rPr>
        <w:t>54.</w:t>
      </w:r>
      <w:r>
        <w:rPr>
          <w:color w:val="000000"/>
        </w:rPr>
        <w:tab/>
      </w:r>
      <w:r w:rsidRPr="00D80201">
        <w:rPr>
          <w:color w:val="000000"/>
        </w:rPr>
        <w:t>Specifically with regard to the Commission’s Order setting this matter for hearing, while the Commission altered the TAC in several important respects</w:t>
      </w:r>
      <w:r>
        <w:rPr>
          <w:color w:val="000000"/>
        </w:rPr>
        <w:t>,</w:t>
      </w:r>
      <w:r w:rsidRPr="00D80201">
        <w:rPr>
          <w:rStyle w:val="FootnoteReference"/>
          <w:color w:val="000000"/>
        </w:rPr>
        <w:footnoteReference w:id="32"/>
      </w:r>
      <w:r w:rsidRPr="00D80201">
        <w:rPr>
          <w:color w:val="000000"/>
        </w:rPr>
        <w:t xml:space="preserve"> and referred for hearing the question of whether Amendments 27, 34, and 49, as proposed by the ISO, are just and reasonable and not unduly discriminatory; the Commission nevertheless concurred with the “ISO</w:t>
      </w:r>
      <w:smartTag w:uri="urn:schemas-microsoft-com:office:smarttags" w:element="PersonName">
        <w:r w:rsidRPr="00D80201">
          <w:rPr>
            <w:color w:val="000000"/>
          </w:rPr>
          <w:t>'</w:t>
        </w:r>
      </w:smartTag>
      <w:r w:rsidRPr="00D80201">
        <w:rPr>
          <w:color w:val="000000"/>
        </w:rPr>
        <w:t xml:space="preserve">s objectives of creating an equitable balance of costs and benefits among the various affected classes of stakeholders and the treatment of all Participating TOs on the same basis.”  </w:t>
      </w:r>
      <w:smartTag w:uri="urn:schemas-microsoft-com:office:smarttags" w:element="place">
        <w:smartTag w:uri="urn:schemas-microsoft-com:office:smarttags" w:element="State">
          <w:r w:rsidRPr="00D80201">
            <w:rPr>
              <w:color w:val="000000"/>
              <w:u w:val="single"/>
            </w:rPr>
            <w:t>Cal.</w:t>
          </w:r>
        </w:smartTag>
      </w:smartTag>
      <w:r w:rsidRPr="00D80201">
        <w:rPr>
          <w:color w:val="000000"/>
          <w:u w:val="single"/>
        </w:rPr>
        <w:t xml:space="preserve"> Indep. Sys. Operator Corp.</w:t>
      </w:r>
      <w:r w:rsidRPr="00D80201">
        <w:rPr>
          <w:color w:val="000000"/>
        </w:rPr>
        <w:t xml:space="preserve">, 91 FERC ¶ 61,205 at 61,722 (2000).  Second, the Commission endorsed as desirable the goal of a uniform </w:t>
      </w:r>
      <w:r>
        <w:rPr>
          <w:color w:val="000000"/>
        </w:rPr>
        <w:t>grid wide</w:t>
      </w:r>
      <w:r w:rsidRPr="00D80201">
        <w:rPr>
          <w:color w:val="000000"/>
        </w:rPr>
        <w:t xml:space="preserve"> high voltage rate.  </w:t>
      </w:r>
      <w:smartTag w:uri="urn:schemas-microsoft-com:office:smarttags" w:element="place">
        <w:smartTag w:uri="urn:schemas-microsoft-com:office:smarttags" w:element="State">
          <w:r w:rsidRPr="00D80201">
            <w:rPr>
              <w:color w:val="000000"/>
              <w:u w:val="single"/>
            </w:rPr>
            <w:t>Id.</w:t>
          </w:r>
        </w:smartTag>
      </w:smartTag>
      <w:r w:rsidRPr="00D80201">
        <w:rPr>
          <w:rStyle w:val="FootnoteReference"/>
          <w:color w:val="000000"/>
        </w:rPr>
        <w:footnoteReference w:id="33"/>
      </w:r>
      <w:r w:rsidRPr="00D80201">
        <w:rPr>
          <w:i/>
          <w:color w:val="000000"/>
        </w:rPr>
        <w:t xml:space="preserve">  </w:t>
      </w:r>
      <w:r w:rsidRPr="00D80201">
        <w:rPr>
          <w:color w:val="000000"/>
        </w:rPr>
        <w:t xml:space="preserve">Third, the Commission found that incentives for New Participating TO’s were a positive step as part of an effort to expand the ISO Controlled Grid.  </w:t>
      </w:r>
      <w:smartTag w:uri="urn:schemas-microsoft-com:office:smarttags" w:element="place">
        <w:smartTag w:uri="urn:schemas-microsoft-com:office:smarttags" w:element="State">
          <w:r w:rsidRPr="00D80201">
            <w:rPr>
              <w:color w:val="000000"/>
              <w:u w:val="single"/>
            </w:rPr>
            <w:t>Id.</w:t>
          </w:r>
        </w:smartTag>
      </w:smartTag>
      <w:r w:rsidRPr="00D80201">
        <w:rPr>
          <w:i/>
          <w:color w:val="000000"/>
        </w:rPr>
        <w:t xml:space="preserve">  </w:t>
      </w:r>
      <w:r w:rsidRPr="00D80201">
        <w:rPr>
          <w:color w:val="000000"/>
        </w:rPr>
        <w:t xml:space="preserve"> These findings provide an important analytical framework for the resolution of the issues in dispute in this proceeding. </w:t>
      </w:r>
    </w:p>
    <w:p w14:paraId="654C0B15" w14:textId="77777777" w:rsidR="00824130" w:rsidRPr="00D80201" w:rsidRDefault="00824130">
      <w:pPr>
        <w:pStyle w:val="BodyTextFirstIndentD"/>
        <w:spacing w:line="240" w:lineRule="auto"/>
        <w:rPr>
          <w:color w:val="000000"/>
        </w:rPr>
      </w:pPr>
    </w:p>
    <w:p w14:paraId="31520F67" w14:textId="77777777" w:rsidR="00824130" w:rsidRPr="00D80201" w:rsidRDefault="00824130">
      <w:pPr>
        <w:pStyle w:val="BodyTextFirstIndentD"/>
        <w:spacing w:line="240" w:lineRule="auto"/>
        <w:ind w:firstLine="0"/>
      </w:pPr>
      <w:r>
        <w:rPr>
          <w:color w:val="000000"/>
        </w:rPr>
        <w:t>55.</w:t>
      </w:r>
      <w:r>
        <w:rPr>
          <w:color w:val="000000"/>
        </w:rPr>
        <w:tab/>
      </w:r>
      <w:r w:rsidRPr="00D80201">
        <w:rPr>
          <w:color w:val="000000"/>
        </w:rPr>
        <w:t>While the “balance of benefits and burdens,” which various parties argue</w:t>
      </w:r>
      <w:r w:rsidRPr="00D80201">
        <w:t xml:space="preserve"> was the basis for the original TAC filing, has been superseded by many changes since in the past three years, it still provides a relevant area of analysis in the determination of the justness and reasonableness of the ISO’s TAC proposal and should include consideration of all of  the benefits and burdens which accrue to all the parties affected by the TAC, not just those defined as part of the “cost shift” and used to calculate the cost shift cap.  </w:t>
      </w:r>
    </w:p>
    <w:p w14:paraId="3425C181" w14:textId="77777777" w:rsidR="00824130" w:rsidRPr="00D80201" w:rsidRDefault="00824130">
      <w:pPr>
        <w:pStyle w:val="BodyTextFirstIndentD"/>
        <w:spacing w:line="240" w:lineRule="auto"/>
      </w:pPr>
    </w:p>
    <w:p w14:paraId="277D3899" w14:textId="77777777" w:rsidR="00824130" w:rsidRPr="00D80201" w:rsidRDefault="00824130">
      <w:pPr>
        <w:pStyle w:val="BodyTextFirstIndentD"/>
        <w:spacing w:line="240" w:lineRule="auto"/>
        <w:ind w:firstLine="0"/>
      </w:pPr>
      <w:r>
        <w:t>56.</w:t>
      </w:r>
      <w:r>
        <w:tab/>
      </w:r>
      <w:r w:rsidRPr="00D80201">
        <w:t>Section 205(e) states that, in a rate increase proceeding, “the burden of proof to show that the increased rate or charge is just and reasonable shall be upon the</w:t>
      </w:r>
      <w:r>
        <w:t xml:space="preserve"> public utility.” 16 U.S.C. § 824d</w:t>
      </w:r>
      <w:r w:rsidRPr="00D80201">
        <w:t>(e)</w:t>
      </w:r>
      <w:r>
        <w:t xml:space="preserve"> </w:t>
      </w:r>
      <w:r w:rsidRPr="00D80201">
        <w:t xml:space="preserve">(2003).  Nevertheless, as Staff points out, even in a rate increase case the Commission has stated that when it has found a utility’s method of cost estimation to be reasonable, “according to settled principles of law, it is reasonable to expect that those parties which challenge the estimation bear the burden of coming forward with evidence to show the suspect character of the proffered cost estimates.”  </w:t>
      </w:r>
      <w:r w:rsidRPr="00D80201">
        <w:rPr>
          <w:u w:val="single"/>
        </w:rPr>
        <w:t>Pub. Serv. Co. of Ind., Inc.,</w:t>
      </w:r>
      <w:r w:rsidRPr="00D80201">
        <w:t xml:space="preserve"> 56 FPC 3003 at 3017-18 (1976), </w:t>
      </w:r>
      <w:r>
        <w:rPr>
          <w:u w:val="single"/>
        </w:rPr>
        <w:t>reh’</w:t>
      </w:r>
      <w:r w:rsidRPr="00D80201">
        <w:rPr>
          <w:u w:val="single"/>
        </w:rPr>
        <w:t>g granted in part</w:t>
      </w:r>
      <w:r w:rsidRPr="00D80201">
        <w:t>, 57 FPC 1173 (1977.)</w:t>
      </w:r>
      <w:r w:rsidRPr="00D80201">
        <w:rPr>
          <w:rStyle w:val="FootnoteReference"/>
        </w:rPr>
        <w:footnoteReference w:id="34"/>
      </w:r>
      <w:r w:rsidRPr="00D80201">
        <w:t xml:space="preserve">    </w:t>
      </w:r>
    </w:p>
    <w:p w14:paraId="09F10B0B" w14:textId="77777777" w:rsidR="00824130" w:rsidRPr="00D80201" w:rsidRDefault="00824130">
      <w:pPr>
        <w:pStyle w:val="BodyTextFirstIndentD"/>
        <w:spacing w:line="240" w:lineRule="auto"/>
      </w:pPr>
    </w:p>
    <w:p w14:paraId="7F416714" w14:textId="77777777" w:rsidR="00824130" w:rsidRPr="00D80201" w:rsidRDefault="00824130">
      <w:pPr>
        <w:pStyle w:val="BodyTextFirstIndentD"/>
        <w:spacing w:line="240" w:lineRule="auto"/>
        <w:ind w:firstLine="0"/>
      </w:pPr>
      <w:r>
        <w:t>57.</w:t>
      </w:r>
      <w:r>
        <w:tab/>
      </w:r>
      <w:r w:rsidRPr="00D80201">
        <w:t xml:space="preserve">For the rate design proposal to be acceptable, it need be neither perfect nor even the most “desirable”; it need only be reasonable.  </w:t>
      </w:r>
      <w:r w:rsidRPr="00D80201">
        <w:rPr>
          <w:u w:val="single"/>
        </w:rPr>
        <w:t>See</w:t>
      </w:r>
      <w:r w:rsidRPr="00D80201">
        <w:rPr>
          <w:i/>
        </w:rPr>
        <w:t xml:space="preserve"> </w:t>
      </w:r>
      <w:r w:rsidRPr="00D80201">
        <w:rPr>
          <w:u w:val="single"/>
        </w:rPr>
        <w:t>New England Power Co.,</w:t>
      </w:r>
      <w:r w:rsidRPr="00D80201">
        <w:t xml:space="preserve"> 52 FERC  ¶ 61,090 at 61,336 (1990), </w:t>
      </w:r>
      <w:r w:rsidRPr="00D80201">
        <w:rPr>
          <w:u w:val="single"/>
        </w:rPr>
        <w:t>reh’g denied</w:t>
      </w:r>
      <w:r w:rsidRPr="00D80201">
        <w:t xml:space="preserve">, 54 FERC  ¶ 61,055, </w:t>
      </w:r>
      <w:r w:rsidRPr="00D80201">
        <w:rPr>
          <w:u w:val="single"/>
        </w:rPr>
        <w:t>aff’d Town of Norwood v. FERC</w:t>
      </w:r>
      <w:r w:rsidRPr="00D80201">
        <w:t xml:space="preserve">, 962 F.2d 20 (D.C.Cir. 1992); </w:t>
      </w:r>
      <w:r w:rsidRPr="00D80201">
        <w:rPr>
          <w:u w:val="single"/>
        </w:rPr>
        <w:t>City of Bethany v. FERC</w:t>
      </w:r>
      <w:r w:rsidRPr="00D80201">
        <w:t xml:space="preserve">, 727 F.2d 1131, 1136 (D.C.Cir. 1984), </w:t>
      </w:r>
      <w:r w:rsidRPr="00D80201">
        <w:rPr>
          <w:u w:val="single"/>
        </w:rPr>
        <w:t>cert. denied</w:t>
      </w:r>
      <w:r w:rsidRPr="00D80201">
        <w:t xml:space="preserve">, 469 U.S. 917 (1984)(utility need establish that its proposed rate design is reasonable, not that it is superior to alternatives); </w:t>
      </w:r>
      <w:r w:rsidRPr="00502BF5">
        <w:rPr>
          <w:u w:val="single"/>
        </w:rPr>
        <w:t>OXY USA, Inc. v. FERC</w:t>
      </w:r>
      <w:r w:rsidRPr="00D80201">
        <w:t>, 64 F.3d 679, 692 (D.C.Cir. 1995) (“[T]he Commission may approve the methodology proposed in the settlement agreement if it is ‘just and reasonable’; it need not be the only reasonable methodology or even the most accurate.”).</w:t>
      </w:r>
    </w:p>
    <w:p w14:paraId="0B1C726A" w14:textId="77777777" w:rsidR="00824130" w:rsidRPr="00D80201" w:rsidRDefault="00824130">
      <w:pPr>
        <w:pStyle w:val="BodyTextFirstIndentD"/>
        <w:spacing w:line="240" w:lineRule="auto"/>
      </w:pPr>
    </w:p>
    <w:p w14:paraId="5D5E01A1" w14:textId="77777777" w:rsidR="00824130" w:rsidRPr="00D80201" w:rsidRDefault="00824130">
      <w:pPr>
        <w:pStyle w:val="BodyTextFirstIndentD"/>
        <w:spacing w:line="240" w:lineRule="auto"/>
        <w:ind w:firstLine="0"/>
      </w:pPr>
      <w:r>
        <w:t>58.</w:t>
      </w:r>
      <w:r>
        <w:tab/>
      </w:r>
      <w:r w:rsidRPr="00D80201">
        <w:t xml:space="preserve">Under Section 206 of the Federal Power Act, the Commission has the power and an obligation to prescribe a change in a rate, charge, classification, rule, regulation, practice, or contract whenever it finds such rate, charge, classification, rule, regulation, practice, or contract to be unjust, unreasonable, unduly discriminatory or preferential.  16 </w:t>
      </w:r>
      <w:r>
        <w:t>U.S.C.</w:t>
      </w:r>
      <w:r w:rsidRPr="00D80201">
        <w:t xml:space="preserve"> §824e(a) (2003).  However, “the condition precedent to the Commission’s exercise of its power under § 206(a) is a finding that the existing rate is ‘unjust, unreasonable, unduly discriminatory or preferential.’”  </w:t>
      </w:r>
      <w:r w:rsidRPr="00D80201">
        <w:rPr>
          <w:u w:val="single"/>
        </w:rPr>
        <w:t>FPC v. Sierra Pacific Power Co.,</w:t>
      </w:r>
      <w:r w:rsidRPr="00D80201">
        <w:t xml:space="preserve"> 350 </w:t>
      </w:r>
      <w:smartTag w:uri="urn:schemas-microsoft-com:office:smarttags" w:element="place">
        <w:smartTag w:uri="urn:schemas-microsoft-com:office:smarttags" w:element="country-region">
          <w:r w:rsidRPr="00D80201">
            <w:t>US</w:t>
          </w:r>
        </w:smartTag>
      </w:smartTag>
      <w:r w:rsidRPr="00D80201">
        <w:t xml:space="preserve"> 348, 353 (1956). Accordingly, the undersigned Presiding Judge concurs with the ISO and with Staff that, absent agreement by the filing utility, the ISO’s proposed TAC must be found to be unjust, unreasonable, or unduly discriminatory before alternative proposals are ripe for consideration.  Further, if a party wishes to challenge a feature of the TAC that is unchanged from the previous rate that the Commission has approved as just and reasonable, then that party bears the burden of coming forward with evidence sufficient to establish that the feature in question is unjust or unreasonable.  </w:t>
      </w:r>
      <w:r w:rsidRPr="00D80201">
        <w:rPr>
          <w:u w:val="single"/>
        </w:rPr>
        <w:t>See</w:t>
      </w:r>
      <w:r w:rsidRPr="00D80201">
        <w:t xml:space="preserve"> </w:t>
      </w:r>
      <w:r>
        <w:rPr>
          <w:u w:val="single"/>
        </w:rPr>
        <w:t>Public Serv.</w:t>
      </w:r>
      <w:r w:rsidRPr="00D80201">
        <w:rPr>
          <w:u w:val="single"/>
        </w:rPr>
        <w:t xml:space="preserve"> Comm’n of NY v. FERC</w:t>
      </w:r>
      <w:r w:rsidRPr="00D80201">
        <w:rPr>
          <w:i/>
        </w:rPr>
        <w:t xml:space="preserve">, </w:t>
      </w:r>
      <w:r w:rsidRPr="00D80201">
        <w:t xml:space="preserve">642 F.2d 1335, 1345 (D.C. Cir. 1980).    </w:t>
      </w:r>
    </w:p>
    <w:p w14:paraId="7A71755F" w14:textId="77777777" w:rsidR="00824130" w:rsidRPr="00D80201" w:rsidRDefault="00824130">
      <w:pPr>
        <w:pStyle w:val="BodyTextFirstIndentD"/>
        <w:spacing w:line="240" w:lineRule="auto"/>
      </w:pPr>
    </w:p>
    <w:p w14:paraId="6DB0AF53" w14:textId="77777777" w:rsidR="00824130" w:rsidRPr="00D80201" w:rsidRDefault="00824130">
      <w:pPr>
        <w:rPr>
          <w:szCs w:val="26"/>
        </w:rPr>
      </w:pPr>
      <w:r>
        <w:rPr>
          <w:szCs w:val="26"/>
        </w:rPr>
        <w:t>59.</w:t>
      </w:r>
      <w:r>
        <w:rPr>
          <w:szCs w:val="26"/>
        </w:rPr>
        <w:tab/>
      </w:r>
      <w:r w:rsidRPr="00D80201">
        <w:rPr>
          <w:szCs w:val="26"/>
        </w:rPr>
        <w:t xml:space="preserve">In the instant proceeding, the “volumetric” </w:t>
      </w:r>
      <w:r>
        <w:rPr>
          <w:szCs w:val="26"/>
        </w:rPr>
        <w:t>MWh</w:t>
      </w:r>
      <w:r w:rsidRPr="00D80201">
        <w:rPr>
          <w:szCs w:val="26"/>
        </w:rPr>
        <w:t xml:space="preserve"> rate is an aspect of the ISO’s rate design that is unchanged by Amendments No. 27 and No. 49.  While SWC argues that the flat </w:t>
      </w:r>
      <w:r>
        <w:rPr>
          <w:szCs w:val="26"/>
        </w:rPr>
        <w:t>MWh</w:t>
      </w:r>
      <w:r w:rsidRPr="00D80201">
        <w:rPr>
          <w:szCs w:val="26"/>
        </w:rPr>
        <w:t xml:space="preserve">-based TAC does not conform to the Commission’s Transmission Pricing Policy, Staff correctly points out that the Commission has already held that the ISO’s prior methodology, which was also based on flat </w:t>
      </w:r>
      <w:r>
        <w:rPr>
          <w:szCs w:val="26"/>
        </w:rPr>
        <w:t>MWh</w:t>
      </w:r>
      <w:r w:rsidRPr="00D80201">
        <w:rPr>
          <w:szCs w:val="26"/>
        </w:rPr>
        <w:t xml:space="preserve">-based charges and preceded the TAC, conformed to the Commission’s Transmission Pricing Policy.  </w:t>
      </w:r>
      <w:r w:rsidRPr="00D80201">
        <w:rPr>
          <w:szCs w:val="26"/>
          <w:u w:val="single"/>
        </w:rPr>
        <w:t>Pacific Gas and Elec. Co.</w:t>
      </w:r>
      <w:r w:rsidRPr="00D80201">
        <w:rPr>
          <w:szCs w:val="26"/>
        </w:rPr>
        <w:t xml:space="preserve">, 80 FERC ¶ 61,128 (1997).   </w:t>
      </w:r>
    </w:p>
    <w:p w14:paraId="2E43000F" w14:textId="77777777" w:rsidR="00824130" w:rsidRPr="00D80201" w:rsidRDefault="00824130">
      <w:pPr>
        <w:ind w:firstLine="780"/>
        <w:rPr>
          <w:szCs w:val="26"/>
        </w:rPr>
      </w:pPr>
    </w:p>
    <w:p w14:paraId="5B66117F" w14:textId="77777777" w:rsidR="00824130" w:rsidRDefault="00824130">
      <w:pPr>
        <w:rPr>
          <w:szCs w:val="26"/>
        </w:rPr>
      </w:pPr>
      <w:r>
        <w:rPr>
          <w:szCs w:val="26"/>
        </w:rPr>
        <w:t>60.</w:t>
      </w:r>
      <w:r>
        <w:rPr>
          <w:szCs w:val="26"/>
        </w:rPr>
        <w:tab/>
      </w:r>
      <w:r w:rsidRPr="00D80201">
        <w:rPr>
          <w:szCs w:val="26"/>
        </w:rPr>
        <w:t xml:space="preserve">SWP nonetheless asserts that the ISO bears the burden of proving that its proposal is just and reasonable without making provision for time-of-use rates.  SWP Initial Brief at 6.  SWP advances two reasons for its contention:  first, that the ISO must bears the burden of proof because its initial rate </w:t>
      </w:r>
      <w:r>
        <w:rPr>
          <w:szCs w:val="26"/>
        </w:rPr>
        <w:t>methodology was an interim rate;</w:t>
      </w:r>
      <w:r w:rsidRPr="00D80201">
        <w:rPr>
          <w:szCs w:val="26"/>
        </w:rPr>
        <w:t xml:space="preserve"> and, second, that the ISO bears the burden of proof because the ISO had not complied with Tariff requirements that the ISO examine, in developing a successor methodology, the introduction of off-peak transmission rates.  </w:t>
      </w:r>
      <w:smartTag w:uri="urn:schemas-microsoft-com:office:smarttags" w:element="place">
        <w:smartTag w:uri="urn:schemas-microsoft-com:office:smarttags" w:element="State">
          <w:r w:rsidRPr="00D80201">
            <w:rPr>
              <w:szCs w:val="26"/>
              <w:u w:val="single"/>
            </w:rPr>
            <w:t>Id.</w:t>
          </w:r>
        </w:smartTag>
      </w:smartTag>
      <w:r w:rsidRPr="00D80201">
        <w:rPr>
          <w:szCs w:val="26"/>
        </w:rPr>
        <w:t xml:space="preserve"> at 6-7.   The cases cited by SWP are factually inapposite and do not provide controlling precedent for resolution of this issue.</w:t>
      </w:r>
      <w:r w:rsidRPr="00D80201">
        <w:rPr>
          <w:rStyle w:val="FootnoteReference"/>
        </w:rPr>
        <w:footnoteReference w:id="35"/>
      </w:r>
      <w:r w:rsidRPr="00D80201">
        <w:rPr>
          <w:szCs w:val="26"/>
        </w:rPr>
        <w:t xml:space="preserve">  Because SWP’s contentions regarding the burden of proof are not supported by Commission precedent, they are hereby rejected.  </w:t>
      </w:r>
    </w:p>
    <w:p w14:paraId="75BA0B00" w14:textId="77777777" w:rsidR="00824130" w:rsidRPr="00D80201" w:rsidRDefault="00824130">
      <w:pPr>
        <w:ind w:firstLine="780"/>
        <w:rPr>
          <w:szCs w:val="26"/>
        </w:rPr>
      </w:pPr>
    </w:p>
    <w:p w14:paraId="7D450558" w14:textId="77777777" w:rsidR="00824130" w:rsidRPr="00D80201" w:rsidRDefault="00824130">
      <w:pPr>
        <w:numPr>
          <w:ilvl w:val="0"/>
          <w:numId w:val="18"/>
        </w:numPr>
        <w:rPr>
          <w:rFonts w:ascii="Times New Roman Bold" w:hAnsi="Times New Roman Bold"/>
          <w:b/>
          <w:color w:val="000000"/>
          <w:szCs w:val="26"/>
        </w:rPr>
      </w:pPr>
      <w:r w:rsidRPr="00D80201">
        <w:rPr>
          <w:rFonts w:ascii="Times New Roman Bold" w:hAnsi="Times New Roman Bold"/>
          <w:b/>
          <w:color w:val="000000"/>
          <w:szCs w:val="26"/>
        </w:rPr>
        <w:t>Phantom Congestion</w:t>
      </w:r>
    </w:p>
    <w:p w14:paraId="5BEAF508" w14:textId="77777777" w:rsidR="00824130" w:rsidRPr="00D80201" w:rsidRDefault="00824130">
      <w:pPr>
        <w:tabs>
          <w:tab w:val="left" w:pos="3405"/>
        </w:tabs>
        <w:rPr>
          <w:color w:val="000000"/>
          <w:szCs w:val="26"/>
        </w:rPr>
      </w:pPr>
    </w:p>
    <w:p w14:paraId="5FC71BAE" w14:textId="77777777" w:rsidR="00824130" w:rsidRPr="00D80201" w:rsidRDefault="00824130">
      <w:pPr>
        <w:numPr>
          <w:ilvl w:val="1"/>
          <w:numId w:val="15"/>
        </w:numPr>
        <w:rPr>
          <w:rFonts w:ascii="Times New Roman Bold" w:hAnsi="Times New Roman Bold"/>
          <w:b/>
          <w:color w:val="000000"/>
          <w:szCs w:val="26"/>
        </w:rPr>
      </w:pPr>
      <w:r w:rsidRPr="00D80201">
        <w:rPr>
          <w:rFonts w:ascii="Times New Roman Bold" w:hAnsi="Times New Roman Bold"/>
          <w:b/>
          <w:color w:val="000000"/>
          <w:szCs w:val="26"/>
        </w:rPr>
        <w:t>Whether phantom Congestion exists</w:t>
      </w:r>
    </w:p>
    <w:p w14:paraId="747DD200" w14:textId="77777777" w:rsidR="00824130" w:rsidRPr="00D80201" w:rsidRDefault="00824130">
      <w:pPr>
        <w:rPr>
          <w:color w:val="000000"/>
          <w:szCs w:val="26"/>
        </w:rPr>
      </w:pPr>
    </w:p>
    <w:p w14:paraId="19EE4A81"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65ACFE1E" w14:textId="77777777" w:rsidR="00824130" w:rsidRPr="00D80201" w:rsidRDefault="00824130">
      <w:pPr>
        <w:rPr>
          <w:color w:val="000000"/>
          <w:szCs w:val="26"/>
        </w:rPr>
      </w:pPr>
    </w:p>
    <w:p w14:paraId="389DBB23" w14:textId="77777777" w:rsidR="00824130" w:rsidRPr="00D80201" w:rsidRDefault="00824130">
      <w:pPr>
        <w:rPr>
          <w:color w:val="000000"/>
          <w:szCs w:val="26"/>
        </w:rPr>
      </w:pPr>
      <w:r>
        <w:rPr>
          <w:color w:val="000000"/>
          <w:szCs w:val="26"/>
        </w:rPr>
        <w:t>61.</w:t>
      </w:r>
      <w:r>
        <w:rPr>
          <w:color w:val="000000"/>
          <w:szCs w:val="26"/>
        </w:rPr>
        <w:tab/>
      </w:r>
      <w:r w:rsidRPr="00D80201">
        <w:rPr>
          <w:color w:val="000000"/>
          <w:szCs w:val="26"/>
        </w:rPr>
        <w:t xml:space="preserve">The ISO claims that phantom congestion is a real problem, a market inefficiency that results from scheduling timelines that do not conform with the timelines of the overall markets.  The ISO asserts that the Commission has recognized phantom congestion as a real phenomenon.  The ISO further argues that phantom congestion imposes significant, although not precisely quantifiable, costs on market participation, and that its elimination would benefit all PTOs.  In response to MID’s arguments, discussed more fully below, the ISO states that MID doesn’t dispute that phantom congestion exists, but rather seems to dispute its cause.  The ISO maintains that the causes that MID does discuss are really aimed at trying to restructure the ISO rules regarding sales of existing contract capacity to third parties to allow for greater commercial profitability, which issue is not relevant here.  </w:t>
      </w:r>
    </w:p>
    <w:p w14:paraId="1620F952" w14:textId="77777777" w:rsidR="00824130" w:rsidRPr="00D80201" w:rsidRDefault="00824130">
      <w:pPr>
        <w:ind w:firstLine="650"/>
        <w:rPr>
          <w:color w:val="000000"/>
          <w:szCs w:val="26"/>
        </w:rPr>
      </w:pPr>
      <w:r w:rsidRPr="00D80201">
        <w:rPr>
          <w:color w:val="000000"/>
          <w:szCs w:val="26"/>
        </w:rPr>
        <w:t xml:space="preserve"> </w:t>
      </w:r>
    </w:p>
    <w:p w14:paraId="0A097CD5" w14:textId="77777777" w:rsidR="00824130" w:rsidRPr="00D80201" w:rsidRDefault="00824130">
      <w:pPr>
        <w:rPr>
          <w:color w:val="000000"/>
          <w:szCs w:val="26"/>
        </w:rPr>
      </w:pPr>
      <w:r>
        <w:rPr>
          <w:color w:val="000000"/>
          <w:szCs w:val="26"/>
        </w:rPr>
        <w:t>62.</w:t>
      </w:r>
      <w:r>
        <w:rPr>
          <w:color w:val="000000"/>
          <w:szCs w:val="26"/>
        </w:rPr>
        <w:tab/>
      </w:r>
      <w:r w:rsidRPr="00D80201">
        <w:rPr>
          <w:color w:val="000000"/>
          <w:szCs w:val="26"/>
        </w:rPr>
        <w:t xml:space="preserve">Staff seems to agree that phantom congestion exists, and both Staff and the ISO cite the Commission’s May 2000 Order in this proceeding, which described phantom congestion and noted that “‘[p]hantom Congestion’ is a market inefficiency that must be addressed and rectified as quickly as possible.”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color w:val="000000"/>
          <w:szCs w:val="26"/>
        </w:rPr>
        <w:t xml:space="preserve">, 91 FERC ¶ 61,205 at 61,727 (2000).  </w:t>
      </w:r>
    </w:p>
    <w:p w14:paraId="2906BA24" w14:textId="77777777" w:rsidR="00824130" w:rsidRPr="00D80201" w:rsidRDefault="00824130">
      <w:pPr>
        <w:rPr>
          <w:color w:val="000000"/>
          <w:szCs w:val="26"/>
        </w:rPr>
      </w:pPr>
    </w:p>
    <w:p w14:paraId="021FCADA" w14:textId="77777777" w:rsidR="00824130" w:rsidRPr="00D80201" w:rsidRDefault="00824130">
      <w:pPr>
        <w:rPr>
          <w:color w:val="000000"/>
          <w:szCs w:val="26"/>
        </w:rPr>
      </w:pPr>
      <w:r>
        <w:rPr>
          <w:color w:val="000000"/>
          <w:szCs w:val="26"/>
        </w:rPr>
        <w:t>63.</w:t>
      </w:r>
      <w:r>
        <w:rPr>
          <w:color w:val="000000"/>
          <w:szCs w:val="26"/>
        </w:rPr>
        <w:tab/>
      </w:r>
      <w:r w:rsidRPr="00D80201">
        <w:rPr>
          <w:color w:val="000000"/>
          <w:szCs w:val="26"/>
        </w:rPr>
        <w:t xml:space="preserve">Staff argues, however, that the ISO has not proven the level of costs of phantom congestion, or the assertion regarding “hundreds of millions dollars order of magnitude” in annual benefits that would accrue from the elimination of phantom congestion which the ISO first claimed in Exhibit ISO-23 at </w:t>
      </w:r>
      <w:smartTag w:uri="urn:schemas-microsoft-com:office:smarttags" w:element="time">
        <w:smartTagPr>
          <w:attr w:name="Hour" w:val="15"/>
          <w:attr w:name="Minute" w:val="12"/>
        </w:smartTagPr>
        <w:r w:rsidRPr="00D80201">
          <w:rPr>
            <w:color w:val="000000"/>
            <w:szCs w:val="26"/>
          </w:rPr>
          <w:t>3:12</w:t>
        </w:r>
      </w:smartTag>
      <w:r w:rsidRPr="00D80201">
        <w:rPr>
          <w:color w:val="000000"/>
          <w:szCs w:val="26"/>
        </w:rPr>
        <w:t>-15.  Nevertheless, Staff opines that the possible lack of benefits from elimination of phantom congestion does not cause the TAC to be unjust and unreasonable, because there are many other offsetting benefits which the OPTOs and other parties receive under the TAC.</w:t>
      </w:r>
    </w:p>
    <w:p w14:paraId="18B5C385" w14:textId="77777777" w:rsidR="00824130" w:rsidRPr="00D80201" w:rsidRDefault="00824130">
      <w:pPr>
        <w:rPr>
          <w:color w:val="000000"/>
          <w:szCs w:val="26"/>
        </w:rPr>
      </w:pPr>
    </w:p>
    <w:p w14:paraId="101A933F" w14:textId="77777777" w:rsidR="00824130" w:rsidRDefault="00824130">
      <w:pPr>
        <w:rPr>
          <w:bCs/>
          <w:color w:val="000000"/>
          <w:szCs w:val="26"/>
        </w:rPr>
      </w:pPr>
      <w:r>
        <w:rPr>
          <w:color w:val="000000"/>
          <w:szCs w:val="26"/>
        </w:rPr>
        <w:t>64.</w:t>
      </w:r>
      <w:r>
        <w:rPr>
          <w:color w:val="000000"/>
          <w:szCs w:val="26"/>
        </w:rPr>
        <w:tab/>
      </w:r>
      <w:r w:rsidRPr="00D80201">
        <w:rPr>
          <w:color w:val="000000"/>
          <w:szCs w:val="26"/>
        </w:rPr>
        <w:t xml:space="preserve">The EOB agrees with Staff and the ISO that the Commission has confirmed that phantom congestion exists.  The EOB also contends that even those parties that dispute the origin of phantom congestion acknowledge that inefficiency exists within the ISO’s market because of the treatment of existing contracts.  </w:t>
      </w:r>
      <w:r w:rsidRPr="00D80201">
        <w:rPr>
          <w:bCs/>
          <w:color w:val="000000"/>
          <w:szCs w:val="26"/>
        </w:rPr>
        <w:t xml:space="preserve">TNC-10 at 13:7-14; MID-1 at </w:t>
      </w:r>
      <w:smartTag w:uri="urn:schemas-microsoft-com:office:smarttags" w:element="time">
        <w:smartTagPr>
          <w:attr w:name="Hour" w:val="11"/>
          <w:attr w:name="Minute" w:val="18"/>
        </w:smartTagPr>
        <w:r w:rsidRPr="00D80201">
          <w:rPr>
            <w:bCs/>
            <w:color w:val="000000"/>
            <w:szCs w:val="26"/>
          </w:rPr>
          <w:t>11:18-12:20</w:t>
        </w:r>
      </w:smartTag>
      <w:r w:rsidRPr="00D80201">
        <w:rPr>
          <w:bCs/>
          <w:color w:val="000000"/>
          <w:szCs w:val="26"/>
        </w:rPr>
        <w:t>.</w:t>
      </w:r>
    </w:p>
    <w:p w14:paraId="668F9EC4" w14:textId="77777777" w:rsidR="00824130" w:rsidRPr="00D80201" w:rsidRDefault="00824130">
      <w:pPr>
        <w:rPr>
          <w:bCs/>
          <w:color w:val="000000"/>
          <w:szCs w:val="26"/>
        </w:rPr>
      </w:pPr>
    </w:p>
    <w:p w14:paraId="2ECABEF7" w14:textId="77777777" w:rsidR="00824130" w:rsidRPr="00D80201" w:rsidRDefault="00824130">
      <w:pPr>
        <w:rPr>
          <w:color w:val="000000"/>
          <w:szCs w:val="26"/>
        </w:rPr>
      </w:pPr>
      <w:r>
        <w:rPr>
          <w:color w:val="000000"/>
          <w:szCs w:val="26"/>
        </w:rPr>
        <w:t>65.</w:t>
      </w:r>
      <w:r>
        <w:rPr>
          <w:color w:val="000000"/>
          <w:szCs w:val="26"/>
        </w:rPr>
        <w:tab/>
      </w:r>
      <w:r w:rsidRPr="00D80201">
        <w:rPr>
          <w:color w:val="000000"/>
          <w:szCs w:val="26"/>
        </w:rPr>
        <w:t>SDG&amp;E and SWP agree that phantom congestion exists.</w:t>
      </w:r>
      <w:r>
        <w:rPr>
          <w:color w:val="000000"/>
          <w:szCs w:val="26"/>
        </w:rPr>
        <w:t xml:space="preserve">  SDG&amp;E Initial Brief at 5; SWP Initial Brief at 10 – 11.</w:t>
      </w:r>
    </w:p>
    <w:p w14:paraId="330CC394" w14:textId="77777777" w:rsidR="00824130" w:rsidRPr="00D80201" w:rsidRDefault="00824130">
      <w:pPr>
        <w:ind w:firstLine="720"/>
        <w:rPr>
          <w:color w:val="000000"/>
          <w:szCs w:val="26"/>
        </w:rPr>
      </w:pPr>
    </w:p>
    <w:p w14:paraId="0BB7C0F0" w14:textId="77777777" w:rsidR="00824130" w:rsidRDefault="00824130">
      <w:pPr>
        <w:rPr>
          <w:color w:val="000000"/>
          <w:szCs w:val="26"/>
        </w:rPr>
      </w:pPr>
      <w:r>
        <w:rPr>
          <w:color w:val="000000"/>
          <w:szCs w:val="26"/>
        </w:rPr>
        <w:t>66.</w:t>
      </w:r>
      <w:r>
        <w:rPr>
          <w:color w:val="000000"/>
          <w:szCs w:val="26"/>
        </w:rPr>
        <w:tab/>
      </w:r>
      <w:r w:rsidRPr="00D80201">
        <w:rPr>
          <w:color w:val="000000"/>
          <w:szCs w:val="26"/>
        </w:rPr>
        <w:t xml:space="preserve">PG&amp;E does not believe this question is relevant to deciding whether the TAC proposal is just and reasonable.  However, PG&amp;E seems to concede that phantom congestion exists.  PG&amp;E’s Initial Brief at 14-15.  </w:t>
      </w:r>
    </w:p>
    <w:p w14:paraId="23716532" w14:textId="77777777" w:rsidR="00824130" w:rsidRPr="00D80201" w:rsidRDefault="00824130">
      <w:pPr>
        <w:rPr>
          <w:color w:val="000000"/>
          <w:szCs w:val="26"/>
        </w:rPr>
      </w:pPr>
    </w:p>
    <w:p w14:paraId="5043F6DF" w14:textId="77777777" w:rsidR="00824130" w:rsidRPr="00D80201" w:rsidRDefault="00824130">
      <w:pPr>
        <w:rPr>
          <w:color w:val="000000"/>
          <w:szCs w:val="26"/>
        </w:rPr>
      </w:pPr>
      <w:r>
        <w:rPr>
          <w:color w:val="000000"/>
          <w:szCs w:val="26"/>
        </w:rPr>
        <w:t>67.</w:t>
      </w:r>
      <w:r>
        <w:rPr>
          <w:color w:val="000000"/>
          <w:szCs w:val="26"/>
        </w:rPr>
        <w:tab/>
      </w:r>
      <w:r w:rsidRPr="00D80201">
        <w:rPr>
          <w:color w:val="000000"/>
          <w:szCs w:val="26"/>
        </w:rPr>
        <w:t xml:space="preserve">TANC posits that phantom congestion does not exist in the way the ISO characterizes it.  In addition, even if phantom congestion does exist, TANC asserts that it does not exist on the </w:t>
      </w:r>
      <w:r>
        <w:rPr>
          <w:color w:val="000000"/>
          <w:szCs w:val="26"/>
        </w:rPr>
        <w:t>California-Oregon Transmission P</w:t>
      </w:r>
      <w:r w:rsidRPr="00D80201">
        <w:rPr>
          <w:color w:val="000000"/>
          <w:szCs w:val="26"/>
        </w:rPr>
        <w:t xml:space="preserve">roject (“COTP”).  Further, TANC claims that phantom congestion should not exist, and that the ISO created it by being aware of problems between ETC and ISO scheduling timelines before the ISO began, and by not solving the problem then.  </w:t>
      </w:r>
    </w:p>
    <w:p w14:paraId="5A629C55" w14:textId="77777777" w:rsidR="00824130" w:rsidRPr="00D80201" w:rsidRDefault="00824130">
      <w:pPr>
        <w:rPr>
          <w:color w:val="000000"/>
          <w:szCs w:val="26"/>
        </w:rPr>
      </w:pPr>
    </w:p>
    <w:p w14:paraId="1414421F" w14:textId="77777777" w:rsidR="00824130" w:rsidRPr="00D80201" w:rsidRDefault="00824130">
      <w:pPr>
        <w:rPr>
          <w:color w:val="000000"/>
          <w:szCs w:val="26"/>
        </w:rPr>
      </w:pPr>
      <w:r>
        <w:rPr>
          <w:color w:val="000000"/>
          <w:szCs w:val="26"/>
        </w:rPr>
        <w:t>68.</w:t>
      </w:r>
      <w:r>
        <w:rPr>
          <w:color w:val="000000"/>
          <w:szCs w:val="26"/>
        </w:rPr>
        <w:tab/>
      </w:r>
      <w:r w:rsidRPr="00D80201">
        <w:rPr>
          <w:color w:val="000000"/>
          <w:szCs w:val="26"/>
        </w:rPr>
        <w:t xml:space="preserve">MID opines that phantom congestion does not exist.  MID agrees with the ISO that there is unused ETC capacity that is unavailable to market participants.  However, MID does not believe that the unused capacity has anything to do with the ETCs themselves, but rather that it is a function of the ISO’s own Tariff, protocols, operating procedures and software.  MID contends that the ISO’s assertion of phantom congestion denies the California Legislature’s creation of a two-pipe transmission system.  MID also posits that the transmission availability problem (the unused ETC capacity that is unavailable) is not phantom congestion, as the ISO asserts, but is caused by the ISO’s prohibition on sale of Non-PTO transmission.  MID also claims that, despite the ISO’s prohibitions on sales of ETC transmission, the ISO refuses to change its Tariff and operating practices and instead chooses to blame ETC holders.  MID claims that the ISO admits that ETC holders, such as MID, are prohibited from selling unused transmission capacity, and that the ISO falsely asserts that its prohibitions cause no harm because ETC holders have alternatives.  </w:t>
      </w:r>
      <w:r w:rsidRPr="00D80201">
        <w:rPr>
          <w:color w:val="000000"/>
          <w:szCs w:val="26"/>
          <w:u w:val="single"/>
        </w:rPr>
        <w:t>See</w:t>
      </w:r>
      <w:r w:rsidRPr="00D80201">
        <w:rPr>
          <w:color w:val="000000"/>
          <w:szCs w:val="26"/>
        </w:rPr>
        <w:t xml:space="preserve"> Ex</w:t>
      </w:r>
      <w:r>
        <w:rPr>
          <w:color w:val="000000"/>
          <w:szCs w:val="26"/>
        </w:rPr>
        <w:t xml:space="preserve">. ISO-26 at </w:t>
      </w:r>
      <w:smartTag w:uri="urn:schemas-microsoft-com:office:smarttags" w:element="time">
        <w:smartTagPr>
          <w:attr w:name="Hour" w:val="9"/>
          <w:attr w:name="Minute" w:val="23"/>
        </w:smartTagPr>
        <w:r>
          <w:rPr>
            <w:color w:val="000000"/>
            <w:szCs w:val="26"/>
          </w:rPr>
          <w:t>9:23</w:t>
        </w:r>
      </w:smartTag>
      <w:r>
        <w:rPr>
          <w:color w:val="000000"/>
          <w:szCs w:val="26"/>
        </w:rPr>
        <w:t xml:space="preserve"> – 10:3; Tr. </w:t>
      </w:r>
      <w:r w:rsidRPr="00D80201">
        <w:rPr>
          <w:color w:val="000000"/>
          <w:szCs w:val="26"/>
        </w:rPr>
        <w:t xml:space="preserve">1143:14 – 1144:19.  MID also contends that the ISO uses the term “phantom congestion” to discuss two separate concepts: (1) Real-time operations where unused ETC capacity is in fact available to the ISO but only to the ISO in its position of control area operator; and (2) the day-ahead and hour-ahead markets where the Tariff withholds unused ETC capacity from market participants.  MID claims that using the definition in such a manner contributes to confusion surrounding the transmission capacity problem in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w:t>
      </w:r>
    </w:p>
    <w:p w14:paraId="68395F8C" w14:textId="77777777" w:rsidR="00824130" w:rsidRPr="00D80201" w:rsidRDefault="00824130">
      <w:pPr>
        <w:rPr>
          <w:color w:val="000000"/>
          <w:szCs w:val="26"/>
        </w:rPr>
      </w:pPr>
    </w:p>
    <w:p w14:paraId="7C137837" w14:textId="77777777" w:rsidR="00824130" w:rsidRPr="00D80201" w:rsidRDefault="00824130">
      <w:pPr>
        <w:rPr>
          <w:color w:val="000000"/>
          <w:szCs w:val="26"/>
        </w:rPr>
      </w:pPr>
      <w:r>
        <w:rPr>
          <w:color w:val="000000"/>
          <w:szCs w:val="26"/>
        </w:rPr>
        <w:t>69.</w:t>
      </w:r>
      <w:r>
        <w:rPr>
          <w:color w:val="000000"/>
          <w:szCs w:val="26"/>
        </w:rPr>
        <w:tab/>
      </w:r>
      <w:r w:rsidRPr="00D80201">
        <w:rPr>
          <w:color w:val="000000"/>
          <w:szCs w:val="26"/>
        </w:rPr>
        <w:t xml:space="preserve">MID also counters the ISO’s contention that phantom congestion is caused by capacity on the ISO-controlled grid that the ISO must reserve for ETC holders by claiming that the premise is false because non-converted ETC capacity is not part of the ISO-controlled grid.  MID Reply Brief at 6-7.  MID explains that according to the ISO Tariff, all ETC energy schedules are on transmission that is separate from the ISO grid, and therefore the ISO cannot reserve capacity on the ISO-controlled grid to accommodate ETC schedules.  </w:t>
      </w:r>
    </w:p>
    <w:p w14:paraId="11F7C793" w14:textId="77777777" w:rsidR="00824130" w:rsidRDefault="00824130">
      <w:pPr>
        <w:rPr>
          <w:color w:val="000000"/>
          <w:szCs w:val="26"/>
        </w:rPr>
      </w:pPr>
    </w:p>
    <w:p w14:paraId="69B013F6" w14:textId="77777777" w:rsidR="00824130" w:rsidRPr="00D80201" w:rsidRDefault="00824130">
      <w:pPr>
        <w:rPr>
          <w:color w:val="000000"/>
          <w:szCs w:val="26"/>
        </w:rPr>
      </w:pPr>
    </w:p>
    <w:p w14:paraId="22FAC219" w14:textId="77777777" w:rsidR="00824130"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08F50AFB" w14:textId="77777777" w:rsidR="00824130" w:rsidRPr="00D80201" w:rsidRDefault="00824130">
      <w:pPr>
        <w:ind w:firstLine="720"/>
        <w:rPr>
          <w:rFonts w:ascii="Times New Roman Bold" w:hAnsi="Times New Roman Bold"/>
          <w:b/>
          <w:color w:val="000000"/>
          <w:szCs w:val="26"/>
        </w:rPr>
      </w:pPr>
    </w:p>
    <w:p w14:paraId="3BB3071E" w14:textId="77777777" w:rsidR="00824130" w:rsidRPr="00D80201" w:rsidRDefault="00824130">
      <w:pPr>
        <w:pStyle w:val="BodyTextFirstIndentD"/>
        <w:spacing w:line="240" w:lineRule="auto"/>
        <w:ind w:firstLine="0"/>
        <w:rPr>
          <w:color w:val="000000"/>
        </w:rPr>
      </w:pPr>
      <w:r>
        <w:t>70.</w:t>
      </w:r>
      <w:r>
        <w:tab/>
      </w:r>
      <w:r w:rsidRPr="00D80201">
        <w:t xml:space="preserve">It is axiomatic that phantom congestion exists.  </w:t>
      </w:r>
      <w:r w:rsidRPr="00D80201">
        <w:rPr>
          <w:u w:val="single"/>
        </w:rPr>
        <w:t>Cal Indep. Sys. Operator Corp.</w:t>
      </w:r>
      <w:r w:rsidRPr="00D80201">
        <w:t>, 91 FERC ¶ 61,205 at 61,727 (2000).  The Commission rec</w:t>
      </w:r>
      <w:r>
        <w:t>ognized phantom congestion as a</w:t>
      </w:r>
      <w:r w:rsidRPr="00D80201">
        <w:t>”</w:t>
      </w:r>
      <w:r>
        <w:t xml:space="preserve"> </w:t>
      </w:r>
      <w:r w:rsidRPr="00D80201">
        <w:t xml:space="preserve">market inefficiency that must be addressed and rectified as quickly as possible.”  </w:t>
      </w:r>
      <w:r w:rsidRPr="00D80201">
        <w:rPr>
          <w:u w:val="single"/>
        </w:rPr>
        <w:t>Id.</w:t>
      </w:r>
      <w:r w:rsidRPr="00D80201">
        <w:t xml:space="preserve">  The ISO, Staff, and several parties raised this point, and the undersigned Presiding Judge concurs.  Every party that briefed this issue - except for MID - agrees that phantom congestion exists, even if the parties disagree on how to label the concept.  ISO Initial Brief at 12-15; PG&amp;E Initial Brief at 14; SDG&amp;E Initial Brief at 5; SCE Initial Brief at 10; TANC Initial Brief at 19-20; Vernon Initial Brief at 18; EOB Initial Brief at 6-7; Staff Initial Brief at 9</w:t>
      </w:r>
      <w:r>
        <w:t xml:space="preserve">; </w:t>
      </w:r>
      <w:r>
        <w:rPr>
          <w:color w:val="000000"/>
        </w:rPr>
        <w:t>SWP Initial Brief at 10 – 11</w:t>
      </w:r>
      <w:r w:rsidRPr="00D80201">
        <w:t xml:space="preserve">.  However, even MID “agrees with the ISO that unused Existing Transmission Contract (“ETC”) capacity is not available to Market Participants.”  MID Initial Brief at 8.  This definition is synonymous with the ISO’s definition.  In sum, the Commission and the parties’ arguments affirm that phantom congestion exists.  </w:t>
      </w:r>
    </w:p>
    <w:p w14:paraId="5E24CBC2" w14:textId="77777777" w:rsidR="00824130" w:rsidRPr="00D80201" w:rsidRDefault="00824130">
      <w:pPr>
        <w:rPr>
          <w:color w:val="000000"/>
          <w:szCs w:val="26"/>
        </w:rPr>
      </w:pPr>
    </w:p>
    <w:p w14:paraId="44A9C4B7" w14:textId="77777777" w:rsidR="00824130" w:rsidRPr="00D80201" w:rsidRDefault="00824130">
      <w:pPr>
        <w:numPr>
          <w:ilvl w:val="1"/>
          <w:numId w:val="15"/>
        </w:numPr>
        <w:rPr>
          <w:rFonts w:ascii="Times New Roman Bold" w:hAnsi="Times New Roman Bold"/>
          <w:b/>
          <w:color w:val="000000"/>
          <w:szCs w:val="26"/>
        </w:rPr>
      </w:pPr>
      <w:r w:rsidRPr="00D80201">
        <w:rPr>
          <w:rFonts w:ascii="Times New Roman Bold" w:hAnsi="Times New Roman Bold"/>
          <w:b/>
          <w:color w:val="000000"/>
          <w:szCs w:val="26"/>
        </w:rPr>
        <w:t>What is the cause of phantom Congestion?</w:t>
      </w:r>
    </w:p>
    <w:p w14:paraId="3FEC8842" w14:textId="77777777" w:rsidR="00824130" w:rsidRPr="00D80201" w:rsidRDefault="00824130">
      <w:pPr>
        <w:ind w:left="1080"/>
        <w:rPr>
          <w:rFonts w:ascii="Times New Roman Bold" w:hAnsi="Times New Roman Bold"/>
          <w:b/>
          <w:color w:val="000000"/>
          <w:szCs w:val="26"/>
        </w:rPr>
      </w:pPr>
    </w:p>
    <w:p w14:paraId="70341567" w14:textId="77777777" w:rsidR="00824130" w:rsidRPr="00D80201" w:rsidRDefault="00824130">
      <w:pPr>
        <w:ind w:left="108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192610EC" w14:textId="77777777" w:rsidR="00824130" w:rsidRPr="00D80201" w:rsidRDefault="00824130">
      <w:pPr>
        <w:rPr>
          <w:color w:val="000000"/>
          <w:szCs w:val="26"/>
        </w:rPr>
      </w:pPr>
    </w:p>
    <w:p w14:paraId="6463F4FD" w14:textId="77777777" w:rsidR="00824130" w:rsidRPr="00D80201" w:rsidRDefault="00824130">
      <w:pPr>
        <w:rPr>
          <w:color w:val="000000"/>
          <w:szCs w:val="26"/>
        </w:rPr>
      </w:pPr>
      <w:r>
        <w:rPr>
          <w:color w:val="000000"/>
          <w:szCs w:val="26"/>
        </w:rPr>
        <w:t>71.</w:t>
      </w:r>
      <w:r>
        <w:rPr>
          <w:color w:val="000000"/>
          <w:szCs w:val="26"/>
        </w:rPr>
        <w:tab/>
      </w:r>
      <w:r w:rsidRPr="00D80201">
        <w:rPr>
          <w:color w:val="000000"/>
          <w:szCs w:val="26"/>
        </w:rPr>
        <w:t>The ISO contends that phantom congestion is caused by a disparity between the ISO’s scheduling timelines and in the day-ahead and hour-ahead markets and the scheduling timelines accorded existing rights holders in their existing contracts.  Ex. ISO</w:t>
      </w:r>
      <w:r w:rsidRPr="00D80201">
        <w:rPr>
          <w:color w:val="000000"/>
          <w:szCs w:val="26"/>
        </w:rPr>
        <w:noBreakHyphen/>
        <w:t xml:space="preserve">26 at 2:16 – 20, 3:9 – 20.  </w:t>
      </w:r>
    </w:p>
    <w:p w14:paraId="69BA8425" w14:textId="77777777" w:rsidR="00824130" w:rsidRPr="00D80201" w:rsidRDefault="00824130">
      <w:pPr>
        <w:rPr>
          <w:color w:val="000000"/>
          <w:szCs w:val="26"/>
        </w:rPr>
      </w:pPr>
    </w:p>
    <w:p w14:paraId="336C7169" w14:textId="77777777" w:rsidR="00824130" w:rsidRPr="00D80201" w:rsidRDefault="00824130">
      <w:pPr>
        <w:pStyle w:val="FootnoteText"/>
        <w:ind w:firstLine="0"/>
        <w:rPr>
          <w:szCs w:val="26"/>
        </w:rPr>
      </w:pPr>
      <w:r>
        <w:rPr>
          <w:szCs w:val="26"/>
        </w:rPr>
        <w:t>72.</w:t>
      </w:r>
      <w:r>
        <w:rPr>
          <w:szCs w:val="26"/>
        </w:rPr>
        <w:tab/>
        <w:t>P</w:t>
      </w:r>
      <w:r w:rsidRPr="00D80201">
        <w:rPr>
          <w:szCs w:val="26"/>
        </w:rPr>
        <w:t>G&amp;E agrees with the ISO’s explanation behind the cause for phantom congestion.  PG&amp;E also addresses TANC’s argument, discussed more fully below, that ETC path facilitators such as PG&amp;E contribute to phantom congestion.  PG&amp;E counters that</w:t>
      </w:r>
      <w:r w:rsidRPr="00D80201">
        <w:rPr>
          <w:bCs/>
          <w:szCs w:val="26"/>
        </w:rPr>
        <w:t xml:space="preserve"> it works with the ISO to minimize phantom congestion, and that it obtains it authority from the existing contracts and Commission approval.  PG&amp;E Reply Brief at 6-7, </w:t>
      </w:r>
      <w:r w:rsidRPr="00D80201">
        <w:rPr>
          <w:bCs/>
          <w:szCs w:val="26"/>
          <w:u w:val="single"/>
        </w:rPr>
        <w:t>citing</w:t>
      </w:r>
      <w:r w:rsidRPr="00D80201">
        <w:rPr>
          <w:bCs/>
          <w:i/>
          <w:szCs w:val="26"/>
        </w:rPr>
        <w:t xml:space="preserve"> </w:t>
      </w:r>
      <w:r w:rsidRPr="00D80201">
        <w:rPr>
          <w:szCs w:val="26"/>
        </w:rPr>
        <w:t>PGE-1 at 23:</w:t>
      </w:r>
      <w:r>
        <w:rPr>
          <w:szCs w:val="26"/>
        </w:rPr>
        <w:t>6-10; PGE-20 at 6; Tr. 1905:21 – 1</w:t>
      </w:r>
      <w:r w:rsidRPr="00D80201">
        <w:rPr>
          <w:szCs w:val="26"/>
        </w:rPr>
        <w:t xml:space="preserve">907:16; </w:t>
      </w:r>
      <w:smartTag w:uri="urn:schemas-microsoft-com:office:smarttags" w:element="place">
        <w:smartTag w:uri="urn:schemas-microsoft-com:office:smarttags" w:element="State">
          <w:r w:rsidRPr="00D80201">
            <w:rPr>
              <w:iCs/>
              <w:szCs w:val="26"/>
              <w:u w:val="single"/>
            </w:rPr>
            <w:t>Cal.</w:t>
          </w:r>
        </w:smartTag>
      </w:smartTag>
      <w:r w:rsidRPr="00D80201">
        <w:rPr>
          <w:iCs/>
          <w:szCs w:val="26"/>
          <w:u w:val="single"/>
        </w:rPr>
        <w:t xml:space="preserve"> Indep. Sys. Operator Corp.</w:t>
      </w:r>
      <w:r w:rsidRPr="00D80201">
        <w:rPr>
          <w:szCs w:val="26"/>
        </w:rPr>
        <w:t xml:space="preserve">, 105 FERC ¶ 61,314 (2003).  </w:t>
      </w:r>
    </w:p>
    <w:p w14:paraId="6247872F" w14:textId="77777777" w:rsidR="00824130" w:rsidRPr="00D80201" w:rsidRDefault="00824130">
      <w:pPr>
        <w:rPr>
          <w:color w:val="000000"/>
          <w:szCs w:val="26"/>
        </w:rPr>
      </w:pPr>
    </w:p>
    <w:p w14:paraId="6D19FF32" w14:textId="77777777" w:rsidR="00824130" w:rsidRPr="00D80201" w:rsidRDefault="00824130">
      <w:pPr>
        <w:widowControl/>
        <w:rPr>
          <w:color w:val="000000"/>
          <w:szCs w:val="26"/>
        </w:rPr>
      </w:pPr>
      <w:r>
        <w:rPr>
          <w:color w:val="000000"/>
          <w:szCs w:val="26"/>
        </w:rPr>
        <w:t>73.</w:t>
      </w:r>
      <w:r>
        <w:rPr>
          <w:color w:val="000000"/>
          <w:szCs w:val="26"/>
        </w:rPr>
        <w:tab/>
      </w:r>
      <w:r w:rsidRPr="00D80201">
        <w:rPr>
          <w:color w:val="000000"/>
          <w:szCs w:val="26"/>
        </w:rPr>
        <w:t xml:space="preserve">SDG&amp;E believes that this proceeding should focus on eliminating the problem rather than on what is causing it.  SDG&amp;E agrees with TANC witness Greiss that converting the ETCs to new firm use would resolve much of the problem.  </w:t>
      </w:r>
    </w:p>
    <w:p w14:paraId="19601B4D" w14:textId="77777777" w:rsidR="00824130" w:rsidRPr="00D80201" w:rsidRDefault="00824130">
      <w:pPr>
        <w:widowControl/>
        <w:rPr>
          <w:color w:val="000000"/>
          <w:szCs w:val="26"/>
        </w:rPr>
      </w:pPr>
    </w:p>
    <w:p w14:paraId="17040F73" w14:textId="77777777" w:rsidR="00824130" w:rsidRPr="00D80201" w:rsidRDefault="00824130">
      <w:pPr>
        <w:widowControl/>
        <w:rPr>
          <w:color w:val="000000"/>
          <w:szCs w:val="26"/>
        </w:rPr>
      </w:pPr>
      <w:r>
        <w:rPr>
          <w:color w:val="000000"/>
          <w:szCs w:val="26"/>
        </w:rPr>
        <w:t>74.</w:t>
      </w:r>
      <w:r>
        <w:rPr>
          <w:color w:val="000000"/>
          <w:szCs w:val="26"/>
        </w:rPr>
        <w:tab/>
      </w:r>
      <w:r w:rsidRPr="00D80201">
        <w:rPr>
          <w:color w:val="000000"/>
          <w:szCs w:val="26"/>
        </w:rPr>
        <w:t>SWP contends that phantom congestion is caused by the ISO</w:t>
      </w:r>
      <w:r w:rsidRPr="00D80201">
        <w:rPr>
          <w:color w:val="000000"/>
          <w:szCs w:val="26"/>
        </w:rPr>
        <w:sym w:font="WP TypographicSymbols" w:char="003D"/>
      </w:r>
      <w:r w:rsidRPr="00D80201">
        <w:rPr>
          <w:color w:val="000000"/>
          <w:szCs w:val="26"/>
        </w:rPr>
        <w:t>s election to reserve excess capacity.  SWP uses itself as an example of a scheduling coordinator that must abide by the ISO’s Tariff and give up its contractual right to schedule into the hour ahead under the ISO Tariff.  According to SWP, because the ISO reserves SWP capacity and does not release it for new firm use, and because SWP is the largest wholesale transmission customer in the state, there is significant over-reservation associated with SWP’s capacity.</w:t>
      </w:r>
    </w:p>
    <w:p w14:paraId="11D16447" w14:textId="77777777" w:rsidR="00824130" w:rsidRPr="00D80201" w:rsidRDefault="00824130">
      <w:pPr>
        <w:widowControl/>
        <w:rPr>
          <w:color w:val="000000"/>
          <w:szCs w:val="26"/>
        </w:rPr>
      </w:pPr>
      <w:r>
        <w:rPr>
          <w:color w:val="000000"/>
          <w:szCs w:val="26"/>
        </w:rPr>
        <w:t>75.</w:t>
      </w:r>
      <w:r>
        <w:rPr>
          <w:color w:val="000000"/>
          <w:szCs w:val="26"/>
        </w:rPr>
        <w:tab/>
      </w:r>
      <w:r w:rsidRPr="00D80201">
        <w:rPr>
          <w:color w:val="000000"/>
          <w:szCs w:val="26"/>
        </w:rPr>
        <w:t xml:space="preserve">TANC essentially argues that the ISO, and to some extent the ETC facilitators (such as PG&amp;E on Path 15), are the cause of phantom congestion, rather than solely the ETC holders themselves.  </w:t>
      </w:r>
    </w:p>
    <w:p w14:paraId="2900C5CC" w14:textId="77777777" w:rsidR="00824130" w:rsidRPr="00D80201" w:rsidRDefault="00824130">
      <w:pPr>
        <w:widowControl/>
        <w:ind w:firstLine="720"/>
        <w:rPr>
          <w:color w:val="000000"/>
          <w:szCs w:val="26"/>
        </w:rPr>
      </w:pPr>
    </w:p>
    <w:p w14:paraId="1DB0D9F6" w14:textId="77777777" w:rsidR="00824130" w:rsidRDefault="00824130">
      <w:pPr>
        <w:widowControl/>
        <w:rPr>
          <w:color w:val="000000"/>
          <w:szCs w:val="26"/>
        </w:rPr>
      </w:pPr>
      <w:r>
        <w:rPr>
          <w:color w:val="000000"/>
          <w:szCs w:val="26"/>
        </w:rPr>
        <w:t>76.</w:t>
      </w:r>
      <w:r>
        <w:rPr>
          <w:color w:val="000000"/>
          <w:szCs w:val="26"/>
        </w:rPr>
        <w:tab/>
      </w:r>
      <w:r w:rsidRPr="00D80201">
        <w:rPr>
          <w:color w:val="000000"/>
          <w:szCs w:val="26"/>
        </w:rPr>
        <w:t>MID states that there is no cause of phantom congestion because, as discussed above, MID has contended that phantom congestion does not exist.</w:t>
      </w:r>
    </w:p>
    <w:p w14:paraId="24A66459" w14:textId="77777777" w:rsidR="00824130" w:rsidRPr="00D80201" w:rsidRDefault="00824130">
      <w:pPr>
        <w:widowControl/>
        <w:ind w:firstLine="720"/>
        <w:rPr>
          <w:color w:val="000000"/>
          <w:szCs w:val="26"/>
        </w:rPr>
      </w:pPr>
    </w:p>
    <w:p w14:paraId="1E6463BB" w14:textId="77777777" w:rsidR="00824130" w:rsidRPr="00D80201" w:rsidRDefault="00824130">
      <w:pPr>
        <w:rPr>
          <w:color w:val="000000"/>
          <w:szCs w:val="26"/>
        </w:rPr>
      </w:pPr>
      <w:r>
        <w:rPr>
          <w:color w:val="000000"/>
          <w:szCs w:val="26"/>
        </w:rPr>
        <w:t>77.</w:t>
      </w:r>
      <w:r>
        <w:rPr>
          <w:color w:val="000000"/>
          <w:szCs w:val="26"/>
        </w:rPr>
        <w:tab/>
      </w:r>
      <w:r w:rsidRPr="00D80201">
        <w:rPr>
          <w:color w:val="000000"/>
          <w:szCs w:val="26"/>
        </w:rPr>
        <w:t xml:space="preserve">Staff states that the Commission has previously recognized the ISO’s view on what causes congestion.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color w:val="000000"/>
          <w:szCs w:val="26"/>
        </w:rPr>
        <w:t xml:space="preserve">, 91 FERC ¶ 61,205 at 61,727 (2000).  Staff summarizes the ISO’s view as set forth above.  Ex. ISO-1 at 38:17 – 39:23.  Staff also discusses MID’s counterarguments that its contracts also existed before the ISO, that the ISO should thus have adopted its scheduling protocols and software to MID’s schedules, and that the ISO has no right to schedule ETCs that were never turned over to it because those ETCs are not part of the ISO grid.  Ex. MID-1 at 7:4 – 11:2, 13:1 – 17:22.  </w:t>
      </w:r>
    </w:p>
    <w:p w14:paraId="0C52B5A8" w14:textId="77777777" w:rsidR="00824130" w:rsidRPr="00D80201" w:rsidRDefault="00824130">
      <w:pPr>
        <w:ind w:firstLine="720"/>
        <w:rPr>
          <w:color w:val="000000"/>
          <w:szCs w:val="26"/>
        </w:rPr>
      </w:pPr>
    </w:p>
    <w:p w14:paraId="5C0FB4C3" w14:textId="77777777" w:rsidR="00824130" w:rsidRPr="00D80201" w:rsidRDefault="00824130">
      <w:pPr>
        <w:rPr>
          <w:color w:val="000000"/>
          <w:szCs w:val="26"/>
        </w:rPr>
      </w:pPr>
      <w:r>
        <w:rPr>
          <w:color w:val="000000"/>
          <w:szCs w:val="26"/>
        </w:rPr>
        <w:t>78.</w:t>
      </w:r>
      <w:r>
        <w:rPr>
          <w:color w:val="000000"/>
          <w:szCs w:val="26"/>
        </w:rPr>
        <w:tab/>
      </w:r>
      <w:r w:rsidRPr="00D80201">
        <w:rPr>
          <w:color w:val="000000"/>
          <w:szCs w:val="26"/>
        </w:rPr>
        <w:t xml:space="preserve">Staff suggests that the problem with the ISO’s argument is that existing rights are scheduled according to a number of different timelines.  Not all of them require that capacity be reserved until real time.  Some existing rights holders already schedule in accord with the ISO timelines.  Tr. 1167:18 – 19.  </w:t>
      </w:r>
    </w:p>
    <w:p w14:paraId="619688A9" w14:textId="77777777" w:rsidR="00824130" w:rsidRPr="00D80201" w:rsidRDefault="00824130">
      <w:pPr>
        <w:ind w:firstLine="720"/>
        <w:rPr>
          <w:color w:val="000000"/>
          <w:szCs w:val="26"/>
        </w:rPr>
      </w:pPr>
    </w:p>
    <w:p w14:paraId="6705A3D8" w14:textId="77777777" w:rsidR="00824130" w:rsidRPr="00D80201" w:rsidRDefault="00824130">
      <w:pPr>
        <w:widowControl/>
        <w:rPr>
          <w:color w:val="000000"/>
          <w:szCs w:val="26"/>
        </w:rPr>
      </w:pPr>
      <w:r>
        <w:rPr>
          <w:color w:val="000000"/>
          <w:szCs w:val="26"/>
        </w:rPr>
        <w:t>79.</w:t>
      </w:r>
      <w:r>
        <w:rPr>
          <w:color w:val="000000"/>
          <w:szCs w:val="26"/>
        </w:rPr>
        <w:tab/>
      </w:r>
      <w:r w:rsidRPr="00D80201">
        <w:rPr>
          <w:color w:val="000000"/>
          <w:szCs w:val="26"/>
        </w:rPr>
        <w:t>Staff adds that another note of uncertainty concerning phantom congestion is added by the fact that the ISO does not interpret existing transmission contracts, but rather, it relies on instructions from the PTOs to reserve capacity for ETC rights holders.  Tr. 1163:23 – 25; 1197:1 – 10.  Staff maintains that the process leaves a lot of discretion with those PTOs, such as PG&amp;E.  Staff opines that based on the testimony in this proceeding, it appears possible that PG&amp;E and the ISO may be reserving more capacity until real time in the name of the ETC rights holders than those rights holders want or intend to use.  Granted some, like MID, argue that they should be able to sell their capacity in the day-ahead and hour-ahead markets.  Ex. MID-1 at 11:5 - 12:20.  Nevertheless, Staff asserts, it seems that some percentage of phantom congestion is caused by a failure to communicate among the various parties, and that some agreements could be worked out to lessen the amount of phantom congestion in the hour-ahead market, even if not in the day-ahead market.</w:t>
      </w:r>
    </w:p>
    <w:p w14:paraId="5E6B7740" w14:textId="77777777" w:rsidR="00824130" w:rsidRPr="00D80201" w:rsidRDefault="00824130">
      <w:pPr>
        <w:widowControl/>
        <w:ind w:firstLine="720"/>
        <w:rPr>
          <w:color w:val="000000"/>
          <w:szCs w:val="26"/>
        </w:rPr>
      </w:pPr>
    </w:p>
    <w:p w14:paraId="5BCAADA9" w14:textId="77777777" w:rsidR="00824130" w:rsidRPr="00D80201" w:rsidRDefault="00824130">
      <w:pPr>
        <w:widowControl/>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09751D51" w14:textId="77777777" w:rsidR="00824130" w:rsidRPr="00D80201" w:rsidRDefault="00824130">
      <w:pPr>
        <w:widowControl/>
        <w:rPr>
          <w:rFonts w:ascii="Times New Roman Bold" w:hAnsi="Times New Roman Bold"/>
          <w:b/>
          <w:color w:val="000000"/>
          <w:szCs w:val="26"/>
        </w:rPr>
      </w:pPr>
    </w:p>
    <w:p w14:paraId="6CF255A2" w14:textId="77777777" w:rsidR="00824130" w:rsidRPr="00D80201" w:rsidRDefault="00824130">
      <w:pPr>
        <w:pStyle w:val="BodyTextFirstIndentD"/>
        <w:spacing w:line="240" w:lineRule="auto"/>
        <w:ind w:firstLine="0"/>
        <w:rPr>
          <w:color w:val="000000"/>
        </w:rPr>
      </w:pPr>
      <w:r>
        <w:rPr>
          <w:color w:val="000000"/>
        </w:rPr>
        <w:t>80.</w:t>
      </w:r>
      <w:r>
        <w:rPr>
          <w:color w:val="000000"/>
        </w:rPr>
        <w:tab/>
      </w:r>
      <w:r w:rsidRPr="00D80201">
        <w:rPr>
          <w:color w:val="000000"/>
        </w:rPr>
        <w:t>The ISO contends that phantom congestion is caused by a disparity between the ISO’s scheduling timelines in the day-ahead and hour-ahead markets and the scheduling timelines accorded existing rights holders in their existing con</w:t>
      </w:r>
      <w:r>
        <w:rPr>
          <w:color w:val="000000"/>
        </w:rPr>
        <w:t>tracts.  ISO Initial Brief at 16</w:t>
      </w:r>
      <w:r w:rsidRPr="00D80201">
        <w:rPr>
          <w:color w:val="000000"/>
        </w:rPr>
        <w:t xml:space="preserve">.  Certain characteristics of the restructuring of the California market helped cause this disparity: the separation of transmission control from generation ownership; the decision to use markets to manage congestion and to assign the use and cost of constrained interfaces to those that value it the most; and the decision to honor existing contracts and their often incompatible contract provisions and scheduling time lines.  Ex. ISO-26 at 5:7 – 13.  PG&amp;E agrees with the ISO’s assessment of the cause behind phantom congestion.  PGE Initial Brief at 14 – 15.  As Staff previously noted, the Commission has accepted the ISO’s view of the cause of phantom congestion.  In </w:t>
      </w:r>
      <w:smartTag w:uri="urn:schemas-microsoft-com:office:smarttags" w:element="place">
        <w:smartTag w:uri="urn:schemas-microsoft-com:office:smarttags" w:element="State">
          <w:r>
            <w:rPr>
              <w:color w:val="000000"/>
              <w:u w:val="single"/>
            </w:rPr>
            <w:t>California</w:t>
          </w:r>
        </w:smartTag>
      </w:smartTag>
      <w:r>
        <w:rPr>
          <w:color w:val="000000"/>
          <w:u w:val="single"/>
        </w:rPr>
        <w:t xml:space="preserve"> Indep. Sys.</w:t>
      </w:r>
      <w:r w:rsidRPr="00D80201">
        <w:rPr>
          <w:color w:val="000000"/>
          <w:u w:val="single"/>
        </w:rPr>
        <w:t xml:space="preserve"> Operator Corp.</w:t>
      </w:r>
      <w:r w:rsidRPr="00D80201">
        <w:rPr>
          <w:color w:val="000000"/>
        </w:rPr>
        <w:t xml:space="preserve">, 91 FERC ¶ 61,205 at 61,727 (2000), the Commission notes that </w:t>
      </w:r>
      <w:r>
        <w:rPr>
          <w:color w:val="000000"/>
        </w:rPr>
        <w:t>:</w:t>
      </w:r>
    </w:p>
    <w:p w14:paraId="27CC244F" w14:textId="77777777" w:rsidR="00824130" w:rsidRPr="00D80201" w:rsidRDefault="00824130">
      <w:pPr>
        <w:pStyle w:val="BodyTextFirstIndentD"/>
        <w:spacing w:line="240" w:lineRule="auto"/>
        <w:ind w:firstLine="0"/>
        <w:rPr>
          <w:color w:val="000000"/>
        </w:rPr>
      </w:pPr>
    </w:p>
    <w:p w14:paraId="5D99B94C" w14:textId="77777777" w:rsidR="00824130" w:rsidRPr="00D80201" w:rsidRDefault="00824130">
      <w:pPr>
        <w:pStyle w:val="BodyTextFirstIndentD"/>
        <w:spacing w:line="240" w:lineRule="auto"/>
        <w:ind w:left="720" w:firstLine="0"/>
        <w:rPr>
          <w:color w:val="000000"/>
        </w:rPr>
      </w:pPr>
      <w:r w:rsidRPr="00D80201">
        <w:rPr>
          <w:color w:val="000000"/>
        </w:rPr>
        <w:t>The ISO states that one of the benefits (in terms of cost savings) of new Participating TOs is the reduction of what it terms "Phantom Congestion." This term, as explained by the ISO, relates to the scheduling timelines afforded to current GEs under Existing Rights contracts which are different and not entirely compatible with the day-ahead and hour-ahead schedules that the ISO operates under. Because the Existing Rights contracts allow scheduling changes after the ISO scheduling deadlines, available transmission capacity remains unutilized.</w:t>
      </w:r>
    </w:p>
    <w:p w14:paraId="6D668733" w14:textId="77777777" w:rsidR="00824130" w:rsidRPr="00D80201" w:rsidRDefault="00824130">
      <w:pPr>
        <w:pStyle w:val="BodyTextFirstIndentD"/>
        <w:spacing w:line="240" w:lineRule="auto"/>
        <w:ind w:firstLine="0"/>
        <w:rPr>
          <w:color w:val="000000"/>
        </w:rPr>
      </w:pPr>
    </w:p>
    <w:p w14:paraId="115DB3A1" w14:textId="77777777" w:rsidR="00824130" w:rsidRPr="00D80201" w:rsidRDefault="00824130">
      <w:pPr>
        <w:pStyle w:val="BodyTextFirstIndentD"/>
        <w:spacing w:line="240" w:lineRule="auto"/>
        <w:ind w:firstLine="0"/>
        <w:rPr>
          <w:color w:val="000000"/>
        </w:rPr>
      </w:pPr>
      <w:r>
        <w:rPr>
          <w:color w:val="000000"/>
        </w:rPr>
        <w:t>81.</w:t>
      </w:r>
      <w:r>
        <w:rPr>
          <w:color w:val="000000"/>
        </w:rPr>
        <w:tab/>
      </w:r>
      <w:r w:rsidRPr="00D80201">
        <w:rPr>
          <w:color w:val="000000"/>
        </w:rPr>
        <w:t xml:space="preserve">The Commission further rejects arguments that the ISO should resolve phantom congestion through modifying its software, or that it should continue to let the market inefficiency result because the existing contract holders valued the scheduling flexibility accorded them by virtue of their contracts.  </w:t>
      </w:r>
      <w:r w:rsidRPr="00D80201">
        <w:rPr>
          <w:color w:val="000000"/>
          <w:u w:val="single"/>
        </w:rPr>
        <w:t>Id.</w:t>
      </w:r>
      <w:r w:rsidRPr="00D80201">
        <w:rPr>
          <w:color w:val="000000"/>
        </w:rPr>
        <w:t xml:space="preserve">  In essence, the Commission agreed with the ISO concerning the root of the phantom congestion problem.  </w:t>
      </w:r>
      <w:r w:rsidRPr="00D80201">
        <w:rPr>
          <w:color w:val="000000"/>
          <w:u w:val="single"/>
        </w:rPr>
        <w:t>Id.</w:t>
      </w:r>
      <w:r w:rsidRPr="00D80201">
        <w:rPr>
          <w:color w:val="000000"/>
        </w:rPr>
        <w:t xml:space="preserve">  </w:t>
      </w:r>
    </w:p>
    <w:p w14:paraId="52C0E3F4" w14:textId="77777777" w:rsidR="00824130" w:rsidRPr="00D80201" w:rsidRDefault="00824130">
      <w:pPr>
        <w:pStyle w:val="BodyTextFirstIndentD"/>
        <w:spacing w:line="240" w:lineRule="auto"/>
        <w:ind w:firstLine="0"/>
        <w:rPr>
          <w:color w:val="000000"/>
        </w:rPr>
      </w:pPr>
    </w:p>
    <w:p w14:paraId="4CF5F7E2" w14:textId="77777777" w:rsidR="00824130" w:rsidRPr="00D80201" w:rsidRDefault="00824130">
      <w:pPr>
        <w:pStyle w:val="BodyTextFirstIndentD"/>
        <w:spacing w:line="240" w:lineRule="auto"/>
        <w:ind w:firstLine="0"/>
        <w:rPr>
          <w:color w:val="000000"/>
        </w:rPr>
      </w:pPr>
      <w:r>
        <w:rPr>
          <w:color w:val="000000"/>
        </w:rPr>
        <w:t>82.</w:t>
      </w:r>
      <w:r>
        <w:rPr>
          <w:color w:val="000000"/>
        </w:rPr>
        <w:tab/>
      </w:r>
      <w:r w:rsidRPr="00D80201">
        <w:rPr>
          <w:color w:val="000000"/>
        </w:rPr>
        <w:t xml:space="preserve">As the Commission has recognized, the ISO has sound rationale behind the difference between its scheduling timelines and the scheduling timelines of the existing contracts.  Under the previous paradigm, the OPTO could redispatch their own generation to manage congestion to accommodate the requirements of existing contracts.  ISO Initial Brief at 15.  The ISO does not possess generation of its own and thus must redispatch others’ generation to do so.  </w:t>
      </w:r>
      <w:r w:rsidRPr="00D80201">
        <w:rPr>
          <w:color w:val="000000"/>
          <w:u w:val="single"/>
        </w:rPr>
        <w:t>Id.</w:t>
      </w:r>
      <w:r w:rsidRPr="00D80201">
        <w:rPr>
          <w:color w:val="000000"/>
        </w:rPr>
        <w:t xml:space="preserve">  To accomplish this task on a market basis, the ISO needs to know the magnitude and direction of congestion sufficiently in advance for the ISO effectively to use its auction markets to manage the congestion.  </w:t>
      </w:r>
      <w:r w:rsidRPr="00D80201">
        <w:rPr>
          <w:color w:val="000000"/>
          <w:u w:val="single"/>
        </w:rPr>
        <w:t>Id.</w:t>
      </w:r>
      <w:r w:rsidRPr="00D80201">
        <w:rPr>
          <w:color w:val="000000"/>
        </w:rPr>
        <w:t xml:space="preserve"> at 15-16. Accordingly, the ISO must have deadlines for the submission of schedules.  </w:t>
      </w:r>
      <w:smartTag w:uri="urn:schemas-microsoft-com:office:smarttags" w:element="place">
        <w:smartTag w:uri="urn:schemas-microsoft-com:office:smarttags" w:element="State">
          <w:r w:rsidRPr="00D80201">
            <w:rPr>
              <w:color w:val="000000"/>
              <w:u w:val="single"/>
            </w:rPr>
            <w:t>Id.</w:t>
          </w:r>
        </w:smartTag>
      </w:smartTag>
      <w:r w:rsidRPr="00D80201">
        <w:rPr>
          <w:i/>
          <w:color w:val="000000"/>
        </w:rPr>
        <w:t xml:space="preserve"> </w:t>
      </w:r>
      <w:r w:rsidRPr="00D80201">
        <w:rPr>
          <w:color w:val="000000"/>
        </w:rPr>
        <w:t xml:space="preserve">at 16, </w:t>
      </w:r>
      <w:r w:rsidRPr="00D80201">
        <w:rPr>
          <w:color w:val="000000"/>
          <w:u w:val="single"/>
        </w:rPr>
        <w:t>citing</w:t>
      </w:r>
      <w:r w:rsidRPr="00D80201">
        <w:rPr>
          <w:color w:val="000000"/>
        </w:rPr>
        <w:t xml:space="preserve"> Ex. ISO-26 at </w:t>
      </w:r>
      <w:smartTag w:uri="urn:schemas-microsoft-com:office:smarttags" w:element="time">
        <w:smartTagPr>
          <w:attr w:name="Hour" w:val="17"/>
          <w:attr w:name="Minute" w:val="15"/>
        </w:smartTagPr>
        <w:r w:rsidRPr="00D80201">
          <w:rPr>
            <w:color w:val="000000"/>
          </w:rPr>
          <w:t>5:15</w:t>
        </w:r>
      </w:smartTag>
      <w:r w:rsidRPr="00D80201">
        <w:rPr>
          <w:color w:val="000000"/>
        </w:rPr>
        <w:t xml:space="preserve"> – 20.  The deadlines cause the scheduling disparity discussed above and stated by the ISO as the cause of phantom congestion.</w:t>
      </w:r>
    </w:p>
    <w:p w14:paraId="133376B1" w14:textId="77777777" w:rsidR="00824130" w:rsidRPr="00D80201" w:rsidRDefault="00824130">
      <w:pPr>
        <w:pStyle w:val="BodyTextFirstIndentD"/>
        <w:spacing w:line="240" w:lineRule="auto"/>
        <w:ind w:firstLine="0"/>
        <w:rPr>
          <w:color w:val="000000"/>
        </w:rPr>
      </w:pPr>
    </w:p>
    <w:p w14:paraId="385D12C2" w14:textId="77777777" w:rsidR="00824130" w:rsidRPr="00D80201" w:rsidRDefault="00824130">
      <w:pPr>
        <w:pStyle w:val="BodyTextFirstIndentD"/>
        <w:spacing w:line="240" w:lineRule="auto"/>
        <w:ind w:firstLine="0"/>
        <w:rPr>
          <w:color w:val="000000"/>
        </w:rPr>
      </w:pPr>
      <w:r>
        <w:rPr>
          <w:color w:val="000000"/>
        </w:rPr>
        <w:t>83.</w:t>
      </w:r>
      <w:r>
        <w:rPr>
          <w:color w:val="000000"/>
        </w:rPr>
        <w:tab/>
      </w:r>
      <w:r w:rsidRPr="00D80201">
        <w:rPr>
          <w:color w:val="000000"/>
        </w:rPr>
        <w:t>However, the ISO poses strong rationale for why its operations personnel need a longer period than 20 minutes before the trading hour to perform scheduling functions.  ISO Initial Brief at 16; ISO-26 at 6:3 – 16.  As ISO witness Rush explains, such a time frame would not leave enough time to “run” the market, publish results to market participants, and coordinate changes in schedules.  ISO Initial Brief at 16; ISO-26 at 6:3 – 12.  Considering that the ISO typically has 1300 Schedule changes in the hour-ahead market, significant computing time is necessary to produce final hour-ahead schedules; even if those schedules could be provided to scheduling coordinators within the twenty minutes prior to the trading hour, that time would be too short for market participants to modify and coordinate their schedules.  ISO Initial Brief at 16; ISO-26 at 6:7 – 12.  Additionally, ISO witness Rush states that schedule changes twenty minutes before the trading hour would not comport with control area interchange scheduling within the Western Electricity Coordinating Council, and thus would be opposing region-wide scheduling processes.  ISO Initial Brief at 17; ISO-26 at 12-16.</w:t>
      </w:r>
    </w:p>
    <w:p w14:paraId="65A567A1" w14:textId="77777777" w:rsidR="00824130" w:rsidRPr="00D80201" w:rsidRDefault="00824130">
      <w:pPr>
        <w:pStyle w:val="BodyTextFirstIndentD"/>
        <w:spacing w:line="240" w:lineRule="auto"/>
        <w:ind w:firstLine="0"/>
        <w:rPr>
          <w:color w:val="000000"/>
        </w:rPr>
      </w:pPr>
    </w:p>
    <w:p w14:paraId="15856C73" w14:textId="77777777" w:rsidR="00824130" w:rsidRPr="00D80201" w:rsidRDefault="00824130">
      <w:pPr>
        <w:pStyle w:val="BodyTextFirstIndentD"/>
        <w:spacing w:line="240" w:lineRule="auto"/>
        <w:ind w:firstLine="0"/>
        <w:rPr>
          <w:color w:val="000000"/>
        </w:rPr>
      </w:pPr>
      <w:r>
        <w:rPr>
          <w:color w:val="000000"/>
        </w:rPr>
        <w:t>84.</w:t>
      </w:r>
      <w:r>
        <w:rPr>
          <w:color w:val="000000"/>
        </w:rPr>
        <w:tab/>
      </w:r>
      <w:r w:rsidRPr="00D80201">
        <w:rPr>
          <w:color w:val="000000"/>
        </w:rPr>
        <w:t xml:space="preserve">The undersigned Presiding Judge also disagrees with Staff’s and TANC’s arguments in the similar vein that the ISO and the ETC facilitators such as PG&amp;E are the cause of phantom congestion.  The ISO and PG&amp;E work together in a Commission-approved manner to administer the existing contracts, which they are obligated to do.  PG&amp;E Reply Brief at 6-7, </w:t>
      </w:r>
      <w:r w:rsidRPr="00D80201">
        <w:rPr>
          <w:color w:val="000000"/>
          <w:u w:val="single"/>
        </w:rPr>
        <w:t>citing</w:t>
      </w:r>
      <w:r w:rsidRPr="00D80201">
        <w:rPr>
          <w:color w:val="000000"/>
        </w:rPr>
        <w:t xml:space="preserve"> </w:t>
      </w:r>
      <w:r w:rsidRPr="00D80201">
        <w:rPr>
          <w:color w:val="000000"/>
          <w:u w:val="single"/>
        </w:rPr>
        <w:t>Cal. Indep. Sys. Operator Corp.</w:t>
      </w:r>
      <w:r w:rsidRPr="00D80201">
        <w:rPr>
          <w:color w:val="000000"/>
        </w:rPr>
        <w:t>, 105 FERC ¶ 61,314 (2003); Tr. 2301:7 – 15 (undersigned’s explanation at hearing that PG&amp;E does not have operational control but assists the ISO at the request of the ETC holders).  Furthermore, as the ISO points out, closer scrutiny of the path facilitator’s activities described by PG&amp;E witness Weingart – c</w:t>
      </w:r>
      <w:r>
        <w:rPr>
          <w:color w:val="000000"/>
        </w:rPr>
        <w:t>ited by TANC in its argument – r</w:t>
      </w:r>
      <w:r w:rsidRPr="00D80201">
        <w:rPr>
          <w:color w:val="000000"/>
        </w:rPr>
        <w:t xml:space="preserve">evealed that PG&amp;E partially mitigates rather than aggravates the phantom congestion when performing in the manner TANC describes.  TANC Initial Brief at 26–28, </w:t>
      </w:r>
      <w:r w:rsidRPr="00D80201">
        <w:rPr>
          <w:color w:val="000000"/>
          <w:u w:val="single"/>
        </w:rPr>
        <w:t>citing</w:t>
      </w:r>
      <w:r w:rsidRPr="00D80201">
        <w:rPr>
          <w:i/>
          <w:color w:val="000000"/>
        </w:rPr>
        <w:t xml:space="preserve"> </w:t>
      </w:r>
      <w:r w:rsidRPr="00D80201">
        <w:rPr>
          <w:color w:val="000000"/>
        </w:rPr>
        <w:t>Tr. at 2325:23 – 2</w:t>
      </w:r>
      <w:r>
        <w:rPr>
          <w:color w:val="000000"/>
        </w:rPr>
        <w:t>32</w:t>
      </w:r>
      <w:r w:rsidRPr="00D80201">
        <w:rPr>
          <w:color w:val="000000"/>
        </w:rPr>
        <w:t xml:space="preserve">6:21.  Thus, the ETC facilitator activities do not cause phantom congestion but rather act to mitigate it.  </w:t>
      </w:r>
    </w:p>
    <w:p w14:paraId="3A9E2CE7" w14:textId="77777777" w:rsidR="00824130" w:rsidRPr="00D80201" w:rsidRDefault="00824130">
      <w:pPr>
        <w:pStyle w:val="BodyTextFirstIndentD"/>
        <w:spacing w:line="240" w:lineRule="auto"/>
        <w:ind w:firstLine="0"/>
        <w:rPr>
          <w:color w:val="000000"/>
        </w:rPr>
      </w:pPr>
    </w:p>
    <w:p w14:paraId="612D6B70" w14:textId="77777777" w:rsidR="00824130" w:rsidRPr="00D80201" w:rsidRDefault="00824130">
      <w:pPr>
        <w:pStyle w:val="BodyTextFirstIndentD"/>
        <w:spacing w:line="240" w:lineRule="auto"/>
        <w:ind w:firstLine="0"/>
        <w:rPr>
          <w:color w:val="000000"/>
        </w:rPr>
      </w:pPr>
      <w:r>
        <w:t>85.</w:t>
      </w:r>
      <w:r w:rsidRPr="00D80201">
        <w:tab/>
        <w:t xml:space="preserve">As for Staff’s suggestion that the ISO and ETC rights holders could work out some agreement to decrease the amount of phantom congestion, the ISO responds that this “civil suggestion” would eliminate some or all of phantom congestion, depending on the extent to which existing rights holders were willing to comply with the ISO’s scheduling timelines.  Staff Initial Brief at 14; ISO Reply Brief at 19.  Unfortunately, as the ISO comments, “[i]f a voluntary solution to phantom [c]ongestion were possible, it would have occurred a long time ago.”  ISO Reply Brief at 19.  As discussed in greater detail in the forthcoming section regarding possible ways to eliminate phantom congestion, common consensus indicates that it is unlikely that the parties will decide to agree upon such a voluntary solution at this phase in this proceeding.  </w:t>
      </w:r>
      <w:r w:rsidRPr="00D80201">
        <w:rPr>
          <w:u w:val="single"/>
        </w:rPr>
        <w:t>See</w:t>
      </w:r>
      <w:r w:rsidRPr="00D80201">
        <w:t xml:space="preserve">, </w:t>
      </w:r>
      <w:r w:rsidRPr="00D80201">
        <w:rPr>
          <w:u w:val="single"/>
        </w:rPr>
        <w:t>e.g.</w:t>
      </w:r>
      <w:r w:rsidRPr="00D80201">
        <w:t xml:space="preserve">, </w:t>
      </w:r>
      <w:r w:rsidRPr="00D80201">
        <w:rPr>
          <w:u w:val="single"/>
        </w:rPr>
        <w:t>id.</w:t>
      </w:r>
      <w:r w:rsidRPr="00D80201">
        <w:t xml:space="preserve"> </w:t>
      </w:r>
    </w:p>
    <w:p w14:paraId="267F9981" w14:textId="77777777" w:rsidR="00824130" w:rsidRPr="00D80201" w:rsidRDefault="00824130">
      <w:pPr>
        <w:widowControl/>
        <w:ind w:firstLine="720"/>
        <w:rPr>
          <w:color w:val="000000"/>
          <w:szCs w:val="26"/>
        </w:rPr>
      </w:pPr>
    </w:p>
    <w:p w14:paraId="0830C056" w14:textId="77777777" w:rsidR="00824130" w:rsidRPr="00D80201" w:rsidRDefault="00824130">
      <w:pPr>
        <w:numPr>
          <w:ilvl w:val="1"/>
          <w:numId w:val="15"/>
        </w:numPr>
        <w:rPr>
          <w:rFonts w:ascii="Times New Roman Bold" w:hAnsi="Times New Roman Bold"/>
          <w:b/>
          <w:color w:val="000000"/>
          <w:szCs w:val="26"/>
        </w:rPr>
      </w:pPr>
      <w:r>
        <w:rPr>
          <w:rFonts w:ascii="Times New Roman Bold" w:hAnsi="Times New Roman Bold"/>
          <w:b/>
          <w:color w:val="000000"/>
          <w:szCs w:val="26"/>
        </w:rPr>
        <w:t xml:space="preserve"> </w:t>
      </w:r>
      <w:r w:rsidRPr="00D80201">
        <w:rPr>
          <w:rFonts w:ascii="Times New Roman Bold" w:hAnsi="Times New Roman Bold"/>
          <w:b/>
          <w:color w:val="000000"/>
          <w:szCs w:val="26"/>
        </w:rPr>
        <w:t>What is the economic impact of phantom Congestion?</w:t>
      </w:r>
    </w:p>
    <w:p w14:paraId="514F47E2" w14:textId="77777777" w:rsidR="00824130" w:rsidRPr="00D80201" w:rsidRDefault="00824130">
      <w:pPr>
        <w:ind w:left="1080"/>
        <w:rPr>
          <w:rFonts w:ascii="Times New Roman Bold" w:hAnsi="Times New Roman Bold"/>
          <w:b/>
          <w:color w:val="000000"/>
          <w:szCs w:val="26"/>
        </w:rPr>
      </w:pPr>
    </w:p>
    <w:p w14:paraId="69857C1F" w14:textId="77777777" w:rsidR="00824130" w:rsidRPr="00D80201" w:rsidRDefault="00824130">
      <w:pPr>
        <w:ind w:left="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40F794FE" w14:textId="77777777" w:rsidR="00824130" w:rsidRPr="00D80201" w:rsidRDefault="00824130">
      <w:pPr>
        <w:rPr>
          <w:color w:val="000000"/>
          <w:szCs w:val="26"/>
        </w:rPr>
      </w:pPr>
    </w:p>
    <w:p w14:paraId="751BA50B" w14:textId="77777777" w:rsidR="00824130" w:rsidRPr="00D80201" w:rsidRDefault="00824130">
      <w:pPr>
        <w:rPr>
          <w:color w:val="000000"/>
          <w:szCs w:val="26"/>
        </w:rPr>
      </w:pPr>
      <w:r>
        <w:rPr>
          <w:color w:val="000000"/>
          <w:szCs w:val="26"/>
        </w:rPr>
        <w:t>86.</w:t>
      </w:r>
      <w:r>
        <w:rPr>
          <w:color w:val="000000"/>
          <w:szCs w:val="26"/>
        </w:rPr>
        <w:tab/>
      </w:r>
      <w:r w:rsidRPr="00D80201">
        <w:rPr>
          <w:color w:val="000000"/>
          <w:szCs w:val="26"/>
        </w:rPr>
        <w:t xml:space="preserve">The ISO contends that the phantom congestion facilitates the exercise of market power, interferes with the price signals sent by congestion charges, and imposes unnecessary congestion costs on market participants.  Specifically, phantom congestion distorts the energy markets by creating artificial obstacles between buyers and sellers, reducing liquidity, and increasing the potential for harmful exercise of market power.  Phantom congestion also sends faulty economic signals regarding where new investment in transmission facilities and upgrades are most needed and imposes significant congestion costs when there is no actual congestion on the ISO controlled grid.  ISO witness Casey’s study of phantom congestion on Path 15 is the source for the ISO’s indirect quantification of the costs of phantom congestion and the benefits of eliminating it.  The ISO criticizes SCE’s analysis of phantom congestion as understating the effects of market power on phantom congestion.  </w:t>
      </w:r>
    </w:p>
    <w:p w14:paraId="40978FDB" w14:textId="77777777" w:rsidR="00824130" w:rsidRPr="00D80201" w:rsidRDefault="00824130">
      <w:pPr>
        <w:ind w:firstLine="720"/>
        <w:rPr>
          <w:color w:val="000000"/>
          <w:szCs w:val="26"/>
        </w:rPr>
      </w:pPr>
    </w:p>
    <w:p w14:paraId="11769DF4" w14:textId="77777777" w:rsidR="00824130" w:rsidRPr="00D80201" w:rsidRDefault="00824130">
      <w:pPr>
        <w:rPr>
          <w:color w:val="000000"/>
          <w:szCs w:val="26"/>
        </w:rPr>
      </w:pPr>
      <w:r>
        <w:rPr>
          <w:color w:val="000000"/>
          <w:szCs w:val="26"/>
        </w:rPr>
        <w:t>87.</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supports the ISO quantification of the costs of phantom congestion as very high.  Ex. ISO-23 at 5-11; Ex. ISO-26 at </w:t>
      </w:r>
      <w:smartTag w:uri="urn:schemas-microsoft-com:office:smarttags" w:element="time">
        <w:smartTagPr>
          <w:attr w:name="Hour" w:val="15"/>
          <w:attr w:name="Minute" w:val="21"/>
        </w:smartTagPr>
        <w:r w:rsidRPr="00D80201">
          <w:rPr>
            <w:color w:val="000000"/>
            <w:szCs w:val="26"/>
          </w:rPr>
          <w:t>3:21 – 4:15</w:t>
        </w:r>
      </w:smartTag>
      <w:r w:rsidRPr="00D80201">
        <w:rPr>
          <w:color w:val="000000"/>
          <w:szCs w:val="26"/>
        </w:rPr>
        <w:t xml:space="preserve">, </w:t>
      </w:r>
      <w:smartTag w:uri="urn:schemas-microsoft-com:office:smarttags" w:element="time">
        <w:smartTagPr>
          <w:attr w:name="Hour" w:val="10"/>
          <w:attr w:name="Minute" w:val="16"/>
        </w:smartTagPr>
        <w:r w:rsidRPr="00D80201">
          <w:rPr>
            <w:color w:val="000000"/>
            <w:szCs w:val="26"/>
          </w:rPr>
          <w:t>10:16 – 12:22</w:t>
        </w:r>
      </w:smartTag>
      <w:r w:rsidRPr="00D80201">
        <w:rPr>
          <w:color w:val="000000"/>
          <w:szCs w:val="26"/>
        </w:rPr>
        <w:t xml:space="preserve">, 13:1 – 17:10; Ex. ISO-30 at 2:1 – 11:20.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supports the ISO contention that reduction in phantom congestion resulting from ISO expansion would significantly benefit end-use customers across the ISO system.</w:t>
      </w:r>
    </w:p>
    <w:p w14:paraId="0E964181" w14:textId="77777777" w:rsidR="00824130" w:rsidRPr="00D80201" w:rsidRDefault="00824130">
      <w:pPr>
        <w:ind w:firstLine="720"/>
        <w:rPr>
          <w:color w:val="000000"/>
          <w:szCs w:val="26"/>
        </w:rPr>
      </w:pPr>
    </w:p>
    <w:p w14:paraId="355BBD9E" w14:textId="77777777" w:rsidR="00824130" w:rsidRPr="00D80201" w:rsidRDefault="00824130">
      <w:pPr>
        <w:pStyle w:val="FootnoteText"/>
        <w:ind w:firstLine="0"/>
        <w:rPr>
          <w:szCs w:val="26"/>
        </w:rPr>
      </w:pPr>
      <w:r>
        <w:rPr>
          <w:szCs w:val="26"/>
        </w:rPr>
        <w:t>88.</w:t>
      </w:r>
      <w:r>
        <w:rPr>
          <w:szCs w:val="26"/>
        </w:rPr>
        <w:tab/>
      </w:r>
      <w:r w:rsidRPr="00D80201">
        <w:rPr>
          <w:szCs w:val="26"/>
        </w:rPr>
        <w:t>PG&amp;E acknowledges that phantom congestion has economic consequences, but posits that the economic impact has not been quantified reliably by any party in this case.  Ex. PGE</w:t>
      </w:r>
      <w:r w:rsidRPr="00D80201">
        <w:rPr>
          <w:szCs w:val="26"/>
        </w:rPr>
        <w:noBreakHyphen/>
        <w:t xml:space="preserve">1 at </w:t>
      </w:r>
      <w:smartTag w:uri="urn:schemas-microsoft-com:office:smarttags" w:element="time">
        <w:smartTagPr>
          <w:attr w:name="Hour" w:val="21"/>
          <w:attr w:name="Minute" w:val="11"/>
        </w:smartTagPr>
        <w:r w:rsidRPr="00D80201">
          <w:rPr>
            <w:szCs w:val="26"/>
          </w:rPr>
          <w:t>21:11 – 22:10</w:t>
        </w:r>
      </w:smartTag>
      <w:r w:rsidRPr="00D80201">
        <w:rPr>
          <w:szCs w:val="26"/>
        </w:rPr>
        <w:t>.  PG&amp;E further contends that phantom congestion has decreased and will continue to decrease as existing contracts expire,</w:t>
      </w:r>
      <w:r w:rsidRPr="00D80201">
        <w:rPr>
          <w:rStyle w:val="FootnoteReference"/>
          <w:color w:val="000000"/>
        </w:rPr>
        <w:footnoteReference w:id="36"/>
      </w:r>
      <w:r w:rsidRPr="00D80201">
        <w:rPr>
          <w:szCs w:val="26"/>
        </w:rPr>
        <w:t xml:space="preserve"> and that the ISO’s </w:t>
      </w:r>
      <w:r>
        <w:rPr>
          <w:szCs w:val="26"/>
        </w:rPr>
        <w:t>MD02</w:t>
      </w:r>
      <w:r w:rsidRPr="00D80201">
        <w:rPr>
          <w:szCs w:val="26"/>
        </w:rPr>
        <w:t xml:space="preserve"> proposal could eliminate phantom congestion completely.  Ex. PGE</w:t>
      </w:r>
      <w:r w:rsidRPr="00D80201">
        <w:rPr>
          <w:szCs w:val="26"/>
        </w:rPr>
        <w:noBreakHyphen/>
        <w:t xml:space="preserve">1 at </w:t>
      </w:r>
      <w:smartTag w:uri="urn:schemas-microsoft-com:office:smarttags" w:element="time">
        <w:smartTagPr>
          <w:attr w:name="Hour" w:val="22"/>
          <w:attr w:name="Minute" w:val="11"/>
        </w:smartTagPr>
        <w:r w:rsidRPr="00D80201">
          <w:rPr>
            <w:szCs w:val="26"/>
          </w:rPr>
          <w:t>22:11</w:t>
        </w:r>
      </w:smartTag>
      <w:r w:rsidRPr="00D80201">
        <w:rPr>
          <w:szCs w:val="26"/>
        </w:rPr>
        <w:t xml:space="preserve"> – 30, </w:t>
      </w:r>
      <w:smartTag w:uri="urn:schemas-microsoft-com:office:smarttags" w:element="time">
        <w:smartTagPr>
          <w:attr w:name="Hour" w:val="23"/>
          <w:attr w:name="Minute" w:val="28"/>
        </w:smartTagPr>
        <w:r w:rsidRPr="00D80201">
          <w:rPr>
            <w:szCs w:val="26"/>
          </w:rPr>
          <w:t>23:28</w:t>
        </w:r>
      </w:smartTag>
      <w:r w:rsidRPr="00D80201">
        <w:rPr>
          <w:szCs w:val="26"/>
        </w:rPr>
        <w:t xml:space="preserve"> – 30.  </w:t>
      </w:r>
    </w:p>
    <w:p w14:paraId="1B862261" w14:textId="77777777" w:rsidR="00824130" w:rsidRPr="00D80201" w:rsidRDefault="00824130">
      <w:pPr>
        <w:rPr>
          <w:color w:val="000000"/>
          <w:szCs w:val="26"/>
        </w:rPr>
      </w:pPr>
    </w:p>
    <w:p w14:paraId="03E19DC3" w14:textId="77777777" w:rsidR="00824130" w:rsidRPr="00D80201" w:rsidRDefault="00824130">
      <w:pPr>
        <w:rPr>
          <w:color w:val="000000"/>
          <w:szCs w:val="26"/>
        </w:rPr>
      </w:pPr>
      <w:r>
        <w:rPr>
          <w:color w:val="000000"/>
          <w:szCs w:val="26"/>
        </w:rPr>
        <w:t>89.</w:t>
      </w:r>
      <w:r>
        <w:rPr>
          <w:color w:val="000000"/>
          <w:szCs w:val="26"/>
        </w:rPr>
        <w:tab/>
      </w:r>
      <w:r w:rsidRPr="00D80201">
        <w:rPr>
          <w:color w:val="000000"/>
          <w:szCs w:val="26"/>
        </w:rPr>
        <w:t>TANC states that the answer to this question is hard to define, but that phantom congestion has decreased in recent years</w:t>
      </w:r>
      <w:r w:rsidRPr="00D80201">
        <w:rPr>
          <w:rStyle w:val="FootnoteReference"/>
          <w:color w:val="000000"/>
        </w:rPr>
        <w:footnoteReference w:id="37"/>
      </w:r>
      <w:r w:rsidRPr="00D80201">
        <w:rPr>
          <w:color w:val="000000"/>
          <w:szCs w:val="26"/>
        </w:rPr>
        <w:t xml:space="preserve"> and will continue to decrease as existing contracts expire.  Ex. PGE-1 at 22 – 23.  TANC also criticizes ISO witness Casey’s study of phantom congestion for improperly including facilities not included in the ISO grid (such as the COTP), for using the wrong methodology is his analysis, and for overstating the potential magnitude of costs associated with phantom congestion.  TANC also contends that the ISO’s assertions about phantom congestion apply to congestion generally, not just phantom congestion, and TANC maintains that the evidence upon which the ISO relies for its assertions is faulty.   </w:t>
      </w:r>
    </w:p>
    <w:p w14:paraId="016DF000" w14:textId="77777777" w:rsidR="00824130" w:rsidRPr="00D80201" w:rsidRDefault="00824130">
      <w:pPr>
        <w:rPr>
          <w:color w:val="000000"/>
          <w:szCs w:val="26"/>
        </w:rPr>
      </w:pPr>
    </w:p>
    <w:p w14:paraId="719CDF47" w14:textId="77777777" w:rsidR="00824130" w:rsidRPr="00D80201" w:rsidRDefault="00824130">
      <w:pPr>
        <w:widowControl/>
        <w:rPr>
          <w:bCs/>
          <w:color w:val="000000"/>
          <w:szCs w:val="26"/>
        </w:rPr>
      </w:pPr>
      <w:r>
        <w:rPr>
          <w:color w:val="000000"/>
          <w:szCs w:val="26"/>
        </w:rPr>
        <w:t>90.</w:t>
      </w:r>
      <w:r>
        <w:rPr>
          <w:color w:val="000000"/>
          <w:szCs w:val="26"/>
        </w:rPr>
        <w:tab/>
      </w:r>
      <w:r w:rsidRPr="00D80201">
        <w:rPr>
          <w:color w:val="000000"/>
          <w:szCs w:val="26"/>
        </w:rPr>
        <w:t xml:space="preserve">The EOB’s position is that phantom congestion causes inefficiency within the ISO market that is difficult to quantify because no party has directly analyzed its economic impact.  The EOB describes that phantom congestion </w:t>
      </w:r>
      <w:r w:rsidRPr="00D80201">
        <w:rPr>
          <w:bCs/>
          <w:color w:val="000000"/>
          <w:szCs w:val="26"/>
        </w:rPr>
        <w:t>impacts energy prices</w:t>
      </w:r>
      <w:r w:rsidRPr="00D80201">
        <w:rPr>
          <w:color w:val="000000"/>
          <w:szCs w:val="26"/>
        </w:rPr>
        <w:t xml:space="preserve"> </w:t>
      </w:r>
      <w:r w:rsidRPr="00D80201">
        <w:rPr>
          <w:bCs/>
          <w:color w:val="000000"/>
          <w:szCs w:val="26"/>
        </w:rPr>
        <w:t xml:space="preserve">(1) by requiring the redispatch of generating units to relieve the phantom constraint and (2) by reducing market competition by preventing imports into a congested zone from competing with supply internal to the constraint.  Ex. ISO-23 at </w:t>
      </w:r>
      <w:smartTag w:uri="urn:schemas-microsoft-com:office:smarttags" w:element="time">
        <w:smartTagPr>
          <w:attr w:name="Hour" w:val="19"/>
          <w:attr w:name="Minute" w:val="18"/>
        </w:smartTagPr>
        <w:r w:rsidRPr="00D80201">
          <w:rPr>
            <w:bCs/>
            <w:color w:val="000000"/>
            <w:szCs w:val="26"/>
          </w:rPr>
          <w:t>7:18 – 8:13</w:t>
        </w:r>
      </w:smartTag>
      <w:r w:rsidRPr="00D80201">
        <w:rPr>
          <w:bCs/>
          <w:color w:val="000000"/>
          <w:szCs w:val="26"/>
        </w:rPr>
        <w:t xml:space="preserve">.  </w:t>
      </w:r>
      <w:r w:rsidRPr="00D80201">
        <w:rPr>
          <w:color w:val="000000"/>
          <w:szCs w:val="26"/>
        </w:rPr>
        <w:t>Regarding the ISO’s extrapolations from its Path 15 Study, the EOB criticizes aspects of its methodology and concurs with other parties that the ISO overestimated the benefits of eliminating phantom congestion.  Ex. SDG&amp;E-1 at 14 – 16; Ex. SCE-5 at 4 – 12; Ex. PGE-1 at 21 – 23; Ex. TNC-10 at 16 – 30; Ex. MID-1 at 18 – 21.</w:t>
      </w:r>
      <w:r w:rsidRPr="00D80201">
        <w:rPr>
          <w:bCs/>
          <w:color w:val="000000"/>
          <w:szCs w:val="26"/>
        </w:rPr>
        <w:t xml:space="preserve">  </w:t>
      </w:r>
    </w:p>
    <w:p w14:paraId="2A2E983D" w14:textId="77777777" w:rsidR="00824130" w:rsidRPr="00D80201" w:rsidRDefault="00824130">
      <w:pPr>
        <w:widowControl/>
        <w:ind w:firstLine="720"/>
        <w:rPr>
          <w:bCs/>
          <w:color w:val="000000"/>
          <w:szCs w:val="26"/>
        </w:rPr>
      </w:pPr>
    </w:p>
    <w:p w14:paraId="58931B53" w14:textId="77777777" w:rsidR="00824130" w:rsidRPr="00D80201" w:rsidRDefault="00824130">
      <w:pPr>
        <w:widowControl/>
        <w:rPr>
          <w:bCs/>
          <w:color w:val="000000"/>
          <w:szCs w:val="26"/>
        </w:rPr>
      </w:pPr>
      <w:r>
        <w:rPr>
          <w:bCs/>
          <w:color w:val="000000"/>
          <w:szCs w:val="26"/>
        </w:rPr>
        <w:t>91.</w:t>
      </w:r>
      <w:r>
        <w:rPr>
          <w:bCs/>
          <w:color w:val="000000"/>
          <w:szCs w:val="26"/>
        </w:rPr>
        <w:tab/>
      </w:r>
      <w:r w:rsidRPr="00D80201">
        <w:rPr>
          <w:bCs/>
          <w:color w:val="000000"/>
          <w:szCs w:val="26"/>
        </w:rPr>
        <w:t>The EOB also counters the ISO regarding other economic impacts.  The EOB contends that there is no evidence that phantom congestion has caused sub-optimal investment decisions and high costs to consumers, and posits that the problem occurs in the long run and should mitigate itself as ETCs expire.  The EOB also responds to the ISO’s contention that a possible economic impact of phantom congestion is a circumstance where an ETC rights holder that has purchased FTRs could profit from its FT</w:t>
      </w:r>
      <w:r>
        <w:rPr>
          <w:bCs/>
          <w:color w:val="000000"/>
          <w:szCs w:val="26"/>
        </w:rPr>
        <w:t>R position by creating phantom congestion to drive up the c</w:t>
      </w:r>
      <w:r w:rsidRPr="00D80201">
        <w:rPr>
          <w:bCs/>
          <w:color w:val="000000"/>
          <w:szCs w:val="26"/>
        </w:rPr>
        <w:t xml:space="preserve">ongestion price.  Ex. ISO-23 at </w:t>
      </w:r>
      <w:smartTag w:uri="urn:schemas-microsoft-com:office:smarttags" w:element="time">
        <w:smartTagPr>
          <w:attr w:name="Hour" w:val="8"/>
          <w:attr w:name="Minute" w:val="20"/>
        </w:smartTagPr>
        <w:r w:rsidRPr="00D80201">
          <w:rPr>
            <w:bCs/>
            <w:color w:val="000000"/>
            <w:szCs w:val="26"/>
          </w:rPr>
          <w:t>8:20</w:t>
        </w:r>
      </w:smartTag>
      <w:r w:rsidRPr="00D80201">
        <w:rPr>
          <w:bCs/>
          <w:color w:val="000000"/>
          <w:szCs w:val="26"/>
        </w:rPr>
        <w:t xml:space="preserve"> – 9:3.  The EOB contends that the ISO has admitted that no evidence exists that an ETC holder has ever gamed</w:t>
      </w:r>
      <w:r>
        <w:rPr>
          <w:bCs/>
          <w:color w:val="000000"/>
          <w:szCs w:val="26"/>
        </w:rPr>
        <w:t xml:space="preserve"> c</w:t>
      </w:r>
      <w:r w:rsidRPr="00D80201">
        <w:rPr>
          <w:bCs/>
          <w:color w:val="000000"/>
          <w:szCs w:val="26"/>
        </w:rPr>
        <w:t xml:space="preserve">ongestion prices in this manner.  Tr. 1300:8 – 17.  </w:t>
      </w:r>
    </w:p>
    <w:p w14:paraId="1E8C1DB7" w14:textId="77777777" w:rsidR="00824130" w:rsidRPr="00D80201" w:rsidRDefault="00824130">
      <w:pPr>
        <w:rPr>
          <w:color w:val="000000"/>
          <w:szCs w:val="26"/>
        </w:rPr>
      </w:pPr>
    </w:p>
    <w:p w14:paraId="005CB1CD" w14:textId="77777777" w:rsidR="00824130" w:rsidRPr="00D80201" w:rsidRDefault="00824130">
      <w:pPr>
        <w:rPr>
          <w:color w:val="000000"/>
          <w:szCs w:val="26"/>
        </w:rPr>
      </w:pPr>
      <w:r>
        <w:rPr>
          <w:color w:val="000000"/>
          <w:szCs w:val="26"/>
        </w:rPr>
        <w:t>92.</w:t>
      </w:r>
      <w:r>
        <w:rPr>
          <w:color w:val="000000"/>
          <w:szCs w:val="26"/>
        </w:rPr>
        <w:tab/>
      </w:r>
      <w:r w:rsidRPr="00D80201">
        <w:rPr>
          <w:color w:val="000000"/>
          <w:szCs w:val="26"/>
        </w:rPr>
        <w:t>Staff also disagrees with the ISO’s estimate and contends that the record is inconclusive on the exact costs of phantom congestion or the benefits of eliminating it.  In particular, Staff argues that ISO witness Casey’s change to his testimony</w:t>
      </w:r>
      <w:r w:rsidRPr="00D80201">
        <w:rPr>
          <w:rStyle w:val="FootnoteReference"/>
          <w:color w:val="000000"/>
        </w:rPr>
        <w:footnoteReference w:id="38"/>
      </w:r>
      <w:r w:rsidRPr="00D80201">
        <w:rPr>
          <w:color w:val="000000"/>
          <w:szCs w:val="26"/>
        </w:rPr>
        <w:t xml:space="preserve"> during the hearing raises new credibility issues regarding his study’s accuracy, and by extension, the ISO’s estimates of the costs of phantom congestion and the benefits of eliminating it.  </w:t>
      </w:r>
    </w:p>
    <w:p w14:paraId="7F1DC169" w14:textId="77777777" w:rsidR="00824130" w:rsidRPr="00D80201" w:rsidRDefault="00824130">
      <w:pPr>
        <w:ind w:firstLine="720"/>
        <w:rPr>
          <w:color w:val="000000"/>
          <w:szCs w:val="26"/>
        </w:rPr>
      </w:pPr>
    </w:p>
    <w:p w14:paraId="3391E557" w14:textId="77777777" w:rsidR="00824130" w:rsidRPr="00D80201" w:rsidRDefault="00824130">
      <w:pPr>
        <w:pStyle w:val="FootnoteText"/>
        <w:ind w:firstLine="0"/>
        <w:rPr>
          <w:szCs w:val="26"/>
        </w:rPr>
      </w:pPr>
      <w:r>
        <w:rPr>
          <w:szCs w:val="26"/>
        </w:rPr>
        <w:t>93.</w:t>
      </w:r>
      <w:r>
        <w:rPr>
          <w:szCs w:val="26"/>
        </w:rPr>
        <w:tab/>
      </w:r>
      <w:r w:rsidRPr="00D80201">
        <w:rPr>
          <w:szCs w:val="26"/>
        </w:rPr>
        <w:t xml:space="preserve">SCE’s study suggests that the phantom congestion benefits will range from $0.14 million under current participation scenario to $7 million under the full participation scenario.  SCE Initial Brief at 10, </w:t>
      </w:r>
      <w:r w:rsidRPr="00D80201">
        <w:rPr>
          <w:szCs w:val="26"/>
          <w:u w:val="single"/>
        </w:rPr>
        <w:t>citing</w:t>
      </w:r>
      <w:r w:rsidRPr="00D80201">
        <w:rPr>
          <w:szCs w:val="26"/>
        </w:rPr>
        <w:t xml:space="preserve"> SCE-5 at 13 – 22.  SCE criticizes the ISO’s estimate that its TAC proposal can save “hundreds of millions of dollars” in benefits to the ISO markets from the reduction of phantom congestion.  Ex. ISO-23 at 11.  SCE argues that its own estimate is more in accord with the current costs of congestion, generated by the ISO in its 2002 annual report, which shows that tot</w:t>
      </w:r>
      <w:r>
        <w:rPr>
          <w:szCs w:val="26"/>
        </w:rPr>
        <w:t>al congestion costs in the ISO control a</w:t>
      </w:r>
      <w:r w:rsidRPr="00D80201">
        <w:rPr>
          <w:szCs w:val="26"/>
        </w:rPr>
        <w:t>rea have consistently declined from their peak of $400 million in 2000 to $42 million in 2002.  (Phantom congestion costs are but a subset of total congestion costs.)  Ex. SCE-38.  Also, SCE argues that its phantom congestion estimate is far closer to the ISO’s initial estimate submitted in this proceeding</w:t>
      </w:r>
      <w:r w:rsidRPr="00D80201">
        <w:rPr>
          <w:szCs w:val="26"/>
          <w:u w:val="single"/>
        </w:rPr>
        <w:t xml:space="preserve"> </w:t>
      </w:r>
      <w:r w:rsidRPr="00D80201">
        <w:rPr>
          <w:szCs w:val="26"/>
        </w:rPr>
        <w:t>that the annual benefit from the reduction of phantom congestion would be $24 million.</w:t>
      </w:r>
      <w:r w:rsidRPr="00D80201">
        <w:rPr>
          <w:rStyle w:val="FootnoteReference"/>
          <w:color w:val="000000"/>
        </w:rPr>
        <w:footnoteReference w:id="39"/>
      </w:r>
      <w:r w:rsidRPr="00D80201">
        <w:rPr>
          <w:szCs w:val="26"/>
        </w:rPr>
        <w:t xml:space="preserve">  SCE also counters the ISO’s criticism of its study by replying that the Commission already has made market manipulation illegal and subject to severe penalties; because the Commission limited access of market suppliers to exercise market power, SCE contends, the ISO has overstated the benefits of eliminating phantom congestion.  SCE Reply Brief at 6, </w:t>
      </w:r>
      <w:r w:rsidRPr="00D80201">
        <w:rPr>
          <w:szCs w:val="26"/>
          <w:u w:val="single"/>
        </w:rPr>
        <w:t>citing</w:t>
      </w:r>
      <w:r w:rsidRPr="00D80201">
        <w:rPr>
          <w:szCs w:val="26"/>
        </w:rPr>
        <w:t xml:space="preserve"> </w:t>
      </w:r>
      <w:r w:rsidRPr="00D80201">
        <w:rPr>
          <w:szCs w:val="26"/>
          <w:u w:val="single"/>
        </w:rPr>
        <w:t>Investigation of Terms and Conditions of Public Utility Market-Based Rate Authorizations</w:t>
      </w:r>
      <w:r w:rsidRPr="00D80201">
        <w:rPr>
          <w:szCs w:val="26"/>
        </w:rPr>
        <w:t xml:space="preserve">, 105 FERC ¶ 61,218 (2003). </w:t>
      </w:r>
    </w:p>
    <w:p w14:paraId="7F17F6C5" w14:textId="77777777" w:rsidR="00824130" w:rsidRPr="00D80201" w:rsidRDefault="00824130">
      <w:pPr>
        <w:rPr>
          <w:color w:val="000000"/>
          <w:szCs w:val="26"/>
        </w:rPr>
      </w:pPr>
    </w:p>
    <w:p w14:paraId="5562DE4C" w14:textId="77777777" w:rsidR="00824130" w:rsidRPr="00D80201" w:rsidRDefault="00824130">
      <w:pPr>
        <w:rPr>
          <w:color w:val="000000"/>
          <w:szCs w:val="26"/>
        </w:rPr>
      </w:pPr>
      <w:r>
        <w:rPr>
          <w:color w:val="000000"/>
          <w:szCs w:val="26"/>
        </w:rPr>
        <w:t>94.</w:t>
      </w:r>
      <w:r>
        <w:rPr>
          <w:color w:val="000000"/>
          <w:szCs w:val="26"/>
        </w:rPr>
        <w:tab/>
      </w:r>
      <w:r w:rsidRPr="00D80201">
        <w:rPr>
          <w:color w:val="000000"/>
          <w:szCs w:val="26"/>
        </w:rPr>
        <w:t xml:space="preserve">In accord with its earlier statement that the Commission has directed that the TAC burdens on the OPTOs must be balanced by the benefits to the new PTOs, SCE asserts that the ISO has not met its burden of proving that the reduction in phantom congestion and/or other benefits from the TAC proposal are equivalent to the annual $72 million cost shift cap proposed by the ISO.  </w:t>
      </w:r>
    </w:p>
    <w:p w14:paraId="4CF6F7D4" w14:textId="77777777" w:rsidR="00824130" w:rsidRPr="00D80201" w:rsidRDefault="00824130">
      <w:pPr>
        <w:rPr>
          <w:color w:val="000000"/>
          <w:szCs w:val="26"/>
        </w:rPr>
      </w:pPr>
    </w:p>
    <w:p w14:paraId="398E6146" w14:textId="77777777" w:rsidR="00824130" w:rsidRPr="00D80201" w:rsidRDefault="00824130">
      <w:pPr>
        <w:rPr>
          <w:color w:val="000000"/>
          <w:szCs w:val="26"/>
        </w:rPr>
      </w:pPr>
      <w:r>
        <w:rPr>
          <w:color w:val="000000"/>
          <w:szCs w:val="26"/>
        </w:rPr>
        <w:t>95.</w:t>
      </w:r>
      <w:r>
        <w:rPr>
          <w:color w:val="000000"/>
          <w:szCs w:val="26"/>
        </w:rPr>
        <w:tab/>
      </w:r>
      <w:r w:rsidRPr="00D80201">
        <w:rPr>
          <w:color w:val="000000"/>
          <w:szCs w:val="26"/>
        </w:rPr>
        <w:t>SDG&amp;E criticizes ISO witness Casey’s study, due to the combination of overstated benefits from reducing phantom congestion</w:t>
      </w:r>
      <w:r w:rsidRPr="00D80201">
        <w:rPr>
          <w:rStyle w:val="FootnoteReference"/>
          <w:color w:val="000000"/>
        </w:rPr>
        <w:footnoteReference w:id="40"/>
      </w:r>
      <w:r w:rsidRPr="00D80201">
        <w:rPr>
          <w:color w:val="000000"/>
          <w:szCs w:val="26"/>
        </w:rPr>
        <w:t xml:space="preserve"> and the inclusion of phantom congestion that occurs </w:t>
      </w:r>
      <w:r w:rsidRPr="00D80201">
        <w:rPr>
          <w:i/>
          <w:iCs/>
          <w:color w:val="000000"/>
          <w:szCs w:val="26"/>
        </w:rPr>
        <w:t>off</w:t>
      </w:r>
      <w:r w:rsidRPr="00D80201">
        <w:rPr>
          <w:color w:val="000000"/>
          <w:szCs w:val="26"/>
        </w:rPr>
        <w:t xml:space="preserve"> the ISO-controlled grid as a significant p</w:t>
      </w:r>
      <w:r>
        <w:rPr>
          <w:color w:val="000000"/>
          <w:szCs w:val="26"/>
        </w:rPr>
        <w:t>art of the study.  Tr. 1249:19 – 1</w:t>
      </w:r>
      <w:r w:rsidRPr="00D80201">
        <w:rPr>
          <w:color w:val="000000"/>
          <w:szCs w:val="26"/>
        </w:rPr>
        <w:t xml:space="preserve">253:5.  </w:t>
      </w:r>
    </w:p>
    <w:p w14:paraId="26368B6E" w14:textId="77777777" w:rsidR="00824130" w:rsidRPr="00D80201" w:rsidRDefault="00824130">
      <w:pPr>
        <w:rPr>
          <w:color w:val="000000"/>
          <w:szCs w:val="26"/>
        </w:rPr>
      </w:pPr>
    </w:p>
    <w:p w14:paraId="158FBC00" w14:textId="77777777" w:rsidR="00824130" w:rsidRPr="00D80201" w:rsidRDefault="00824130">
      <w:pPr>
        <w:rPr>
          <w:color w:val="000000"/>
          <w:szCs w:val="26"/>
        </w:rPr>
      </w:pPr>
      <w:r>
        <w:rPr>
          <w:color w:val="000000"/>
          <w:szCs w:val="26"/>
        </w:rPr>
        <w:t>96.</w:t>
      </w:r>
      <w:r>
        <w:rPr>
          <w:color w:val="000000"/>
          <w:szCs w:val="26"/>
        </w:rPr>
        <w:tab/>
      </w:r>
      <w:r w:rsidRPr="00D80201">
        <w:rPr>
          <w:color w:val="000000"/>
          <w:szCs w:val="26"/>
        </w:rPr>
        <w:t xml:space="preserve">SWP asserts that the ISO has not quantified costs attributable to phantom congestion.  Additionally, SWP contends that the ISO has not tried to test its assertion of benefits relating to phantom congestion against actual experience with the Cities of Vernon, </w:t>
      </w:r>
      <w:smartTag w:uri="urn:schemas-microsoft-com:office:smarttags" w:element="place">
        <w:smartTag w:uri="urn:schemas-microsoft-com:office:smarttags" w:element="City">
          <w:r w:rsidRPr="00D80201">
            <w:rPr>
              <w:color w:val="000000"/>
              <w:szCs w:val="26"/>
            </w:rPr>
            <w:t>Anaheim</w:t>
          </w:r>
        </w:smartTag>
      </w:smartTag>
      <w:r w:rsidRPr="00D80201">
        <w:rPr>
          <w:color w:val="000000"/>
          <w:szCs w:val="26"/>
        </w:rPr>
        <w:t xml:space="preserve">, </w:t>
      </w:r>
      <w:smartTag w:uri="urn:schemas-microsoft-com:office:smarttags" w:element="place">
        <w:smartTag w:uri="urn:schemas-microsoft-com:office:smarttags" w:element="City">
          <w:r w:rsidRPr="00D80201">
            <w:rPr>
              <w:color w:val="000000"/>
              <w:szCs w:val="26"/>
            </w:rPr>
            <w:t>Azusa</w:t>
          </w:r>
        </w:smartTag>
      </w:smartTag>
      <w:r w:rsidRPr="00D80201">
        <w:rPr>
          <w:color w:val="000000"/>
          <w:szCs w:val="26"/>
        </w:rPr>
        <w:t xml:space="preserve">, Banning, or </w:t>
      </w:r>
      <w:smartTag w:uri="urn:schemas-microsoft-com:office:smarttags" w:element="place">
        <w:smartTag w:uri="urn:schemas-microsoft-com:office:smarttags" w:element="City">
          <w:r w:rsidRPr="00D80201">
            <w:rPr>
              <w:color w:val="000000"/>
              <w:szCs w:val="26"/>
            </w:rPr>
            <w:t>Riverside</w:t>
          </w:r>
        </w:smartTag>
      </w:smartTag>
      <w:r w:rsidRPr="00D80201">
        <w:rPr>
          <w:color w:val="000000"/>
          <w:szCs w:val="26"/>
        </w:rPr>
        <w:t xml:space="preserve"> becoming PTOs.  Ex. SWP-16 at 3.  </w:t>
      </w:r>
    </w:p>
    <w:p w14:paraId="462C18F4" w14:textId="77777777" w:rsidR="00824130" w:rsidRPr="00D80201" w:rsidRDefault="00824130">
      <w:pPr>
        <w:rPr>
          <w:color w:val="000000"/>
          <w:szCs w:val="26"/>
        </w:rPr>
      </w:pPr>
      <w:r w:rsidRPr="00D80201">
        <w:rPr>
          <w:color w:val="000000"/>
          <w:szCs w:val="26"/>
        </w:rPr>
        <w:t xml:space="preserve"> </w:t>
      </w:r>
    </w:p>
    <w:p w14:paraId="24C61106" w14:textId="77777777" w:rsidR="00824130" w:rsidRPr="00D80201" w:rsidRDefault="00824130">
      <w:pPr>
        <w:rPr>
          <w:color w:val="000000"/>
          <w:szCs w:val="26"/>
        </w:rPr>
      </w:pPr>
      <w:r>
        <w:rPr>
          <w:color w:val="000000"/>
          <w:szCs w:val="26"/>
        </w:rPr>
        <w:t>97.</w:t>
      </w:r>
      <w:r>
        <w:rPr>
          <w:color w:val="000000"/>
          <w:szCs w:val="26"/>
        </w:rPr>
        <w:tab/>
      </w:r>
      <w:r w:rsidRPr="00D80201">
        <w:rPr>
          <w:color w:val="000000"/>
          <w:szCs w:val="26"/>
        </w:rPr>
        <w:t xml:space="preserve">MID essentially criticizes the ISO’s witness Casey’s study and opines that it would not be a credible source of economic impact even if phantom congestion does exist.  </w:t>
      </w:r>
    </w:p>
    <w:p w14:paraId="5D87D87D" w14:textId="77777777" w:rsidR="00824130" w:rsidRPr="00D80201" w:rsidRDefault="00824130">
      <w:pPr>
        <w:rPr>
          <w:color w:val="000000"/>
          <w:szCs w:val="26"/>
        </w:rPr>
      </w:pPr>
    </w:p>
    <w:p w14:paraId="3F890DED"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07E800C3" w14:textId="77777777" w:rsidR="00824130" w:rsidRPr="00D80201" w:rsidRDefault="00824130">
      <w:pPr>
        <w:ind w:firstLine="1040"/>
        <w:rPr>
          <w:rFonts w:ascii="Times New Roman Bold" w:hAnsi="Times New Roman Bold"/>
          <w:b/>
          <w:color w:val="000000"/>
          <w:szCs w:val="26"/>
        </w:rPr>
      </w:pPr>
    </w:p>
    <w:p w14:paraId="6A71ED23" w14:textId="77777777" w:rsidR="00824130" w:rsidRPr="00D80201" w:rsidRDefault="00824130">
      <w:pPr>
        <w:pStyle w:val="BodyTextFirstIndentD"/>
        <w:spacing w:line="240" w:lineRule="auto"/>
        <w:ind w:firstLine="0"/>
        <w:rPr>
          <w:color w:val="000000"/>
        </w:rPr>
      </w:pPr>
      <w:r>
        <w:rPr>
          <w:color w:val="000000"/>
        </w:rPr>
        <w:t>98.</w:t>
      </w:r>
      <w:r>
        <w:rPr>
          <w:color w:val="000000"/>
        </w:rPr>
        <w:tab/>
      </w:r>
      <w:r w:rsidRPr="00D80201">
        <w:rPr>
          <w:color w:val="000000"/>
        </w:rPr>
        <w:t>In its initial brief, Staff states that “[t]he short answer is that, as of 2003, this record doesn’t prove anything.”  Staff Initial Brief at 14.  For the reasons stated below, the undersigned Presiding Judge concurs with this assessment.</w:t>
      </w:r>
    </w:p>
    <w:p w14:paraId="2FA34FAD" w14:textId="77777777" w:rsidR="00824130" w:rsidRPr="00D80201" w:rsidRDefault="00824130">
      <w:pPr>
        <w:pStyle w:val="BodyTextFirstIndentD"/>
        <w:spacing w:line="240" w:lineRule="auto"/>
        <w:ind w:firstLine="0"/>
        <w:rPr>
          <w:color w:val="000000"/>
        </w:rPr>
      </w:pPr>
    </w:p>
    <w:p w14:paraId="27347245" w14:textId="77777777" w:rsidR="00824130" w:rsidRPr="00D80201" w:rsidRDefault="00824130">
      <w:pPr>
        <w:pStyle w:val="BodyTextFirstIndentD"/>
        <w:spacing w:line="240" w:lineRule="auto"/>
        <w:ind w:firstLine="0"/>
        <w:rPr>
          <w:color w:val="000000"/>
        </w:rPr>
      </w:pPr>
      <w:r>
        <w:rPr>
          <w:color w:val="000000"/>
        </w:rPr>
        <w:t>99.</w:t>
      </w:r>
      <w:r>
        <w:rPr>
          <w:color w:val="000000"/>
        </w:rPr>
        <w:tab/>
      </w:r>
      <w:r w:rsidRPr="00D80201">
        <w:rPr>
          <w:color w:val="000000"/>
        </w:rPr>
        <w:t xml:space="preserve">The ISO and </w:t>
      </w:r>
      <w:smartTag w:uri="urn:schemas-microsoft-com:office:smarttags" w:element="place">
        <w:smartTag w:uri="urn:schemas-microsoft-com:office:smarttags" w:element="City">
          <w:r w:rsidRPr="00D80201">
            <w:rPr>
              <w:color w:val="000000"/>
            </w:rPr>
            <w:t>Vernon</w:t>
          </w:r>
        </w:smartTag>
      </w:smartTag>
      <w:r w:rsidRPr="00D80201">
        <w:rPr>
          <w:color w:val="000000"/>
        </w:rPr>
        <w:t xml:space="preserve"> contend that there are many costs of phantom congestion, and the ISO has extolled the benefits of eliminating phantom congestion throughout this proceeding.  </w:t>
      </w:r>
      <w:r w:rsidRPr="00D80201">
        <w:rPr>
          <w:color w:val="000000"/>
          <w:u w:val="single"/>
        </w:rPr>
        <w:t>See</w:t>
      </w:r>
      <w:r w:rsidRPr="00D80201">
        <w:rPr>
          <w:color w:val="000000"/>
        </w:rPr>
        <w:t xml:space="preserve">, </w:t>
      </w:r>
      <w:r w:rsidRPr="00D80201">
        <w:rPr>
          <w:color w:val="000000"/>
          <w:u w:val="single"/>
        </w:rPr>
        <w:t>e.g.</w:t>
      </w:r>
      <w:r w:rsidRPr="00D80201">
        <w:rPr>
          <w:color w:val="000000"/>
        </w:rPr>
        <w:t xml:space="preserve">, ISO Initial Brief at 19-25; Vernon Initial Brief at 18-19.  While </w:t>
      </w:r>
      <w:r>
        <w:rPr>
          <w:color w:val="000000"/>
        </w:rPr>
        <w:t xml:space="preserve">the undersigned Presiding Judge </w:t>
      </w:r>
      <w:r w:rsidRPr="00D80201">
        <w:rPr>
          <w:color w:val="000000"/>
        </w:rPr>
        <w:t>concur</w:t>
      </w:r>
      <w:r>
        <w:rPr>
          <w:color w:val="000000"/>
        </w:rPr>
        <w:t>s</w:t>
      </w:r>
      <w:r w:rsidRPr="00D80201">
        <w:rPr>
          <w:color w:val="000000"/>
        </w:rPr>
        <w:t xml:space="preserve"> that phantom congestion is a costly phenomenon, exactly how costly it is remains unknown.  The undersigned does not concur with ISO witness Casey’s estimate that it could be costly to the tune of saving “hundreds of millions of dollars” through its elimination.  Ex. ISO-23 at </w:t>
      </w:r>
      <w:smartTag w:uri="urn:schemas-microsoft-com:office:smarttags" w:element="time">
        <w:smartTagPr>
          <w:attr w:name="Hour" w:val="11"/>
          <w:attr w:name="Minute" w:val="17"/>
        </w:smartTagPr>
        <w:r w:rsidRPr="00D80201">
          <w:rPr>
            <w:color w:val="000000"/>
          </w:rPr>
          <w:t>11:17</w:t>
        </w:r>
      </w:smartTag>
      <w:r w:rsidRPr="00D80201">
        <w:rPr>
          <w:color w:val="000000"/>
        </w:rPr>
        <w:t xml:space="preserve">.  </w:t>
      </w:r>
    </w:p>
    <w:p w14:paraId="2210936A" w14:textId="77777777" w:rsidR="00824130" w:rsidRPr="00D80201" w:rsidRDefault="00824130">
      <w:pPr>
        <w:pStyle w:val="BodyTextFirstIndentD"/>
        <w:spacing w:line="240" w:lineRule="auto"/>
        <w:ind w:firstLine="0"/>
        <w:rPr>
          <w:color w:val="000000"/>
        </w:rPr>
      </w:pPr>
    </w:p>
    <w:p w14:paraId="70F414E2" w14:textId="77777777" w:rsidR="00824130" w:rsidRPr="00D80201" w:rsidRDefault="00824130">
      <w:pPr>
        <w:pStyle w:val="BodyTextFirstIndentD"/>
        <w:spacing w:line="240" w:lineRule="auto"/>
        <w:ind w:firstLine="0"/>
        <w:rPr>
          <w:color w:val="000000"/>
        </w:rPr>
      </w:pPr>
      <w:r>
        <w:rPr>
          <w:color w:val="000000"/>
        </w:rPr>
        <w:t>100.</w:t>
      </w:r>
      <w:r>
        <w:rPr>
          <w:color w:val="000000"/>
        </w:rPr>
        <w:tab/>
      </w:r>
      <w:r w:rsidRPr="00D80201">
        <w:rPr>
          <w:color w:val="000000"/>
        </w:rPr>
        <w:t xml:space="preserve">The costs of phantom congestion, and by extension the benefits of its elimination, are hard to quantify.  A broad spectrum of parties criticized the attempted quantification of the ISO’s witness Casey about the subject.  </w:t>
      </w:r>
      <w:r w:rsidRPr="00D80201">
        <w:rPr>
          <w:color w:val="000000"/>
          <w:u w:val="single"/>
        </w:rPr>
        <w:t>See</w:t>
      </w:r>
      <w:r w:rsidRPr="00D80201">
        <w:rPr>
          <w:color w:val="000000"/>
        </w:rPr>
        <w:t xml:space="preserve"> Staff Initial Brief at 14-16; EOB Initial Brief at 9; SDG&amp;E Initial Brief at 6-7; SCE Initial Brief at 7-10; PG&amp;E Initial Brief at 16-17; TANC Initial Brief at 29-38; MID Initial Brief at 30-34.  Dr. Casey’s study of congestion on Path 15 was originally conducted as part of a Path 15 upgrade study, and it was published in </w:t>
      </w:r>
      <w:smartTag w:uri="urn:schemas-microsoft-com:office:smarttags" w:element="date">
        <w:smartTagPr>
          <w:attr w:name="Month" w:val="9"/>
          <w:attr w:name="Day" w:val="24"/>
          <w:attr w:name="Year" w:val="2001"/>
        </w:smartTagPr>
        <w:r w:rsidRPr="00D80201">
          <w:rPr>
            <w:color w:val="000000"/>
          </w:rPr>
          <w:t>September 24, 2001</w:t>
        </w:r>
      </w:smartTag>
      <w:r w:rsidRPr="00D80201">
        <w:rPr>
          <w:color w:val="000000"/>
        </w:rPr>
        <w:t xml:space="preserve">.  Ex. ISO-23 at 3:8-9; Ex. ISO-25.  The ISO used Dr. Casey’s study to extrapolate the overall costs of phantom congestion.  Ex. ISO-23 at </w:t>
      </w:r>
      <w:smartTag w:uri="urn:schemas-microsoft-com:office:smarttags" w:element="time">
        <w:smartTagPr>
          <w:attr w:name="Hour" w:val="14"/>
          <w:attr w:name="Minute" w:val="20"/>
        </w:smartTagPr>
        <w:r w:rsidRPr="00D80201">
          <w:rPr>
            <w:color w:val="000000"/>
          </w:rPr>
          <w:t>2:20 – 3:14</w:t>
        </w:r>
      </w:smartTag>
      <w:r w:rsidRPr="00D80201">
        <w:rPr>
          <w:color w:val="000000"/>
        </w:rPr>
        <w:t xml:space="preserve">.  As Dr. Casey states, he “had not quantified the cost impacts of phantom congestion over the past four years.”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at 3:6-7.  </w:t>
      </w:r>
    </w:p>
    <w:p w14:paraId="5ED217F6" w14:textId="77777777" w:rsidR="00824130" w:rsidRPr="00D80201" w:rsidRDefault="00824130">
      <w:pPr>
        <w:pStyle w:val="BodyTextFirstIndentD"/>
        <w:spacing w:line="240" w:lineRule="auto"/>
        <w:ind w:firstLine="0"/>
        <w:rPr>
          <w:color w:val="000000"/>
        </w:rPr>
      </w:pPr>
    </w:p>
    <w:p w14:paraId="3CEE2DEE" w14:textId="77777777" w:rsidR="00824130" w:rsidRPr="00D80201" w:rsidRDefault="00824130">
      <w:pPr>
        <w:widowControl/>
        <w:rPr>
          <w:color w:val="000000"/>
          <w:szCs w:val="26"/>
        </w:rPr>
      </w:pPr>
      <w:r>
        <w:rPr>
          <w:color w:val="000000"/>
          <w:szCs w:val="26"/>
        </w:rPr>
        <w:t>101.</w:t>
      </w:r>
      <w:r>
        <w:rPr>
          <w:color w:val="000000"/>
          <w:szCs w:val="26"/>
        </w:rPr>
        <w:tab/>
      </w:r>
      <w:r w:rsidRPr="00D80201">
        <w:rPr>
          <w:color w:val="000000"/>
          <w:szCs w:val="26"/>
        </w:rPr>
        <w:t>Dr. Casey testified that “[i]t is important to note that some ETC rights holders have authority to schedule after the close of the ISO’s Hour-Ahead market up to until 20-minutes prior to the start of the operating hour,”</w:t>
      </w:r>
      <w:r w:rsidRPr="00D80201">
        <w:rPr>
          <w:rStyle w:val="FootnoteReference"/>
          <w:color w:val="000000"/>
        </w:rPr>
        <w:footnoteReference w:id="41"/>
      </w:r>
      <w:r w:rsidRPr="00D80201">
        <w:rPr>
          <w:color w:val="000000"/>
          <w:szCs w:val="26"/>
        </w:rPr>
        <w:t xml:space="preserve"> but as Staff points out, the hearing showed that he did not know how many ETC rights holders have this authority.  Tr. 1384:6-13.  Additionally, although a majority of the California Oregon Transmission Project, owned by governmental entities, has not been turned over to the ISO control, Dr. Casey made a change to his testimony at hearing that indicated that he had factored in the entire COTP in his estimate of phantom congestion.  Tr. 1232:9 – 13; Tr. 1335:10 – 20.  He agreed that, without the COTP in his analysis, the level of phantom congestion and the costs of eliminating it would be lower.  Tr. 1380:1 – 1381:4.  Staff points out, “it is safe to say that removing an apparent 1446 (1600 minus 154) MW of ‘phantom congestion’ would have a major impact on [Dr. Casey’s] analysis.”  Staff Initial Brief at 16 (brackets added).  The undersigned Presiding Judge concurs.  </w:t>
      </w:r>
    </w:p>
    <w:p w14:paraId="1864DD14" w14:textId="77777777" w:rsidR="00824130" w:rsidRPr="00D80201" w:rsidRDefault="00824130">
      <w:pPr>
        <w:pStyle w:val="BodyTextFirstIndentD"/>
        <w:spacing w:line="240" w:lineRule="auto"/>
        <w:ind w:firstLine="0"/>
        <w:rPr>
          <w:color w:val="000000"/>
        </w:rPr>
      </w:pPr>
    </w:p>
    <w:p w14:paraId="70820508" w14:textId="77777777" w:rsidR="00824130" w:rsidRPr="00D80201" w:rsidRDefault="00824130">
      <w:pPr>
        <w:pStyle w:val="BodyTextFirstIndentD"/>
        <w:spacing w:line="240" w:lineRule="auto"/>
        <w:ind w:firstLine="0"/>
        <w:rPr>
          <w:color w:val="000000"/>
        </w:rPr>
      </w:pPr>
      <w:r>
        <w:rPr>
          <w:color w:val="000000"/>
        </w:rPr>
        <w:t>102.</w:t>
      </w:r>
      <w:r>
        <w:rPr>
          <w:color w:val="000000"/>
        </w:rPr>
        <w:tab/>
      </w:r>
      <w:r w:rsidRPr="00D80201">
        <w:rPr>
          <w:color w:val="000000"/>
        </w:rPr>
        <w:t xml:space="preserve">SCE witness Hansen has estimated the benefits of eliminating phantom congestion to be about $0.14 million to $7 million.  Ex. SCE-5 at 13 – 22.  However, as Staff points out, Mr. Hansen based his analysis on four-year-old data that shows no adjustment for generation which has been conducted in the interim, and thus, his study could be vulnerable to some of the same criticisms that SCE directed at ISO’s study for being based on old data.  Staff Initial Brief at 17.  Furthermore, Mr. Hansen also acknowledges that “any estimate will have a great deal of uncertainty, because the benefits depend on variables that are difficult to predict.”  Ex. SCE-5 at </w:t>
      </w:r>
      <w:smartTag w:uri="urn:schemas-microsoft-com:office:smarttags" w:element="time">
        <w:smartTagPr>
          <w:attr w:name="Hour" w:val="19"/>
          <w:attr w:name="Minute" w:val="11"/>
        </w:smartTagPr>
        <w:r w:rsidRPr="00D80201">
          <w:rPr>
            <w:color w:val="000000"/>
          </w:rPr>
          <w:t>19:11</w:t>
        </w:r>
      </w:smartTag>
      <w:r w:rsidRPr="00D80201">
        <w:rPr>
          <w:color w:val="000000"/>
        </w:rPr>
        <w:t xml:space="preserve"> – 12.  </w:t>
      </w:r>
    </w:p>
    <w:p w14:paraId="4707E9A9" w14:textId="77777777" w:rsidR="00824130" w:rsidRPr="00D80201" w:rsidRDefault="00824130">
      <w:pPr>
        <w:pStyle w:val="BodyTextFirstIndentD"/>
        <w:spacing w:line="240" w:lineRule="auto"/>
        <w:ind w:firstLine="0"/>
        <w:rPr>
          <w:color w:val="000000"/>
        </w:rPr>
      </w:pPr>
    </w:p>
    <w:p w14:paraId="159BC5A6" w14:textId="77777777" w:rsidR="00824130" w:rsidRPr="00D80201" w:rsidRDefault="00824130">
      <w:pPr>
        <w:pStyle w:val="BodyTextFirstIndentD"/>
        <w:spacing w:line="240" w:lineRule="auto"/>
        <w:ind w:firstLine="0"/>
        <w:rPr>
          <w:color w:val="000000"/>
        </w:rPr>
      </w:pPr>
      <w:r>
        <w:rPr>
          <w:color w:val="000000"/>
        </w:rPr>
        <w:t>103.</w:t>
      </w:r>
      <w:r>
        <w:rPr>
          <w:color w:val="000000"/>
        </w:rPr>
        <w:tab/>
      </w:r>
      <w:r w:rsidRPr="00D80201">
        <w:rPr>
          <w:color w:val="000000"/>
        </w:rPr>
        <w:t xml:space="preserve">In short, phantom congestion’s economic impact is difficult to quantify.  Given this fact, and given that the TAC was designed with a full participation scenario in mind, which is not likely to occur, consideration of possible mitigation or elimination of phantom congestion as a viable “benefit” when deciding whether the TAC is just, reasonable and not unduly discriminatory on a </w:t>
      </w:r>
      <w:r w:rsidRPr="00D80201">
        <w:rPr>
          <w:i/>
          <w:color w:val="000000"/>
        </w:rPr>
        <w:t>prospective</w:t>
      </w:r>
      <w:r w:rsidRPr="00D80201">
        <w:rPr>
          <w:color w:val="000000"/>
        </w:rPr>
        <w:t xml:space="preserve"> basis may not be appropriate.  However, simply because phantom congestion’s economic impact is difficult to quantify, and the optimistic and laudable goal of mitigating or eliminating phantom congestion by attracting increased ETC participation in the ISO through the TAC’s “balance of benefits and burdens” has not been accomplished</w:t>
      </w:r>
      <w:r>
        <w:rPr>
          <w:color w:val="000000"/>
        </w:rPr>
        <w:t>,</w:t>
      </w:r>
      <w:r w:rsidRPr="00D80201">
        <w:rPr>
          <w:color w:val="000000"/>
        </w:rPr>
        <w:t xml:space="preserve"> does not render it</w:t>
      </w:r>
      <w:r>
        <w:rPr>
          <w:color w:val="000000"/>
        </w:rPr>
        <w:t>s elimination</w:t>
      </w:r>
      <w:r w:rsidRPr="00D80201">
        <w:rPr>
          <w:color w:val="000000"/>
        </w:rPr>
        <w:t xml:space="preserve"> nonviable as a “bene</w:t>
      </w:r>
      <w:r>
        <w:rPr>
          <w:color w:val="000000"/>
        </w:rPr>
        <w:t>fit” from the outset.  Rather, the undersigned has</w:t>
      </w:r>
      <w:r w:rsidRPr="00D80201">
        <w:rPr>
          <w:color w:val="000000"/>
        </w:rPr>
        <w:t xml:space="preserve"> concluded that it is appropriate to consider the possible mitigation or elimination of phantom congestion as an expected “benefit” to be weighed, among other things, in support of a recommendation against retroactive modification of the ISO’s TAC.   </w:t>
      </w:r>
    </w:p>
    <w:p w14:paraId="13FA2F33" w14:textId="77777777" w:rsidR="00824130" w:rsidRDefault="00824130">
      <w:pPr>
        <w:rPr>
          <w:color w:val="000000"/>
          <w:szCs w:val="26"/>
        </w:rPr>
      </w:pPr>
    </w:p>
    <w:p w14:paraId="7FF16C59" w14:textId="77777777" w:rsidR="00824130" w:rsidRPr="00D80201" w:rsidRDefault="00824130">
      <w:pPr>
        <w:rPr>
          <w:color w:val="000000"/>
          <w:szCs w:val="26"/>
        </w:rPr>
      </w:pPr>
    </w:p>
    <w:p w14:paraId="6BD694B4" w14:textId="77777777" w:rsidR="00824130" w:rsidRPr="00D80201" w:rsidRDefault="00824130">
      <w:pPr>
        <w:numPr>
          <w:ilvl w:val="1"/>
          <w:numId w:val="15"/>
        </w:numPr>
        <w:rPr>
          <w:rFonts w:ascii="Times New Roman Bold" w:hAnsi="Times New Roman Bold"/>
          <w:b/>
          <w:color w:val="000000"/>
          <w:szCs w:val="26"/>
        </w:rPr>
      </w:pPr>
      <w:r w:rsidRPr="00D80201">
        <w:rPr>
          <w:rFonts w:ascii="Times New Roman Bold" w:hAnsi="Times New Roman Bold"/>
          <w:b/>
          <w:color w:val="000000"/>
          <w:szCs w:val="26"/>
        </w:rPr>
        <w:t>Whether there are alternative means to address phantom Congestion and, if so, the impact on the issues in this proceeding.</w:t>
      </w:r>
    </w:p>
    <w:p w14:paraId="2213BFB1" w14:textId="77777777" w:rsidR="00824130" w:rsidRPr="00D80201" w:rsidRDefault="00824130">
      <w:pPr>
        <w:ind w:left="1080"/>
        <w:rPr>
          <w:rFonts w:ascii="Times New Roman Bold" w:hAnsi="Times New Roman Bold"/>
          <w:b/>
          <w:color w:val="000000"/>
          <w:szCs w:val="26"/>
        </w:rPr>
      </w:pPr>
    </w:p>
    <w:p w14:paraId="6AADBE58"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266C1607" w14:textId="77777777" w:rsidR="00824130" w:rsidRPr="00D80201" w:rsidRDefault="00824130">
      <w:pPr>
        <w:rPr>
          <w:color w:val="000000"/>
          <w:szCs w:val="26"/>
        </w:rPr>
      </w:pPr>
    </w:p>
    <w:p w14:paraId="1B95DF24" w14:textId="77777777" w:rsidR="00824130" w:rsidRPr="00D80201" w:rsidRDefault="00824130">
      <w:pPr>
        <w:rPr>
          <w:bCs/>
          <w:color w:val="000000"/>
          <w:szCs w:val="26"/>
        </w:rPr>
      </w:pPr>
      <w:r>
        <w:rPr>
          <w:bCs/>
          <w:color w:val="000000"/>
          <w:szCs w:val="26"/>
        </w:rPr>
        <w:t>104.</w:t>
      </w:r>
      <w:r>
        <w:rPr>
          <w:bCs/>
          <w:color w:val="000000"/>
          <w:szCs w:val="26"/>
        </w:rPr>
        <w:tab/>
      </w:r>
      <w:r w:rsidRPr="00D80201">
        <w:rPr>
          <w:bCs/>
          <w:color w:val="000000"/>
          <w:szCs w:val="26"/>
        </w:rPr>
        <w:t xml:space="preserve">The EOB discusses that the ISO has offered an alternative method to address phantom congestion in </w:t>
      </w:r>
      <w:r>
        <w:rPr>
          <w:bCs/>
          <w:color w:val="000000"/>
          <w:szCs w:val="26"/>
        </w:rPr>
        <w:t>MD02</w:t>
      </w:r>
      <w:r w:rsidRPr="00D80201">
        <w:rPr>
          <w:bCs/>
          <w:color w:val="000000"/>
          <w:szCs w:val="26"/>
        </w:rPr>
        <w:t xml:space="preserve">.  Ex. SCE-26; Ex. ISO-26 at 13:2 – 14:19; Ex. PGE-1 at </w:t>
      </w:r>
      <w:smartTag w:uri="urn:schemas-microsoft-com:office:smarttags" w:element="time">
        <w:smartTagPr>
          <w:attr w:name="Hour" w:val="22"/>
          <w:attr w:name="Minute" w:val="11"/>
        </w:smartTagPr>
        <w:r w:rsidRPr="00D80201">
          <w:rPr>
            <w:bCs/>
            <w:color w:val="000000"/>
            <w:szCs w:val="26"/>
          </w:rPr>
          <w:t>22:11</w:t>
        </w:r>
      </w:smartTag>
      <w:r w:rsidRPr="00D80201">
        <w:rPr>
          <w:bCs/>
          <w:color w:val="000000"/>
          <w:szCs w:val="26"/>
        </w:rPr>
        <w:t xml:space="preserve"> – 30.  According to the EOB, the ISO intends to abandon its policy of reserving unused ETC capacity in the day-ahead and hour-ahead timeframes.  The EOB explains the relevancy of this alternative proposal.  First, the Commission has ordered phantom congestion to be eradicated, regardless of whether it is in this proceeding or another; the EOB contends that because many TOs have expressed strong opposition to joining the ISO, the TAC proposal here will not fully eliminate phantom congestion.  Second, because the ISO has emphasized elimination of phantom congestion as one of the benefits to the TAC and to the extent that the Commission commits to resolving that dilemma in </w:t>
      </w:r>
      <w:r>
        <w:rPr>
          <w:bCs/>
          <w:color w:val="000000"/>
          <w:szCs w:val="26"/>
        </w:rPr>
        <w:t>MD02</w:t>
      </w:r>
      <w:r w:rsidRPr="00D80201">
        <w:rPr>
          <w:bCs/>
          <w:color w:val="000000"/>
          <w:szCs w:val="26"/>
        </w:rPr>
        <w:t xml:space="preserve"> or another proceeding, the benefits to OPTOs from the TAC decrease.  Based on this reasoning, the EOB justifies keeping certain benefits that the OPTOs can possibly expect from the TAC, such as the cost shift.  </w:t>
      </w:r>
    </w:p>
    <w:p w14:paraId="5F9E1E53" w14:textId="77777777" w:rsidR="00824130" w:rsidRPr="00D80201" w:rsidRDefault="00824130">
      <w:pPr>
        <w:rPr>
          <w:color w:val="000000"/>
          <w:szCs w:val="26"/>
        </w:rPr>
      </w:pPr>
    </w:p>
    <w:p w14:paraId="4FFE4379" w14:textId="77777777" w:rsidR="00824130" w:rsidRPr="00D80201" w:rsidRDefault="00824130">
      <w:pPr>
        <w:rPr>
          <w:color w:val="000000"/>
          <w:szCs w:val="26"/>
        </w:rPr>
      </w:pPr>
      <w:r>
        <w:rPr>
          <w:color w:val="000000"/>
          <w:szCs w:val="26"/>
        </w:rPr>
        <w:t>105.</w:t>
      </w:r>
      <w:r>
        <w:rPr>
          <w:color w:val="000000"/>
          <w:szCs w:val="26"/>
        </w:rPr>
        <w:tab/>
      </w:r>
      <w:r w:rsidRPr="00D80201">
        <w:rPr>
          <w:color w:val="000000"/>
          <w:szCs w:val="26"/>
        </w:rPr>
        <w:t xml:space="preserve">The ISO states that phantom congestion is only relevant to this proceeding insofar as it relates to the ISO’s TAC proposal, specifically whether the special incentives to expanded ISO participation included in the proposal (i.e., Section 9.4.3 FTRs) are not unduly discriminatory because they will confer a benefit by reducing phantom congestion.  The ISO also contends that the alternatives that interveners have proposed are not appropriate for this proceeding because the Commission is considering proposals to reduce phantom congestion in </w:t>
      </w:r>
      <w:r>
        <w:rPr>
          <w:color w:val="000000"/>
          <w:szCs w:val="26"/>
        </w:rPr>
        <w:t>MD02</w:t>
      </w:r>
      <w:r w:rsidRPr="00D80201">
        <w:rPr>
          <w:color w:val="000000"/>
          <w:szCs w:val="26"/>
        </w:rPr>
        <w:t xml:space="preserve">.  </w:t>
      </w:r>
    </w:p>
    <w:p w14:paraId="686F5352" w14:textId="77777777" w:rsidR="00824130" w:rsidRPr="00D80201" w:rsidRDefault="00824130">
      <w:pPr>
        <w:rPr>
          <w:color w:val="000000"/>
          <w:szCs w:val="26"/>
        </w:rPr>
      </w:pPr>
    </w:p>
    <w:p w14:paraId="11DC4CE1" w14:textId="77777777" w:rsidR="00824130" w:rsidRPr="00D80201" w:rsidRDefault="00824130">
      <w:pPr>
        <w:rPr>
          <w:color w:val="000000"/>
          <w:szCs w:val="26"/>
        </w:rPr>
      </w:pPr>
      <w:r>
        <w:rPr>
          <w:color w:val="000000"/>
          <w:szCs w:val="26"/>
        </w:rPr>
        <w:t>106.</w:t>
      </w:r>
      <w:r>
        <w:rPr>
          <w:color w:val="000000"/>
          <w:szCs w:val="26"/>
        </w:rPr>
        <w:tab/>
      </w:r>
      <w:r w:rsidRPr="00D80201">
        <w:rPr>
          <w:color w:val="000000"/>
          <w:szCs w:val="26"/>
        </w:rPr>
        <w:t xml:space="preserve">SCE generally agrees with the ISO in its view that the </w:t>
      </w:r>
      <w:r>
        <w:rPr>
          <w:color w:val="000000"/>
          <w:szCs w:val="26"/>
        </w:rPr>
        <w:t>MD02</w:t>
      </w:r>
      <w:r w:rsidRPr="00D80201">
        <w:rPr>
          <w:color w:val="000000"/>
          <w:szCs w:val="26"/>
        </w:rPr>
        <w:t xml:space="preserve"> proceeding, rather than the instant case, is the appropriate forum for addressing this issue, but for a different reason.  SCE asserts that the TAC proposal will not eliminate phantom congestion unless those new PTOs that have ETCs that have differing scheduling timelines actually join the ISO; according to SCE, however, it appears that most potential new PTOs would not join the ISO regardless of the TAC methodology adopted in this proceeding.  </w:t>
      </w:r>
    </w:p>
    <w:p w14:paraId="4B7E1048" w14:textId="77777777" w:rsidR="00824130" w:rsidRPr="00D80201" w:rsidRDefault="00824130">
      <w:pPr>
        <w:rPr>
          <w:color w:val="000000"/>
          <w:szCs w:val="26"/>
        </w:rPr>
      </w:pPr>
    </w:p>
    <w:p w14:paraId="3E436B01" w14:textId="77777777" w:rsidR="00824130" w:rsidRPr="00D80201" w:rsidRDefault="00824130">
      <w:pPr>
        <w:rPr>
          <w:color w:val="000000"/>
          <w:szCs w:val="26"/>
        </w:rPr>
      </w:pPr>
      <w:r>
        <w:rPr>
          <w:color w:val="000000"/>
          <w:szCs w:val="26"/>
        </w:rPr>
        <w:t>107.</w:t>
      </w:r>
      <w:r>
        <w:rPr>
          <w:color w:val="000000"/>
          <w:szCs w:val="26"/>
        </w:rPr>
        <w:tab/>
      </w:r>
      <w:r w:rsidRPr="00D80201">
        <w:rPr>
          <w:color w:val="000000"/>
          <w:szCs w:val="26"/>
        </w:rPr>
        <w:t xml:space="preserve">PG&amp;E agrees with the ISO that the </w:t>
      </w:r>
      <w:r>
        <w:rPr>
          <w:color w:val="000000"/>
          <w:szCs w:val="26"/>
        </w:rPr>
        <w:t>MD02</w:t>
      </w:r>
      <w:r w:rsidRPr="00D80201">
        <w:rPr>
          <w:color w:val="000000"/>
          <w:szCs w:val="26"/>
        </w:rPr>
        <w:t xml:space="preserve"> proposal could eliminate phantom congestion, and additionally contends that releasing existing contract capacity prior to the hour-ahead congestion management run would essentially eliminate phantom congestion.  Tr. 1211:7 – 1212:5.  </w:t>
      </w:r>
    </w:p>
    <w:p w14:paraId="3B6CDED4" w14:textId="77777777" w:rsidR="00824130" w:rsidRPr="00D80201" w:rsidRDefault="00824130">
      <w:pPr>
        <w:ind w:firstLine="720"/>
        <w:rPr>
          <w:color w:val="000000"/>
          <w:szCs w:val="26"/>
        </w:rPr>
      </w:pPr>
    </w:p>
    <w:p w14:paraId="5AAD4035" w14:textId="77777777" w:rsidR="00824130" w:rsidRPr="00D80201" w:rsidRDefault="00824130">
      <w:pPr>
        <w:rPr>
          <w:color w:val="000000"/>
          <w:szCs w:val="26"/>
        </w:rPr>
      </w:pPr>
      <w:r>
        <w:rPr>
          <w:color w:val="000000"/>
          <w:szCs w:val="26"/>
        </w:rPr>
        <w:t>108.</w:t>
      </w:r>
      <w:r>
        <w:rPr>
          <w:color w:val="000000"/>
          <w:szCs w:val="26"/>
        </w:rPr>
        <w:tab/>
      </w:r>
      <w:r w:rsidRPr="00D80201">
        <w:rPr>
          <w:color w:val="000000"/>
          <w:szCs w:val="26"/>
        </w:rPr>
        <w:t xml:space="preserve">TANC likewise agrees that this issue would be better addressed in the </w:t>
      </w:r>
      <w:r>
        <w:rPr>
          <w:color w:val="000000"/>
          <w:szCs w:val="26"/>
        </w:rPr>
        <w:t>MD02</w:t>
      </w:r>
      <w:r w:rsidRPr="00D80201">
        <w:rPr>
          <w:color w:val="000000"/>
          <w:szCs w:val="26"/>
        </w:rPr>
        <w:t xml:space="preserve"> proceeding.  </w:t>
      </w:r>
    </w:p>
    <w:p w14:paraId="43851F40" w14:textId="77777777" w:rsidR="00824130" w:rsidRPr="00D80201" w:rsidRDefault="00824130">
      <w:pPr>
        <w:rPr>
          <w:color w:val="000000"/>
          <w:szCs w:val="26"/>
        </w:rPr>
      </w:pPr>
    </w:p>
    <w:p w14:paraId="650CA69A" w14:textId="77777777" w:rsidR="00824130" w:rsidRPr="00D80201" w:rsidRDefault="00824130">
      <w:pPr>
        <w:rPr>
          <w:color w:val="000000"/>
          <w:szCs w:val="26"/>
        </w:rPr>
      </w:pPr>
      <w:r>
        <w:rPr>
          <w:color w:val="000000"/>
          <w:szCs w:val="26"/>
        </w:rPr>
        <w:t>109.</w:t>
      </w:r>
      <w:r>
        <w:rPr>
          <w:color w:val="000000"/>
          <w:szCs w:val="26"/>
        </w:rPr>
        <w:tab/>
      </w:r>
      <w:r w:rsidRPr="00D80201">
        <w:rPr>
          <w:color w:val="000000"/>
          <w:szCs w:val="26"/>
        </w:rPr>
        <w:t xml:space="preserve">Staff contends that there are several factors which will or may reduce or impact phantom congestion.  The expiration of certain existing contracts would reduce the phantom congestion associated with those existing contracts.  A second means of reducing phantom congestion in the hour-ahead market would be for existing rights holders who are willing to abide by the ISO scheduling timelines to work out with the ISO the arrangements under which the ISO did not have to reserve capacity past the close of the hour-ahead market.  A third means of reducing phantom congestion, in the day-ahead as well as the hour-ahead market, has been proposed by the ISO, in its </w:t>
      </w:r>
      <w:r>
        <w:rPr>
          <w:color w:val="000000"/>
          <w:szCs w:val="26"/>
        </w:rPr>
        <w:t>MD02</w:t>
      </w:r>
      <w:r w:rsidRPr="00D80201">
        <w:rPr>
          <w:color w:val="000000"/>
          <w:szCs w:val="26"/>
        </w:rPr>
        <w:t xml:space="preserve"> market redesign, namely the proposal to only reserve capacity for existing rights holders through the close of the day-ahead market.  However Staff points out that even the ISO admits that there is no certainty that this proposal will be implemented in the way the ISO is currently planning.  </w:t>
      </w:r>
    </w:p>
    <w:p w14:paraId="31603F4F" w14:textId="77777777" w:rsidR="00824130" w:rsidRPr="00D80201" w:rsidRDefault="00824130">
      <w:pPr>
        <w:ind w:firstLine="360"/>
        <w:rPr>
          <w:color w:val="000000"/>
          <w:szCs w:val="26"/>
        </w:rPr>
      </w:pPr>
    </w:p>
    <w:p w14:paraId="5469799D" w14:textId="77777777" w:rsidR="00824130" w:rsidRPr="00D80201" w:rsidRDefault="00824130">
      <w:pPr>
        <w:rPr>
          <w:color w:val="000000"/>
          <w:szCs w:val="26"/>
        </w:rPr>
      </w:pPr>
      <w:r>
        <w:rPr>
          <w:color w:val="000000"/>
          <w:szCs w:val="26"/>
        </w:rPr>
        <w:t>110.</w:t>
      </w:r>
      <w:r>
        <w:rPr>
          <w:color w:val="000000"/>
          <w:szCs w:val="26"/>
        </w:rPr>
        <w:tab/>
      </w:r>
      <w:r w:rsidRPr="00D80201">
        <w:rPr>
          <w:color w:val="000000"/>
          <w:szCs w:val="26"/>
        </w:rPr>
        <w:t>Staff states that these occurrences may reduce or end phantom congestion, but that they don’t greatly impact the issues in this proceeding.  According to Staff, the ISO claimed reducing phantom congestion as a major benefit in the balance of benefits and burdens, and although the record does not show that the reduction of phantom congestion is a major benefit, it shows other benefits of various kinds to all the PTOs.</w:t>
      </w:r>
    </w:p>
    <w:p w14:paraId="6D6B538D" w14:textId="77777777" w:rsidR="00824130" w:rsidRPr="00D80201" w:rsidRDefault="00824130">
      <w:pPr>
        <w:rPr>
          <w:color w:val="000000"/>
          <w:szCs w:val="26"/>
        </w:rPr>
      </w:pPr>
    </w:p>
    <w:p w14:paraId="4971280E" w14:textId="77777777" w:rsidR="00824130" w:rsidRPr="00D80201" w:rsidRDefault="00824130">
      <w:pPr>
        <w:rPr>
          <w:color w:val="000000"/>
          <w:szCs w:val="26"/>
        </w:rPr>
      </w:pPr>
      <w:r>
        <w:rPr>
          <w:color w:val="000000"/>
          <w:szCs w:val="26"/>
        </w:rPr>
        <w:t>111.</w:t>
      </w:r>
      <w:r>
        <w:rPr>
          <w:color w:val="000000"/>
          <w:szCs w:val="26"/>
        </w:rPr>
        <w:tab/>
      </w:r>
      <w:r w:rsidRPr="00D80201">
        <w:rPr>
          <w:color w:val="000000"/>
          <w:szCs w:val="26"/>
        </w:rPr>
        <w:t xml:space="preserve">SWP suggests that one possible solution to the phantom congestion problem is the recallable transmission product, which the ISO proposed at the beginning of 2001, making ETC capacity rights conditionally usable by third parties. Ex. SWP-15.  SWP states that the ISO has not followed through with this remedy.  </w:t>
      </w:r>
      <w:r w:rsidRPr="00D80201">
        <w:rPr>
          <w:iCs/>
          <w:color w:val="000000"/>
          <w:szCs w:val="26"/>
          <w:u w:val="single"/>
        </w:rPr>
        <w:t>See</w:t>
      </w:r>
      <w:r w:rsidRPr="00D80201">
        <w:rPr>
          <w:i/>
          <w:iCs/>
          <w:color w:val="000000"/>
          <w:szCs w:val="26"/>
        </w:rPr>
        <w:t xml:space="preserve"> </w:t>
      </w:r>
      <w:r w:rsidRPr="00D80201">
        <w:rPr>
          <w:color w:val="000000"/>
          <w:szCs w:val="26"/>
        </w:rPr>
        <w:t>Ex. SWP-62 at 2.</w:t>
      </w:r>
    </w:p>
    <w:p w14:paraId="151A8737" w14:textId="77777777" w:rsidR="00824130" w:rsidRPr="00D80201" w:rsidRDefault="00824130">
      <w:pPr>
        <w:ind w:firstLine="720"/>
        <w:rPr>
          <w:color w:val="000000"/>
          <w:szCs w:val="26"/>
        </w:rPr>
      </w:pPr>
    </w:p>
    <w:p w14:paraId="35C21290" w14:textId="77777777" w:rsidR="00824130" w:rsidRPr="00D80201" w:rsidRDefault="00824130">
      <w:pPr>
        <w:rPr>
          <w:color w:val="000000"/>
          <w:szCs w:val="26"/>
        </w:rPr>
      </w:pPr>
      <w:r>
        <w:rPr>
          <w:color w:val="000000"/>
          <w:szCs w:val="26"/>
        </w:rPr>
        <w:t>112.</w:t>
      </w:r>
      <w:r>
        <w:rPr>
          <w:color w:val="000000"/>
          <w:szCs w:val="26"/>
        </w:rPr>
        <w:tab/>
      </w:r>
      <w:r w:rsidRPr="00D80201">
        <w:rPr>
          <w:color w:val="000000"/>
          <w:szCs w:val="26"/>
        </w:rPr>
        <w:t xml:space="preserve">MID criticizes PG&amp;E’s and SCE’s support of the </w:t>
      </w:r>
      <w:r>
        <w:rPr>
          <w:color w:val="000000"/>
          <w:szCs w:val="26"/>
        </w:rPr>
        <w:t>MD02</w:t>
      </w:r>
      <w:r w:rsidRPr="00D80201">
        <w:rPr>
          <w:color w:val="000000"/>
          <w:szCs w:val="26"/>
        </w:rPr>
        <w:t xml:space="preserve"> proposal as a possible solution to the phantom congestion problem.  MID also criticizes the recallable transmission se</w:t>
      </w:r>
      <w:r>
        <w:rPr>
          <w:color w:val="000000"/>
          <w:szCs w:val="26"/>
        </w:rPr>
        <w:t>rvice proposal described in Exhibits</w:t>
      </w:r>
      <w:r w:rsidRPr="00D80201">
        <w:rPr>
          <w:color w:val="000000"/>
          <w:szCs w:val="26"/>
        </w:rPr>
        <w:t xml:space="preserve"> SWP-15, 17, and 62 for the same reasons.  According to MID, both would allow the ISO to sell ETC capacity without compensating the ETC holder. </w:t>
      </w:r>
    </w:p>
    <w:p w14:paraId="714EE006" w14:textId="77777777" w:rsidR="00824130" w:rsidRPr="00D80201" w:rsidRDefault="00824130">
      <w:pPr>
        <w:ind w:firstLine="720"/>
        <w:rPr>
          <w:color w:val="000000"/>
          <w:szCs w:val="26"/>
        </w:rPr>
      </w:pPr>
    </w:p>
    <w:p w14:paraId="79F52B7B" w14:textId="77777777" w:rsidR="00824130" w:rsidRPr="00D80201" w:rsidRDefault="00824130">
      <w:pPr>
        <w:rPr>
          <w:color w:val="000000"/>
          <w:szCs w:val="26"/>
        </w:rPr>
      </w:pPr>
      <w:r>
        <w:rPr>
          <w:color w:val="000000"/>
          <w:szCs w:val="26"/>
        </w:rPr>
        <w:t>113.</w:t>
      </w:r>
      <w:r>
        <w:rPr>
          <w:color w:val="000000"/>
          <w:szCs w:val="26"/>
        </w:rPr>
        <w:tab/>
      </w:r>
      <w:r w:rsidRPr="00D80201">
        <w:rPr>
          <w:color w:val="000000"/>
          <w:szCs w:val="26"/>
        </w:rPr>
        <w:t xml:space="preserve">NCPA states that it takes no position in this phantom congestion cluster of issues but nonetheless, NCPA addresses this subissue in its reply brief.  There is evidence in the record as to the costs – given the ISO existing protocols and infrastructure – associated with NCPA and others scheduling transactions in a manner consistent with the rest of the WECC rather than in the restricted fashion associated with ISO protocols.  NCPA contends that if these costs exist, then it is inconsistent to argue that those costs will decrease by forces outside the TAC proposal and unrelated to ISO membership.  NCPA’s position is that parties arguing that ETC expiration will reduce these costs have failed to consider that expiration of contracts releases limited amounts of IOU transmission, much of which is only useful for serving municipal loads.  NCPA states that the balance of the capacity available over the interties consists not of IOU facilities contracted to the municipals, but of municipally owned transmission facilities that need not be placed under ISO control if current operational agreements expire.  NCPA maintains that because the holders of ETCs are not required to put their transmission facilities into the ISO, it does not follow that these asserted costs will be automatically reduced.  NCPA states that it might be less costly for ETC holders to join another control area, such as the Sacramento Municipal Utility District.  </w:t>
      </w:r>
    </w:p>
    <w:p w14:paraId="4D91FDB3" w14:textId="77777777" w:rsidR="00824130" w:rsidRPr="00D80201" w:rsidRDefault="00824130">
      <w:pPr>
        <w:rPr>
          <w:color w:val="000000"/>
          <w:szCs w:val="26"/>
        </w:rPr>
      </w:pPr>
    </w:p>
    <w:p w14:paraId="74BEAB25"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51B89297" w14:textId="77777777" w:rsidR="00824130" w:rsidRPr="00D80201" w:rsidRDefault="00824130">
      <w:pPr>
        <w:ind w:firstLine="1040"/>
        <w:rPr>
          <w:rFonts w:ascii="Times New Roman Bold" w:hAnsi="Times New Roman Bold"/>
          <w:b/>
          <w:color w:val="000000"/>
          <w:szCs w:val="26"/>
        </w:rPr>
      </w:pPr>
    </w:p>
    <w:p w14:paraId="30DC9747" w14:textId="77777777" w:rsidR="00824130" w:rsidRPr="00D80201" w:rsidRDefault="00824130">
      <w:pPr>
        <w:pStyle w:val="BodyTextFirstIndentD"/>
        <w:spacing w:line="240" w:lineRule="auto"/>
        <w:ind w:firstLine="0"/>
        <w:rPr>
          <w:color w:val="000000"/>
        </w:rPr>
      </w:pPr>
      <w:r>
        <w:rPr>
          <w:color w:val="000000"/>
        </w:rPr>
        <w:t>114.</w:t>
      </w:r>
      <w:r>
        <w:rPr>
          <w:color w:val="000000"/>
        </w:rPr>
        <w:tab/>
      </w:r>
      <w:r w:rsidRPr="00D80201">
        <w:rPr>
          <w:color w:val="000000"/>
        </w:rPr>
        <w:t xml:space="preserve">Many parties and Staff describe to varying degrees that the </w:t>
      </w:r>
      <w:r>
        <w:rPr>
          <w:color w:val="000000"/>
        </w:rPr>
        <w:t>MD02</w:t>
      </w:r>
      <w:r w:rsidRPr="00D80201">
        <w:rPr>
          <w:color w:val="000000"/>
        </w:rPr>
        <w:t xml:space="preserve"> proceeding would be the appropriate alternative method to address phantom congestion.  To the extent that the </w:t>
      </w:r>
      <w:r>
        <w:rPr>
          <w:color w:val="000000"/>
        </w:rPr>
        <w:t>MD02</w:t>
      </w:r>
      <w:r w:rsidRPr="00D80201">
        <w:rPr>
          <w:color w:val="000000"/>
        </w:rPr>
        <w:t xml:space="preserve"> proceeding may or may not eliminate phantom congestion, that exact remedy is part of a separate proceeding.  Staff describes that in the </w:t>
      </w:r>
      <w:r>
        <w:rPr>
          <w:color w:val="000000"/>
        </w:rPr>
        <w:t>MD02</w:t>
      </w:r>
      <w:r w:rsidRPr="00D80201">
        <w:rPr>
          <w:color w:val="000000"/>
        </w:rPr>
        <w:t xml:space="preserve"> proceeding, the ISO has proposed to only reserve capacity for existing rights holders through the close of the day-ahead market.  Staff Initial Brief at 19-20.  This proposal would reduce phantom congestion in the hour-ahead and day-ahead markets.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However, as Staff also points out, even the ISO admits that there is no certainty that this proposal will be implemented in the way that the ISO currently plans.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at 20.  Furthermore, such a proposal is compatible in a world where the ISO operates using locational marginal pricing, to which the ISO will convert if the Commission approves the </w:t>
      </w:r>
      <w:r>
        <w:rPr>
          <w:color w:val="000000"/>
        </w:rPr>
        <w:t>MD02</w:t>
      </w:r>
      <w:r w:rsidRPr="00D80201">
        <w:rPr>
          <w:color w:val="000000"/>
        </w:rPr>
        <w:t xml:space="preserve"> market redesign proposal.  As this proceeding demonstrates only too well, however, many factors can modify a proposed methodology before it takes effect.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Thus, the undersigned cannot base this decision regarding the TAC entirely on whether a methodology which is before the Comm</w:t>
      </w:r>
      <w:r>
        <w:rPr>
          <w:color w:val="000000"/>
        </w:rPr>
        <w:t>ission in another proceeding – a</w:t>
      </w:r>
      <w:r w:rsidRPr="00D80201">
        <w:rPr>
          <w:color w:val="000000"/>
        </w:rPr>
        <w:t>nd has not yet been approved – could or could not eliminate phantom congestion, particularly given the earlier reservations discussed above regarding the difficulty of quantifying the benefits that can be obtained from eliminating it.</w:t>
      </w:r>
    </w:p>
    <w:p w14:paraId="19A45244" w14:textId="77777777" w:rsidR="00824130" w:rsidRPr="00D80201" w:rsidRDefault="00824130">
      <w:pPr>
        <w:pStyle w:val="BodyTextFirstIndentD"/>
        <w:spacing w:line="240" w:lineRule="auto"/>
        <w:ind w:firstLine="0"/>
        <w:rPr>
          <w:color w:val="000000"/>
        </w:rPr>
      </w:pPr>
    </w:p>
    <w:p w14:paraId="4FF4BB84" w14:textId="77777777" w:rsidR="00824130" w:rsidRPr="00D80201" w:rsidRDefault="00824130">
      <w:pPr>
        <w:pStyle w:val="BodyTextFirstIndentD"/>
        <w:spacing w:line="240" w:lineRule="auto"/>
        <w:ind w:firstLine="0"/>
        <w:rPr>
          <w:color w:val="000000"/>
        </w:rPr>
      </w:pPr>
      <w:r>
        <w:rPr>
          <w:color w:val="000000"/>
        </w:rPr>
        <w:t>115.</w:t>
      </w:r>
      <w:r>
        <w:rPr>
          <w:color w:val="000000"/>
        </w:rPr>
        <w:tab/>
      </w:r>
      <w:r w:rsidRPr="00D80201">
        <w:rPr>
          <w:color w:val="000000"/>
        </w:rPr>
        <w:t xml:space="preserve">The EOB points out that many TOs have expressed strong opposition to joining the ISO, and thus the TAC will not fully eliminate phantom congestion.  EOB Initial Brief at 18.  The undersigned Presiding Judge concurs with the EOB’s assessment.  The reality is that full participation in the ISO based on it current rate methodology is a worthy, but highly unlikely, objective.  Given the contentious nature of this proceeding and the changes in both the TAC and the California energy market since the ISO first proposed the TAC, it is highly unlikely that the TAC by itself will eliminate phantom congestion completely, or even to an appreciable point.  </w:t>
      </w:r>
    </w:p>
    <w:p w14:paraId="7ACA955C" w14:textId="77777777" w:rsidR="00824130" w:rsidRPr="00D80201" w:rsidRDefault="00824130">
      <w:pPr>
        <w:pStyle w:val="BodyTextFirstIndentD"/>
        <w:spacing w:line="240" w:lineRule="auto"/>
        <w:ind w:firstLine="0"/>
        <w:rPr>
          <w:color w:val="000000"/>
        </w:rPr>
      </w:pPr>
    </w:p>
    <w:p w14:paraId="48D0E587" w14:textId="77777777" w:rsidR="00824130" w:rsidRPr="00D80201" w:rsidRDefault="00824130">
      <w:pPr>
        <w:pStyle w:val="BodyTextFirstIndentD"/>
        <w:spacing w:line="240" w:lineRule="auto"/>
        <w:ind w:firstLine="0"/>
        <w:rPr>
          <w:color w:val="000000"/>
        </w:rPr>
      </w:pPr>
      <w:r>
        <w:rPr>
          <w:color w:val="000000"/>
        </w:rPr>
        <w:t>116.</w:t>
      </w:r>
      <w:r>
        <w:rPr>
          <w:color w:val="000000"/>
        </w:rPr>
        <w:tab/>
      </w:r>
      <w:r w:rsidRPr="00D80201">
        <w:rPr>
          <w:color w:val="000000"/>
        </w:rPr>
        <w:t xml:space="preserve">Staff states that the expiration of certain existing contracts would reduce the phantom congestion associated with those existing contracts.  Staff Initial Brief at 18-19.  NCPA criticizes the position that expiring existing contracts will reduce phantom congestion; NCPA states that this position fails to consider that expiration of contracts releases limited amounts of IOU transmission, much of which is only useful for serving municipal loads.  NCPA Reply Brief at 12.  NCPA states that the balance of capacity available over the interties consists not of IOU facilities contracted to the municipalities, but of municipally owned transmission facilities that need not be placed under ISO control if current operational agreements expire.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As previously discussed, NCPA claims that the costs associated with those contracts will not be automatically reduced because municipally owned transmission facilities are not required to be placed under ISO control once the current agreements expire.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at 12-14.  </w:t>
      </w:r>
    </w:p>
    <w:p w14:paraId="110256AB" w14:textId="77777777" w:rsidR="00824130" w:rsidRPr="00D80201" w:rsidRDefault="00824130">
      <w:pPr>
        <w:pStyle w:val="BodyTextFirstIndentD"/>
        <w:spacing w:line="240" w:lineRule="auto"/>
        <w:ind w:firstLine="0"/>
        <w:rPr>
          <w:color w:val="000000"/>
        </w:rPr>
      </w:pPr>
    </w:p>
    <w:p w14:paraId="21C3A3CE" w14:textId="77777777" w:rsidR="00824130" w:rsidRPr="00D80201" w:rsidRDefault="00824130">
      <w:pPr>
        <w:pStyle w:val="BodyTextFirstIndentD"/>
        <w:spacing w:line="240" w:lineRule="auto"/>
        <w:ind w:firstLine="0"/>
        <w:rPr>
          <w:color w:val="000000"/>
        </w:rPr>
      </w:pPr>
      <w:r>
        <w:rPr>
          <w:color w:val="000000"/>
        </w:rPr>
        <w:t>117.</w:t>
      </w:r>
      <w:r>
        <w:rPr>
          <w:color w:val="000000"/>
        </w:rPr>
        <w:tab/>
      </w:r>
      <w:r w:rsidRPr="00D80201">
        <w:rPr>
          <w:color w:val="000000"/>
        </w:rPr>
        <w:t xml:space="preserve">NCPA seems to fail to consider, however, that once the existing contracts expire, the municipal owners will need to act in a way that somehow connects them to the ISO or another control area.  Each municipal owner will have to join a control area, negotiate or renegotiate contracts with entities that are part of a control area, or form a new control area.  If the municipal owner chooses an option not involving the ISO, then the phantom congestion associated with that transmission will “disappear” to the extent that it involves the ISO-controlled grid.  If the municipal owner chooses an option involving the ISO, then the new contract will likely either follow the ISO scheduling timelines (reducing phantom congestion) or be part of the ISO in its redesigned form if the TAC methodology has been replaced entirely by the </w:t>
      </w:r>
      <w:r>
        <w:rPr>
          <w:color w:val="000000"/>
        </w:rPr>
        <w:t>MD02</w:t>
      </w:r>
      <w:r w:rsidRPr="00D80201">
        <w:rPr>
          <w:color w:val="000000"/>
        </w:rPr>
        <w:t xml:space="preserve"> or some other methodology through which the ISO consciously reduces or eliminates phantom congestion.  For example, as discussed above, as part of the </w:t>
      </w:r>
      <w:r>
        <w:rPr>
          <w:color w:val="000000"/>
        </w:rPr>
        <w:t>MD02</w:t>
      </w:r>
      <w:r w:rsidRPr="00D80201">
        <w:rPr>
          <w:color w:val="000000"/>
        </w:rPr>
        <w:t xml:space="preserve"> proposal, the ISO has proposed to only reserve capacity for existing rights holders through the close of the day-ahead market.  Therefore, in one way or another, existing contracts’ expiration will eliminate the current cause of phantom congestion – disparity between existing contracts and the ISO’s scheduling timelines - and will force municipal owners to act in some way that will reduce or eliminate the phantom congestion formerly associated with those contracts from the ISO-controlled grid.</w:t>
      </w:r>
    </w:p>
    <w:p w14:paraId="696FECD3" w14:textId="77777777" w:rsidR="00824130" w:rsidRPr="00D80201" w:rsidRDefault="00824130">
      <w:pPr>
        <w:pStyle w:val="BodyTextFirstIndentD"/>
        <w:spacing w:line="240" w:lineRule="auto"/>
        <w:ind w:firstLine="0"/>
        <w:rPr>
          <w:color w:val="000000"/>
        </w:rPr>
      </w:pPr>
    </w:p>
    <w:p w14:paraId="05DD5670" w14:textId="77777777" w:rsidR="00824130" w:rsidRPr="00D80201" w:rsidRDefault="00824130">
      <w:pPr>
        <w:pStyle w:val="BodyTextFirstIndentD"/>
        <w:spacing w:line="240" w:lineRule="auto"/>
        <w:ind w:firstLine="0"/>
        <w:rPr>
          <w:color w:val="000000"/>
        </w:rPr>
      </w:pPr>
      <w:r>
        <w:rPr>
          <w:color w:val="000000"/>
        </w:rPr>
        <w:t>118.</w:t>
      </w:r>
      <w:r>
        <w:rPr>
          <w:color w:val="000000"/>
        </w:rPr>
        <w:tab/>
      </w:r>
      <w:r w:rsidRPr="00D80201">
        <w:rPr>
          <w:color w:val="000000"/>
        </w:rPr>
        <w:t xml:space="preserve">Staff also suggests that it may be possible to reduce phantom congestion if existing rights holders who are willing to abide by the ISO scheduling timelines work out with the ISO the arrangements under which the ISO did not have to reserve capacity past the close of the hour-ahead market.  Staff Initial Brief at 18-19.  As previously mentioned, the suggestion is a laudable one, but perhaps overly optimistic given the contentious nature of this proceeding and the stage in the transition period which the ISO participants have reached.  As of the writing of this decision, the transition period as the ISO proposed it is almost half over, and existing contracts are approaching expiration.  As previously discussed, the ISO has pointed out that such a voluntary solution is unlikely at this stage in this case.  ISO Initial Brief at 19.  The undersigned Presiding Judge concurs with that assessment.  </w:t>
      </w:r>
    </w:p>
    <w:p w14:paraId="1749BCDD" w14:textId="77777777" w:rsidR="00824130" w:rsidRPr="00D80201" w:rsidRDefault="00824130">
      <w:pPr>
        <w:pStyle w:val="BodyTextFirstIndentD"/>
        <w:spacing w:line="240" w:lineRule="auto"/>
        <w:ind w:firstLine="0"/>
        <w:rPr>
          <w:color w:val="000000"/>
        </w:rPr>
      </w:pPr>
    </w:p>
    <w:p w14:paraId="02DF2A47" w14:textId="77777777" w:rsidR="00824130" w:rsidRPr="00D80201" w:rsidRDefault="00824130">
      <w:pPr>
        <w:pStyle w:val="BodyTextFirstIndentD"/>
        <w:spacing w:line="240" w:lineRule="auto"/>
        <w:ind w:firstLine="0"/>
        <w:rPr>
          <w:color w:val="000000"/>
        </w:rPr>
      </w:pPr>
      <w:r>
        <w:rPr>
          <w:color w:val="000000"/>
        </w:rPr>
        <w:t>119.</w:t>
      </w:r>
      <w:r>
        <w:rPr>
          <w:color w:val="000000"/>
        </w:rPr>
        <w:tab/>
      </w:r>
      <w:r w:rsidRPr="00D80201">
        <w:rPr>
          <w:color w:val="000000"/>
        </w:rPr>
        <w:t xml:space="preserve">Thus, there exist possible solutions for the phantom congestion problem in the form of the </w:t>
      </w:r>
      <w:r>
        <w:rPr>
          <w:color w:val="000000"/>
        </w:rPr>
        <w:t>MD02</w:t>
      </w:r>
      <w:r w:rsidRPr="00D80201">
        <w:rPr>
          <w:color w:val="000000"/>
        </w:rPr>
        <w:t xml:space="preserve"> market redesign proposal currently before the Commission and the anticipated expiration of existing contracts.  These possible solutions impact this proceeding in that they reinforce the idea that the TAC is not the appropriate vehicle to remedy the phantom congestion problem.  First, the economic impact of phantom congestion is difficult to quantify.  Second, the TAC was designed with a full participation scenario in mind, which is not likely to occur.  As the TAC has evolved over time and as the parties have entered the transition period and participated in this proceeding, the parties have become more contentious and the likelihood of full participation has decreased.  Finally, as the discussion in this section supports, there are outside solutions that may address the problem of phantom congestion more efficiently and more productively than the TAC would given the lack of full participation in the ISO.   </w:t>
      </w:r>
    </w:p>
    <w:p w14:paraId="46659DEA" w14:textId="77777777" w:rsidR="00824130" w:rsidRPr="00D80201" w:rsidRDefault="00824130">
      <w:pPr>
        <w:ind w:left="360"/>
        <w:rPr>
          <w:rFonts w:ascii="Times New Roman Bold" w:hAnsi="Times New Roman Bold"/>
          <w:b/>
          <w:color w:val="000000"/>
          <w:szCs w:val="26"/>
        </w:rPr>
      </w:pPr>
    </w:p>
    <w:p w14:paraId="4367F5B9" w14:textId="77777777" w:rsidR="00824130" w:rsidRPr="00D80201" w:rsidRDefault="00824130">
      <w:pPr>
        <w:widowControl/>
        <w:numPr>
          <w:ilvl w:val="0"/>
          <w:numId w:val="21"/>
        </w:numPr>
        <w:autoSpaceDE/>
        <w:autoSpaceDN/>
        <w:adjustRightInd/>
        <w:rPr>
          <w:rFonts w:ascii="Times New Roman Bold" w:hAnsi="Times New Roman Bold"/>
          <w:b/>
          <w:color w:val="000000"/>
          <w:szCs w:val="26"/>
        </w:rPr>
      </w:pPr>
      <w:r w:rsidRPr="00D80201">
        <w:rPr>
          <w:rFonts w:ascii="Times New Roman Bold" w:hAnsi="Times New Roman Bold"/>
          <w:b/>
          <w:color w:val="000000"/>
          <w:szCs w:val="26"/>
        </w:rPr>
        <w:t>“Cost Shift”</w:t>
      </w:r>
    </w:p>
    <w:p w14:paraId="064A9147" w14:textId="77777777" w:rsidR="00824130" w:rsidRPr="00D80201" w:rsidRDefault="00824130">
      <w:pPr>
        <w:rPr>
          <w:color w:val="000000"/>
          <w:szCs w:val="26"/>
        </w:rPr>
      </w:pPr>
    </w:p>
    <w:p w14:paraId="75B406D0" w14:textId="77777777" w:rsidR="00824130" w:rsidRPr="00D80201" w:rsidRDefault="00824130">
      <w:pPr>
        <w:ind w:left="1440"/>
        <w:rPr>
          <w:rFonts w:ascii="Times New Roman Bold" w:hAnsi="Times New Roman Bold"/>
          <w:b/>
          <w:color w:val="000000"/>
          <w:szCs w:val="26"/>
        </w:rPr>
      </w:pPr>
      <w:r w:rsidRPr="00D80201">
        <w:rPr>
          <w:rFonts w:ascii="Times New Roman Bold" w:hAnsi="Times New Roman Bold"/>
          <w:b/>
          <w:color w:val="000000"/>
          <w:szCs w:val="26"/>
        </w:rPr>
        <w:t>A. Whether the ISO’s proposal for the inclusion of a “cost shift” cap for ten years in the transmission Access Charge proposal is just, reasonable and not unduly discriminatory.</w:t>
      </w:r>
    </w:p>
    <w:p w14:paraId="16765858" w14:textId="77777777" w:rsidR="00824130" w:rsidRPr="00D80201" w:rsidRDefault="00824130">
      <w:pPr>
        <w:ind w:left="1440"/>
        <w:rPr>
          <w:rFonts w:ascii="Times New Roman Bold" w:hAnsi="Times New Roman Bold"/>
          <w:b/>
          <w:color w:val="000000"/>
          <w:szCs w:val="26"/>
        </w:rPr>
      </w:pPr>
    </w:p>
    <w:p w14:paraId="5527E855"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7708DFD7" w14:textId="77777777" w:rsidR="00824130" w:rsidRPr="00D80201" w:rsidRDefault="00824130">
      <w:pPr>
        <w:ind w:left="720"/>
        <w:rPr>
          <w:color w:val="000000"/>
          <w:szCs w:val="26"/>
        </w:rPr>
      </w:pPr>
    </w:p>
    <w:p w14:paraId="2A802894" w14:textId="77777777" w:rsidR="00824130" w:rsidRPr="00D80201" w:rsidRDefault="00824130">
      <w:pPr>
        <w:rPr>
          <w:color w:val="000000"/>
          <w:szCs w:val="26"/>
        </w:rPr>
      </w:pPr>
      <w:r>
        <w:rPr>
          <w:color w:val="000000"/>
          <w:szCs w:val="26"/>
        </w:rPr>
        <w:t>120.</w:t>
      </w:r>
      <w:r>
        <w:rPr>
          <w:color w:val="000000"/>
          <w:szCs w:val="26"/>
        </w:rPr>
        <w:tab/>
      </w:r>
      <w:r w:rsidRPr="00D80201">
        <w:rPr>
          <w:color w:val="000000"/>
          <w:szCs w:val="26"/>
        </w:rPr>
        <w:t xml:space="preserve">The ISO argues that the cost-shift cap is only one part of what the ISO terms is a just and reasonable transition mechanism that, particularly when considered in the context of the entire balance of benefits and burdens, does not unduly discriminate against any party.  Another feature of the transition mechanism is that the costs to be borne by the original PTOs should at all times reflect the ratio as the cost shift cap: 32:32:8.  A third feature is the “hold harmless” provision; if the TRR of a new PTO results in a utility-specific rate that is less than the access charge it would pay, then this provision ensures that the new PTO would only pay the utility-specific rate.  Thus, the new PTOs have a cost shift cap of $0.  According to the ISO, the access charge proposal exposes every PTO to a potential transition charge in order to achieve the balance of benefits and burdens during the transition period, with the relative balance depending on when the PTO became a PTO and the level of its TRR.  </w:t>
      </w:r>
    </w:p>
    <w:p w14:paraId="11A177C8" w14:textId="77777777" w:rsidR="00824130" w:rsidRPr="00D80201" w:rsidRDefault="00824130">
      <w:pPr>
        <w:ind w:firstLine="720"/>
        <w:rPr>
          <w:color w:val="000000"/>
          <w:szCs w:val="26"/>
        </w:rPr>
      </w:pPr>
    </w:p>
    <w:p w14:paraId="7A7CE81A" w14:textId="77777777" w:rsidR="00824130" w:rsidRPr="00D80201" w:rsidRDefault="00824130">
      <w:pPr>
        <w:rPr>
          <w:color w:val="000000"/>
          <w:szCs w:val="26"/>
        </w:rPr>
      </w:pPr>
      <w:r>
        <w:rPr>
          <w:color w:val="000000"/>
          <w:szCs w:val="26"/>
        </w:rPr>
        <w:t>121.</w:t>
      </w:r>
      <w:r>
        <w:rPr>
          <w:color w:val="000000"/>
          <w:szCs w:val="26"/>
        </w:rPr>
        <w:tab/>
      </w:r>
      <w:r w:rsidRPr="00D80201">
        <w:rPr>
          <w:color w:val="000000"/>
          <w:szCs w:val="26"/>
        </w:rPr>
        <w:t xml:space="preserve">The ISO also contends that the cost shift cap does not economically disadvantage new PTOs and that regardless of whether it is “necessary,” the cost shift cap is a reasonable element of the balance of benefits and burdens and a just and reasonable transition mechanism.  </w:t>
      </w:r>
    </w:p>
    <w:p w14:paraId="24E13358" w14:textId="77777777" w:rsidR="00824130" w:rsidRPr="00D80201" w:rsidRDefault="00824130">
      <w:pPr>
        <w:ind w:firstLine="720"/>
        <w:rPr>
          <w:color w:val="000000"/>
          <w:szCs w:val="26"/>
        </w:rPr>
      </w:pPr>
    </w:p>
    <w:p w14:paraId="6E7B8138" w14:textId="77777777" w:rsidR="00824130" w:rsidRPr="00D80201" w:rsidRDefault="00824130">
      <w:pPr>
        <w:pStyle w:val="BodyText"/>
        <w:rPr>
          <w:color w:val="000000"/>
          <w:sz w:val="26"/>
          <w:szCs w:val="26"/>
        </w:rPr>
      </w:pPr>
      <w:r>
        <w:rPr>
          <w:color w:val="000000"/>
          <w:sz w:val="26"/>
          <w:szCs w:val="26"/>
        </w:rPr>
        <w:t>122.</w:t>
      </w:r>
      <w:r>
        <w:rPr>
          <w:color w:val="000000"/>
          <w:sz w:val="26"/>
          <w:szCs w:val="26"/>
        </w:rPr>
        <w:tab/>
      </w:r>
      <w:r w:rsidRPr="00D80201">
        <w:rPr>
          <w:color w:val="000000"/>
          <w:sz w:val="26"/>
          <w:szCs w:val="26"/>
        </w:rPr>
        <w:t xml:space="preserve">SCE supports a cost shift cap.  SCE asserts that the cost shift caps must be analyzed in accordance with the Commission’s directive to create an equitable balance of burdens and benefits.  </w:t>
      </w:r>
      <w:bookmarkStart w:id="1" w:name="OLE_LINK2"/>
      <w:smartTag w:uri="urn:schemas-microsoft-com:office:smarttags" w:element="place">
        <w:smartTag w:uri="urn:schemas-microsoft-com:office:smarttags" w:element="State">
          <w:r w:rsidRPr="00D80201">
            <w:rPr>
              <w:color w:val="000000"/>
              <w:sz w:val="26"/>
              <w:szCs w:val="26"/>
              <w:u w:val="single"/>
            </w:rPr>
            <w:t>Cal.</w:t>
          </w:r>
        </w:smartTag>
      </w:smartTag>
      <w:r w:rsidRPr="00D80201">
        <w:rPr>
          <w:color w:val="000000"/>
          <w:sz w:val="26"/>
          <w:szCs w:val="26"/>
          <w:u w:val="single"/>
        </w:rPr>
        <w:t xml:space="preserve"> Indep. Sys. Operator Corp.</w:t>
      </w:r>
      <w:r>
        <w:rPr>
          <w:color w:val="000000"/>
          <w:sz w:val="26"/>
          <w:szCs w:val="26"/>
        </w:rPr>
        <w:t>, 91 FERC ¶ 61,205</w:t>
      </w:r>
      <w:r w:rsidRPr="00D80201">
        <w:rPr>
          <w:color w:val="000000"/>
          <w:sz w:val="26"/>
          <w:szCs w:val="26"/>
        </w:rPr>
        <w:t xml:space="preserve"> at 61,722 (2000).  </w:t>
      </w:r>
      <w:bookmarkEnd w:id="1"/>
      <w:r w:rsidRPr="00D80201">
        <w:rPr>
          <w:color w:val="000000"/>
          <w:sz w:val="26"/>
          <w:szCs w:val="26"/>
        </w:rPr>
        <w:t xml:space="preserve">SCE claims that Staff and various parties such as </w:t>
      </w:r>
      <w:smartTag w:uri="urn:schemas-microsoft-com:office:smarttags" w:element="place">
        <w:smartTag w:uri="urn:schemas-microsoft-com:office:smarttags" w:element="City">
          <w:r w:rsidRPr="00D80201">
            <w:rPr>
              <w:color w:val="000000"/>
              <w:sz w:val="26"/>
              <w:szCs w:val="26"/>
            </w:rPr>
            <w:t>NCPA</w:t>
          </w:r>
        </w:smartTag>
        <w:r w:rsidRPr="00D80201">
          <w:rPr>
            <w:color w:val="000000"/>
            <w:sz w:val="26"/>
            <w:szCs w:val="26"/>
          </w:rPr>
          <w:t xml:space="preserve">, </w:t>
        </w:r>
        <w:smartTag w:uri="urn:schemas-microsoft-com:office:smarttags" w:element="State">
          <w:r w:rsidRPr="00D80201">
            <w:rPr>
              <w:color w:val="000000"/>
              <w:sz w:val="26"/>
              <w:szCs w:val="26"/>
            </w:rPr>
            <w:t>SC</w:t>
          </w:r>
        </w:smartTag>
      </w:smartTag>
      <w:r w:rsidRPr="00D80201">
        <w:rPr>
          <w:color w:val="000000"/>
          <w:sz w:val="26"/>
          <w:szCs w:val="26"/>
        </w:rPr>
        <w:t xml:space="preserve">, and MID, who advocate against the cost shift cap have analyzed only the cost shift cap without considering it within the context of the TAC methodology as a whole.  </w:t>
      </w:r>
      <w:r w:rsidRPr="00D80201">
        <w:rPr>
          <w:color w:val="000000"/>
          <w:sz w:val="26"/>
          <w:szCs w:val="26"/>
          <w:u w:val="single"/>
        </w:rPr>
        <w:t>See</w:t>
      </w:r>
      <w:r w:rsidRPr="00D80201">
        <w:rPr>
          <w:color w:val="000000"/>
          <w:sz w:val="26"/>
          <w:szCs w:val="26"/>
        </w:rPr>
        <w:t xml:space="preserve">, </w:t>
      </w:r>
      <w:r w:rsidRPr="00D80201">
        <w:rPr>
          <w:color w:val="000000"/>
          <w:sz w:val="26"/>
          <w:szCs w:val="26"/>
          <w:u w:val="single"/>
        </w:rPr>
        <w:t>e.g.</w:t>
      </w:r>
      <w:r w:rsidRPr="00D80201">
        <w:rPr>
          <w:color w:val="000000"/>
          <w:sz w:val="26"/>
          <w:szCs w:val="26"/>
        </w:rPr>
        <w:t>, Ex. NCPA-1 at 9-10 (argued against the cost shift cap)</w:t>
      </w:r>
      <w:r>
        <w:rPr>
          <w:color w:val="000000"/>
          <w:sz w:val="26"/>
          <w:szCs w:val="26"/>
        </w:rPr>
        <w:t>;</w:t>
      </w:r>
      <w:r w:rsidRPr="00D80201">
        <w:rPr>
          <w:color w:val="000000"/>
          <w:sz w:val="26"/>
          <w:szCs w:val="26"/>
        </w:rPr>
        <w:t xml:space="preserve"> Tr. 1408:4-1409:12 (testified that this witness for NCPA only analyzed provisions of the TAC methodology that NCPA found detrimental).  SCE contends that this type of analysis looks at various components of the TAC proposal on a stand alone basis and fails to account for how they interact with one another.  Moreover, SCE posits, such an analysis violates the second criteria set forth by the Commission, namely the requirement that all PTOs must be treated “on the same basis.”  </w:t>
      </w:r>
      <w:smartTag w:uri="urn:schemas-microsoft-com:office:smarttags" w:element="place">
        <w:smartTag w:uri="urn:schemas-microsoft-com:office:smarttags" w:element="State">
          <w:r w:rsidRPr="00D80201">
            <w:rPr>
              <w:color w:val="000000"/>
              <w:sz w:val="26"/>
              <w:szCs w:val="26"/>
              <w:u w:val="single"/>
            </w:rPr>
            <w:t>Cal.</w:t>
          </w:r>
        </w:smartTag>
      </w:smartTag>
      <w:r w:rsidRPr="00D80201">
        <w:rPr>
          <w:color w:val="000000"/>
          <w:sz w:val="26"/>
          <w:szCs w:val="26"/>
          <w:u w:val="single"/>
        </w:rPr>
        <w:t xml:space="preserve"> Indep. Sys. Operator Corp.</w:t>
      </w:r>
      <w:r w:rsidRPr="00D80201">
        <w:rPr>
          <w:color w:val="000000"/>
          <w:sz w:val="26"/>
          <w:szCs w:val="26"/>
        </w:rPr>
        <w:t xml:space="preserve">, 91 FERC ¶ 61,205 at 61,722.  According to SCE, the ISO Board approved the TAC methodology as a compromise of costs and benefits, and the Commission has approved several discriminatory aspects of the TAC with the expectation that other aspects will equalize treatment between the PTOs.  Thus, SCE argues, if certain key pieces of the TAC are removed, it could upset the balance and prejudice the PTOs.  </w:t>
      </w:r>
    </w:p>
    <w:p w14:paraId="131941C6" w14:textId="77777777" w:rsidR="00824130" w:rsidRPr="00D80201" w:rsidRDefault="00824130">
      <w:pPr>
        <w:pStyle w:val="BodyText"/>
        <w:ind w:firstLine="720"/>
        <w:rPr>
          <w:color w:val="000000"/>
          <w:sz w:val="26"/>
          <w:szCs w:val="26"/>
        </w:rPr>
      </w:pPr>
    </w:p>
    <w:p w14:paraId="4AFD094B" w14:textId="77777777" w:rsidR="00824130" w:rsidRPr="00D80201" w:rsidRDefault="00824130">
      <w:pPr>
        <w:pStyle w:val="BodyText"/>
        <w:rPr>
          <w:color w:val="000000"/>
          <w:sz w:val="26"/>
          <w:szCs w:val="26"/>
        </w:rPr>
      </w:pPr>
      <w:r>
        <w:rPr>
          <w:color w:val="000000"/>
          <w:sz w:val="26"/>
          <w:szCs w:val="26"/>
        </w:rPr>
        <w:t>123.</w:t>
      </w:r>
      <w:r>
        <w:rPr>
          <w:color w:val="000000"/>
          <w:sz w:val="26"/>
          <w:szCs w:val="26"/>
        </w:rPr>
        <w:tab/>
      </w:r>
      <w:r w:rsidRPr="00D80201">
        <w:rPr>
          <w:color w:val="000000"/>
          <w:sz w:val="26"/>
          <w:szCs w:val="26"/>
        </w:rPr>
        <w:t xml:space="preserve">SCE also contends that, in determining a just and reasonable TAC, the Commission must weigh both the impact of the TAC cost shifts on the OPTOs’ rate payers, such as possible “rate shock” to the OPTOs customers, and the benefits that ratepayers will receive in return for paying such cost shifts, such as expanded benefits from joining the ISO.  SCE discusses case law in which the Commission found that an eight-year retention of pure license-plate rates, with the adoption of </w:t>
      </w:r>
      <w:r>
        <w:rPr>
          <w:color w:val="000000"/>
          <w:sz w:val="26"/>
          <w:szCs w:val="26"/>
        </w:rPr>
        <w:t>grid wide</w:t>
      </w:r>
      <w:r w:rsidRPr="00D80201">
        <w:rPr>
          <w:color w:val="000000"/>
          <w:sz w:val="26"/>
          <w:szCs w:val="26"/>
        </w:rPr>
        <w:t xml:space="preserve"> rates after such time period, was adequate to address interveners’ claims that rate shock would result from the adoption of a </w:t>
      </w:r>
      <w:r>
        <w:rPr>
          <w:color w:val="000000"/>
          <w:sz w:val="26"/>
          <w:szCs w:val="26"/>
        </w:rPr>
        <w:t>grid wide</w:t>
      </w:r>
      <w:r w:rsidRPr="00D80201">
        <w:rPr>
          <w:color w:val="000000"/>
          <w:sz w:val="26"/>
          <w:szCs w:val="26"/>
        </w:rPr>
        <w:t xml:space="preserve"> rate.  </w:t>
      </w:r>
      <w:r w:rsidRPr="00D80201">
        <w:rPr>
          <w:color w:val="000000"/>
          <w:sz w:val="26"/>
          <w:szCs w:val="26"/>
          <w:u w:val="single"/>
        </w:rPr>
        <w:t>Avista Corp.</w:t>
      </w:r>
      <w:r w:rsidRPr="00D80201">
        <w:rPr>
          <w:color w:val="000000"/>
          <w:sz w:val="26"/>
          <w:szCs w:val="26"/>
        </w:rPr>
        <w:t xml:space="preserve">, </w:t>
      </w:r>
      <w:r w:rsidRPr="00D80201">
        <w:rPr>
          <w:bCs/>
          <w:color w:val="000000"/>
          <w:sz w:val="26"/>
          <w:szCs w:val="26"/>
        </w:rPr>
        <w:t>100 FERC ¶ 61,274 at PP 129-133 (2002).</w:t>
      </w:r>
      <w:r w:rsidRPr="00D80201">
        <w:rPr>
          <w:color w:val="000000"/>
          <w:sz w:val="26"/>
          <w:szCs w:val="26"/>
        </w:rPr>
        <w:t xml:space="preserve">  </w:t>
      </w:r>
    </w:p>
    <w:p w14:paraId="685A5D35" w14:textId="77777777" w:rsidR="00824130" w:rsidRPr="00D80201" w:rsidRDefault="00824130">
      <w:pPr>
        <w:pStyle w:val="BodyText"/>
        <w:rPr>
          <w:color w:val="000000"/>
          <w:sz w:val="26"/>
          <w:szCs w:val="26"/>
        </w:rPr>
      </w:pPr>
    </w:p>
    <w:p w14:paraId="6DB6A7B9" w14:textId="77777777" w:rsidR="00824130" w:rsidRPr="00D80201" w:rsidRDefault="00824130">
      <w:pPr>
        <w:pStyle w:val="BodyText"/>
        <w:rPr>
          <w:color w:val="000000"/>
          <w:sz w:val="26"/>
          <w:szCs w:val="26"/>
        </w:rPr>
      </w:pPr>
      <w:r>
        <w:rPr>
          <w:color w:val="000000"/>
          <w:sz w:val="26"/>
          <w:szCs w:val="26"/>
        </w:rPr>
        <w:t>124.</w:t>
      </w:r>
      <w:r>
        <w:rPr>
          <w:color w:val="000000"/>
          <w:sz w:val="26"/>
          <w:szCs w:val="26"/>
        </w:rPr>
        <w:tab/>
      </w:r>
      <w:r w:rsidRPr="00D80201">
        <w:rPr>
          <w:color w:val="000000"/>
          <w:sz w:val="26"/>
          <w:szCs w:val="26"/>
        </w:rPr>
        <w:t xml:space="preserve">SCE also states that its analysis supports its suggestion of a lower cost shift cap and an increased transition period, because less new PTOs joined than the Commission originally anticipated in 2000 when the TAC was first proposed.  SCE strongly opposes the removal of the cost shift cap altogether.  </w:t>
      </w:r>
    </w:p>
    <w:p w14:paraId="134D4C83" w14:textId="77777777" w:rsidR="00824130" w:rsidRPr="00D80201" w:rsidRDefault="00824130">
      <w:pPr>
        <w:pStyle w:val="BodyText"/>
        <w:rPr>
          <w:color w:val="000000"/>
          <w:sz w:val="26"/>
          <w:szCs w:val="26"/>
        </w:rPr>
      </w:pPr>
    </w:p>
    <w:p w14:paraId="177CEB13" w14:textId="77777777" w:rsidR="00824130" w:rsidRPr="00D80201" w:rsidRDefault="00824130">
      <w:pPr>
        <w:pStyle w:val="FootnoteText"/>
        <w:ind w:firstLine="0"/>
        <w:rPr>
          <w:szCs w:val="26"/>
        </w:rPr>
      </w:pPr>
      <w:r>
        <w:rPr>
          <w:szCs w:val="26"/>
        </w:rPr>
        <w:t>125.</w:t>
      </w:r>
      <w:r>
        <w:rPr>
          <w:szCs w:val="26"/>
        </w:rPr>
        <w:tab/>
      </w:r>
      <w:r w:rsidRPr="00D80201">
        <w:rPr>
          <w:szCs w:val="26"/>
        </w:rPr>
        <w:t xml:space="preserve">PG&amp;E supports a cost shift cap, but also states that the amount might be overstated.  PG&amp;E Reply Brief at 11.  PG&amp;E argues that without a cost shift cap, the OPTO customers could incur a substantial cost shift with little or no corresponding benefit.  PG&amp;E contends that other parties’ experts, such as TANC’s, that opposed the cost shift cap in pre-filed testimony, essentially conceded in cross-examination that significant cost increases justify some cap.  Tr. 1587:3 – 14; Tr. 1674:23 – 1675:3.  PG&amp;E also contends that eliminating the cost shift cap would result in inequitable treatment.  PG&amp;E advocates consideration of the impact of cost shifts on transmission rates, and states that when the cost shift impact is compared to transmission rates only, the OPTO customers could face transmission cost increases of between </w:t>
      </w:r>
      <w:r w:rsidRPr="00D80201">
        <w:rPr>
          <w:bCs/>
          <w:iCs/>
          <w:szCs w:val="26"/>
        </w:rPr>
        <w:t>20% to 50%</w:t>
      </w:r>
      <w:r w:rsidRPr="00D80201">
        <w:rPr>
          <w:szCs w:val="26"/>
        </w:rPr>
        <w:t xml:space="preserve">.  Ex. PGE-5 at </w:t>
      </w:r>
      <w:smartTag w:uri="urn:schemas-microsoft-com:office:smarttags" w:element="time">
        <w:smartTagPr>
          <w:attr w:name="Hour" w:val="14"/>
          <w:attr w:name="Minute" w:val="14"/>
        </w:smartTagPr>
        <w:r w:rsidRPr="00D80201">
          <w:rPr>
            <w:szCs w:val="26"/>
          </w:rPr>
          <w:t>2:14</w:t>
        </w:r>
      </w:smartTag>
      <w:r w:rsidRPr="00D80201">
        <w:rPr>
          <w:szCs w:val="26"/>
        </w:rPr>
        <w:t xml:space="preserve"> – 3:3; Ex. PGE-5-1.  PG&amp;E also contends that the cost shift cap will not prevent new PTOs from joining the ISO, specifically citing SC as an example of a new PTO that once had stated that it would not join the ISO unless the cost shift caps were omitted.  Ex. PGE-19 at 10; Tr. 1792:10 – 1793:6.  </w:t>
      </w:r>
    </w:p>
    <w:p w14:paraId="2E52F532" w14:textId="77777777" w:rsidR="00824130" w:rsidRPr="00D80201" w:rsidRDefault="00824130">
      <w:pPr>
        <w:pStyle w:val="FootnoteText"/>
        <w:rPr>
          <w:szCs w:val="26"/>
        </w:rPr>
      </w:pPr>
    </w:p>
    <w:p w14:paraId="3F9548F8" w14:textId="77777777" w:rsidR="00824130" w:rsidRPr="00D80201" w:rsidRDefault="00824130">
      <w:pPr>
        <w:pStyle w:val="FootnoteText"/>
        <w:ind w:firstLine="0"/>
        <w:rPr>
          <w:szCs w:val="26"/>
        </w:rPr>
      </w:pPr>
      <w:r>
        <w:rPr>
          <w:szCs w:val="26"/>
        </w:rPr>
        <w:t>126.</w:t>
      </w:r>
      <w:r>
        <w:rPr>
          <w:szCs w:val="26"/>
        </w:rPr>
        <w:tab/>
      </w:r>
      <w:r w:rsidRPr="00D80201">
        <w:rPr>
          <w:szCs w:val="26"/>
        </w:rPr>
        <w:t xml:space="preserve">PG&amp;E also attacks SDG&amp;E’s position, discussed more fully below, which supports elimination of the cost shift caps in favor of payment of “fair share” of costs by PTOs.  PG&amp;E states that SDG&amp;E wishes to argue for such an approach because it would in essence have no cost shift; there are no new PTOs in SDG&amp;E’s TAC area.  Further, PG&amp;E cites SDG&amp;E witness Ruff as supporting the cost shift cap.  PG&amp;E Reply Brief at 15 – 16, </w:t>
      </w:r>
      <w:r w:rsidRPr="00D80201">
        <w:rPr>
          <w:szCs w:val="26"/>
          <w:u w:val="single"/>
        </w:rPr>
        <w:t>citing</w:t>
      </w:r>
      <w:r>
        <w:rPr>
          <w:szCs w:val="26"/>
        </w:rPr>
        <w:t xml:space="preserve"> Tr. 2535:11 – 2</w:t>
      </w:r>
      <w:r w:rsidRPr="00D80201">
        <w:rPr>
          <w:szCs w:val="26"/>
        </w:rPr>
        <w:t>537:22.</w:t>
      </w:r>
    </w:p>
    <w:p w14:paraId="5D1D28B6" w14:textId="77777777" w:rsidR="00824130" w:rsidRPr="00D80201" w:rsidRDefault="00824130">
      <w:pPr>
        <w:pStyle w:val="BodyText"/>
        <w:rPr>
          <w:color w:val="000000"/>
          <w:sz w:val="26"/>
          <w:szCs w:val="26"/>
        </w:rPr>
      </w:pPr>
      <w:r>
        <w:rPr>
          <w:color w:val="000000"/>
          <w:sz w:val="26"/>
          <w:szCs w:val="26"/>
        </w:rPr>
        <w:t>127.</w:t>
      </w:r>
      <w:r>
        <w:rPr>
          <w:color w:val="000000"/>
          <w:sz w:val="26"/>
          <w:szCs w:val="26"/>
        </w:rPr>
        <w:tab/>
      </w:r>
      <w:r w:rsidRPr="00D80201">
        <w:rPr>
          <w:color w:val="000000"/>
          <w:sz w:val="26"/>
          <w:szCs w:val="26"/>
        </w:rPr>
        <w:t xml:space="preserve">The EOB supports the cost shift cap.  It contends that evidence relating to the increased benefits of ISO membership does not justify removing the cost shift cap.  The EOB also contends that the cost shift cap is not unduly discriminatory.  </w:t>
      </w:r>
    </w:p>
    <w:p w14:paraId="42AFA70F" w14:textId="77777777" w:rsidR="00824130" w:rsidRPr="00D80201" w:rsidRDefault="00824130">
      <w:pPr>
        <w:pStyle w:val="BodyText"/>
        <w:rPr>
          <w:color w:val="000000"/>
          <w:sz w:val="26"/>
          <w:szCs w:val="26"/>
        </w:rPr>
      </w:pPr>
    </w:p>
    <w:p w14:paraId="67A8B53A" w14:textId="77777777" w:rsidR="00824130" w:rsidRPr="00D80201" w:rsidRDefault="00824130">
      <w:pPr>
        <w:rPr>
          <w:bCs/>
          <w:color w:val="000000"/>
          <w:szCs w:val="26"/>
        </w:rPr>
      </w:pPr>
      <w:r>
        <w:rPr>
          <w:color w:val="000000"/>
          <w:szCs w:val="26"/>
        </w:rPr>
        <w:t>128.</w:t>
      </w:r>
      <w:r>
        <w:rPr>
          <w:color w:val="000000"/>
          <w:szCs w:val="26"/>
        </w:rPr>
        <w:tab/>
      </w:r>
      <w:r w:rsidRPr="00D80201">
        <w:rPr>
          <w:color w:val="000000"/>
          <w:szCs w:val="26"/>
        </w:rPr>
        <w:t xml:space="preserve">The EOB also counters other parties’ arguments against the likelihood of rate shock, given the small percentage of an average retail bill that will be affected by elimination of the cost shift cap.  It asserts that viewing the cost shifts as a percentage of total energy costs, without regard to offsetting benefits, is inappropriate.  The EOB contends that given that the Federal Power Act does not contain a </w:t>
      </w:r>
      <w:r w:rsidRPr="00D80201">
        <w:rPr>
          <w:i/>
          <w:color w:val="000000"/>
          <w:szCs w:val="26"/>
        </w:rPr>
        <w:t>de minimis</w:t>
      </w:r>
      <w:r w:rsidRPr="00D80201">
        <w:rPr>
          <w:color w:val="000000"/>
          <w:szCs w:val="26"/>
        </w:rPr>
        <w:t xml:space="preserve"> standard, the Commission requires a nexus between all costs and benefits and the selection of a cost shift cap.  Analysis focusing on the lack of a rate shock examines only the costs and not the benefits, according to the EOB.  The </w:t>
      </w:r>
      <w:r w:rsidRPr="00D80201">
        <w:rPr>
          <w:bCs/>
          <w:color w:val="000000"/>
          <w:szCs w:val="26"/>
        </w:rPr>
        <w:t>EOB also contends that the Commission’s rate shock analysis typically focuses on the specific rate component subject to the Section 205 application,</w:t>
      </w:r>
      <w:r w:rsidRPr="00D80201">
        <w:rPr>
          <w:rStyle w:val="FootnoteReference"/>
          <w:bCs/>
          <w:color w:val="000000"/>
        </w:rPr>
        <w:footnoteReference w:id="42"/>
      </w:r>
      <w:r w:rsidRPr="00D80201">
        <w:rPr>
          <w:bCs/>
          <w:color w:val="000000"/>
          <w:szCs w:val="26"/>
        </w:rPr>
        <w:t xml:space="preserve"> and that the Commission’s request for “information on the overall impact of changes in transmission costs on the overall cost of electricity”</w:t>
      </w:r>
      <w:r w:rsidRPr="00D80201">
        <w:rPr>
          <w:rStyle w:val="FootnoteReference"/>
          <w:bCs/>
          <w:color w:val="000000"/>
        </w:rPr>
        <w:footnoteReference w:id="43"/>
      </w:r>
      <w:r w:rsidRPr="00D80201">
        <w:rPr>
          <w:bCs/>
          <w:color w:val="000000"/>
          <w:szCs w:val="26"/>
        </w:rPr>
        <w:t xml:space="preserve"> in this proceeding departs from Commission precedent.</w:t>
      </w:r>
      <w:r w:rsidRPr="00D80201">
        <w:rPr>
          <w:rStyle w:val="FootnoteReference"/>
          <w:bCs/>
          <w:color w:val="000000"/>
        </w:rPr>
        <w:footnoteReference w:id="44"/>
      </w:r>
      <w:r w:rsidRPr="00D80201">
        <w:rPr>
          <w:bCs/>
          <w:color w:val="000000"/>
          <w:szCs w:val="26"/>
        </w:rPr>
        <w:t xml:space="preserve">  </w:t>
      </w:r>
    </w:p>
    <w:p w14:paraId="4E3D568C" w14:textId="77777777" w:rsidR="00824130" w:rsidRPr="00D80201" w:rsidRDefault="00824130">
      <w:pPr>
        <w:ind w:firstLine="720"/>
        <w:rPr>
          <w:color w:val="000000"/>
          <w:szCs w:val="26"/>
        </w:rPr>
      </w:pPr>
    </w:p>
    <w:p w14:paraId="222E28F4" w14:textId="77777777" w:rsidR="00824130" w:rsidRPr="00D80201" w:rsidRDefault="00824130">
      <w:pPr>
        <w:rPr>
          <w:color w:val="000000"/>
          <w:szCs w:val="26"/>
        </w:rPr>
      </w:pPr>
      <w:r>
        <w:rPr>
          <w:color w:val="000000"/>
          <w:szCs w:val="26"/>
        </w:rPr>
        <w:t>129.</w:t>
      </w:r>
      <w:r>
        <w:rPr>
          <w:color w:val="000000"/>
          <w:szCs w:val="26"/>
        </w:rPr>
        <w:tab/>
      </w:r>
      <w:r w:rsidRPr="00D80201">
        <w:rPr>
          <w:color w:val="000000"/>
          <w:szCs w:val="26"/>
        </w:rPr>
        <w:t xml:space="preserve">Staff views this issue as the most contentious in this proceeding.  Primarily citing Ex. SC-7, the ISO’s worksheet which was filed with the Commission for the rates to be effective on </w:t>
      </w:r>
      <w:smartTag w:uri="urn:schemas-microsoft-com:office:smarttags" w:element="date">
        <w:smartTagPr>
          <w:attr w:name="Month" w:val="10"/>
          <w:attr w:name="Day" w:val="1"/>
          <w:attr w:name="Year" w:val="2003"/>
        </w:smartTagPr>
        <w:r w:rsidRPr="00D80201">
          <w:rPr>
            <w:color w:val="000000"/>
            <w:szCs w:val="26"/>
          </w:rPr>
          <w:t>October 1, 2003</w:t>
        </w:r>
      </w:smartTag>
      <w:r w:rsidRPr="00D80201">
        <w:rPr>
          <w:color w:val="000000"/>
          <w:szCs w:val="26"/>
        </w:rPr>
        <w:t xml:space="preserve">, Staff generally describes the cost shifts (without accounting for the transition charge which apportions payments among </w:t>
      </w:r>
      <w:r>
        <w:rPr>
          <w:color w:val="000000"/>
          <w:szCs w:val="26"/>
        </w:rPr>
        <w:t>OPTOs) as follows.  Tr. 404:19 – 2</w:t>
      </w:r>
      <w:r w:rsidRPr="00D80201">
        <w:rPr>
          <w:color w:val="000000"/>
          <w:szCs w:val="26"/>
        </w:rPr>
        <w:t xml:space="preserve">5.  The new PTOs have shifted the costs of their more expensive existing high voltage transmission facilities to SCE and, at the rate of 10% per year, to the other OPTOs.  Staff Initial Brief at 20-21, </w:t>
      </w:r>
      <w:r w:rsidRPr="00D80201">
        <w:rPr>
          <w:color w:val="000000"/>
          <w:szCs w:val="26"/>
          <w:u w:val="single"/>
        </w:rPr>
        <w:t>citing</w:t>
      </w:r>
      <w:r w:rsidRPr="00D80201">
        <w:rPr>
          <w:color w:val="000000"/>
          <w:szCs w:val="26"/>
        </w:rPr>
        <w:t xml:space="preserve"> Ex. SC-7, column 1 (described cost shift from New PTOs to SCE), column 6 (described cost shift from New PTOs to SCE and other PTOs).  SCE and SDG&amp;E are transferring (at the rate of 10% per year) the costs of their more expensive existing high voltage transmission facilities to PG&amp;E.  Staff Initial Brief at 21, </w:t>
      </w:r>
      <w:r w:rsidRPr="00D80201">
        <w:rPr>
          <w:color w:val="000000"/>
          <w:szCs w:val="26"/>
          <w:u w:val="single"/>
        </w:rPr>
        <w:t>citing</w:t>
      </w:r>
      <w:r w:rsidRPr="00D80201">
        <w:rPr>
          <w:color w:val="000000"/>
          <w:szCs w:val="26"/>
        </w:rPr>
        <w:t xml:space="preserve"> SC-7, column 6 (described cost shift of SCE and SDG&amp;E to PG&amp;E).  The OPTOs have immediately transferred portions of the cost of their new high voltage facilities to everyone else on the grid.  Staff Initial Brief at 22.  In 2003, PG&amp;E has filed for the greatest TRR associated with new high voltage facilities, and has received a benefit greater than any single new PTO.  </w:t>
      </w:r>
      <w:smartTag w:uri="urn:schemas-microsoft-com:office:smarttags" w:element="place">
        <w:smartTag w:uri="urn:schemas-microsoft-com:office:smarttags" w:element="State">
          <w:r w:rsidRPr="00D80201">
            <w:rPr>
              <w:color w:val="000000"/>
              <w:szCs w:val="26"/>
              <w:u w:val="single"/>
            </w:rPr>
            <w:t>Id.</w:t>
          </w:r>
        </w:smartTag>
      </w:smartTag>
      <w:r w:rsidRPr="00D80201">
        <w:rPr>
          <w:color w:val="000000"/>
          <w:szCs w:val="26"/>
        </w:rPr>
        <w:t xml:space="preserve">, </w:t>
      </w:r>
      <w:r w:rsidRPr="00D80201">
        <w:rPr>
          <w:color w:val="000000"/>
          <w:szCs w:val="26"/>
          <w:u w:val="single"/>
        </w:rPr>
        <w:t xml:space="preserve">citing </w:t>
      </w:r>
      <w:r w:rsidRPr="00D80201">
        <w:rPr>
          <w:color w:val="000000"/>
          <w:szCs w:val="26"/>
        </w:rPr>
        <w:t xml:space="preserve">Ex. SC-7, column 2 (describing the TRR associated with new high voltage facilities filed by each OPTO).  SCE also plans $150 million in new high voltage facility investments which will be charged to the entire grid.  Staff Initial Brief at 23, </w:t>
      </w:r>
      <w:r w:rsidRPr="00D80201">
        <w:rPr>
          <w:color w:val="000000"/>
          <w:szCs w:val="26"/>
          <w:u w:val="single"/>
        </w:rPr>
        <w:t>citing</w:t>
      </w:r>
      <w:r>
        <w:rPr>
          <w:color w:val="000000"/>
          <w:szCs w:val="26"/>
        </w:rPr>
        <w:t xml:space="preserve"> Ex. SC-1 at 21:1 – 1</w:t>
      </w:r>
      <w:r w:rsidRPr="00D80201">
        <w:rPr>
          <w:color w:val="000000"/>
          <w:szCs w:val="26"/>
        </w:rPr>
        <w:t>0 (contained SCE’s response to data request SC-SCE-2-11).  Based on these statistics, Staff concludes that the balance of benefits and burdens is not static, and is not stacked against the OPTOs.</w:t>
      </w:r>
    </w:p>
    <w:p w14:paraId="5FE5E84A" w14:textId="77777777" w:rsidR="00824130" w:rsidRPr="00D80201" w:rsidRDefault="00824130">
      <w:pPr>
        <w:rPr>
          <w:color w:val="000000"/>
          <w:szCs w:val="26"/>
        </w:rPr>
      </w:pPr>
    </w:p>
    <w:p w14:paraId="120D3BF2" w14:textId="77777777" w:rsidR="00824130" w:rsidRPr="00D80201" w:rsidRDefault="00824130">
      <w:pPr>
        <w:ind w:right="720"/>
        <w:rPr>
          <w:color w:val="000000"/>
          <w:szCs w:val="26"/>
        </w:rPr>
      </w:pPr>
      <w:r>
        <w:rPr>
          <w:color w:val="000000"/>
          <w:szCs w:val="26"/>
        </w:rPr>
        <w:t>130.</w:t>
      </w:r>
      <w:r>
        <w:rPr>
          <w:color w:val="000000"/>
          <w:szCs w:val="26"/>
        </w:rPr>
        <w:tab/>
      </w:r>
      <w:r w:rsidRPr="00D80201">
        <w:rPr>
          <w:color w:val="000000"/>
          <w:szCs w:val="26"/>
        </w:rPr>
        <w:t>Staff witness Patterson explains how the cost shift will be implemented in three instances: (1) As proposed under Section 8.6 of the ISO Tariff, the OPTOs will pay a transition charge to the ISO if necessary to hold a new PTO harmless from any increase in its costs related to deliveries to gross load over its existing HV facilities;</w:t>
      </w:r>
      <w:r w:rsidRPr="00D80201">
        <w:rPr>
          <w:rStyle w:val="FootnoteReference"/>
          <w:color w:val="000000"/>
        </w:rPr>
        <w:footnoteReference w:id="45"/>
      </w:r>
      <w:r w:rsidRPr="00D80201">
        <w:rPr>
          <w:color w:val="000000"/>
          <w:szCs w:val="26"/>
        </w:rPr>
        <w:t xml:space="preserve"> (2) Under ISO Tariff Appendix F, Schedule 3, Section 7, the OPTOs will also pay a transition charge to the ISO or receive a credit from the ISO as necessary to ensure that the total cost shifts are allocated among the OPTOs in proportion to the $32/$32/$8 million individual cost shift caps;</w:t>
      </w:r>
      <w:r w:rsidRPr="00D80201">
        <w:rPr>
          <w:rStyle w:val="FootnoteReference"/>
          <w:color w:val="000000"/>
        </w:rPr>
        <w:footnoteReference w:id="46"/>
      </w:r>
      <w:r w:rsidRPr="00D80201">
        <w:rPr>
          <w:color w:val="000000"/>
          <w:szCs w:val="26"/>
        </w:rPr>
        <w:t xml:space="preserve"> and (3) If the $72 million cost shift cap is exceeded, each new PTO receiving a TAC benefit will also be responsible for a transition charge, and thus, who pays the transition charge depends on whether or not the total cost shift cap of $72 million is exceeded.  Ex. S-5 at 19:6 – 9.  According to Staff, so far the first instance has not occurred because the new PTOs have not seen an increase in costs from joining the ISO; the second situation is the most prevalent; and the third possibility is what most concerns the present and potential new PTOs.  Staff Initial Brief at 29.  </w:t>
      </w:r>
    </w:p>
    <w:p w14:paraId="20C17D52" w14:textId="77777777" w:rsidR="00824130" w:rsidRPr="00D80201" w:rsidRDefault="00824130">
      <w:pPr>
        <w:ind w:right="720" w:firstLine="720"/>
        <w:rPr>
          <w:color w:val="000000"/>
          <w:szCs w:val="26"/>
        </w:rPr>
      </w:pPr>
    </w:p>
    <w:p w14:paraId="39F1746D" w14:textId="77777777" w:rsidR="00824130" w:rsidRPr="00D80201" w:rsidRDefault="00824130">
      <w:pPr>
        <w:ind w:right="720"/>
        <w:rPr>
          <w:color w:val="000000"/>
          <w:szCs w:val="26"/>
        </w:rPr>
      </w:pPr>
      <w:r>
        <w:rPr>
          <w:color w:val="000000"/>
          <w:szCs w:val="26"/>
        </w:rPr>
        <w:t>131.</w:t>
      </w:r>
      <w:r>
        <w:rPr>
          <w:color w:val="000000"/>
          <w:szCs w:val="26"/>
        </w:rPr>
        <w:tab/>
      </w:r>
      <w:r w:rsidRPr="00D80201">
        <w:rPr>
          <w:color w:val="000000"/>
          <w:szCs w:val="26"/>
        </w:rPr>
        <w:t>Staff also argues that it is unclear what analysis t</w:t>
      </w:r>
      <w:r>
        <w:rPr>
          <w:color w:val="000000"/>
          <w:szCs w:val="26"/>
        </w:rPr>
        <w:t>he end u</w:t>
      </w:r>
      <w:r w:rsidRPr="00D80201">
        <w:rPr>
          <w:color w:val="000000"/>
          <w:szCs w:val="26"/>
        </w:rPr>
        <w:t xml:space="preserve">sers in the TAC working group used to justify the figure that assisted in coming up with the cost shift cap of $72 million.  Ex. S-5 at </w:t>
      </w:r>
      <w:smartTag w:uri="urn:schemas-microsoft-com:office:smarttags" w:element="time">
        <w:smartTagPr>
          <w:attr w:name="Hour" w:val="18"/>
          <w:attr w:name="Minute" w:val="11"/>
        </w:smartTagPr>
        <w:r w:rsidRPr="00D80201">
          <w:rPr>
            <w:color w:val="000000"/>
            <w:szCs w:val="26"/>
          </w:rPr>
          <w:t>18:11</w:t>
        </w:r>
      </w:smartTag>
      <w:r w:rsidRPr="00D80201">
        <w:rPr>
          <w:color w:val="000000"/>
          <w:szCs w:val="26"/>
        </w:rPr>
        <w:t xml:space="preserve">-14, </w:t>
      </w:r>
      <w:r w:rsidRPr="00D80201">
        <w:rPr>
          <w:color w:val="000000"/>
          <w:szCs w:val="26"/>
          <w:u w:val="single"/>
        </w:rPr>
        <w:t>citing</w:t>
      </w:r>
      <w:r w:rsidRPr="00D80201">
        <w:rPr>
          <w:color w:val="000000"/>
          <w:szCs w:val="26"/>
        </w:rPr>
        <w:t xml:space="preserve"> Ex. S-10 (contained the ISO’s response to staff data request Staff/ISO-5).    </w:t>
      </w:r>
    </w:p>
    <w:p w14:paraId="7F0C57EE" w14:textId="77777777" w:rsidR="00824130" w:rsidRPr="00D80201" w:rsidRDefault="00824130">
      <w:pPr>
        <w:ind w:right="720" w:firstLine="720"/>
        <w:rPr>
          <w:color w:val="000000"/>
          <w:szCs w:val="26"/>
        </w:rPr>
      </w:pPr>
      <w:r w:rsidRPr="00D80201">
        <w:rPr>
          <w:color w:val="000000"/>
          <w:szCs w:val="26"/>
        </w:rPr>
        <w:t xml:space="preserve">  </w:t>
      </w:r>
    </w:p>
    <w:p w14:paraId="1796399A" w14:textId="77777777" w:rsidR="00824130" w:rsidRPr="00D80201" w:rsidRDefault="00824130">
      <w:pPr>
        <w:ind w:right="720"/>
        <w:rPr>
          <w:color w:val="000000"/>
          <w:szCs w:val="26"/>
        </w:rPr>
      </w:pPr>
      <w:r>
        <w:rPr>
          <w:color w:val="000000"/>
          <w:szCs w:val="26"/>
        </w:rPr>
        <w:t>132.</w:t>
      </w:r>
      <w:r>
        <w:rPr>
          <w:color w:val="000000"/>
          <w:szCs w:val="26"/>
        </w:rPr>
        <w:tab/>
      </w:r>
      <w:r w:rsidRPr="00D80201">
        <w:rPr>
          <w:color w:val="000000"/>
          <w:szCs w:val="26"/>
        </w:rPr>
        <w:t xml:space="preserve">Staff states that the proper Commission guidance on the subject may be found in the hearing order on Amendment No. 27, in which the Commission recognized that “some transition period may be appropriate in order to mitigate extreme cost shifts” but that “the current record in this proceeding has not demonstrated that a ten-year transition period and the proposed limits on the amount of cost shifts are the proper ones necessary to mitigate cost shifts.”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color w:val="000000"/>
          <w:szCs w:val="26"/>
        </w:rPr>
        <w:t xml:space="preserve">, 91 FERC ¶ 61,205 at 61,725 (2000).  The Commission further stated that the record should include “information on the overall impact of changes in transmission costs on the overall cost of electricity, including “the context of transmission costs relative to the total cost of electricity.”  </w:t>
      </w:r>
      <w:smartTag w:uri="urn:schemas-microsoft-com:office:smarttags" w:element="place">
        <w:smartTag w:uri="urn:schemas-microsoft-com:office:smarttags" w:element="State">
          <w:r w:rsidRPr="00D80201">
            <w:rPr>
              <w:color w:val="000000"/>
              <w:szCs w:val="26"/>
              <w:u w:val="single"/>
            </w:rPr>
            <w:t>Id.</w:t>
          </w:r>
        </w:smartTag>
      </w:smartTag>
      <w:r w:rsidRPr="00D80201">
        <w:rPr>
          <w:color w:val="000000"/>
          <w:szCs w:val="26"/>
          <w:u w:val="single"/>
        </w:rPr>
        <w:t xml:space="preserve">  </w:t>
      </w:r>
    </w:p>
    <w:p w14:paraId="792C9166" w14:textId="77777777" w:rsidR="00824130" w:rsidRPr="00D80201" w:rsidRDefault="00824130">
      <w:pPr>
        <w:ind w:right="720" w:firstLine="720"/>
        <w:rPr>
          <w:color w:val="000000"/>
          <w:szCs w:val="26"/>
        </w:rPr>
      </w:pPr>
    </w:p>
    <w:p w14:paraId="3DD2E8B2" w14:textId="77777777" w:rsidR="00824130" w:rsidRPr="00D80201" w:rsidRDefault="00824130">
      <w:pPr>
        <w:ind w:right="720"/>
        <w:rPr>
          <w:color w:val="000000"/>
          <w:szCs w:val="26"/>
        </w:rPr>
      </w:pPr>
      <w:r>
        <w:rPr>
          <w:color w:val="000000"/>
          <w:szCs w:val="26"/>
        </w:rPr>
        <w:t>133.</w:t>
      </w:r>
      <w:r>
        <w:rPr>
          <w:color w:val="000000"/>
          <w:szCs w:val="26"/>
        </w:rPr>
        <w:tab/>
      </w:r>
      <w:r w:rsidRPr="00D80201">
        <w:rPr>
          <w:color w:val="000000"/>
          <w:szCs w:val="26"/>
        </w:rPr>
        <w:t>Following this guidance, Staff’s witness Patterson contends that cost shifts equal a small percent of the overall cost of electricity and caps are not effective, and recommends that cost shift caps be eliminated on a prospective basis.  Ex. S-5 at 2</w:t>
      </w:r>
      <w:r>
        <w:rPr>
          <w:color w:val="000000"/>
          <w:szCs w:val="26"/>
        </w:rPr>
        <w:t>8:25 – 29:</w:t>
      </w:r>
      <w:r w:rsidRPr="00D80201">
        <w:rPr>
          <w:color w:val="000000"/>
          <w:szCs w:val="26"/>
        </w:rPr>
        <w:t xml:space="preserve">5, 29:10 – 30:2 (described Staff witness Patterson’s conclusions); Ex. S-8 at Table 3; Ex S-9 at Table 3 (showed data on which Staff witness Patterson based her conclusions).  Staff also argues that SCE’s and PGE’s arguments fail to include all the effects of cost transfers under the TAC.  </w:t>
      </w:r>
    </w:p>
    <w:p w14:paraId="5F35CB34" w14:textId="77777777" w:rsidR="00824130" w:rsidRPr="00D80201" w:rsidRDefault="00824130">
      <w:pPr>
        <w:pStyle w:val="BodyText"/>
        <w:rPr>
          <w:color w:val="000000"/>
          <w:sz w:val="26"/>
          <w:szCs w:val="26"/>
        </w:rPr>
      </w:pPr>
    </w:p>
    <w:p w14:paraId="2DC1823A" w14:textId="77777777" w:rsidR="00824130" w:rsidRPr="00D80201" w:rsidRDefault="00824130">
      <w:pPr>
        <w:pStyle w:val="BodyText"/>
        <w:rPr>
          <w:color w:val="000000"/>
          <w:sz w:val="26"/>
          <w:szCs w:val="26"/>
        </w:rPr>
      </w:pPr>
      <w:r>
        <w:rPr>
          <w:color w:val="000000"/>
          <w:sz w:val="26"/>
          <w:szCs w:val="26"/>
        </w:rPr>
        <w:t>134.</w:t>
      </w:r>
      <w:r>
        <w:rPr>
          <w:color w:val="000000"/>
          <w:sz w:val="26"/>
          <w:szCs w:val="26"/>
        </w:rPr>
        <w:tab/>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contends that the cost shift caps are not justified.  Based on Opinion No. 466, the Partial Initial Decision that the undersigned issued in this docket, the May 31, 2000 Order in this proceeding, FPA ratemaking principles, and the ISO Tariff, Vernon asserts that it is entitled to full recovery of its TRR via the ISO HV access charge from the ISO, unless there has been a demonstration of rate shock to OPTO customers that must be mitigated by caps that potentially limit TRR recovery.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’s position is that the ISO’s cases cited in support of the cost shift are distinguishable from the instant proceeding because the cited cases applied to RTOs authorized to retain a utility-specific rate structure as opposed to a year-by-year transition to approved </w:t>
      </w:r>
      <w:r>
        <w:rPr>
          <w:color w:val="000000"/>
          <w:sz w:val="26"/>
          <w:szCs w:val="26"/>
        </w:rPr>
        <w:t>grid wide</w:t>
      </w:r>
      <w:r w:rsidRPr="00D80201">
        <w:rPr>
          <w:color w:val="000000"/>
          <w:sz w:val="26"/>
          <w:szCs w:val="26"/>
        </w:rPr>
        <w:t xml:space="preserve"> rates from intermediate zonal rates.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Reply Brief at 26-30.</w:t>
      </w:r>
    </w:p>
    <w:p w14:paraId="73ADB9F8" w14:textId="77777777" w:rsidR="00824130" w:rsidRPr="00D80201" w:rsidRDefault="00824130">
      <w:pPr>
        <w:pStyle w:val="BodyText"/>
        <w:rPr>
          <w:color w:val="000000"/>
          <w:sz w:val="26"/>
          <w:szCs w:val="26"/>
        </w:rPr>
      </w:pPr>
    </w:p>
    <w:p w14:paraId="6AC44332" w14:textId="77777777" w:rsidR="00824130" w:rsidRPr="00D80201" w:rsidRDefault="00824130">
      <w:pPr>
        <w:pStyle w:val="BodyText"/>
        <w:rPr>
          <w:color w:val="000000"/>
          <w:sz w:val="26"/>
          <w:szCs w:val="26"/>
        </w:rPr>
      </w:pPr>
      <w:r>
        <w:rPr>
          <w:color w:val="000000"/>
          <w:sz w:val="26"/>
          <w:szCs w:val="26"/>
        </w:rPr>
        <w:t>135.</w:t>
      </w:r>
      <w:r>
        <w:rPr>
          <w:color w:val="000000"/>
          <w:sz w:val="26"/>
          <w:szCs w:val="26"/>
        </w:rPr>
        <w:tab/>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cites calculations by Staff and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witnesses that the impact on delivered energy costs to OPTO retail customers, if cost shift caps were removed, was about one percent.  Tr. 2582:21 – 23; Tr. 1703:5 – 21; Ex. VER-13 at </w:t>
      </w:r>
      <w:smartTag w:uri="urn:schemas-microsoft-com:office:smarttags" w:element="time">
        <w:smartTagPr>
          <w:attr w:name="Hour" w:val="10"/>
          <w:attr w:name="Minute" w:val="17"/>
        </w:smartTagPr>
        <w:r w:rsidRPr="00D80201">
          <w:rPr>
            <w:color w:val="000000"/>
            <w:sz w:val="26"/>
            <w:szCs w:val="26"/>
          </w:rPr>
          <w:t>10:17</w:t>
        </w:r>
      </w:smartTag>
      <w:r>
        <w:rPr>
          <w:color w:val="000000"/>
          <w:sz w:val="26"/>
          <w:szCs w:val="26"/>
        </w:rPr>
        <w:t xml:space="preserve"> – 2</w:t>
      </w:r>
      <w:r w:rsidRPr="00D80201">
        <w:rPr>
          <w:color w:val="000000"/>
          <w:sz w:val="26"/>
          <w:szCs w:val="26"/>
        </w:rPr>
        <w:t xml:space="preserve">2.  Thus,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argues, such amounts are not significant enough when compared to the total cost of energy delivery to qualify as rate shock that would require mitigation.  Tr. 2737-39; Ex. SCE-53B; Ex. VER-1 at </w:t>
      </w:r>
      <w:smartTag w:uri="urn:schemas-microsoft-com:office:smarttags" w:element="time">
        <w:smartTagPr>
          <w:attr w:name="Hour" w:val="21"/>
          <w:attr w:name="Minute" w:val="10"/>
        </w:smartTagPr>
        <w:r w:rsidRPr="00D80201">
          <w:rPr>
            <w:color w:val="000000"/>
            <w:sz w:val="26"/>
            <w:szCs w:val="26"/>
          </w:rPr>
          <w:t>21:10</w:t>
        </w:r>
      </w:smartTag>
      <w:r w:rsidRPr="00D80201">
        <w:rPr>
          <w:color w:val="000000"/>
          <w:sz w:val="26"/>
          <w:szCs w:val="26"/>
        </w:rPr>
        <w:t xml:space="preserve"> – 14.  Countering SCE’s argument that the cost shift cap was not meant to mitigate rate shock,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cites ISO witness Le Vine’s testimony to the contrary.  Tr. 454:1 – 3.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also supports SC’s position, discussed more fully below.</w:t>
      </w:r>
    </w:p>
    <w:p w14:paraId="0652C8C8" w14:textId="77777777" w:rsidR="00824130" w:rsidRPr="00D80201" w:rsidRDefault="00824130">
      <w:pPr>
        <w:pStyle w:val="BodyText"/>
        <w:rPr>
          <w:color w:val="000000"/>
          <w:sz w:val="26"/>
          <w:szCs w:val="26"/>
        </w:rPr>
      </w:pPr>
    </w:p>
    <w:p w14:paraId="30ED5EA0" w14:textId="77777777" w:rsidR="00824130" w:rsidRPr="00D80201" w:rsidRDefault="00824130">
      <w:pPr>
        <w:pStyle w:val="BodyText"/>
        <w:rPr>
          <w:color w:val="000000"/>
          <w:sz w:val="26"/>
          <w:szCs w:val="26"/>
        </w:rPr>
      </w:pPr>
      <w:r>
        <w:rPr>
          <w:color w:val="000000"/>
          <w:sz w:val="26"/>
          <w:szCs w:val="26"/>
        </w:rPr>
        <w:t>136.</w:t>
      </w:r>
      <w:r>
        <w:rPr>
          <w:color w:val="000000"/>
          <w:sz w:val="26"/>
          <w:szCs w:val="26"/>
        </w:rPr>
        <w:tab/>
      </w:r>
      <w:r w:rsidRPr="00D80201">
        <w:rPr>
          <w:color w:val="000000"/>
          <w:sz w:val="26"/>
          <w:szCs w:val="26"/>
        </w:rPr>
        <w:t xml:space="preserve">SC’s position is that the ISO’s proposal for a cost shift cap is not just and reasonable.  SC asserts that the burden is on the ISO to show that its proposal is just, reasonable, and non-arbitrary.  SC contends that the cost shift cap proposed is based on arbitrary assumptions, discriminates against new PTOs by treating their transmission facilities differently regarding cost recovery from comparable facilities of the OPTOs, and violates the principles of network service requiring that all TOs be fairly compensated for the facilities they contribute to the transmission network.  </w:t>
      </w:r>
    </w:p>
    <w:p w14:paraId="1D53DBEC" w14:textId="77777777" w:rsidR="00824130" w:rsidRPr="00D80201" w:rsidRDefault="00824130">
      <w:pPr>
        <w:pStyle w:val="BodyText"/>
        <w:ind w:firstLine="720"/>
        <w:rPr>
          <w:color w:val="000000"/>
          <w:sz w:val="26"/>
          <w:szCs w:val="26"/>
        </w:rPr>
      </w:pPr>
    </w:p>
    <w:p w14:paraId="35289E43" w14:textId="77777777" w:rsidR="00824130" w:rsidRPr="00D80201" w:rsidRDefault="00824130">
      <w:pPr>
        <w:pStyle w:val="BodyText"/>
        <w:rPr>
          <w:color w:val="000000"/>
          <w:sz w:val="26"/>
          <w:szCs w:val="26"/>
        </w:rPr>
      </w:pPr>
      <w:r>
        <w:rPr>
          <w:color w:val="000000"/>
          <w:sz w:val="26"/>
          <w:szCs w:val="26"/>
        </w:rPr>
        <w:t>137.</w:t>
      </w:r>
      <w:r>
        <w:rPr>
          <w:color w:val="000000"/>
          <w:sz w:val="26"/>
          <w:szCs w:val="26"/>
        </w:rPr>
        <w:tab/>
      </w:r>
      <w:r w:rsidRPr="00D80201">
        <w:rPr>
          <w:color w:val="000000"/>
          <w:sz w:val="26"/>
          <w:szCs w:val="26"/>
        </w:rPr>
        <w:t xml:space="preserve">SC disagrees with the ISO regarding differential treatment of cost recovery for OPTOs versus new PTOs; SC states that the OPTOs and new PTOs are similarly situated with respect to the recovery of each PTO’s HVTRR because the old and new facilities of both types of PTOs are necessary to the grid.  SC also distinguishes the ISO’s cited precedent supporting the cost shift cap, contending that the cases do not support differential treatment of PTOs regarding cost recovery.  SC Reply Brief at 16-17.  </w:t>
      </w:r>
    </w:p>
    <w:p w14:paraId="724C4CA6" w14:textId="77777777" w:rsidR="00824130" w:rsidRPr="00D80201" w:rsidRDefault="00824130">
      <w:pPr>
        <w:pStyle w:val="BodyText"/>
        <w:ind w:firstLine="720"/>
        <w:rPr>
          <w:color w:val="000000"/>
          <w:sz w:val="26"/>
          <w:szCs w:val="26"/>
        </w:rPr>
      </w:pPr>
    </w:p>
    <w:p w14:paraId="7425741D" w14:textId="77777777" w:rsidR="00824130" w:rsidRPr="00D80201" w:rsidRDefault="00824130">
      <w:pPr>
        <w:pStyle w:val="BodyText"/>
        <w:rPr>
          <w:color w:val="000000"/>
          <w:sz w:val="26"/>
          <w:szCs w:val="26"/>
        </w:rPr>
      </w:pPr>
      <w:r>
        <w:rPr>
          <w:color w:val="000000"/>
          <w:sz w:val="26"/>
          <w:szCs w:val="26"/>
        </w:rPr>
        <w:t>138.</w:t>
      </w:r>
      <w:r>
        <w:rPr>
          <w:color w:val="000000"/>
          <w:sz w:val="26"/>
          <w:szCs w:val="26"/>
        </w:rPr>
        <w:tab/>
      </w:r>
      <w:r w:rsidRPr="00D80201">
        <w:rPr>
          <w:color w:val="000000"/>
          <w:sz w:val="26"/>
          <w:szCs w:val="26"/>
        </w:rPr>
        <w:t>SC also contends that the proposed cost shift cap is unnecessary because any cost shift will not result in an abrupt increase in the overall cost o</w:t>
      </w:r>
      <w:r>
        <w:rPr>
          <w:color w:val="000000"/>
          <w:sz w:val="26"/>
          <w:szCs w:val="26"/>
        </w:rPr>
        <w:t>f electricity.  Ex. S-5 at 32:2 – 4</w:t>
      </w:r>
      <w:r w:rsidRPr="00D80201">
        <w:rPr>
          <w:color w:val="000000"/>
          <w:sz w:val="26"/>
          <w:szCs w:val="26"/>
        </w:rPr>
        <w:t xml:space="preserve">; Ex. VER-1 at </w:t>
      </w:r>
      <w:smartTag w:uri="urn:schemas-microsoft-com:office:smarttags" w:element="time">
        <w:smartTagPr>
          <w:attr w:name="Hour" w:val="21"/>
          <w:attr w:name="Minute" w:val="16"/>
        </w:smartTagPr>
        <w:r w:rsidRPr="00D80201">
          <w:rPr>
            <w:color w:val="000000"/>
            <w:sz w:val="26"/>
            <w:szCs w:val="26"/>
          </w:rPr>
          <w:t>21:16</w:t>
        </w:r>
      </w:smartTag>
      <w:r w:rsidRPr="00D80201">
        <w:rPr>
          <w:color w:val="000000"/>
          <w:sz w:val="26"/>
          <w:szCs w:val="26"/>
        </w:rPr>
        <w:t xml:space="preserve"> – 19; Tr. 2639:8 – 17; Ex. NCP-4.  SC also posits that the cost/benefit analyses presented, while controversial, indicate that the benefits of increased ISO participation outweigh the costs; accordingly, the overall electricity costs for the OPTOs’ ratepayers is small compared to the benefits that the ISO quantified (to the extent possible) and which Order</w:t>
      </w:r>
      <w:r>
        <w:rPr>
          <w:color w:val="000000"/>
          <w:sz w:val="26"/>
          <w:szCs w:val="26"/>
        </w:rPr>
        <w:t xml:space="preserve"> No.</w:t>
      </w:r>
      <w:r w:rsidRPr="00D80201">
        <w:rPr>
          <w:color w:val="000000"/>
          <w:sz w:val="26"/>
          <w:szCs w:val="26"/>
        </w:rPr>
        <w:t xml:space="preserve"> 2000 assumed.</w:t>
      </w:r>
    </w:p>
    <w:p w14:paraId="5BE46775" w14:textId="77777777" w:rsidR="00824130" w:rsidRPr="00D80201" w:rsidRDefault="00824130">
      <w:pPr>
        <w:pStyle w:val="BodyText"/>
        <w:ind w:firstLine="720"/>
        <w:rPr>
          <w:color w:val="000000"/>
          <w:sz w:val="26"/>
          <w:szCs w:val="26"/>
        </w:rPr>
      </w:pPr>
    </w:p>
    <w:p w14:paraId="6461D522" w14:textId="77777777" w:rsidR="00824130" w:rsidRPr="00D80201" w:rsidRDefault="00824130">
      <w:pPr>
        <w:pStyle w:val="BodyText"/>
        <w:rPr>
          <w:color w:val="000000"/>
          <w:sz w:val="26"/>
          <w:szCs w:val="26"/>
        </w:rPr>
      </w:pPr>
      <w:r>
        <w:rPr>
          <w:color w:val="000000"/>
          <w:sz w:val="26"/>
          <w:szCs w:val="26"/>
        </w:rPr>
        <w:t>139.</w:t>
      </w:r>
      <w:r>
        <w:rPr>
          <w:color w:val="000000"/>
          <w:sz w:val="26"/>
          <w:szCs w:val="26"/>
        </w:rPr>
        <w:tab/>
      </w:r>
      <w:r w:rsidRPr="00D80201">
        <w:rPr>
          <w:color w:val="000000"/>
          <w:sz w:val="26"/>
          <w:szCs w:val="26"/>
        </w:rPr>
        <w:t>SDG&amp;E believes that the cost shift cap is unjust and unreasonable because it is not necessary to mitigate large or abrupt cost shifts, since none are present.  SDG&amp;E believes that the only just, reasonable and not unduly discriminatory way to manage cost shifts is for each PTO to pay its unmitigated “fair share,” which SDG&amp;E witness Lucero defined as the grid wide rate established by the blending and averaging of the combined HVTRRs of all PTOs without additional adjustments.  Tr. 2518:11.  Further, SDG&amp;E believes that the “hold harmless” provision of the TAC proposal is also an unnecessary “cost shift cap” that should be eliminated.  Accordingly, SDG&amp;E contends that the entire transition charge mechanism (including the proportionality of the cost shifts among the OPTOs) should be eliminated.  SGD&amp;E bases its recommendation on the modest effects of the grid wide averaging on end use customers according to Staff</w:t>
      </w:r>
      <w:r w:rsidRPr="00D80201">
        <w:rPr>
          <w:rStyle w:val="FootnoteReference"/>
          <w:color w:val="000000"/>
        </w:rPr>
        <w:footnoteReference w:id="47"/>
      </w:r>
      <w:r w:rsidRPr="00D80201">
        <w:rPr>
          <w:color w:val="000000"/>
          <w:sz w:val="26"/>
          <w:szCs w:val="26"/>
        </w:rPr>
        <w:t xml:space="preserve"> and SDG&amp;E witness Lucero.</w:t>
      </w:r>
      <w:r w:rsidRPr="00D80201">
        <w:rPr>
          <w:rStyle w:val="FootnoteReference"/>
          <w:color w:val="000000"/>
        </w:rPr>
        <w:footnoteReference w:id="48"/>
      </w:r>
      <w:r w:rsidRPr="00D80201">
        <w:rPr>
          <w:color w:val="000000"/>
          <w:sz w:val="26"/>
          <w:szCs w:val="26"/>
        </w:rPr>
        <w:t xml:space="preserve">  SDG&amp;E believes that the transition period alone is enough to mitigate any cost shifts.  </w:t>
      </w:r>
    </w:p>
    <w:p w14:paraId="183A6D32" w14:textId="77777777" w:rsidR="00824130" w:rsidRPr="00D80201" w:rsidRDefault="00824130">
      <w:pPr>
        <w:pStyle w:val="BodyTextFirstIndent"/>
        <w:spacing w:after="0"/>
        <w:ind w:firstLine="720"/>
        <w:rPr>
          <w:color w:val="000000"/>
          <w:szCs w:val="26"/>
        </w:rPr>
      </w:pPr>
    </w:p>
    <w:p w14:paraId="147BC399" w14:textId="77777777" w:rsidR="00824130" w:rsidRPr="00D80201" w:rsidRDefault="00824130">
      <w:pPr>
        <w:pStyle w:val="BodyTextFirstIndent"/>
        <w:ind w:firstLine="0"/>
        <w:rPr>
          <w:color w:val="000000"/>
          <w:szCs w:val="26"/>
        </w:rPr>
      </w:pPr>
      <w:r>
        <w:rPr>
          <w:color w:val="000000"/>
          <w:szCs w:val="26"/>
        </w:rPr>
        <w:t>140.</w:t>
      </w:r>
      <w:r>
        <w:rPr>
          <w:color w:val="000000"/>
          <w:szCs w:val="26"/>
        </w:rPr>
        <w:tab/>
      </w:r>
      <w:r w:rsidRPr="00D80201">
        <w:rPr>
          <w:color w:val="000000"/>
          <w:szCs w:val="26"/>
        </w:rPr>
        <w:t>TANC claims that the cost shift element of the TAC proposal is unjust, unreasonable, and unduly discriminatory, and that it must be eliminated.  First, TANC asserts that the stated purpose for the inclusion in the ISO’s proposal of a “cost shift” cap, to mitigate rate shock,</w:t>
      </w:r>
      <w:r w:rsidRPr="00D80201">
        <w:rPr>
          <w:rStyle w:val="FootnoteReference"/>
          <w:color w:val="000000"/>
        </w:rPr>
        <w:footnoteReference w:id="49"/>
      </w:r>
      <w:r w:rsidRPr="00D80201">
        <w:rPr>
          <w:color w:val="000000"/>
          <w:szCs w:val="26"/>
        </w:rPr>
        <w:t xml:space="preserve"> has proven unnecessary.  Tr. 2682:6 – 17 (estimated the effect of the TAC proposal on the average PG&amp;E bill); Ex. NCP-4 (displayed an average PG&amp;E bill).  In addition, TANC contends that the ISO’s proposal for the inclusion of a cost shift cap is, as implemented, unduly discriminatory.  TANC discusses some examples, such as TANC witness Brozo’s example regarding the COI, where the TRR of two of the three lines that comprise the system would be treated very differently than the third line.  TANC Reply Brief at 31-34.  TANC also claims that the ISO’s analysis of the maximum amount of “cost shift” to the OPTOs that could occur is flawed and cannot be relied upon in an analysis of “benefits and burdens.”</w:t>
      </w:r>
    </w:p>
    <w:p w14:paraId="6B0B9367" w14:textId="77777777" w:rsidR="00824130" w:rsidRPr="00D80201" w:rsidRDefault="00824130">
      <w:pPr>
        <w:pStyle w:val="BodyText"/>
        <w:ind w:firstLine="720"/>
        <w:rPr>
          <w:color w:val="000000"/>
          <w:sz w:val="26"/>
          <w:szCs w:val="26"/>
        </w:rPr>
      </w:pPr>
    </w:p>
    <w:p w14:paraId="3622D9EB" w14:textId="77777777" w:rsidR="00824130" w:rsidRPr="00D80201" w:rsidRDefault="00824130">
      <w:pPr>
        <w:pStyle w:val="BodyText"/>
        <w:rPr>
          <w:color w:val="000000"/>
          <w:sz w:val="26"/>
          <w:szCs w:val="26"/>
        </w:rPr>
      </w:pPr>
      <w:r>
        <w:rPr>
          <w:color w:val="000000"/>
          <w:sz w:val="26"/>
          <w:szCs w:val="26"/>
        </w:rPr>
        <w:t>141.</w:t>
      </w:r>
      <w:r>
        <w:rPr>
          <w:color w:val="000000"/>
          <w:sz w:val="26"/>
          <w:szCs w:val="26"/>
        </w:rPr>
        <w:tab/>
      </w:r>
      <w:r w:rsidRPr="00D80201">
        <w:rPr>
          <w:color w:val="000000"/>
          <w:sz w:val="26"/>
          <w:szCs w:val="26"/>
        </w:rPr>
        <w:t>NCPA asserts that the cost shift cap is unduly discriminatory because it treats facilities differently based on age and ownership.  Ex. NCP-1 at 9:7 – 15.  NCPA also contends that the cost shift cap poses a deterrent to new PTO membership.  In addition, NCPA argues that the cost shift cap provides little cost-shift mitigating benefit to the OPTOs, citing an estimate that the cap will benefit OPTO customers at an average of about 19 cents in an average customer’s bill.  Tr. 2639:12 – 24.  NCPA argues that without substantial increase in total energy cost, there is no rate shock and thus a cost shift is unnecessary.</w:t>
      </w:r>
    </w:p>
    <w:p w14:paraId="720EDDD1" w14:textId="77777777" w:rsidR="00824130" w:rsidRPr="00D80201" w:rsidRDefault="00824130">
      <w:pPr>
        <w:pStyle w:val="BodyText"/>
        <w:ind w:firstLine="720"/>
        <w:rPr>
          <w:color w:val="000000"/>
          <w:sz w:val="26"/>
          <w:szCs w:val="26"/>
        </w:rPr>
      </w:pPr>
    </w:p>
    <w:p w14:paraId="3F6085C6" w14:textId="77777777" w:rsidR="00824130" w:rsidRPr="00D80201" w:rsidRDefault="00824130">
      <w:pPr>
        <w:pStyle w:val="BodyText"/>
        <w:rPr>
          <w:color w:val="000000"/>
          <w:sz w:val="26"/>
          <w:szCs w:val="26"/>
        </w:rPr>
      </w:pPr>
      <w:r>
        <w:rPr>
          <w:color w:val="000000"/>
          <w:sz w:val="26"/>
          <w:szCs w:val="26"/>
        </w:rPr>
        <w:t>142.</w:t>
      </w:r>
      <w:r>
        <w:rPr>
          <w:color w:val="000000"/>
          <w:sz w:val="26"/>
          <w:szCs w:val="26"/>
        </w:rPr>
        <w:tab/>
      </w:r>
      <w:r w:rsidRPr="00D80201">
        <w:rPr>
          <w:color w:val="000000"/>
          <w:sz w:val="26"/>
          <w:szCs w:val="26"/>
        </w:rPr>
        <w:t xml:space="preserve">MID contends that the cost-shift cap is unduly discriminatory because it places a limit as to the amount of TRR that a new PTO can recover through the TAC by turning over its existing transmission facilities and existing rights to the operational control of the ISO.  </w:t>
      </w:r>
    </w:p>
    <w:p w14:paraId="74F8D7AA" w14:textId="77777777" w:rsidR="00824130" w:rsidRPr="00D80201" w:rsidRDefault="00824130">
      <w:pPr>
        <w:pStyle w:val="BodyText"/>
        <w:rPr>
          <w:color w:val="000000"/>
          <w:sz w:val="26"/>
          <w:szCs w:val="26"/>
        </w:rPr>
      </w:pPr>
    </w:p>
    <w:p w14:paraId="097693B1" w14:textId="77777777" w:rsidR="00824130" w:rsidRPr="00D80201" w:rsidRDefault="00824130">
      <w:pPr>
        <w:pStyle w:val="BodyText"/>
        <w:ind w:left="720"/>
        <w:rPr>
          <w:rFonts w:ascii="Times New Roman Bold" w:hAnsi="Times New Roman Bold"/>
          <w:b/>
          <w:color w:val="000000"/>
          <w:sz w:val="26"/>
          <w:szCs w:val="26"/>
        </w:rPr>
      </w:pPr>
      <w:r w:rsidRPr="00D80201">
        <w:rPr>
          <w:rFonts w:ascii="Times New Roman Bold" w:hAnsi="Times New Roman Bold"/>
          <w:b/>
          <w:color w:val="000000"/>
          <w:sz w:val="26"/>
          <w:szCs w:val="26"/>
        </w:rPr>
        <w:t>Discussion and Findings</w:t>
      </w:r>
    </w:p>
    <w:p w14:paraId="250C9564" w14:textId="77777777" w:rsidR="00824130" w:rsidRPr="00D80201" w:rsidRDefault="00824130">
      <w:pPr>
        <w:pStyle w:val="BodyText"/>
        <w:rPr>
          <w:rFonts w:ascii="Times New Roman Bold" w:hAnsi="Times New Roman Bold"/>
          <w:b/>
          <w:color w:val="000000"/>
          <w:sz w:val="26"/>
          <w:szCs w:val="26"/>
        </w:rPr>
      </w:pPr>
    </w:p>
    <w:p w14:paraId="6ECBD79F" w14:textId="77777777" w:rsidR="00824130" w:rsidRPr="00D80201" w:rsidRDefault="00824130">
      <w:pPr>
        <w:pStyle w:val="BodyText"/>
        <w:rPr>
          <w:color w:val="000000"/>
          <w:sz w:val="26"/>
          <w:szCs w:val="26"/>
        </w:rPr>
      </w:pPr>
      <w:r>
        <w:rPr>
          <w:color w:val="000000"/>
          <w:sz w:val="26"/>
          <w:szCs w:val="26"/>
        </w:rPr>
        <w:t>143.</w:t>
      </w:r>
      <w:r>
        <w:rPr>
          <w:color w:val="000000"/>
          <w:sz w:val="26"/>
          <w:szCs w:val="26"/>
        </w:rPr>
        <w:tab/>
      </w:r>
      <w:r w:rsidRPr="00D80201">
        <w:rPr>
          <w:color w:val="000000"/>
          <w:sz w:val="26"/>
          <w:szCs w:val="26"/>
        </w:rPr>
        <w:t>Section 8.6 of the ISO Tariff sets out the transition mechanism, of which the cost shift cap is a component:</w:t>
      </w:r>
    </w:p>
    <w:p w14:paraId="1D1BD4BE" w14:textId="77777777" w:rsidR="00824130" w:rsidRPr="00D80201" w:rsidRDefault="00824130">
      <w:pPr>
        <w:pStyle w:val="BodyText"/>
        <w:rPr>
          <w:color w:val="000000"/>
          <w:sz w:val="26"/>
          <w:szCs w:val="26"/>
        </w:rPr>
      </w:pPr>
    </w:p>
    <w:p w14:paraId="4FBD38BE" w14:textId="77777777" w:rsidR="00824130" w:rsidRPr="00D80201" w:rsidRDefault="00824130">
      <w:pPr>
        <w:pStyle w:val="BodyText"/>
        <w:ind w:left="720"/>
        <w:rPr>
          <w:color w:val="000000"/>
          <w:sz w:val="26"/>
          <w:szCs w:val="26"/>
        </w:rPr>
      </w:pPr>
      <w:r w:rsidRPr="00D80201">
        <w:rPr>
          <w:color w:val="000000"/>
          <w:sz w:val="26"/>
          <w:szCs w:val="26"/>
        </w:rPr>
        <w:t xml:space="preserve">During the ten-year transition period described in Section 4 of Schedule 3 to Appendix F, the Original Participating TOs collectively shall pay to the ISO each year an amount equal to, annually, for all New Participating TOs, the amount, if any, by which the New Participating TO’s cost if Existing High Voltage Facilities associated with deliveries of Energy to Gross Loads in the PTO Service Area of the new participating TO is increased by the implementation of the High Voltage Access Charge described in Schedule 3 of Appendix F.  Responsibility for such payments shall be allocated to Original Participating TOs in accordance with Schedule 3 to Appendix F.  Amounts payable by Original Participating TOs under this section shall be recoverable as part of the Transition Charge calculated in accordance with Schedule 3 of Appendix F.  Amounts received by the ISO under this section shall be disbursed to New Participating TOs with Existing High Voltage Facilities based on the ratio of each New Participating TO’s net increase in costs in the categories described in the first sentence of this section, to the sum of the net increases in such costs for all New Participating TOs with Existing High Voltage Facilities. </w:t>
      </w:r>
    </w:p>
    <w:p w14:paraId="2936A1F3" w14:textId="77777777" w:rsidR="00824130" w:rsidRPr="00D80201" w:rsidRDefault="00824130">
      <w:pPr>
        <w:pStyle w:val="BodyText"/>
        <w:rPr>
          <w:color w:val="000000"/>
          <w:sz w:val="26"/>
          <w:szCs w:val="26"/>
        </w:rPr>
      </w:pPr>
      <w:r>
        <w:rPr>
          <w:color w:val="000000"/>
          <w:sz w:val="26"/>
          <w:szCs w:val="26"/>
        </w:rPr>
        <w:t>144.</w:t>
      </w:r>
      <w:r>
        <w:rPr>
          <w:color w:val="000000"/>
          <w:sz w:val="26"/>
          <w:szCs w:val="26"/>
        </w:rPr>
        <w:tab/>
      </w:r>
      <w:r w:rsidRPr="00D80201">
        <w:rPr>
          <w:color w:val="000000"/>
          <w:sz w:val="26"/>
          <w:szCs w:val="26"/>
        </w:rPr>
        <w:t xml:space="preserve">Section 1.1 of Schedule 3 of Appendix F of the ISO Tariff states that “New High Voltage Facility additions and capital additions to Existing High Voltage Facilities will be immediately included in the ISO Grid-wide component of the HVAC.”  Further, the calculation of the transition charge will not include the TRR for new high voltage facilities.  </w:t>
      </w:r>
    </w:p>
    <w:p w14:paraId="2FEFA159" w14:textId="77777777" w:rsidR="00824130" w:rsidRPr="00D80201" w:rsidRDefault="00824130">
      <w:pPr>
        <w:pStyle w:val="BodyText"/>
        <w:rPr>
          <w:color w:val="000000"/>
          <w:sz w:val="26"/>
          <w:szCs w:val="26"/>
        </w:rPr>
      </w:pPr>
    </w:p>
    <w:p w14:paraId="170DA468" w14:textId="77777777" w:rsidR="00824130" w:rsidRPr="00D80201" w:rsidRDefault="00824130">
      <w:pPr>
        <w:pStyle w:val="BodyText"/>
        <w:rPr>
          <w:color w:val="000000"/>
          <w:sz w:val="26"/>
          <w:szCs w:val="26"/>
        </w:rPr>
      </w:pPr>
      <w:r>
        <w:rPr>
          <w:color w:val="000000"/>
          <w:sz w:val="26"/>
          <w:szCs w:val="26"/>
        </w:rPr>
        <w:t>145.</w:t>
      </w:r>
      <w:r>
        <w:rPr>
          <w:color w:val="000000"/>
          <w:sz w:val="26"/>
          <w:szCs w:val="26"/>
        </w:rPr>
        <w:tab/>
      </w:r>
      <w:r w:rsidRPr="00D80201">
        <w:rPr>
          <w:color w:val="000000"/>
          <w:sz w:val="26"/>
          <w:szCs w:val="26"/>
        </w:rPr>
        <w:t xml:space="preserve">Under section 4.2 of Schedule 3 of Appendix F of the ISO Tariff, the transition period, which refers to the process of rolling the various TAC rates into a single </w:t>
      </w:r>
      <w:r>
        <w:rPr>
          <w:color w:val="000000"/>
          <w:sz w:val="26"/>
          <w:szCs w:val="26"/>
        </w:rPr>
        <w:t>grid wide</w:t>
      </w:r>
      <w:r w:rsidRPr="00D80201">
        <w:rPr>
          <w:color w:val="000000"/>
          <w:sz w:val="26"/>
          <w:szCs w:val="26"/>
        </w:rPr>
        <w:t xml:space="preserve"> area rate, “shall begin either January 1 or July 1 after the date the first New Participating TO’s execution of the Transmission Control Agreement takes effect.”  Lasting ten years, the transition period started on </w:t>
      </w:r>
      <w:smartTag w:uri="urn:schemas-microsoft-com:office:smarttags" w:element="date">
        <w:smartTagPr>
          <w:attr w:name="Month" w:val="1"/>
          <w:attr w:name="Day" w:val="1"/>
          <w:attr w:name="Year" w:val="2001"/>
        </w:smartTagPr>
        <w:r w:rsidRPr="00D80201">
          <w:rPr>
            <w:color w:val="000000"/>
            <w:sz w:val="26"/>
            <w:szCs w:val="26"/>
          </w:rPr>
          <w:t>January 1, 2001</w:t>
        </w:r>
      </w:smartTag>
      <w:r w:rsidRPr="00D80201">
        <w:rPr>
          <w:color w:val="000000"/>
          <w:sz w:val="26"/>
          <w:szCs w:val="26"/>
        </w:rPr>
        <w:t xml:space="preserve">, when </w:t>
      </w:r>
      <w:smartTag w:uri="urn:schemas-microsoft-com:office:smarttags" w:element="place">
        <w:smartTag w:uri="urn:schemas-microsoft-com:office:smarttags" w:element="City">
          <w:r w:rsidRPr="00D80201">
            <w:rPr>
              <w:color w:val="000000"/>
              <w:sz w:val="26"/>
              <w:szCs w:val="26"/>
            </w:rPr>
            <w:t>Vernon</w:t>
          </w:r>
        </w:smartTag>
      </w:smartTag>
      <w:r w:rsidRPr="00D80201">
        <w:rPr>
          <w:color w:val="000000"/>
          <w:sz w:val="26"/>
          <w:szCs w:val="26"/>
        </w:rPr>
        <w:t xml:space="preserve"> first became a PTO.  </w:t>
      </w:r>
    </w:p>
    <w:p w14:paraId="0168F1CB" w14:textId="77777777" w:rsidR="00824130" w:rsidRPr="00D80201" w:rsidRDefault="00824130">
      <w:pPr>
        <w:pStyle w:val="BodyText"/>
        <w:rPr>
          <w:color w:val="000000"/>
          <w:sz w:val="26"/>
          <w:szCs w:val="26"/>
        </w:rPr>
      </w:pPr>
    </w:p>
    <w:p w14:paraId="32109B37" w14:textId="77777777" w:rsidR="00824130" w:rsidRPr="00D80201" w:rsidRDefault="00824130">
      <w:pPr>
        <w:pStyle w:val="BodyText"/>
        <w:rPr>
          <w:color w:val="000000"/>
          <w:sz w:val="26"/>
          <w:szCs w:val="26"/>
        </w:rPr>
      </w:pPr>
      <w:r>
        <w:rPr>
          <w:color w:val="000000"/>
          <w:sz w:val="26"/>
          <w:szCs w:val="26"/>
        </w:rPr>
        <w:t>146.</w:t>
      </w:r>
      <w:r>
        <w:rPr>
          <w:color w:val="000000"/>
          <w:sz w:val="26"/>
          <w:szCs w:val="26"/>
        </w:rPr>
        <w:tab/>
      </w:r>
      <w:r w:rsidRPr="00D80201">
        <w:rPr>
          <w:color w:val="000000"/>
          <w:sz w:val="26"/>
          <w:szCs w:val="26"/>
        </w:rPr>
        <w:t>ISO witness Le Vine succinctly described the cost shift caps in her Direct Testimony:</w:t>
      </w:r>
    </w:p>
    <w:p w14:paraId="421F55BD" w14:textId="77777777" w:rsidR="00824130" w:rsidRPr="00D80201" w:rsidRDefault="00824130">
      <w:pPr>
        <w:pStyle w:val="BodyText"/>
        <w:rPr>
          <w:color w:val="000000"/>
          <w:sz w:val="26"/>
          <w:szCs w:val="26"/>
        </w:rPr>
      </w:pPr>
    </w:p>
    <w:p w14:paraId="472900F3" w14:textId="77777777" w:rsidR="00824130" w:rsidRPr="00D80201" w:rsidRDefault="00824130">
      <w:pPr>
        <w:pStyle w:val="BodyText"/>
        <w:ind w:left="720"/>
        <w:rPr>
          <w:color w:val="000000"/>
          <w:sz w:val="26"/>
          <w:szCs w:val="26"/>
        </w:rPr>
      </w:pPr>
      <w:r w:rsidRPr="00D80201">
        <w:rPr>
          <w:color w:val="000000"/>
          <w:sz w:val="26"/>
          <w:szCs w:val="26"/>
        </w:rPr>
        <w:t>Amendment No. 27 provides for cost shift caps that represent a maximum increase in transmission Access Charges to Loads in the Service Areas of Original Participating TOs of approximately 0.4 mills/kWh.  (This increase is averaged over all Original Participating TO Load and does not address any questions associated with retail cost allocation and rate design.)  The individual caps provide for up to a total of $72 million of cost shifts during each year, though the amount that will actually be shifted will depend on how many entities, and which entities, decide to become Participating TOs.</w:t>
      </w:r>
    </w:p>
    <w:p w14:paraId="0B163ECD" w14:textId="77777777" w:rsidR="00824130" w:rsidRPr="00D80201" w:rsidRDefault="00824130">
      <w:pPr>
        <w:pStyle w:val="BodyText"/>
        <w:rPr>
          <w:color w:val="000000"/>
          <w:sz w:val="26"/>
          <w:szCs w:val="26"/>
        </w:rPr>
      </w:pPr>
    </w:p>
    <w:p w14:paraId="6F73EDC0" w14:textId="77777777" w:rsidR="00824130" w:rsidRDefault="00824130">
      <w:pPr>
        <w:pStyle w:val="BodyText"/>
        <w:rPr>
          <w:color w:val="000000"/>
          <w:sz w:val="26"/>
          <w:szCs w:val="26"/>
        </w:rPr>
      </w:pPr>
      <w:r w:rsidRPr="00D80201">
        <w:rPr>
          <w:color w:val="000000"/>
          <w:sz w:val="26"/>
          <w:szCs w:val="26"/>
        </w:rPr>
        <w:t>Ex. ISO-1 at 62:3 – 11.  She then also explained that</w:t>
      </w:r>
      <w:r>
        <w:rPr>
          <w:color w:val="000000"/>
          <w:sz w:val="26"/>
          <w:szCs w:val="26"/>
        </w:rPr>
        <w:t>:</w:t>
      </w:r>
      <w:r w:rsidRPr="00D80201">
        <w:rPr>
          <w:color w:val="000000"/>
          <w:sz w:val="26"/>
          <w:szCs w:val="26"/>
        </w:rPr>
        <w:t xml:space="preserve"> </w:t>
      </w:r>
    </w:p>
    <w:p w14:paraId="4D74D031" w14:textId="77777777" w:rsidR="00824130" w:rsidRPr="00D80201" w:rsidRDefault="00824130">
      <w:pPr>
        <w:pStyle w:val="BodyText"/>
        <w:rPr>
          <w:color w:val="000000"/>
          <w:sz w:val="26"/>
          <w:szCs w:val="26"/>
        </w:rPr>
      </w:pPr>
    </w:p>
    <w:p w14:paraId="1563C1F1" w14:textId="77777777" w:rsidR="00824130" w:rsidRPr="00D80201" w:rsidRDefault="00824130">
      <w:pPr>
        <w:pStyle w:val="BodyText"/>
        <w:ind w:left="720"/>
        <w:rPr>
          <w:color w:val="000000"/>
          <w:sz w:val="26"/>
          <w:szCs w:val="26"/>
        </w:rPr>
      </w:pPr>
      <w:r w:rsidRPr="00D80201">
        <w:rPr>
          <w:color w:val="000000"/>
          <w:sz w:val="26"/>
          <w:szCs w:val="26"/>
        </w:rPr>
        <w:t xml:space="preserve">If the total cost shift exceeds this cap, the customers of the New Participating TOs with net benefits would contribute part of their net benefit in order to limit cost shifts to this level.  Again, this mitigation measure would be implemented through the Transition Charge.  </w:t>
      </w:r>
    </w:p>
    <w:p w14:paraId="2F1401BC" w14:textId="77777777" w:rsidR="00824130" w:rsidRPr="00D80201" w:rsidRDefault="00824130">
      <w:pPr>
        <w:pStyle w:val="BodyText"/>
        <w:rPr>
          <w:color w:val="000000"/>
          <w:sz w:val="26"/>
          <w:szCs w:val="26"/>
        </w:rPr>
      </w:pPr>
    </w:p>
    <w:p w14:paraId="2D935234" w14:textId="77777777" w:rsidR="00824130" w:rsidRPr="00D80201" w:rsidRDefault="00824130">
      <w:pPr>
        <w:pStyle w:val="BodyText"/>
        <w:rPr>
          <w:color w:val="000000"/>
          <w:sz w:val="26"/>
          <w:szCs w:val="26"/>
        </w:rPr>
      </w:pPr>
      <w:smartTag w:uri="urn:schemas-microsoft-com:office:smarttags" w:element="place">
        <w:smartTag w:uri="urn:schemas-microsoft-com:office:smarttags" w:element="State">
          <w:r w:rsidRPr="00D80201">
            <w:rPr>
              <w:color w:val="000000"/>
              <w:sz w:val="26"/>
              <w:szCs w:val="26"/>
              <w:u w:val="single"/>
            </w:rPr>
            <w:t>Id.</w:t>
          </w:r>
        </w:smartTag>
      </w:smartTag>
      <w:r w:rsidRPr="00D80201">
        <w:rPr>
          <w:color w:val="000000"/>
          <w:sz w:val="26"/>
          <w:szCs w:val="26"/>
        </w:rPr>
        <w:t xml:space="preserve"> at 62:12 – 15.  During negotiations over the TAC, the end-user representatives stated that they would not contest a rate increase for the OPTOs of $32 million each for PG&amp;E and SCE and $8 million to SDG&amp;E, thus arriving at the cost shift cap of $72 million.  Staff points out that none of those end-user representatives filed testimony in this case, and the record contains no evidence of why they picked these particular numbers.  Staff Initial Brief at 28; Ex. S-5 at </w:t>
      </w:r>
      <w:smartTag w:uri="urn:schemas-microsoft-com:office:smarttags" w:element="time">
        <w:smartTagPr>
          <w:attr w:name="Hour" w:val="18"/>
          <w:attr w:name="Minute" w:val="11"/>
        </w:smartTagPr>
        <w:r w:rsidRPr="00D80201">
          <w:rPr>
            <w:color w:val="000000"/>
            <w:sz w:val="26"/>
            <w:szCs w:val="26"/>
          </w:rPr>
          <w:t>18:11</w:t>
        </w:r>
      </w:smartTag>
      <w:r w:rsidRPr="00D80201">
        <w:rPr>
          <w:color w:val="000000"/>
          <w:sz w:val="26"/>
          <w:szCs w:val="26"/>
        </w:rPr>
        <w:t xml:space="preserve"> – 14.  </w:t>
      </w:r>
    </w:p>
    <w:p w14:paraId="07C5649E" w14:textId="77777777" w:rsidR="00824130" w:rsidRPr="00D80201" w:rsidRDefault="00824130">
      <w:pPr>
        <w:pStyle w:val="BodyText"/>
        <w:rPr>
          <w:color w:val="000000"/>
          <w:sz w:val="26"/>
          <w:szCs w:val="26"/>
        </w:rPr>
      </w:pPr>
    </w:p>
    <w:p w14:paraId="3AB1BF11" w14:textId="77777777" w:rsidR="00824130" w:rsidRPr="00D80201" w:rsidRDefault="00824130">
      <w:pPr>
        <w:pStyle w:val="BodyText"/>
        <w:rPr>
          <w:color w:val="000000"/>
          <w:sz w:val="26"/>
          <w:szCs w:val="26"/>
        </w:rPr>
      </w:pPr>
      <w:r>
        <w:rPr>
          <w:color w:val="000000"/>
          <w:sz w:val="26"/>
          <w:szCs w:val="26"/>
        </w:rPr>
        <w:t>147.</w:t>
      </w:r>
      <w:r>
        <w:rPr>
          <w:color w:val="000000"/>
          <w:sz w:val="26"/>
          <w:szCs w:val="26"/>
        </w:rPr>
        <w:tab/>
      </w:r>
      <w:r w:rsidRPr="00D80201">
        <w:rPr>
          <w:color w:val="000000"/>
          <w:sz w:val="26"/>
          <w:szCs w:val="26"/>
        </w:rPr>
        <w:t>In the hearing order on Amendment No. 27, the Commission recognized that “some transition period may be appropriate to mitigate cost shifts”</w:t>
      </w:r>
      <w:r w:rsidRPr="00D80201">
        <w:rPr>
          <w:rStyle w:val="FootnoteReference"/>
          <w:color w:val="000000"/>
        </w:rPr>
        <w:footnoteReference w:id="50"/>
      </w:r>
      <w:r w:rsidRPr="00D80201">
        <w:rPr>
          <w:color w:val="000000"/>
          <w:sz w:val="26"/>
          <w:szCs w:val="26"/>
        </w:rPr>
        <w:t xml:space="preserve"> but noted that “the current record in this proceeding has not demonstrated that a ten-year transition period and the proposed limits on the amount of cost shifts are the proper ones necessary to mitigate abrupt cost shifts.”</w:t>
      </w:r>
      <w:r w:rsidRPr="00D80201">
        <w:rPr>
          <w:rStyle w:val="FootnoteReference"/>
          <w:color w:val="000000"/>
        </w:rPr>
        <w:footnoteReference w:id="51"/>
      </w:r>
      <w:r w:rsidRPr="00D80201">
        <w:rPr>
          <w:color w:val="000000"/>
          <w:sz w:val="26"/>
          <w:szCs w:val="26"/>
        </w:rPr>
        <w:t xml:space="preserve"> Because “the use of transition periods are to mitigate large cost shifts and rate effects”</w:t>
      </w:r>
      <w:r w:rsidRPr="00D80201">
        <w:rPr>
          <w:rStyle w:val="FootnoteReference"/>
          <w:color w:val="000000"/>
        </w:rPr>
        <w:footnoteReference w:id="52"/>
      </w:r>
      <w:r w:rsidRPr="00D80201">
        <w:rPr>
          <w:color w:val="000000"/>
          <w:sz w:val="26"/>
          <w:szCs w:val="26"/>
        </w:rPr>
        <w:t xml:space="preserve"> the Commission mandated that the record should include “information on the overall impact of changes in transmission costs on the overall cost of electricity,”</w:t>
      </w:r>
      <w:r w:rsidRPr="00D80201">
        <w:rPr>
          <w:rStyle w:val="FootnoteReference"/>
          <w:color w:val="000000"/>
        </w:rPr>
        <w:footnoteReference w:id="53"/>
      </w:r>
      <w:r w:rsidRPr="00D80201">
        <w:rPr>
          <w:color w:val="000000"/>
          <w:sz w:val="26"/>
          <w:szCs w:val="26"/>
        </w:rPr>
        <w:t xml:space="preserve"> including “the context of transmission costs relative to the total cost of electricity.”</w:t>
      </w:r>
      <w:r w:rsidRPr="00D80201">
        <w:rPr>
          <w:rStyle w:val="FootnoteReference"/>
          <w:color w:val="000000"/>
        </w:rPr>
        <w:footnoteReference w:id="54"/>
      </w:r>
      <w:r w:rsidRPr="00D80201">
        <w:rPr>
          <w:color w:val="000000"/>
          <w:sz w:val="26"/>
          <w:szCs w:val="26"/>
        </w:rPr>
        <w:t xml:space="preserve">  </w:t>
      </w:r>
    </w:p>
    <w:p w14:paraId="4FFBB575" w14:textId="77777777" w:rsidR="00824130" w:rsidRPr="00D80201" w:rsidRDefault="00824130">
      <w:pPr>
        <w:pStyle w:val="BodyText"/>
        <w:rPr>
          <w:color w:val="000000"/>
          <w:sz w:val="26"/>
          <w:szCs w:val="26"/>
        </w:rPr>
      </w:pPr>
    </w:p>
    <w:p w14:paraId="066D31E2" w14:textId="77777777" w:rsidR="00824130" w:rsidRPr="00D80201" w:rsidRDefault="00824130">
      <w:pPr>
        <w:pStyle w:val="BodyText"/>
        <w:rPr>
          <w:color w:val="000000"/>
          <w:sz w:val="26"/>
          <w:szCs w:val="26"/>
        </w:rPr>
      </w:pPr>
      <w:r>
        <w:rPr>
          <w:color w:val="000000"/>
          <w:sz w:val="26"/>
          <w:szCs w:val="26"/>
        </w:rPr>
        <w:t>148.</w:t>
      </w:r>
      <w:r>
        <w:rPr>
          <w:color w:val="000000"/>
          <w:sz w:val="26"/>
          <w:szCs w:val="26"/>
        </w:rPr>
        <w:tab/>
      </w:r>
      <w:r w:rsidRPr="00D80201">
        <w:rPr>
          <w:color w:val="000000"/>
          <w:sz w:val="26"/>
          <w:szCs w:val="26"/>
        </w:rPr>
        <w:t xml:space="preserve">This directive elicited some estimates at hearing regarding the amount of rate shock to be expected from the proposed cost shift cap.  For example, SDG&amp;E witness Lucero pointed out in his testimony that if LADWP and other GEs do not join, the overall impact per MWh over a four-year period ranges from 0.40% to 0.52%.  Ex. SDGE-2 at </w:t>
      </w:r>
      <w:smartTag w:uri="urn:schemas-microsoft-com:office:smarttags" w:element="time">
        <w:smartTagPr>
          <w:attr w:name="Hour" w:val="12"/>
          <w:attr w:name="Minute" w:val="16"/>
        </w:smartTagPr>
        <w:r w:rsidRPr="00D80201">
          <w:rPr>
            <w:color w:val="000000"/>
            <w:sz w:val="26"/>
            <w:szCs w:val="26"/>
          </w:rPr>
          <w:t>12:16</w:t>
        </w:r>
      </w:smartTag>
      <w:r w:rsidRPr="00D80201">
        <w:rPr>
          <w:color w:val="000000"/>
          <w:sz w:val="26"/>
          <w:szCs w:val="26"/>
        </w:rPr>
        <w:t xml:space="preserve">.  Staff witness Patterson similarly determined that, given the unlikely scenario that all non-jurisdictional entities in </w:t>
      </w:r>
      <w:smartTag w:uri="urn:schemas-microsoft-com:office:smarttags" w:element="place">
        <w:smartTag w:uri="urn:schemas-microsoft-com:office:smarttags" w:element="State">
          <w:r w:rsidRPr="00D80201">
            <w:rPr>
              <w:color w:val="000000"/>
              <w:sz w:val="26"/>
              <w:szCs w:val="26"/>
            </w:rPr>
            <w:t>California</w:t>
          </w:r>
        </w:smartTag>
      </w:smartTag>
      <w:r w:rsidRPr="00D80201">
        <w:rPr>
          <w:color w:val="000000"/>
          <w:sz w:val="26"/>
          <w:szCs w:val="26"/>
        </w:rPr>
        <w:t xml:space="preserve"> would elect to join the ISO, the estimated average increase per MWh to the OPTOs’ retail customers would be appr</w:t>
      </w:r>
      <w:r>
        <w:rPr>
          <w:color w:val="000000"/>
          <w:sz w:val="26"/>
          <w:szCs w:val="26"/>
        </w:rPr>
        <w:t>oximately 0.40%.  S-5 at 28:25 – 2</w:t>
      </w:r>
      <w:r w:rsidRPr="00D80201">
        <w:rPr>
          <w:color w:val="000000"/>
          <w:sz w:val="26"/>
          <w:szCs w:val="26"/>
        </w:rPr>
        <w:t xml:space="preserve">9:3.  Even given full participation, the estimated cost shifts would be 1% at most.  </w:t>
      </w:r>
      <w:smartTag w:uri="urn:schemas-microsoft-com:office:smarttags" w:element="place">
        <w:smartTag w:uri="urn:schemas-microsoft-com:office:smarttags" w:element="State">
          <w:r w:rsidRPr="00D80201">
            <w:rPr>
              <w:color w:val="000000"/>
              <w:sz w:val="26"/>
              <w:szCs w:val="26"/>
              <w:u w:val="single"/>
            </w:rPr>
            <w:t>Id.</w:t>
          </w:r>
        </w:smartTag>
      </w:smartTag>
      <w:r w:rsidRPr="00D80201">
        <w:rPr>
          <w:color w:val="000000"/>
          <w:sz w:val="26"/>
          <w:szCs w:val="26"/>
        </w:rPr>
        <w:t xml:space="preserve">  </w:t>
      </w:r>
    </w:p>
    <w:p w14:paraId="261F5F8E" w14:textId="77777777" w:rsidR="00824130" w:rsidRPr="00D80201" w:rsidRDefault="00824130">
      <w:pPr>
        <w:pStyle w:val="BodyText"/>
        <w:rPr>
          <w:color w:val="000000"/>
          <w:sz w:val="26"/>
          <w:szCs w:val="26"/>
        </w:rPr>
      </w:pPr>
    </w:p>
    <w:p w14:paraId="1CA183C2" w14:textId="77777777" w:rsidR="00824130" w:rsidRPr="00D80201" w:rsidRDefault="00824130">
      <w:pPr>
        <w:pStyle w:val="BodyText"/>
        <w:rPr>
          <w:color w:val="000000"/>
          <w:sz w:val="26"/>
          <w:szCs w:val="26"/>
        </w:rPr>
      </w:pPr>
      <w:r>
        <w:rPr>
          <w:color w:val="000000"/>
          <w:sz w:val="26"/>
          <w:szCs w:val="26"/>
        </w:rPr>
        <w:t>149.</w:t>
      </w:r>
      <w:r>
        <w:rPr>
          <w:color w:val="000000"/>
          <w:sz w:val="26"/>
          <w:szCs w:val="26"/>
        </w:rPr>
        <w:tab/>
      </w:r>
      <w:r w:rsidRPr="00D80201">
        <w:rPr>
          <w:color w:val="000000"/>
          <w:sz w:val="26"/>
          <w:szCs w:val="26"/>
        </w:rPr>
        <w:t xml:space="preserve">Given these estimates, it is unlikely that the level of rate shock will occur to justify keeping the proposed cost shift cap.  PG&amp;E has contended that the Commission should examine the effects of rate shock only as it pertains to transmission, rather than energy costs as a whole, and estimates that OPTO customers could face transmission cost increases of between 20% to 50%.  Ex. PGE-5 at </w:t>
      </w:r>
      <w:smartTag w:uri="urn:schemas-microsoft-com:office:smarttags" w:element="time">
        <w:smartTagPr>
          <w:attr w:name="Hour" w:val="14"/>
          <w:attr w:name="Minute" w:val="14"/>
        </w:smartTagPr>
        <w:r w:rsidRPr="00D80201">
          <w:rPr>
            <w:color w:val="000000"/>
            <w:sz w:val="26"/>
            <w:szCs w:val="26"/>
          </w:rPr>
          <w:t>2:14</w:t>
        </w:r>
      </w:smartTag>
      <w:r w:rsidRPr="00D80201">
        <w:rPr>
          <w:color w:val="000000"/>
          <w:sz w:val="26"/>
          <w:szCs w:val="26"/>
        </w:rPr>
        <w:t xml:space="preserve"> – 3:3; Ex. PGE-5-1.  PG&amp;E’s argument to narrow the universe and thus increase the estimated rate shock is rejected.  The Commission’s mandate, as discussed above, was specific, and PG&amp;E’s estimate does not comply with it.  PG&amp;E’s cited cases, in which the Commission approved cost shift caps and transition periods to mitigate rate shock in transmission rates, also miss the point but for a different reason.  </w:t>
      </w:r>
      <w:r w:rsidRPr="00D80201">
        <w:rPr>
          <w:color w:val="000000"/>
          <w:sz w:val="26"/>
          <w:szCs w:val="26"/>
          <w:u w:val="single"/>
        </w:rPr>
        <w:t>GridFlorida, LLC</w:t>
      </w:r>
      <w:r w:rsidRPr="00D80201">
        <w:rPr>
          <w:color w:val="000000"/>
          <w:sz w:val="26"/>
          <w:szCs w:val="26"/>
        </w:rPr>
        <w:t xml:space="preserve">, 94 FERC ¶ 61,363 at 62,348-62,350 (2001); </w:t>
      </w:r>
      <w:r w:rsidRPr="00D80201">
        <w:rPr>
          <w:color w:val="000000"/>
          <w:sz w:val="26"/>
          <w:szCs w:val="26"/>
          <w:u w:val="single"/>
        </w:rPr>
        <w:t>Westconnect RTO, LLC</w:t>
      </w:r>
      <w:r w:rsidRPr="00D80201">
        <w:rPr>
          <w:color w:val="000000"/>
          <w:sz w:val="26"/>
          <w:szCs w:val="26"/>
        </w:rPr>
        <w:t xml:space="preserve">, 101 FERC ¶ 61,033 at PP 122, 139 (2002), </w:t>
      </w:r>
      <w:r w:rsidRPr="00D80201">
        <w:rPr>
          <w:color w:val="000000"/>
          <w:sz w:val="26"/>
          <w:szCs w:val="26"/>
          <w:u w:val="single"/>
        </w:rPr>
        <w:t>reh’g</w:t>
      </w:r>
      <w:r w:rsidRPr="00D80201">
        <w:rPr>
          <w:color w:val="000000"/>
          <w:sz w:val="26"/>
          <w:szCs w:val="26"/>
        </w:rPr>
        <w:t xml:space="preserve">, 101 FERC ¶ 61,350 (2002); </w:t>
      </w:r>
      <w:r w:rsidRPr="00D80201">
        <w:rPr>
          <w:color w:val="000000"/>
          <w:sz w:val="26"/>
          <w:szCs w:val="26"/>
          <w:u w:val="single"/>
        </w:rPr>
        <w:t>Alliance Companies</w:t>
      </w:r>
      <w:r w:rsidRPr="00D80201">
        <w:rPr>
          <w:color w:val="000000"/>
          <w:sz w:val="26"/>
          <w:szCs w:val="26"/>
        </w:rPr>
        <w:t>, 99 FERC ¶ 61,105 at 61,444 (2002).  While it is true that in all of those cases, the estimated amount of rate shock was similar to that estimated here in SDG&amp;E’s and Staff’s witness’ opinions, the transition period was shorter than that in the TAC.</w:t>
      </w:r>
      <w:r w:rsidRPr="00D80201">
        <w:rPr>
          <w:rStyle w:val="FootnoteReference"/>
          <w:color w:val="000000"/>
        </w:rPr>
        <w:footnoteReference w:id="55"/>
      </w:r>
      <w:r w:rsidRPr="00D80201">
        <w:rPr>
          <w:color w:val="000000"/>
          <w:sz w:val="26"/>
          <w:szCs w:val="26"/>
        </w:rPr>
        <w:t xml:space="preserve">  Here, the longer ten-year transition period will serve to mitigate any small amount of rate shock that does occur, and thus keeping the cost shift cap is unjustified.  </w:t>
      </w:r>
    </w:p>
    <w:p w14:paraId="7B4873A7" w14:textId="77777777" w:rsidR="00824130" w:rsidRPr="00D80201" w:rsidRDefault="00824130">
      <w:pPr>
        <w:pStyle w:val="BodyText"/>
        <w:rPr>
          <w:color w:val="000000"/>
          <w:sz w:val="26"/>
          <w:szCs w:val="26"/>
        </w:rPr>
      </w:pPr>
    </w:p>
    <w:p w14:paraId="2589C721" w14:textId="77777777" w:rsidR="00824130" w:rsidRPr="00D80201" w:rsidRDefault="00824130">
      <w:pPr>
        <w:pStyle w:val="BodyText"/>
        <w:rPr>
          <w:color w:val="000000"/>
          <w:sz w:val="26"/>
          <w:szCs w:val="26"/>
        </w:rPr>
      </w:pPr>
      <w:r>
        <w:rPr>
          <w:color w:val="000000"/>
          <w:sz w:val="26"/>
          <w:szCs w:val="26"/>
        </w:rPr>
        <w:t>150.</w:t>
      </w:r>
      <w:r>
        <w:rPr>
          <w:color w:val="000000"/>
          <w:sz w:val="26"/>
          <w:szCs w:val="26"/>
        </w:rPr>
        <w:tab/>
      </w:r>
      <w:r w:rsidRPr="00D80201">
        <w:rPr>
          <w:color w:val="000000"/>
          <w:sz w:val="26"/>
          <w:szCs w:val="26"/>
        </w:rPr>
        <w:t>The undersigned Presiding Judge also concurs with Staff witness Patterson’s recommendation that the cost shift cap be eliminated on a prospective basis:</w:t>
      </w:r>
    </w:p>
    <w:p w14:paraId="31A90166" w14:textId="77777777" w:rsidR="00824130" w:rsidRPr="00D80201" w:rsidRDefault="00824130">
      <w:pPr>
        <w:pStyle w:val="BodyText"/>
        <w:rPr>
          <w:color w:val="000000"/>
          <w:sz w:val="26"/>
          <w:szCs w:val="26"/>
        </w:rPr>
      </w:pPr>
    </w:p>
    <w:p w14:paraId="3BA779AD" w14:textId="77777777" w:rsidR="00824130" w:rsidRPr="00D80201" w:rsidRDefault="00824130">
      <w:pPr>
        <w:pStyle w:val="BodyText"/>
        <w:ind w:left="720"/>
        <w:rPr>
          <w:color w:val="000000"/>
          <w:sz w:val="26"/>
          <w:szCs w:val="26"/>
        </w:rPr>
      </w:pPr>
      <w:r w:rsidRPr="00D80201">
        <w:rPr>
          <w:color w:val="000000"/>
          <w:sz w:val="26"/>
          <w:szCs w:val="26"/>
        </w:rPr>
        <w:t>I do not believe the proposed cost shift caps are necessary, or for that matter, likely to be effective.  As I previously testified, the proposed Transition Charge used to implement the cost shift caps tends to perpetuate the gap between the transmission charges the Original Participating TOs’ retail ratepayers will pay during the Transition Period. . . . . the proposed Transition Charge is based on a level of cost shift caps that is supported only by the stated belief of ISO Board-appointed negotiating group end-user representatives that the $72 million total was that amount that could be approved in any type of rate proceeding.  Furthermore, unless more entities choose to become Participating TOs, the cost shift caps only serve to shift the increased costs among the Original Participating TOs.  For all of these reasons, I recommend that the cost shift caps be eliminated on a prospective basis.</w:t>
      </w:r>
    </w:p>
    <w:p w14:paraId="22F3B099" w14:textId="77777777" w:rsidR="00824130" w:rsidRPr="00D80201" w:rsidRDefault="00824130">
      <w:pPr>
        <w:pStyle w:val="BodyText"/>
        <w:rPr>
          <w:color w:val="000000"/>
          <w:sz w:val="26"/>
          <w:szCs w:val="26"/>
        </w:rPr>
      </w:pPr>
    </w:p>
    <w:p w14:paraId="79CAB3BF" w14:textId="77777777" w:rsidR="00824130" w:rsidRPr="00D80201" w:rsidRDefault="00824130">
      <w:pPr>
        <w:pStyle w:val="BodyText"/>
        <w:rPr>
          <w:color w:val="000000"/>
          <w:sz w:val="26"/>
          <w:szCs w:val="26"/>
        </w:rPr>
      </w:pPr>
      <w:r w:rsidRPr="00D80201">
        <w:rPr>
          <w:color w:val="000000"/>
          <w:sz w:val="26"/>
          <w:szCs w:val="26"/>
        </w:rPr>
        <w:t>Ex. S-5 at 29:10 – 30:2.  The cost shift cap has not yet been exceeded.  Ex. S-5 at 24:10 – 25:1.  Thus, it makes sense to eliminate the cost shift cap on a prospective basis.</w:t>
      </w:r>
    </w:p>
    <w:p w14:paraId="705EA23E" w14:textId="77777777" w:rsidR="00824130" w:rsidRPr="00D80201" w:rsidRDefault="00824130">
      <w:pPr>
        <w:pStyle w:val="BodyText"/>
        <w:rPr>
          <w:color w:val="000000"/>
          <w:sz w:val="26"/>
          <w:szCs w:val="26"/>
        </w:rPr>
      </w:pPr>
    </w:p>
    <w:p w14:paraId="7983081A" w14:textId="77777777" w:rsidR="00824130" w:rsidRDefault="00824130">
      <w:pPr>
        <w:pStyle w:val="BodyText"/>
        <w:rPr>
          <w:color w:val="000000"/>
          <w:sz w:val="26"/>
          <w:szCs w:val="26"/>
        </w:rPr>
      </w:pPr>
      <w:r>
        <w:rPr>
          <w:color w:val="000000"/>
          <w:sz w:val="26"/>
          <w:szCs w:val="26"/>
        </w:rPr>
        <w:t>151.</w:t>
      </w:r>
      <w:r>
        <w:rPr>
          <w:color w:val="000000"/>
          <w:sz w:val="26"/>
          <w:szCs w:val="26"/>
        </w:rPr>
        <w:tab/>
      </w:r>
      <w:r w:rsidRPr="00D80201">
        <w:rPr>
          <w:color w:val="000000"/>
          <w:sz w:val="26"/>
          <w:szCs w:val="26"/>
        </w:rPr>
        <w:t xml:space="preserve">Rejection of the cost shift cap places into question whether the “hold harmless” provision should be similarly rejected. The ISO has described the “hold harmless” provision as a feature of the transition mechanism which essentially provides new PTOs with a cost shift cap of $0 because if the TRR of a new PTO results in a utility-specific rate that is less than the access charge it would pay, then this provision ensures that the new PTO would only pay the utility-specific rate.  The ISO has emphasized that the combination of the various features of the transition mechanism were carefully designed to encompass a balance of benefits and burdens; the removal of the cost shift cap disturbs that balance in favor of the new PTOs to the detriment of the old PTOs.  As PG&amp;E has argued, removing the cost shift cap while retaining the “hold harmless” provision would essentially protect new PTOs’ customers from a cost shift and not provide the same for the OPTOs’ customers, who would then pay increased rates to compensate any new PTO whose transmission rates are greater than the TAC rate as a result of joining the ISO.  PG&amp;E Initial Brief at 6, 21.  Other parties seem to concur that there is little reason for the “hold harmless” provision to exist because its applicability is so limited.  </w:t>
      </w:r>
      <w:r w:rsidRPr="00D80201">
        <w:rPr>
          <w:color w:val="000000"/>
          <w:sz w:val="26"/>
          <w:szCs w:val="26"/>
          <w:u w:val="single"/>
        </w:rPr>
        <w:t>See</w:t>
      </w:r>
      <w:r w:rsidRPr="00D80201">
        <w:rPr>
          <w:color w:val="000000"/>
          <w:sz w:val="26"/>
          <w:szCs w:val="26"/>
        </w:rPr>
        <w:t xml:space="preserve">, </w:t>
      </w:r>
      <w:r w:rsidRPr="00D80201">
        <w:rPr>
          <w:color w:val="000000"/>
          <w:sz w:val="26"/>
          <w:szCs w:val="26"/>
          <w:u w:val="single"/>
        </w:rPr>
        <w:t>e.g.</w:t>
      </w:r>
      <w:r w:rsidRPr="00D80201">
        <w:rPr>
          <w:color w:val="000000"/>
          <w:sz w:val="26"/>
          <w:szCs w:val="26"/>
        </w:rPr>
        <w:t xml:space="preserve">, SDG&amp;E Initial Brief at 8; Vernon Initial Brief at 32, </w:t>
      </w:r>
      <w:r w:rsidRPr="00D80201">
        <w:rPr>
          <w:color w:val="000000"/>
          <w:sz w:val="26"/>
          <w:szCs w:val="26"/>
          <w:u w:val="single"/>
        </w:rPr>
        <w:t>citing</w:t>
      </w:r>
      <w:r w:rsidRPr="00D80201">
        <w:rPr>
          <w:color w:val="000000"/>
          <w:sz w:val="26"/>
          <w:szCs w:val="26"/>
        </w:rPr>
        <w:t xml:space="preserve"> Tr. 2611-18.  A finding that the cost shift cap is unjustified and should be rejected also supports a finding that the “hold harmless” provision should be similarly rejected.  </w:t>
      </w:r>
    </w:p>
    <w:p w14:paraId="32DAB6B8" w14:textId="77777777" w:rsidR="00824130" w:rsidRPr="00D80201" w:rsidRDefault="00824130">
      <w:pPr>
        <w:pStyle w:val="BodyText"/>
        <w:rPr>
          <w:color w:val="000000"/>
          <w:sz w:val="26"/>
          <w:szCs w:val="26"/>
        </w:rPr>
      </w:pPr>
    </w:p>
    <w:p w14:paraId="0BA092A1" w14:textId="77777777" w:rsidR="00824130" w:rsidRPr="00D80201" w:rsidRDefault="00824130">
      <w:pPr>
        <w:widowControl/>
        <w:numPr>
          <w:ilvl w:val="0"/>
          <w:numId w:val="20"/>
        </w:numPr>
        <w:autoSpaceDE/>
        <w:autoSpaceDN/>
        <w:adjustRightInd/>
        <w:rPr>
          <w:rFonts w:ascii="Times New Roman Bold" w:hAnsi="Times New Roman Bold"/>
          <w:b/>
          <w:color w:val="000000"/>
          <w:szCs w:val="26"/>
        </w:rPr>
      </w:pPr>
      <w:r w:rsidRPr="00D80201">
        <w:rPr>
          <w:rFonts w:ascii="Times New Roman Bold" w:hAnsi="Times New Roman Bold"/>
          <w:b/>
          <w:color w:val="000000"/>
          <w:szCs w:val="26"/>
        </w:rPr>
        <w:t>If the proposed “cost shift” is unjust, unreasonable, and unduly discriminatory, whether a different “cost shift” cap or transition period is just, reasonable, and not unduly discriminatory.</w:t>
      </w:r>
    </w:p>
    <w:p w14:paraId="2A25DF8A" w14:textId="77777777" w:rsidR="00824130" w:rsidRPr="00D80201" w:rsidRDefault="00824130">
      <w:pPr>
        <w:rPr>
          <w:rFonts w:ascii="Times New Roman Bold" w:hAnsi="Times New Roman Bold"/>
          <w:b/>
          <w:color w:val="000000"/>
          <w:szCs w:val="26"/>
        </w:rPr>
      </w:pPr>
    </w:p>
    <w:p w14:paraId="09FD7BB1" w14:textId="77777777" w:rsidR="00824130" w:rsidRPr="00D80201" w:rsidRDefault="00824130">
      <w:pPr>
        <w:ind w:left="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5C7EDE83" w14:textId="77777777" w:rsidR="00824130" w:rsidRPr="00D80201" w:rsidRDefault="00824130">
      <w:pPr>
        <w:rPr>
          <w:rFonts w:ascii="Times New Roman Bold" w:hAnsi="Times New Roman Bold"/>
          <w:b/>
          <w:color w:val="000000"/>
          <w:szCs w:val="26"/>
        </w:rPr>
      </w:pPr>
    </w:p>
    <w:p w14:paraId="0A2B1DB0" w14:textId="77777777" w:rsidR="00824130" w:rsidRDefault="00824130">
      <w:pPr>
        <w:pStyle w:val="BodyTextIndent"/>
        <w:spacing w:after="0"/>
        <w:ind w:left="0"/>
      </w:pPr>
      <w:r>
        <w:t>152.</w:t>
      </w:r>
      <w:r>
        <w:tab/>
      </w:r>
      <w:r w:rsidRPr="00D80201">
        <w:t>Staff argues that the cost shift cap is unreasonable.  In addition, Staff witness Patterson recommends keeping the transition charge mechanism for use in case a new PTO, with rates which are less than the combined TAC rate for existing high voltage facilities, joined the ISO so that the hold harmless provision would come into play.   According to Staff, parties such as SCE, EOB, and PG&amp;E have advocated changing the term of the transition mechanism to compensate for Amendment No. 49 changing the transition mechanism in one way, such as the elimination of the buy-down proposal.  In response, Staff points out that Amendment No. 49 has changed the transition mechanism in several ways, and argues that advocating for change based on one factor alone without considering others is unreasonable.</w:t>
      </w:r>
    </w:p>
    <w:p w14:paraId="331E911A" w14:textId="77777777" w:rsidR="00824130" w:rsidRDefault="00824130">
      <w:pPr>
        <w:pStyle w:val="BodyTextIndent"/>
        <w:spacing w:after="0"/>
        <w:ind w:left="0"/>
      </w:pPr>
    </w:p>
    <w:p w14:paraId="36B153B5" w14:textId="77777777" w:rsidR="00824130" w:rsidRDefault="00824130">
      <w:pPr>
        <w:pStyle w:val="BodyTextIndent"/>
        <w:spacing w:after="0"/>
        <w:ind w:left="0"/>
        <w:rPr>
          <w:color w:val="000000"/>
          <w:szCs w:val="26"/>
        </w:rPr>
      </w:pPr>
      <w:r>
        <w:t>153.</w:t>
      </w:r>
      <w:r>
        <w:tab/>
      </w:r>
      <w:r w:rsidRPr="00D80201">
        <w:t xml:space="preserve">SCE argues that the Commission’s elimination of the buy-down provision from the TAC proposal has resulted in increased costs to the OPTOs, and thus SCE has proposed changes to lower the cost shift caps and raise the transition period to account for the difference.  Ex. SCE-1 at 22 – 23; Ex. SCE-5 at 40 – 43.  </w:t>
      </w:r>
    </w:p>
    <w:p w14:paraId="4BE5289C" w14:textId="77777777" w:rsidR="00824130" w:rsidRPr="00D80201" w:rsidRDefault="00824130">
      <w:pPr>
        <w:rPr>
          <w:color w:val="000000"/>
          <w:szCs w:val="26"/>
        </w:rPr>
      </w:pPr>
    </w:p>
    <w:p w14:paraId="3153CB0E" w14:textId="77777777" w:rsidR="00824130" w:rsidRPr="00D80201" w:rsidRDefault="00824130">
      <w:pPr>
        <w:rPr>
          <w:color w:val="000000"/>
          <w:szCs w:val="26"/>
        </w:rPr>
      </w:pPr>
      <w:r>
        <w:rPr>
          <w:color w:val="000000"/>
          <w:szCs w:val="26"/>
        </w:rPr>
        <w:t>154.</w:t>
      </w:r>
      <w:r>
        <w:rPr>
          <w:color w:val="000000"/>
          <w:szCs w:val="26"/>
        </w:rPr>
        <w:tab/>
      </w:r>
      <w:r w:rsidRPr="00D80201">
        <w:rPr>
          <w:color w:val="000000"/>
          <w:szCs w:val="26"/>
        </w:rPr>
        <w:t xml:space="preserve">While PG&amp;E supports a cost shift cap, it proposes modifying the cost shift cap so that a new PTO cannot recover more than 25% of its TRR from the OPTO customers.  Addressing arguments from Staff and SC against PG&amp;E’s proposal, PG&amp;E contends that the elimination of certain elements from Amendment No. 27 does not compensate the PTOs for the elimination of the buy-down proposal, and maintains that PG&amp;E’s proposal will provide incentive to new potential PTOs to join the ISO while balancing the </w:t>
      </w:r>
      <w:r>
        <w:rPr>
          <w:color w:val="000000"/>
          <w:szCs w:val="26"/>
        </w:rPr>
        <w:t>burden on OPTO customers.  PG&amp;E</w:t>
      </w:r>
      <w:r w:rsidRPr="00D80201">
        <w:rPr>
          <w:color w:val="000000"/>
          <w:szCs w:val="26"/>
        </w:rPr>
        <w:t xml:space="preserve"> Reply Brief at 18 – 19.</w:t>
      </w:r>
    </w:p>
    <w:p w14:paraId="76A19E84" w14:textId="77777777" w:rsidR="00824130" w:rsidRPr="00D80201" w:rsidRDefault="00824130">
      <w:pPr>
        <w:ind w:firstLine="720"/>
        <w:rPr>
          <w:color w:val="000000"/>
          <w:szCs w:val="26"/>
        </w:rPr>
      </w:pPr>
    </w:p>
    <w:p w14:paraId="314B2444" w14:textId="77777777" w:rsidR="00824130" w:rsidRPr="00D80201" w:rsidRDefault="00824130">
      <w:pPr>
        <w:rPr>
          <w:color w:val="000000"/>
          <w:szCs w:val="26"/>
        </w:rPr>
      </w:pPr>
      <w:r>
        <w:rPr>
          <w:color w:val="000000"/>
          <w:szCs w:val="26"/>
        </w:rPr>
        <w:t>155.</w:t>
      </w:r>
      <w:r>
        <w:rPr>
          <w:color w:val="000000"/>
          <w:szCs w:val="26"/>
        </w:rPr>
        <w:tab/>
      </w:r>
      <w:r w:rsidRPr="00D80201">
        <w:rPr>
          <w:color w:val="000000"/>
          <w:szCs w:val="26"/>
        </w:rPr>
        <w:t>SDG&amp;E contends that the entire transition charge mechanism should be eliminated because justifications for it are not supported by substantial evidence.  SDG&amp;E argues that the transition period has already been approved as just, reasonable, and not unduly discriminatory by the Commission; accordingly, SDG&amp;E contends that any additional changes, such as the transition charge mechanism, must be supported by substantial evidence.</w:t>
      </w:r>
      <w:r w:rsidRPr="00D80201">
        <w:rPr>
          <w:rStyle w:val="FootnoteReference"/>
          <w:color w:val="000000"/>
        </w:rPr>
        <w:footnoteReference w:id="56"/>
      </w:r>
    </w:p>
    <w:p w14:paraId="2ABB175A" w14:textId="77777777" w:rsidR="00824130" w:rsidRPr="00D80201" w:rsidRDefault="00824130">
      <w:pPr>
        <w:rPr>
          <w:color w:val="000000"/>
          <w:szCs w:val="26"/>
        </w:rPr>
      </w:pPr>
      <w:r>
        <w:rPr>
          <w:color w:val="000000"/>
          <w:szCs w:val="26"/>
        </w:rPr>
        <w:t>156.</w:t>
      </w:r>
      <w:r>
        <w:rPr>
          <w:color w:val="000000"/>
          <w:szCs w:val="26"/>
        </w:rPr>
        <w:tab/>
      </w:r>
      <w:r w:rsidRPr="00D80201">
        <w:rPr>
          <w:color w:val="000000"/>
          <w:szCs w:val="26"/>
        </w:rPr>
        <w:t xml:space="preserve">TANC and MID essentially assert that any cost shift cap is unjust, unreasonable, and unduly discriminatory for the same reasons that it argued against the current cost shift cap.  </w:t>
      </w:r>
    </w:p>
    <w:p w14:paraId="667B9895" w14:textId="77777777" w:rsidR="00824130" w:rsidRPr="00D80201" w:rsidRDefault="00824130">
      <w:pPr>
        <w:rPr>
          <w:color w:val="000000"/>
          <w:szCs w:val="26"/>
        </w:rPr>
      </w:pPr>
    </w:p>
    <w:p w14:paraId="2E997182" w14:textId="77777777" w:rsidR="00824130" w:rsidRPr="00D80201" w:rsidRDefault="00824130">
      <w:pPr>
        <w:rPr>
          <w:color w:val="000000"/>
          <w:szCs w:val="26"/>
        </w:rPr>
      </w:pPr>
      <w:r>
        <w:rPr>
          <w:color w:val="000000"/>
          <w:szCs w:val="26"/>
        </w:rPr>
        <w:t>157.</w:t>
      </w:r>
      <w:r>
        <w:rPr>
          <w:color w:val="000000"/>
          <w:szCs w:val="26"/>
        </w:rPr>
        <w:tab/>
      </w:r>
      <w:r w:rsidRPr="00D80201">
        <w:rPr>
          <w:color w:val="000000"/>
          <w:szCs w:val="26"/>
        </w:rPr>
        <w:t xml:space="preserve">NCPA’s position is that the same defects that apply to the ISO’s proposal also apply to SCE’s and PG&amp;E’s proposals.  Thus, NCPA argues for elimination of the cost shift cap altogether.  </w:t>
      </w:r>
    </w:p>
    <w:p w14:paraId="4FA458D9" w14:textId="77777777" w:rsidR="00824130" w:rsidRPr="00D80201" w:rsidRDefault="00824130">
      <w:pPr>
        <w:ind w:firstLine="720"/>
        <w:rPr>
          <w:color w:val="000000"/>
          <w:szCs w:val="26"/>
        </w:rPr>
      </w:pPr>
    </w:p>
    <w:p w14:paraId="6EF167C1" w14:textId="77777777" w:rsidR="00824130" w:rsidRPr="00D80201" w:rsidRDefault="00824130">
      <w:pPr>
        <w:rPr>
          <w:color w:val="000000"/>
          <w:szCs w:val="26"/>
        </w:rPr>
      </w:pPr>
      <w:r>
        <w:rPr>
          <w:color w:val="000000"/>
          <w:szCs w:val="26"/>
        </w:rPr>
        <w:t>158.</w:t>
      </w:r>
      <w:r>
        <w:rPr>
          <w:color w:val="000000"/>
          <w:szCs w:val="26"/>
        </w:rPr>
        <w:tab/>
      </w:r>
      <w:r w:rsidRPr="00D80201">
        <w:rPr>
          <w:color w:val="000000"/>
          <w:szCs w:val="26"/>
        </w:rPr>
        <w:t xml:space="preserve">SC opposes any alternate cost shift cap for the same reasons that it opposed the cost shift cap in this proceeding, and also opposes lengthening the transition period because, SC contends, the proposal is based on faulty assumptions about the nature of the cost shift cap and the propriety of the buydown provision.  </w:t>
      </w:r>
    </w:p>
    <w:p w14:paraId="3E2638AC" w14:textId="77777777" w:rsidR="00824130" w:rsidRPr="00D80201" w:rsidRDefault="00824130">
      <w:pPr>
        <w:ind w:firstLine="720"/>
        <w:rPr>
          <w:color w:val="000000"/>
          <w:szCs w:val="26"/>
        </w:rPr>
      </w:pPr>
    </w:p>
    <w:p w14:paraId="5B58E524" w14:textId="77777777" w:rsidR="00824130" w:rsidRPr="00D80201" w:rsidRDefault="00824130">
      <w:pPr>
        <w:rPr>
          <w:color w:val="000000"/>
          <w:szCs w:val="26"/>
        </w:rPr>
      </w:pPr>
      <w:r>
        <w:rPr>
          <w:color w:val="000000"/>
          <w:szCs w:val="26"/>
        </w:rPr>
        <w:t>159.</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contends that the record does not support an increase in the length of the transition period.  Ex. VER-13 at 14 – 15; Ex.S-5 at 15 – 16.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also opposes a suggestion by PG&amp;E that the Commission require the ISO to reevaluate the TAC in 2008.  PG&amp;E Initial Brief at 14.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’s position is that such a reevaluation might lead to an extension of the transition period and thus add uncertainty to the implementation date of </w:t>
      </w:r>
      <w:r>
        <w:rPr>
          <w:color w:val="000000"/>
          <w:szCs w:val="26"/>
        </w:rPr>
        <w:t>grid wide</w:t>
      </w:r>
      <w:r w:rsidRPr="00D80201">
        <w:rPr>
          <w:color w:val="000000"/>
          <w:szCs w:val="26"/>
        </w:rPr>
        <w:t xml:space="preserve"> rates.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Reply Brief at 39.  </w:t>
      </w:r>
    </w:p>
    <w:p w14:paraId="7C5B7AEE" w14:textId="77777777" w:rsidR="00824130" w:rsidRPr="00D80201" w:rsidRDefault="00824130">
      <w:pPr>
        <w:ind w:firstLine="720"/>
        <w:rPr>
          <w:color w:val="000000"/>
          <w:szCs w:val="26"/>
        </w:rPr>
      </w:pPr>
    </w:p>
    <w:p w14:paraId="5C87E908" w14:textId="77777777" w:rsidR="00824130" w:rsidRPr="00D80201" w:rsidRDefault="00824130">
      <w:pPr>
        <w:rPr>
          <w:bCs/>
          <w:color w:val="000000"/>
          <w:szCs w:val="26"/>
        </w:rPr>
      </w:pPr>
      <w:r>
        <w:rPr>
          <w:bCs/>
          <w:color w:val="000000"/>
          <w:szCs w:val="26"/>
        </w:rPr>
        <w:t>160.</w:t>
      </w:r>
      <w:r>
        <w:rPr>
          <w:bCs/>
          <w:color w:val="000000"/>
          <w:szCs w:val="26"/>
        </w:rPr>
        <w:tab/>
      </w:r>
      <w:r w:rsidRPr="00D80201">
        <w:rPr>
          <w:bCs/>
          <w:color w:val="000000"/>
          <w:szCs w:val="26"/>
        </w:rPr>
        <w:t xml:space="preserve">While the EOB supports the cost shift cap, it nevertheless asserts that the cost shift cap mechanism can be improved to better reflect an equitable balance of benefits and burdens.  Specifically, the EOB believes an incremental improvement to the TAC methodology would be to limit the annual cost shift benefit a new PTO can receive during the transition period to the estimated annual cost shift benefit it would have received if all potential new PTOs actually joined the ISO.  Ex. EOB-1 at </w:t>
      </w:r>
      <w:smartTag w:uri="urn:schemas-microsoft-com:office:smarttags" w:element="time">
        <w:smartTagPr>
          <w:attr w:name="Hour" w:val="19"/>
          <w:attr w:name="Minute" w:val="11"/>
        </w:smartTagPr>
        <w:r w:rsidRPr="00D80201">
          <w:rPr>
            <w:bCs/>
            <w:color w:val="000000"/>
            <w:szCs w:val="26"/>
          </w:rPr>
          <w:t>7:11</w:t>
        </w:r>
      </w:smartTag>
      <w:r w:rsidRPr="00D80201">
        <w:rPr>
          <w:bCs/>
          <w:color w:val="000000"/>
          <w:szCs w:val="26"/>
        </w:rPr>
        <w:t xml:space="preserve"> – 21.  The EOB states that the new PTO specific benefit cap would be equal to the estimated annual cost shift benefit estimates shown in E</w:t>
      </w:r>
      <w:r>
        <w:rPr>
          <w:bCs/>
          <w:color w:val="000000"/>
          <w:szCs w:val="26"/>
        </w:rPr>
        <w:t>xhibit</w:t>
      </w:r>
      <w:r w:rsidRPr="00D80201">
        <w:rPr>
          <w:bCs/>
          <w:color w:val="000000"/>
          <w:szCs w:val="26"/>
        </w:rPr>
        <w:t xml:space="preserve"> ISO-21 at page 18.  In addition, the EOB supports extending the transition period.  Ex. EOB-1 at 8:4 – 7.  </w:t>
      </w:r>
    </w:p>
    <w:p w14:paraId="6503B963" w14:textId="77777777" w:rsidR="00824130" w:rsidRPr="00D80201" w:rsidRDefault="00824130">
      <w:pPr>
        <w:rPr>
          <w:bCs/>
          <w:color w:val="000000"/>
          <w:szCs w:val="26"/>
        </w:rPr>
      </w:pPr>
    </w:p>
    <w:p w14:paraId="5AEBF0DE" w14:textId="77777777" w:rsidR="00824130" w:rsidRPr="00D80201" w:rsidRDefault="00824130">
      <w:pPr>
        <w:ind w:firstLine="720"/>
        <w:rPr>
          <w:rFonts w:ascii="Times New Roman Bold" w:hAnsi="Times New Roman Bold"/>
          <w:b/>
          <w:bCs/>
          <w:color w:val="000000"/>
          <w:szCs w:val="26"/>
        </w:rPr>
      </w:pPr>
      <w:r w:rsidRPr="00D80201">
        <w:rPr>
          <w:rFonts w:ascii="Times New Roman Bold" w:hAnsi="Times New Roman Bold"/>
          <w:b/>
          <w:bCs/>
          <w:color w:val="000000"/>
          <w:szCs w:val="26"/>
        </w:rPr>
        <w:t>Discussion and Findings</w:t>
      </w:r>
    </w:p>
    <w:p w14:paraId="28844FB0" w14:textId="77777777" w:rsidR="00824130" w:rsidRPr="00D80201" w:rsidRDefault="00824130">
      <w:pPr>
        <w:rPr>
          <w:rFonts w:ascii="Times New Roman Bold" w:hAnsi="Times New Roman Bold"/>
          <w:b/>
          <w:bCs/>
          <w:color w:val="000000"/>
          <w:szCs w:val="26"/>
        </w:rPr>
      </w:pPr>
    </w:p>
    <w:p w14:paraId="76F1E102" w14:textId="77777777" w:rsidR="00824130" w:rsidRPr="00D80201" w:rsidRDefault="00824130">
      <w:pPr>
        <w:rPr>
          <w:bCs/>
          <w:color w:val="000000"/>
          <w:szCs w:val="26"/>
        </w:rPr>
      </w:pPr>
      <w:r>
        <w:rPr>
          <w:bCs/>
          <w:color w:val="000000"/>
          <w:szCs w:val="26"/>
        </w:rPr>
        <w:t>161.</w:t>
      </w:r>
      <w:r>
        <w:rPr>
          <w:bCs/>
          <w:color w:val="000000"/>
          <w:szCs w:val="26"/>
        </w:rPr>
        <w:tab/>
      </w:r>
      <w:r w:rsidRPr="00D80201">
        <w:rPr>
          <w:bCs/>
          <w:color w:val="000000"/>
          <w:szCs w:val="26"/>
        </w:rPr>
        <w:t xml:space="preserve">As discussed above, the record evidence does not demonstrate that rate shock sufficient to justify a cost shift cap is likely to occur, especially in light of a ten-year transition period.  </w:t>
      </w:r>
    </w:p>
    <w:p w14:paraId="38521445" w14:textId="77777777" w:rsidR="00824130" w:rsidRPr="00D80201" w:rsidRDefault="00824130">
      <w:pPr>
        <w:rPr>
          <w:bCs/>
          <w:color w:val="000000"/>
          <w:szCs w:val="26"/>
        </w:rPr>
      </w:pPr>
    </w:p>
    <w:p w14:paraId="3FE06F5C" w14:textId="77777777" w:rsidR="00824130" w:rsidRPr="00D80201" w:rsidRDefault="00824130">
      <w:pPr>
        <w:rPr>
          <w:color w:val="000000"/>
          <w:szCs w:val="26"/>
        </w:rPr>
      </w:pPr>
      <w:r>
        <w:rPr>
          <w:bCs/>
          <w:color w:val="000000"/>
          <w:szCs w:val="26"/>
        </w:rPr>
        <w:t>162.</w:t>
      </w:r>
      <w:r>
        <w:rPr>
          <w:bCs/>
          <w:color w:val="000000"/>
          <w:szCs w:val="26"/>
        </w:rPr>
        <w:tab/>
      </w:r>
      <w:r w:rsidRPr="00D80201">
        <w:rPr>
          <w:bCs/>
          <w:color w:val="000000"/>
          <w:szCs w:val="26"/>
        </w:rPr>
        <w:t xml:space="preserve">In anticipation that the cost shift cap in the TAC proposal might be found unjust, unreasonable or unduly discriminatory, some parties have suggested alternate cost shift caps.  For example, PG&amp;E has proposed an alternative cost shift cap of 25% of each new PTO’s HVTRR.  Ex. PGE-5 at </w:t>
      </w:r>
      <w:smartTag w:uri="urn:schemas-microsoft-com:office:smarttags" w:element="time">
        <w:smartTagPr>
          <w:attr w:name="Hour" w:val="15"/>
          <w:attr w:name="Minute" w:val="14"/>
        </w:smartTagPr>
        <w:r w:rsidRPr="00D80201">
          <w:rPr>
            <w:bCs/>
            <w:color w:val="000000"/>
            <w:szCs w:val="26"/>
          </w:rPr>
          <w:t>3:14</w:t>
        </w:r>
      </w:smartTag>
      <w:r w:rsidRPr="00D80201">
        <w:rPr>
          <w:bCs/>
          <w:color w:val="000000"/>
          <w:szCs w:val="26"/>
        </w:rPr>
        <w:t xml:space="preserve"> – 18.  SCE has also proposed a lower cost shift cap of either $20 million each for SCE and PG&amp;E and $5 million for SDG&amp;E, or cost shift caps of $6 million each for SCE and PG&amp;E</w:t>
      </w:r>
      <w:r>
        <w:rPr>
          <w:bCs/>
          <w:color w:val="000000"/>
          <w:szCs w:val="26"/>
        </w:rPr>
        <w:t xml:space="preserve"> and $2 million for SDG&amp;E if no</w:t>
      </w:r>
      <w:r w:rsidRPr="00D80201">
        <w:rPr>
          <w:bCs/>
          <w:color w:val="000000"/>
          <w:szCs w:val="26"/>
        </w:rPr>
        <w:t xml:space="preserve"> new PTOs join the ISO; in combination with a lower cost shift cap, SCE has also proposed a longer transition period of 12 years.  </w:t>
      </w:r>
      <w:r w:rsidRPr="00D80201">
        <w:rPr>
          <w:color w:val="000000"/>
          <w:szCs w:val="26"/>
        </w:rPr>
        <w:t xml:space="preserve">Ex. SCE-1 at 22 – 23; Ex. SCE-5 at 40 – 43.  </w:t>
      </w:r>
    </w:p>
    <w:p w14:paraId="201D0387" w14:textId="77777777" w:rsidR="00824130" w:rsidRPr="00D80201" w:rsidRDefault="00824130">
      <w:pPr>
        <w:rPr>
          <w:bCs/>
          <w:color w:val="000000"/>
          <w:szCs w:val="26"/>
        </w:rPr>
      </w:pPr>
      <w:r w:rsidRPr="00D80201">
        <w:rPr>
          <w:bCs/>
          <w:color w:val="000000"/>
          <w:szCs w:val="26"/>
        </w:rPr>
        <w:t xml:space="preserve">The EOB also supports extending the transition period for an unspecified period of time.  Ex. EOB-1 at </w:t>
      </w:r>
      <w:smartTag w:uri="urn:schemas-microsoft-com:office:smarttags" w:element="time">
        <w:smartTagPr>
          <w:attr w:name="Hour" w:val="19"/>
          <w:attr w:name="Minute" w:val="13"/>
        </w:smartTagPr>
        <w:r w:rsidRPr="00D80201">
          <w:rPr>
            <w:bCs/>
            <w:color w:val="000000"/>
            <w:szCs w:val="26"/>
          </w:rPr>
          <w:t>7:13</w:t>
        </w:r>
      </w:smartTag>
      <w:r w:rsidRPr="00D80201">
        <w:rPr>
          <w:bCs/>
          <w:color w:val="000000"/>
          <w:szCs w:val="26"/>
        </w:rPr>
        <w:t xml:space="preserve"> – 8:7.  </w:t>
      </w:r>
    </w:p>
    <w:p w14:paraId="141D0320" w14:textId="77777777" w:rsidR="00824130" w:rsidRPr="00D80201" w:rsidRDefault="00824130">
      <w:pPr>
        <w:rPr>
          <w:bCs/>
          <w:color w:val="000000"/>
          <w:szCs w:val="26"/>
        </w:rPr>
      </w:pPr>
    </w:p>
    <w:p w14:paraId="380D9521" w14:textId="77777777" w:rsidR="00824130" w:rsidRPr="00D80201" w:rsidRDefault="00824130">
      <w:pPr>
        <w:pStyle w:val="FERCparanumber"/>
        <w:widowControl/>
        <w:numPr>
          <w:ilvl w:val="0"/>
          <w:numId w:val="0"/>
        </w:numPr>
        <w:autoSpaceDE/>
        <w:autoSpaceDN/>
        <w:adjustRightInd/>
        <w:rPr>
          <w:color w:val="000000"/>
          <w:szCs w:val="26"/>
        </w:rPr>
      </w:pPr>
      <w:r>
        <w:rPr>
          <w:color w:val="000000"/>
          <w:szCs w:val="26"/>
        </w:rPr>
        <w:t>163.</w:t>
      </w:r>
      <w:r>
        <w:rPr>
          <w:color w:val="000000"/>
          <w:szCs w:val="26"/>
        </w:rPr>
        <w:tab/>
      </w:r>
      <w:r w:rsidRPr="00D80201">
        <w:rPr>
          <w:color w:val="000000"/>
          <w:szCs w:val="26"/>
        </w:rPr>
        <w:t xml:space="preserve">Alternate proposals to retain a cost shift cap, albeit a lower one, rest on the rationale that several components of the TAC have changed since its proposal.  For instance, SCE contends that a transition charge mechanism modified in the way described above would “compensate” OPTOs for portions of the TAC that would have benefited the OPTOs but have been removed, such as the buy-down proposal.  However, as previously discussed in the relevant factors section, several portions of the TAC have been removed or modified since its proposal.  The original “equitable balance of benefits and costs contained in Amendment No. 27” has already been replaced by subsequent amendments.  The TAC must be evaluated as the package that it is today, not the package it is today compared to how it was when it was proposed.  And as of today, the record does not demonstrate the likelihood of a rate shock sufficient enough to justify any cost shift cap, or a longer transition period.  </w:t>
      </w:r>
    </w:p>
    <w:p w14:paraId="7C1ED6CC" w14:textId="77777777" w:rsidR="00824130" w:rsidRPr="00D80201" w:rsidRDefault="00824130">
      <w:pPr>
        <w:rPr>
          <w:color w:val="000000"/>
          <w:szCs w:val="26"/>
        </w:rPr>
      </w:pPr>
    </w:p>
    <w:p w14:paraId="462338B6" w14:textId="77777777" w:rsidR="00824130" w:rsidRPr="00D80201" w:rsidRDefault="00824130">
      <w:pPr>
        <w:widowControl/>
        <w:numPr>
          <w:ilvl w:val="0"/>
          <w:numId w:val="20"/>
        </w:numPr>
        <w:autoSpaceDE/>
        <w:autoSpaceDN/>
        <w:adjustRightInd/>
        <w:rPr>
          <w:rFonts w:ascii="Times New Roman Bold" w:hAnsi="Times New Roman Bold"/>
          <w:b/>
          <w:color w:val="000000"/>
          <w:szCs w:val="26"/>
        </w:rPr>
      </w:pPr>
      <w:r w:rsidRPr="00D80201">
        <w:rPr>
          <w:rFonts w:ascii="Times New Roman Bold" w:hAnsi="Times New Roman Bold"/>
          <w:b/>
          <w:color w:val="000000"/>
          <w:szCs w:val="26"/>
        </w:rPr>
        <w:t>Whether it is just, reasonable, and not unduly discriminatory to exclude New High Voltage Facilities from the calculation of the Transition Charge.</w:t>
      </w:r>
    </w:p>
    <w:p w14:paraId="50436779" w14:textId="77777777" w:rsidR="00824130" w:rsidRPr="00D80201" w:rsidRDefault="00824130">
      <w:pPr>
        <w:rPr>
          <w:rFonts w:ascii="Times New Roman Bold" w:hAnsi="Times New Roman Bold"/>
          <w:b/>
          <w:color w:val="000000"/>
          <w:szCs w:val="26"/>
        </w:rPr>
      </w:pPr>
    </w:p>
    <w:p w14:paraId="44E56021"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2EA59D4B" w14:textId="77777777" w:rsidR="00824130" w:rsidRPr="00D80201" w:rsidRDefault="00824130">
      <w:pPr>
        <w:rPr>
          <w:color w:val="000000"/>
          <w:szCs w:val="26"/>
        </w:rPr>
      </w:pPr>
    </w:p>
    <w:p w14:paraId="22900EC7" w14:textId="77777777" w:rsidR="00824130" w:rsidRPr="00D80201" w:rsidRDefault="00824130">
      <w:pPr>
        <w:rPr>
          <w:color w:val="000000"/>
          <w:szCs w:val="26"/>
        </w:rPr>
      </w:pPr>
      <w:r>
        <w:rPr>
          <w:color w:val="000000"/>
          <w:szCs w:val="26"/>
        </w:rPr>
        <w:t>164.</w:t>
      </w:r>
      <w:r>
        <w:rPr>
          <w:color w:val="000000"/>
          <w:szCs w:val="26"/>
        </w:rPr>
        <w:tab/>
      </w:r>
      <w:r w:rsidRPr="00D80201">
        <w:rPr>
          <w:color w:val="000000"/>
          <w:szCs w:val="26"/>
        </w:rPr>
        <w:t>The ISO argues that exclusion of new high voltage facilities from the calculation of the transition charge does not discriminate against any PTO class and also serves valid policy purposes.  Specifically, the ISO argues that the exclusion is not discriminatory because the utilities proposing to build new high voltage facilities are not similarly situated to utilities with existing high voltage facilities.  The only distinction that Amendment No. 49 makes is between existing high voltage transmission facilities, i.e.</w:t>
      </w:r>
      <w:r>
        <w:rPr>
          <w:color w:val="000000"/>
          <w:szCs w:val="26"/>
        </w:rPr>
        <w:t>,</w:t>
      </w:r>
      <w:r w:rsidRPr="00D80201">
        <w:rPr>
          <w:color w:val="000000"/>
          <w:szCs w:val="26"/>
        </w:rPr>
        <w:t xml:space="preserve"> those built before January 1, 2001, and new high voltage transmission facilities, i.e.</w:t>
      </w:r>
      <w:r>
        <w:rPr>
          <w:color w:val="000000"/>
          <w:szCs w:val="26"/>
        </w:rPr>
        <w:t>,</w:t>
      </w:r>
      <w:r w:rsidRPr="00D80201">
        <w:rPr>
          <w:color w:val="000000"/>
          <w:szCs w:val="26"/>
        </w:rPr>
        <w:t xml:space="preserve"> those built after January 1, 2001, and this difference exists because the new high voltage transmission facilities were built in conjunction with and with the approval of the ISO to benefit the entire ISO-controlled grid.  Thus, the two classes are not similarly situated and the differential treatment is not discriminatory, according to the ISO.  The ISO further argues that even if the two classes were seen as similarly situated, the difference in treatment is justified because it is necessary to encourage the financing of transmission expansions.   </w:t>
      </w:r>
    </w:p>
    <w:p w14:paraId="0B93BB8B" w14:textId="77777777" w:rsidR="00824130" w:rsidRPr="00D80201" w:rsidRDefault="00824130">
      <w:pPr>
        <w:ind w:firstLine="720"/>
        <w:rPr>
          <w:color w:val="000000"/>
          <w:szCs w:val="26"/>
        </w:rPr>
      </w:pPr>
    </w:p>
    <w:p w14:paraId="3D8E6F68" w14:textId="77777777" w:rsidR="00824130" w:rsidRPr="00D80201" w:rsidRDefault="00824130">
      <w:pPr>
        <w:rPr>
          <w:bCs/>
          <w:color w:val="000000"/>
          <w:szCs w:val="26"/>
        </w:rPr>
      </w:pPr>
      <w:r>
        <w:rPr>
          <w:color w:val="000000"/>
          <w:szCs w:val="26"/>
        </w:rPr>
        <w:t>165.</w:t>
      </w:r>
      <w:r>
        <w:rPr>
          <w:color w:val="000000"/>
          <w:szCs w:val="26"/>
        </w:rPr>
        <w:tab/>
      </w:r>
      <w:r w:rsidRPr="00D80201">
        <w:rPr>
          <w:color w:val="000000"/>
          <w:szCs w:val="26"/>
        </w:rPr>
        <w:t>The EOB’s position is that the ISO proposal is just, reasonable, and not unduly discriminatory.  The EOB contends that t</w:t>
      </w:r>
      <w:r w:rsidRPr="00D80201">
        <w:rPr>
          <w:bCs/>
          <w:color w:val="000000"/>
          <w:szCs w:val="26"/>
        </w:rPr>
        <w:t xml:space="preserve">he ISO’s proposal advances the Commission’s goal to encourage transmission investment in general and on Path 15 in particular.  </w:t>
      </w:r>
      <w:r w:rsidRPr="00D80201">
        <w:rPr>
          <w:bCs/>
          <w:color w:val="000000"/>
          <w:szCs w:val="26"/>
        </w:rPr>
        <w:cr/>
        <w:t xml:space="preserve">The EOB also asserts that not assigning new project costs to the </w:t>
      </w:r>
      <w:r>
        <w:rPr>
          <w:bCs/>
          <w:color w:val="000000"/>
          <w:szCs w:val="26"/>
        </w:rPr>
        <w:t>grid wide</w:t>
      </w:r>
      <w:r w:rsidRPr="00D80201">
        <w:rPr>
          <w:bCs/>
          <w:color w:val="000000"/>
          <w:szCs w:val="26"/>
        </w:rPr>
        <w:t xml:space="preserve"> rate operates as a possible disincentive for participation by potential new PTOs.  Moreover, the EOB further argues that under circumstances where the new investment is allocated to the TAC area component of the HVAC during the transition period, without regard to cost-cap limits, the HVAC of the PTOs in the TAC area where the new investment is located will increase more than the HVAC in other TAC areas.  Ex. ISO-1 at </w:t>
      </w:r>
      <w:smartTag w:uri="urn:schemas-microsoft-com:office:smarttags" w:element="time">
        <w:smartTagPr>
          <w:attr w:name="Hour" w:val="11"/>
          <w:attr w:name="Minute" w:val="11"/>
        </w:smartTagPr>
        <w:r w:rsidRPr="00D80201">
          <w:rPr>
            <w:bCs/>
            <w:color w:val="000000"/>
            <w:szCs w:val="26"/>
          </w:rPr>
          <w:t>11:11 – 12:15</w:t>
        </w:r>
      </w:smartTag>
      <w:r w:rsidRPr="00D80201">
        <w:rPr>
          <w:bCs/>
          <w:color w:val="000000"/>
          <w:szCs w:val="26"/>
        </w:rPr>
        <w:t>.</w:t>
      </w:r>
    </w:p>
    <w:p w14:paraId="1C54AD31" w14:textId="77777777" w:rsidR="00824130" w:rsidRPr="00D80201" w:rsidRDefault="00824130">
      <w:pPr>
        <w:ind w:firstLine="720"/>
        <w:rPr>
          <w:bCs/>
          <w:color w:val="000000"/>
          <w:szCs w:val="26"/>
        </w:rPr>
      </w:pPr>
    </w:p>
    <w:p w14:paraId="7785046B" w14:textId="77777777" w:rsidR="00824130" w:rsidRPr="00D80201" w:rsidRDefault="00824130">
      <w:pPr>
        <w:rPr>
          <w:color w:val="000000"/>
          <w:szCs w:val="26"/>
        </w:rPr>
      </w:pPr>
      <w:r>
        <w:rPr>
          <w:color w:val="000000"/>
          <w:szCs w:val="26"/>
        </w:rPr>
        <w:t>166.</w:t>
      </w:r>
      <w:r>
        <w:rPr>
          <w:color w:val="000000"/>
          <w:szCs w:val="26"/>
        </w:rPr>
        <w:tab/>
      </w:r>
      <w:r w:rsidRPr="00D80201">
        <w:rPr>
          <w:color w:val="000000"/>
          <w:szCs w:val="26"/>
        </w:rPr>
        <w:t xml:space="preserve">PG&amp;E argues that given that the transition charge is simply intended as a mitigation measure for cost differences between existing facilities, there is no basis for including new facilities.  In addition, because newly constructed transmission facilities are built based on ISO criteria requiring, in part, that the facilities benefit the entire grid, PG&amp;E contends that the costs should be immediately included in </w:t>
      </w:r>
      <w:r>
        <w:rPr>
          <w:color w:val="000000"/>
          <w:szCs w:val="26"/>
        </w:rPr>
        <w:t>grid wide</w:t>
      </w:r>
      <w:r w:rsidRPr="00D80201">
        <w:rPr>
          <w:color w:val="000000"/>
          <w:szCs w:val="26"/>
        </w:rPr>
        <w:t xml:space="preserve"> rates, rather than existing TAC area rates through the transition charge.  PG&amp;E further contends that exclusion of the new facilities will provide incentive for investment and that the exclusion of new facilities benefits new PTOs because the cost shift cap will be reached later.  </w:t>
      </w:r>
    </w:p>
    <w:p w14:paraId="450771FC" w14:textId="77777777" w:rsidR="00824130" w:rsidRPr="00D80201" w:rsidRDefault="00824130">
      <w:pPr>
        <w:rPr>
          <w:color w:val="000000"/>
          <w:szCs w:val="26"/>
        </w:rPr>
      </w:pPr>
    </w:p>
    <w:p w14:paraId="49ACA6CA" w14:textId="77777777" w:rsidR="00824130" w:rsidRPr="00D80201" w:rsidRDefault="00824130">
      <w:pPr>
        <w:pStyle w:val="BodyTextFirstIndent"/>
        <w:widowControl/>
        <w:spacing w:after="0"/>
        <w:ind w:firstLine="0"/>
        <w:rPr>
          <w:color w:val="000000"/>
          <w:szCs w:val="26"/>
        </w:rPr>
      </w:pPr>
      <w:r>
        <w:rPr>
          <w:color w:val="000000"/>
          <w:szCs w:val="26"/>
        </w:rPr>
        <w:t>167.</w:t>
      </w:r>
      <w:r>
        <w:rPr>
          <w:color w:val="000000"/>
          <w:szCs w:val="26"/>
        </w:rPr>
        <w:tab/>
      </w:r>
      <w:r w:rsidRPr="00D80201">
        <w:rPr>
          <w:color w:val="000000"/>
          <w:szCs w:val="26"/>
        </w:rPr>
        <w:t xml:space="preserve">Staff does not oppose the ISO’s proposed change, but believes that it should be considered in any analysis of the benefits and burdens of the TAC as it exists today.  Regarding the claim by certain parties that the proposed change would discriminate against new PTOs, Staff counters that the claim of discrimination fails because, if the new PTOs build new facilities, those new facilities will be treated in the same manner as OPTOs’ new facilities and their costs will be rolled-in grid wide.  To support its counterargument, Staff cites an example, </w:t>
      </w:r>
      <w:r>
        <w:rPr>
          <w:color w:val="000000"/>
          <w:szCs w:val="26"/>
        </w:rPr>
        <w:t>TransElect</w:t>
      </w:r>
      <w:r w:rsidRPr="00D80201">
        <w:rPr>
          <w:color w:val="000000"/>
          <w:szCs w:val="26"/>
        </w:rPr>
        <w:t xml:space="preserve">, whose new facilities will be rolled in grid wide; Staff states that admittedly </w:t>
      </w:r>
      <w:r>
        <w:rPr>
          <w:color w:val="000000"/>
          <w:szCs w:val="26"/>
        </w:rPr>
        <w:t>TransElect</w:t>
      </w:r>
      <w:r w:rsidRPr="00D80201">
        <w:rPr>
          <w:color w:val="000000"/>
          <w:szCs w:val="26"/>
        </w:rPr>
        <w:t xml:space="preserve"> is something of a special case in that the OPTOs do not seem to object to paying 97% of its TRR.</w:t>
      </w:r>
      <w:r>
        <w:rPr>
          <w:color w:val="000000"/>
          <w:szCs w:val="26"/>
        </w:rPr>
        <w:t xml:space="preserve">  Staff Initial Brief at 41.</w:t>
      </w:r>
      <w:r w:rsidRPr="00D80201">
        <w:rPr>
          <w:color w:val="000000"/>
          <w:szCs w:val="26"/>
        </w:rPr>
        <w:t xml:space="preserve">  In addition, Staff cites SC witness Daniel, who testified that if SC were to go ahead and add new transmission facilities, those facilities would immediately be included in the </w:t>
      </w:r>
      <w:r>
        <w:rPr>
          <w:color w:val="000000"/>
          <w:szCs w:val="26"/>
        </w:rPr>
        <w:t>grid wide</w:t>
      </w:r>
      <w:r w:rsidRPr="00D80201">
        <w:rPr>
          <w:color w:val="000000"/>
          <w:szCs w:val="26"/>
        </w:rPr>
        <w:t xml:space="preserve"> rate.  Tr. 1796:25 - 1797:6.  </w:t>
      </w:r>
    </w:p>
    <w:p w14:paraId="7F876FD7" w14:textId="77777777" w:rsidR="00824130" w:rsidRPr="00D80201" w:rsidRDefault="00824130">
      <w:pPr>
        <w:ind w:firstLine="720"/>
        <w:rPr>
          <w:color w:val="000000"/>
          <w:szCs w:val="26"/>
        </w:rPr>
      </w:pPr>
    </w:p>
    <w:p w14:paraId="09DA90DB" w14:textId="77777777" w:rsidR="00824130" w:rsidRPr="00D80201" w:rsidRDefault="00824130">
      <w:pPr>
        <w:rPr>
          <w:color w:val="000000"/>
          <w:szCs w:val="26"/>
        </w:rPr>
      </w:pPr>
      <w:r>
        <w:rPr>
          <w:color w:val="000000"/>
          <w:szCs w:val="26"/>
        </w:rPr>
        <w:t>168.</w:t>
      </w:r>
      <w:r>
        <w:rPr>
          <w:color w:val="000000"/>
          <w:szCs w:val="26"/>
        </w:rPr>
        <w:tab/>
      </w:r>
      <w:r w:rsidRPr="00D80201">
        <w:rPr>
          <w:color w:val="000000"/>
          <w:szCs w:val="26"/>
        </w:rPr>
        <w:t>Staff also posits that if the cost shift caps are eliminated, most of the interveners’ opposition to the exclusion of new HV facilities from the calculation of the transition charge will also be eliminated.</w:t>
      </w:r>
    </w:p>
    <w:p w14:paraId="20F3DDE1" w14:textId="77777777" w:rsidR="00824130" w:rsidRPr="00D80201" w:rsidRDefault="00824130">
      <w:pPr>
        <w:rPr>
          <w:color w:val="000000"/>
          <w:szCs w:val="26"/>
        </w:rPr>
      </w:pPr>
    </w:p>
    <w:p w14:paraId="4693BCAE" w14:textId="77777777" w:rsidR="00824130" w:rsidRPr="00D80201" w:rsidRDefault="00824130">
      <w:pPr>
        <w:rPr>
          <w:color w:val="000000"/>
          <w:szCs w:val="26"/>
        </w:rPr>
      </w:pPr>
      <w:r>
        <w:rPr>
          <w:color w:val="000000"/>
          <w:szCs w:val="26"/>
        </w:rPr>
        <w:t>169.</w:t>
      </w:r>
      <w:r>
        <w:rPr>
          <w:color w:val="000000"/>
          <w:szCs w:val="26"/>
        </w:rPr>
        <w:tab/>
      </w:r>
      <w:r w:rsidRPr="00D80201">
        <w:rPr>
          <w:color w:val="000000"/>
          <w:szCs w:val="26"/>
        </w:rPr>
        <w:t xml:space="preserve">Because SDG&amp;E believes that the transition charge on the whole is unjust, unreasonable and unduly discriminatory, and should be eliminated, SDG&amp;E contends that this issue is moot.  However, should the Commission choose to retain aspects of the transition charge (or something similar), SDG&amp;E believes that the new high voltage facilities should remain excluded from it.  SDG&amp;E states that in prior case law, the Commission discussed the fact that transition periods and other mitigation measures are useful only in the context of minimizing abrupt cost shifts that occur when the costs of </w:t>
      </w:r>
      <w:r w:rsidRPr="00D80201">
        <w:rPr>
          <w:i/>
          <w:iCs/>
          <w:color w:val="000000"/>
          <w:szCs w:val="26"/>
        </w:rPr>
        <w:t>existing facilities</w:t>
      </w:r>
      <w:r w:rsidRPr="00D80201">
        <w:rPr>
          <w:color w:val="000000"/>
          <w:szCs w:val="26"/>
        </w:rPr>
        <w:t xml:space="preserve"> are rolled into a grid wide rate.  </w:t>
      </w:r>
      <w:smartTag w:uri="urn:schemas-microsoft-com:office:smarttags" w:element="place">
        <w:r w:rsidRPr="00D80201">
          <w:rPr>
            <w:color w:val="000000"/>
            <w:szCs w:val="26"/>
            <w:u w:val="single"/>
          </w:rPr>
          <w:t>New England</w:t>
        </w:r>
      </w:smartTag>
      <w:r w:rsidRPr="00D80201">
        <w:rPr>
          <w:color w:val="000000"/>
          <w:szCs w:val="26"/>
          <w:u w:val="single"/>
        </w:rPr>
        <w:t xml:space="preserve"> Power Pool, </w:t>
      </w:r>
      <w:smartTag w:uri="urn:schemas-microsoft-com:office:smarttags" w:element="place">
        <w:smartTag w:uri="urn:schemas-microsoft-com:office:smarttags" w:element="State">
          <w:r w:rsidRPr="00D80201">
            <w:rPr>
              <w:color w:val="000000"/>
              <w:szCs w:val="26"/>
              <w:u w:val="single"/>
            </w:rPr>
            <w:t>Mass.</w:t>
          </w:r>
        </w:smartTag>
      </w:smartTag>
      <w:r w:rsidRPr="00D80201">
        <w:rPr>
          <w:color w:val="000000"/>
          <w:szCs w:val="26"/>
          <w:u w:val="single"/>
        </w:rPr>
        <w:t xml:space="preserve"> Mun. Wholesale Elec. Co.</w:t>
      </w:r>
      <w:r w:rsidRPr="00D80201">
        <w:rPr>
          <w:color w:val="000000"/>
          <w:szCs w:val="26"/>
        </w:rPr>
        <w:t xml:space="preserve">, 83 FERC ¶61,045 at 61,238-39 (1998).  The new high voltage facilities here were approved via the ISO’s centralized planning process as necessary from a grid wide perspective, and are not existing facilities.  SDG&amp;E therefore states that the new high voltage facilities should be excluded from any form of transition charge because including them in the transition charge would change the rate that the Commission approved without meeting the criteria established in </w:t>
      </w:r>
      <w:smartTag w:uri="urn:schemas-microsoft-com:office:smarttags" w:element="place">
        <w:r w:rsidRPr="00D80201">
          <w:rPr>
            <w:color w:val="000000"/>
            <w:szCs w:val="26"/>
            <w:u w:val="single"/>
          </w:rPr>
          <w:t>New England</w:t>
        </w:r>
      </w:smartTag>
      <w:r w:rsidRPr="00D80201">
        <w:rPr>
          <w:color w:val="000000"/>
          <w:szCs w:val="26"/>
        </w:rPr>
        <w:t>.</w:t>
      </w:r>
    </w:p>
    <w:p w14:paraId="2CBA450A" w14:textId="77777777" w:rsidR="00824130" w:rsidRPr="00D80201" w:rsidRDefault="00824130">
      <w:pPr>
        <w:ind w:firstLine="720"/>
        <w:rPr>
          <w:color w:val="000000"/>
          <w:szCs w:val="26"/>
        </w:rPr>
      </w:pPr>
    </w:p>
    <w:p w14:paraId="00F764B5" w14:textId="77777777" w:rsidR="00824130" w:rsidRPr="00D80201" w:rsidRDefault="00824130">
      <w:pPr>
        <w:rPr>
          <w:color w:val="000000"/>
          <w:szCs w:val="26"/>
        </w:rPr>
      </w:pPr>
      <w:r>
        <w:rPr>
          <w:color w:val="000000"/>
          <w:szCs w:val="26"/>
        </w:rPr>
        <w:t>170.</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’s position is that if the cap mechanism is retained, then all new high voltage transmission investments should be included under the cap mechanism.  Ex. VER-1 at 31-33.  Vernon believes that the ISO’s proposal discriminates against the pre-2001 transmission investments that Vernon and other new PTOs have made, increasing the chance that these caps will limit the recovery from the ISO of the their TRRs.  Ex. VER-1 at 34-38.  If the cost shift cap is eliminated, then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would be willing to withdraw its opposition to the ISO’s proposal regarding exclusion of high voltage facilities from the transition charge.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Reply Brief at 40 – 41.  </w:t>
      </w:r>
    </w:p>
    <w:p w14:paraId="2DDF1F97" w14:textId="77777777" w:rsidR="00824130" w:rsidRPr="00D80201" w:rsidRDefault="00824130">
      <w:pPr>
        <w:rPr>
          <w:color w:val="000000"/>
          <w:szCs w:val="26"/>
        </w:rPr>
      </w:pPr>
    </w:p>
    <w:p w14:paraId="63CBA14C" w14:textId="77777777" w:rsidR="00824130" w:rsidRPr="00D80201" w:rsidRDefault="00824130">
      <w:pPr>
        <w:rPr>
          <w:color w:val="000000"/>
          <w:szCs w:val="26"/>
        </w:rPr>
      </w:pPr>
      <w:r>
        <w:rPr>
          <w:color w:val="000000"/>
          <w:szCs w:val="26"/>
        </w:rPr>
        <w:t>171.</w:t>
      </w:r>
      <w:r>
        <w:rPr>
          <w:color w:val="000000"/>
          <w:szCs w:val="26"/>
        </w:rPr>
        <w:tab/>
      </w:r>
      <w:r w:rsidRPr="00D80201">
        <w:rPr>
          <w:color w:val="000000"/>
          <w:szCs w:val="26"/>
        </w:rPr>
        <w:t xml:space="preserve">TANC and MID essentially contend that the exclusion of new high voltage facilities from the calculation of the transition charge illustrates that the cost shift cap is discriminatory, and assert that it reinforces the fact that all HV transmission facilities should be treated similarly and not be subject to a cost shift cap.  </w:t>
      </w:r>
    </w:p>
    <w:p w14:paraId="15F7C3DB" w14:textId="77777777" w:rsidR="00824130" w:rsidRPr="00D80201" w:rsidRDefault="00824130">
      <w:pPr>
        <w:ind w:firstLine="720"/>
        <w:rPr>
          <w:color w:val="000000"/>
          <w:szCs w:val="26"/>
        </w:rPr>
      </w:pPr>
    </w:p>
    <w:p w14:paraId="5D215F41" w14:textId="77777777" w:rsidR="00824130" w:rsidRPr="00D80201" w:rsidRDefault="00824130">
      <w:pPr>
        <w:rPr>
          <w:color w:val="000000"/>
          <w:szCs w:val="26"/>
        </w:rPr>
      </w:pPr>
      <w:r>
        <w:rPr>
          <w:color w:val="000000"/>
          <w:szCs w:val="26"/>
        </w:rPr>
        <w:t>172.</w:t>
      </w:r>
      <w:r>
        <w:rPr>
          <w:color w:val="000000"/>
          <w:szCs w:val="26"/>
        </w:rPr>
        <w:tab/>
      </w:r>
      <w:r w:rsidRPr="00D80201">
        <w:rPr>
          <w:color w:val="000000"/>
          <w:szCs w:val="26"/>
        </w:rPr>
        <w:t xml:space="preserve">SC opposes the ISO’s proposal to treat the new high voltage facilities differently from recently transferred existing facilities of the new PTOs.  Specifically, SC asserts that the same cost recovery problems exist in facilities of the new PTOs both before and after the </w:t>
      </w:r>
      <w:smartTag w:uri="urn:schemas-microsoft-com:office:smarttags" w:element="date">
        <w:smartTagPr>
          <w:attr w:name="Month" w:val="1"/>
          <w:attr w:name="Day" w:val="1"/>
          <w:attr w:name="Year" w:val="2001"/>
        </w:smartTagPr>
        <w:r w:rsidRPr="00D80201">
          <w:rPr>
            <w:color w:val="000000"/>
            <w:szCs w:val="26"/>
          </w:rPr>
          <w:t>January 1, 2001</w:t>
        </w:r>
      </w:smartTag>
      <w:r w:rsidRPr="00D80201">
        <w:rPr>
          <w:color w:val="000000"/>
          <w:szCs w:val="26"/>
        </w:rPr>
        <w:t xml:space="preserve"> date, and that ISO witness Le Vine states that no functional differences exist between old and new facilities.  Tr. at 404:5 – 11, 480:1 – 6.  SC contends that the date is thus arbitrary.  In addition, SC argues that the proposal will have a discriminatory impact because most new PTOs built their transmission facilities relatively recently and do not have plans to build new facilities after </w:t>
      </w:r>
      <w:smartTag w:uri="urn:schemas-microsoft-com:office:smarttags" w:element="date">
        <w:smartTagPr>
          <w:attr w:name="Month" w:val="1"/>
          <w:attr w:name="Day" w:val="1"/>
          <w:attr w:name="Year" w:val="2001"/>
        </w:smartTagPr>
        <w:r w:rsidRPr="00D80201">
          <w:rPr>
            <w:color w:val="000000"/>
            <w:szCs w:val="26"/>
          </w:rPr>
          <w:t>January 1, 2001</w:t>
        </w:r>
      </w:smartTag>
      <w:r w:rsidRPr="00D80201">
        <w:rPr>
          <w:color w:val="000000"/>
          <w:szCs w:val="26"/>
        </w:rPr>
        <w:t xml:space="preserve">, whereas the OPTOs have made and will continue to make new investments to upgrade or replace aging facilities.  </w:t>
      </w:r>
    </w:p>
    <w:p w14:paraId="64503161" w14:textId="77777777" w:rsidR="00824130" w:rsidRPr="00D80201" w:rsidRDefault="00824130">
      <w:pPr>
        <w:rPr>
          <w:color w:val="000000"/>
          <w:szCs w:val="26"/>
        </w:rPr>
      </w:pPr>
    </w:p>
    <w:p w14:paraId="73833E3C" w14:textId="77777777" w:rsidR="00824130" w:rsidRPr="00D80201" w:rsidRDefault="00824130">
      <w:pPr>
        <w:rPr>
          <w:rFonts w:ascii="Times New Roman Bold" w:hAnsi="Times New Roman Bold"/>
          <w:b/>
          <w:color w:val="000000"/>
          <w:szCs w:val="26"/>
        </w:rPr>
      </w:pPr>
      <w:r w:rsidRPr="00D80201">
        <w:rPr>
          <w:color w:val="000000"/>
          <w:szCs w:val="26"/>
        </w:rPr>
        <w:tab/>
      </w:r>
      <w:r w:rsidRPr="00D80201">
        <w:rPr>
          <w:rFonts w:ascii="Times New Roman Bold" w:hAnsi="Times New Roman Bold"/>
          <w:b/>
          <w:color w:val="000000"/>
          <w:szCs w:val="26"/>
        </w:rPr>
        <w:t>Discussion and Findings</w:t>
      </w:r>
    </w:p>
    <w:p w14:paraId="0CF78880" w14:textId="77777777" w:rsidR="00824130" w:rsidRPr="00D80201" w:rsidRDefault="00824130">
      <w:pPr>
        <w:rPr>
          <w:color w:val="000000"/>
          <w:szCs w:val="26"/>
        </w:rPr>
      </w:pPr>
    </w:p>
    <w:p w14:paraId="0F3C3DFE" w14:textId="77777777" w:rsidR="00824130" w:rsidRPr="00D80201" w:rsidRDefault="00824130">
      <w:pPr>
        <w:rPr>
          <w:color w:val="000000"/>
          <w:szCs w:val="26"/>
        </w:rPr>
      </w:pPr>
      <w:r>
        <w:rPr>
          <w:color w:val="000000"/>
          <w:szCs w:val="26"/>
        </w:rPr>
        <w:t>173.</w:t>
      </w:r>
      <w:r>
        <w:rPr>
          <w:color w:val="000000"/>
          <w:szCs w:val="26"/>
        </w:rPr>
        <w:tab/>
      </w:r>
      <w:r w:rsidRPr="00D80201">
        <w:rPr>
          <w:color w:val="000000"/>
          <w:szCs w:val="26"/>
        </w:rPr>
        <w:t>As previously discussed, the transition charge mechanism will not include new high voltage facilities.  Staff cites the applicable section of the ISO Tariff in its Initial Brief;</w:t>
      </w:r>
      <w:r w:rsidRPr="00D80201">
        <w:rPr>
          <w:rStyle w:val="FootnoteReference"/>
          <w:color w:val="000000"/>
        </w:rPr>
        <w:footnoteReference w:id="57"/>
      </w:r>
      <w:r w:rsidRPr="00D80201">
        <w:rPr>
          <w:color w:val="000000"/>
          <w:szCs w:val="26"/>
        </w:rPr>
        <w:t xml:space="preserve"> section 1.1 of Schedule 3 of Appendix F states:</w:t>
      </w:r>
    </w:p>
    <w:p w14:paraId="1522E230" w14:textId="77777777" w:rsidR="00824130" w:rsidRPr="00D80201" w:rsidRDefault="00824130">
      <w:pPr>
        <w:rPr>
          <w:color w:val="000000"/>
          <w:szCs w:val="26"/>
        </w:rPr>
      </w:pPr>
    </w:p>
    <w:p w14:paraId="764C05A7" w14:textId="77777777" w:rsidR="00824130" w:rsidRPr="00D80201" w:rsidRDefault="00824130">
      <w:pPr>
        <w:ind w:left="720"/>
        <w:rPr>
          <w:color w:val="000000"/>
          <w:szCs w:val="26"/>
        </w:rPr>
      </w:pPr>
      <w:r w:rsidRPr="00D80201">
        <w:rPr>
          <w:color w:val="000000"/>
          <w:szCs w:val="26"/>
        </w:rPr>
        <w:t>(d) New High Voltage Facility additions and capital additions to Existing high Voltage Facilities will be immediately included in the ISO Grid-wide component of the HVAC.  The Transmission Revenue Requirement for New High Voltage Facilities will not be included in the calculation of the Transition Charge.</w:t>
      </w:r>
    </w:p>
    <w:p w14:paraId="5D81DD0A" w14:textId="77777777" w:rsidR="00824130" w:rsidRPr="00D80201" w:rsidRDefault="00824130">
      <w:pPr>
        <w:rPr>
          <w:color w:val="000000"/>
          <w:szCs w:val="26"/>
        </w:rPr>
      </w:pPr>
    </w:p>
    <w:p w14:paraId="5A09AEC2" w14:textId="77777777" w:rsidR="00824130" w:rsidRPr="00D80201" w:rsidRDefault="00824130">
      <w:pPr>
        <w:rPr>
          <w:color w:val="000000"/>
          <w:szCs w:val="26"/>
        </w:rPr>
      </w:pPr>
      <w:r w:rsidRPr="00D80201">
        <w:rPr>
          <w:color w:val="000000"/>
          <w:szCs w:val="26"/>
        </w:rPr>
        <w:t xml:space="preserve">The ISO justifies this measure as ensuring that all of the new high voltage facilities are recovered in the same manner by all customers from the outset of the TAC.  ISO Initial Brief at 38-39.  Some parties oppose this provision, contending that this treatment places at a disadvantage – and thus discriminates against - their relatively new existing facilities, which are subject to a cost shift cap under the TAC.  </w:t>
      </w:r>
      <w:r w:rsidRPr="00D80201">
        <w:rPr>
          <w:color w:val="000000"/>
          <w:szCs w:val="26"/>
          <w:u w:val="single"/>
        </w:rPr>
        <w:t>See</w:t>
      </w:r>
      <w:r w:rsidRPr="00D80201">
        <w:rPr>
          <w:color w:val="000000"/>
          <w:szCs w:val="26"/>
        </w:rPr>
        <w:t xml:space="preserve">, </w:t>
      </w:r>
      <w:r w:rsidRPr="00D80201">
        <w:rPr>
          <w:color w:val="000000"/>
          <w:szCs w:val="26"/>
          <w:u w:val="single"/>
        </w:rPr>
        <w:t>e.g.</w:t>
      </w:r>
      <w:r w:rsidRPr="00D80201">
        <w:rPr>
          <w:color w:val="000000"/>
          <w:szCs w:val="26"/>
        </w:rPr>
        <w:t xml:space="preserve">, SC Initial Brief at 43; TANC Initial Brief at 55; Vernon Initial Brief at 33; MID Initial Brief at 38.  The ISO counters that the provision is not discriminatory, and that even if it does treat similarly situated parties differently, the difference is justified to encourage financing of transmission expansions.  ISO Initial Brief at 38-41.  </w:t>
      </w:r>
    </w:p>
    <w:p w14:paraId="4082386B" w14:textId="77777777" w:rsidR="00824130" w:rsidRPr="00D80201" w:rsidRDefault="00824130">
      <w:pPr>
        <w:rPr>
          <w:color w:val="000000"/>
          <w:szCs w:val="26"/>
        </w:rPr>
      </w:pPr>
    </w:p>
    <w:p w14:paraId="5EBB48F2" w14:textId="77777777" w:rsidR="00824130" w:rsidRPr="00D80201" w:rsidRDefault="00824130">
      <w:pPr>
        <w:pStyle w:val="BodyTextFirstIndent"/>
        <w:widowControl/>
        <w:spacing w:after="0"/>
        <w:ind w:firstLine="0"/>
        <w:rPr>
          <w:color w:val="000000"/>
          <w:szCs w:val="26"/>
        </w:rPr>
      </w:pPr>
      <w:r>
        <w:rPr>
          <w:color w:val="000000"/>
          <w:szCs w:val="26"/>
        </w:rPr>
        <w:t>174.</w:t>
      </w:r>
      <w:r>
        <w:rPr>
          <w:color w:val="000000"/>
          <w:szCs w:val="26"/>
        </w:rPr>
        <w:tab/>
      </w:r>
      <w:r w:rsidRPr="00D80201">
        <w:rPr>
          <w:color w:val="000000"/>
          <w:szCs w:val="26"/>
        </w:rPr>
        <w:t xml:space="preserve">The undersigned Presiding Judge affirms and adopts Staff’s position on this issue.  The claim by certain parties that the proposed change would discriminate against new PTOs fails because, if the new PTOs build new facilities, those new facilities will be treated in the same manner as OPTOs’ new facilities and their costs will be rolled-in grid wide. </w:t>
      </w:r>
      <w:r w:rsidRPr="00D80201">
        <w:rPr>
          <w:rStyle w:val="FootnoteReference"/>
          <w:color w:val="000000"/>
        </w:rPr>
        <w:footnoteReference w:id="58"/>
      </w:r>
      <w:r w:rsidRPr="00D80201">
        <w:rPr>
          <w:color w:val="000000"/>
          <w:szCs w:val="26"/>
        </w:rPr>
        <w:t xml:space="preserve">  Staff also correctly observes that elimination of the cost shift caps effectively addresses most of the interveners’ opposition to the exclusion of new HV facilities from the calculation of the transition charge.  Even if the OPTOs should choose to upgrade their facilities at greater cost than the new PTOs could, the entire grid will benefit from the upgrade of the facilities and will thus shoulder the costs, just as they would with new PTOs’ facilities.  With the removal of the cost shift cap, there is no longer a limit on how much the OPTOs would pay for such costs as new transmission facilities for the new PTOs.  Due to the non-discriminatory nature of the provision and the removal of a cap on how much the new PTOs can spend to upgrade or add new facilities, the claims opposing this provision of the TAC are unpersuasive.  </w:t>
      </w:r>
    </w:p>
    <w:p w14:paraId="51EA5137" w14:textId="77777777" w:rsidR="00824130" w:rsidRPr="00D80201" w:rsidRDefault="00824130">
      <w:pPr>
        <w:rPr>
          <w:color w:val="000000"/>
          <w:szCs w:val="26"/>
        </w:rPr>
      </w:pPr>
    </w:p>
    <w:p w14:paraId="253A9B00" w14:textId="77777777" w:rsidR="00824130" w:rsidRPr="00D80201" w:rsidRDefault="00824130">
      <w:pPr>
        <w:rPr>
          <w:color w:val="000000"/>
          <w:szCs w:val="26"/>
        </w:rPr>
      </w:pPr>
      <w:r>
        <w:rPr>
          <w:color w:val="000000"/>
          <w:szCs w:val="26"/>
        </w:rPr>
        <w:t>175.</w:t>
      </w:r>
      <w:r>
        <w:rPr>
          <w:color w:val="000000"/>
          <w:szCs w:val="26"/>
        </w:rPr>
        <w:tab/>
      </w:r>
      <w:r w:rsidRPr="00D80201">
        <w:rPr>
          <w:color w:val="000000"/>
          <w:szCs w:val="26"/>
        </w:rPr>
        <w:t>To sum up, the cost shift cap is not justified because the record evidence does not indicate that significant rate shock will occur and the ten-year transition period helps to mitigate any that does.  In addition, objections to the exclusion of new high voltage facilities from the calculation of the transition charge are unpersuasive given that the cost shift cap is rejected and the treatment of both OPTOs’ and new PTOs’ new facilities is non-discriminatory.</w:t>
      </w:r>
    </w:p>
    <w:p w14:paraId="545917AE" w14:textId="77777777" w:rsidR="00824130" w:rsidRDefault="00824130">
      <w:pPr>
        <w:rPr>
          <w:szCs w:val="26"/>
        </w:rPr>
      </w:pPr>
    </w:p>
    <w:p w14:paraId="78EE4F64" w14:textId="77777777" w:rsidR="00824130" w:rsidRPr="00D80201" w:rsidRDefault="00824130">
      <w:pPr>
        <w:numPr>
          <w:ilvl w:val="0"/>
          <w:numId w:val="19"/>
        </w:numPr>
        <w:rPr>
          <w:rFonts w:ascii="Times New Roman Bold" w:hAnsi="Times New Roman Bold"/>
          <w:b/>
          <w:color w:val="000000"/>
          <w:szCs w:val="26"/>
        </w:rPr>
      </w:pPr>
      <w:r w:rsidRPr="00D80201">
        <w:rPr>
          <w:rFonts w:ascii="Times New Roman Bold" w:hAnsi="Times New Roman Bold"/>
          <w:b/>
          <w:color w:val="000000"/>
          <w:szCs w:val="26"/>
        </w:rPr>
        <w:t xml:space="preserve">New Facilities: Whether the immediate inclusion of New High Voltage Facilities in the </w:t>
      </w:r>
      <w:r>
        <w:rPr>
          <w:rFonts w:ascii="Times New Roman Bold" w:hAnsi="Times New Roman Bold"/>
          <w:b/>
          <w:color w:val="000000"/>
          <w:szCs w:val="26"/>
        </w:rPr>
        <w:t>grid wide</w:t>
      </w:r>
      <w:r w:rsidRPr="00D80201">
        <w:rPr>
          <w:rFonts w:ascii="Times New Roman Bold" w:hAnsi="Times New Roman Bold"/>
          <w:b/>
          <w:color w:val="000000"/>
          <w:szCs w:val="26"/>
        </w:rPr>
        <w:t xml:space="preserve"> component of the High Voltage Access Charge is just, reasonable, and not unduly discriminatory.</w:t>
      </w:r>
    </w:p>
    <w:p w14:paraId="69689FB8" w14:textId="77777777" w:rsidR="00824130" w:rsidRPr="00D80201" w:rsidRDefault="00824130">
      <w:pPr>
        <w:rPr>
          <w:color w:val="000000"/>
          <w:szCs w:val="26"/>
        </w:rPr>
      </w:pPr>
    </w:p>
    <w:p w14:paraId="6DC4415D" w14:textId="77777777" w:rsidR="00824130" w:rsidRDefault="00824130">
      <w:pPr>
        <w:ind w:firstLine="720"/>
        <w:rPr>
          <w:b/>
          <w:color w:val="000000"/>
          <w:szCs w:val="26"/>
        </w:rPr>
      </w:pPr>
      <w:r w:rsidRPr="00D80201">
        <w:rPr>
          <w:b/>
          <w:color w:val="000000"/>
          <w:szCs w:val="26"/>
        </w:rPr>
        <w:t>Position of the Parties</w:t>
      </w:r>
    </w:p>
    <w:p w14:paraId="1D0C7FBA" w14:textId="77777777" w:rsidR="00824130" w:rsidRPr="00D80201" w:rsidRDefault="00824130">
      <w:pPr>
        <w:ind w:firstLine="720"/>
        <w:rPr>
          <w:b/>
          <w:color w:val="000000"/>
          <w:szCs w:val="26"/>
        </w:rPr>
      </w:pPr>
    </w:p>
    <w:p w14:paraId="038CCEA0" w14:textId="77777777" w:rsidR="00824130" w:rsidRPr="00D80201" w:rsidRDefault="00824130">
      <w:pPr>
        <w:rPr>
          <w:color w:val="000000"/>
          <w:szCs w:val="26"/>
        </w:rPr>
      </w:pPr>
      <w:r>
        <w:rPr>
          <w:color w:val="000000"/>
          <w:szCs w:val="26"/>
        </w:rPr>
        <w:t>176.</w:t>
      </w:r>
      <w:r>
        <w:rPr>
          <w:color w:val="000000"/>
          <w:szCs w:val="26"/>
        </w:rPr>
        <w:tab/>
      </w:r>
      <w:r w:rsidRPr="00D80201">
        <w:rPr>
          <w:color w:val="000000"/>
          <w:szCs w:val="26"/>
        </w:rPr>
        <w:t xml:space="preserve">The ISO contends that the immediate inclusion of new high voltage facilities in the </w:t>
      </w:r>
      <w:r>
        <w:rPr>
          <w:color w:val="000000"/>
          <w:szCs w:val="26"/>
        </w:rPr>
        <w:t>grid wide</w:t>
      </w:r>
      <w:r w:rsidRPr="00D80201">
        <w:rPr>
          <w:color w:val="000000"/>
          <w:szCs w:val="26"/>
        </w:rPr>
        <w:t xml:space="preserve"> component of the high voltage access charge does not discriminate against any PTO class and also serves valid policy purposes.  Similar to its argument regarding the exclusion of high voltage facilities from the calculation of the transmission charge, the ISO argues that the only distinction lies between treatment of PTOs that own existing high voltage transmission facilities versus those that own new high voltage facilities.  Again, the ISO argues that this differential treatment is due to the parties being differently situated and is therefore not discriminatory.  </w:t>
      </w:r>
    </w:p>
    <w:p w14:paraId="4BDF919D" w14:textId="77777777" w:rsidR="00824130" w:rsidRPr="00D80201" w:rsidRDefault="00824130">
      <w:pPr>
        <w:ind w:firstLine="360"/>
        <w:rPr>
          <w:color w:val="000000"/>
          <w:szCs w:val="26"/>
        </w:rPr>
      </w:pPr>
    </w:p>
    <w:p w14:paraId="5AE2046F" w14:textId="77777777" w:rsidR="00824130" w:rsidRPr="00D80201" w:rsidRDefault="00824130">
      <w:pPr>
        <w:rPr>
          <w:color w:val="000000"/>
          <w:szCs w:val="26"/>
        </w:rPr>
      </w:pPr>
      <w:r>
        <w:rPr>
          <w:color w:val="000000"/>
          <w:szCs w:val="26"/>
        </w:rPr>
        <w:t>177.</w:t>
      </w:r>
      <w:r>
        <w:rPr>
          <w:color w:val="000000"/>
          <w:szCs w:val="26"/>
        </w:rPr>
        <w:tab/>
      </w:r>
      <w:r w:rsidRPr="00D80201">
        <w:rPr>
          <w:color w:val="000000"/>
          <w:szCs w:val="26"/>
        </w:rPr>
        <w:t xml:space="preserve">The EOB supports this provision.  It counters arguments by other parties that </w:t>
      </w:r>
      <w:r w:rsidRPr="00D80201">
        <w:rPr>
          <w:bCs/>
          <w:color w:val="000000"/>
          <w:szCs w:val="26"/>
        </w:rPr>
        <w:t>the differing treatment between existing and new facilities discriminates against entities that made substantial investment prior to January 1, 2001, but do not currently anticipate further investment during the transiti</w:t>
      </w:r>
      <w:r>
        <w:rPr>
          <w:bCs/>
          <w:color w:val="000000"/>
          <w:szCs w:val="26"/>
        </w:rPr>
        <w:t>on period.  Ex. MID-1 at 28:19 – 2</w:t>
      </w:r>
      <w:r w:rsidRPr="00D80201">
        <w:rPr>
          <w:bCs/>
          <w:color w:val="000000"/>
          <w:szCs w:val="26"/>
        </w:rPr>
        <w:t>2; Ex. T</w:t>
      </w:r>
      <w:r>
        <w:rPr>
          <w:bCs/>
          <w:color w:val="000000"/>
          <w:szCs w:val="26"/>
        </w:rPr>
        <w:t>NC-1 at 18; Ex. VER-1 at 32:18 – 33:1; Ex. SC-1 at 13:3 – 1</w:t>
      </w:r>
      <w:r w:rsidRPr="00D80201">
        <w:rPr>
          <w:bCs/>
          <w:color w:val="000000"/>
          <w:szCs w:val="26"/>
        </w:rPr>
        <w:t xml:space="preserve">9:11.  The EOB contends that the new facilities are treated equally whether the project sponsor is an OPTO, new PTO or potential new PTO, and that existing facilities are likewise treated the same regardless of vintage.  The EOB asserts that the sole factor proposed by the ISO to differentiate the cost recovery treatment for transmission investment is the date the project was energized, and the EOB argues that the </w:t>
      </w:r>
      <w:smartTag w:uri="urn:schemas-microsoft-com:office:smarttags" w:element="date">
        <w:smartTagPr>
          <w:attr w:name="Month" w:val="1"/>
          <w:attr w:name="Day" w:val="1"/>
          <w:attr w:name="Year" w:val="2001"/>
        </w:smartTagPr>
        <w:r w:rsidRPr="00D80201">
          <w:rPr>
            <w:bCs/>
            <w:color w:val="000000"/>
            <w:szCs w:val="26"/>
          </w:rPr>
          <w:t>January 1, 2001</w:t>
        </w:r>
      </w:smartTag>
      <w:r w:rsidRPr="00D80201">
        <w:rPr>
          <w:bCs/>
          <w:color w:val="000000"/>
          <w:szCs w:val="26"/>
        </w:rPr>
        <w:t xml:space="preserve"> date here is justified.  </w:t>
      </w:r>
    </w:p>
    <w:p w14:paraId="2BD0EC58" w14:textId="77777777" w:rsidR="00824130" w:rsidRPr="00D80201" w:rsidRDefault="00824130">
      <w:pPr>
        <w:rPr>
          <w:rFonts w:ascii="Times New Roman Bold" w:hAnsi="Times New Roman Bold"/>
          <w:b/>
          <w:color w:val="000000"/>
          <w:szCs w:val="26"/>
        </w:rPr>
      </w:pPr>
    </w:p>
    <w:p w14:paraId="0907B387" w14:textId="77777777" w:rsidR="00824130" w:rsidRPr="00D80201" w:rsidRDefault="00824130">
      <w:pPr>
        <w:rPr>
          <w:color w:val="000000"/>
          <w:szCs w:val="26"/>
        </w:rPr>
      </w:pPr>
      <w:r>
        <w:rPr>
          <w:color w:val="000000"/>
          <w:szCs w:val="26"/>
        </w:rPr>
        <w:t>178.</w:t>
      </w:r>
      <w:r>
        <w:rPr>
          <w:color w:val="000000"/>
          <w:szCs w:val="26"/>
        </w:rPr>
        <w:tab/>
      </w:r>
      <w:r w:rsidRPr="00D80201">
        <w:rPr>
          <w:color w:val="000000"/>
          <w:szCs w:val="26"/>
        </w:rPr>
        <w:t xml:space="preserve">SCE supports this provision and counters arguments to the contrary that it will cause more of a cost shift to new PTOs, or that it is discriminatory against “new” investment made before </w:t>
      </w:r>
      <w:smartTag w:uri="urn:schemas-microsoft-com:office:smarttags" w:element="date">
        <w:smartTagPr>
          <w:attr w:name="Month" w:val="1"/>
          <w:attr w:name="Day" w:val="1"/>
          <w:attr w:name="Year" w:val="2001"/>
        </w:smartTagPr>
        <w:r w:rsidRPr="00D80201">
          <w:rPr>
            <w:color w:val="000000"/>
            <w:szCs w:val="26"/>
          </w:rPr>
          <w:t>January 1, 2001</w:t>
        </w:r>
      </w:smartTag>
      <w:r w:rsidRPr="00D80201">
        <w:rPr>
          <w:color w:val="000000"/>
          <w:szCs w:val="26"/>
        </w:rPr>
        <w:t xml:space="preserve">.  Ex. SC-1 at 14; Ex. VER-1 at 31-33.  According to SCE, it is not clear how OPTOs and new PTOs will invest in new high voltage facilities and even if OPTOs invest more heavily, the immediate roll-in of the costs is reasonable and not unduly discriminatory.  SCE contends that differential treatment between the new high voltage facilities and new PTOs’ existing facilities is justified because new facilities are designed with benefits to the entire grid in mind whereas the existing facilities were not.  </w:t>
      </w:r>
      <w:r w:rsidRPr="00D80201">
        <w:rPr>
          <w:color w:val="000000"/>
          <w:szCs w:val="26"/>
          <w:u w:val="single"/>
        </w:rPr>
        <w:t>See</w:t>
      </w:r>
      <w:r w:rsidRPr="00D80201">
        <w:rPr>
          <w:i/>
          <w:color w:val="000000"/>
          <w:szCs w:val="26"/>
        </w:rPr>
        <w:t xml:space="preserve"> </w:t>
      </w:r>
      <w:r w:rsidRPr="00D80201">
        <w:rPr>
          <w:color w:val="000000"/>
          <w:szCs w:val="26"/>
        </w:rPr>
        <w:t xml:space="preserve">Ex. SC-20.  </w:t>
      </w:r>
    </w:p>
    <w:p w14:paraId="077F076E" w14:textId="77777777" w:rsidR="00824130" w:rsidRPr="00D80201" w:rsidRDefault="00824130">
      <w:pPr>
        <w:rPr>
          <w:color w:val="000000"/>
          <w:szCs w:val="26"/>
        </w:rPr>
      </w:pPr>
    </w:p>
    <w:p w14:paraId="2F4CC215" w14:textId="77777777" w:rsidR="00824130" w:rsidRPr="00D80201" w:rsidRDefault="00824130">
      <w:pPr>
        <w:rPr>
          <w:color w:val="000000"/>
          <w:szCs w:val="26"/>
        </w:rPr>
      </w:pPr>
      <w:r>
        <w:rPr>
          <w:color w:val="000000"/>
          <w:szCs w:val="26"/>
        </w:rPr>
        <w:t>179.</w:t>
      </w:r>
      <w:r>
        <w:rPr>
          <w:color w:val="000000"/>
          <w:szCs w:val="26"/>
        </w:rPr>
        <w:tab/>
      </w:r>
      <w:r w:rsidRPr="00D80201">
        <w:rPr>
          <w:color w:val="000000"/>
          <w:szCs w:val="26"/>
        </w:rPr>
        <w:t xml:space="preserve">PG&amp;E also supports the ISO’s proposal and argues that it is just, reasonable, and not discriminatory.  Countering some interveners’ argument that the ISO’s proposal is discriminatory because only OPTOs are currently considering building new transmission facilities, PG&amp;E points out that </w:t>
      </w:r>
      <w:r>
        <w:rPr>
          <w:color w:val="000000"/>
          <w:szCs w:val="26"/>
        </w:rPr>
        <w:t>TransElect</w:t>
      </w:r>
      <w:r w:rsidRPr="00D80201">
        <w:rPr>
          <w:color w:val="000000"/>
          <w:szCs w:val="26"/>
        </w:rPr>
        <w:t xml:space="preserve"> will participate in the </w:t>
      </w:r>
      <w:r>
        <w:rPr>
          <w:color w:val="000000"/>
          <w:szCs w:val="26"/>
        </w:rPr>
        <w:t>Path 15</w:t>
      </w:r>
      <w:r w:rsidRPr="00D80201">
        <w:rPr>
          <w:color w:val="000000"/>
          <w:szCs w:val="26"/>
        </w:rPr>
        <w:t xml:space="preserve"> upgrade and that SC indicated during the hearing that it is considering bui</w:t>
      </w:r>
      <w:r>
        <w:rPr>
          <w:color w:val="000000"/>
          <w:szCs w:val="26"/>
        </w:rPr>
        <w:t>lding new projects.  Tr. 1794:18 – 1</w:t>
      </w:r>
      <w:r w:rsidRPr="00D80201">
        <w:rPr>
          <w:color w:val="000000"/>
          <w:szCs w:val="26"/>
        </w:rPr>
        <w:t xml:space="preserve">795:14; Ex. PGE-17.  </w:t>
      </w:r>
    </w:p>
    <w:p w14:paraId="2EBE5F2B" w14:textId="77777777" w:rsidR="00824130" w:rsidRPr="00D80201" w:rsidRDefault="00824130">
      <w:pPr>
        <w:rPr>
          <w:color w:val="000000"/>
          <w:szCs w:val="26"/>
        </w:rPr>
      </w:pPr>
    </w:p>
    <w:p w14:paraId="5855CFA8" w14:textId="77777777" w:rsidR="00824130" w:rsidRDefault="00824130">
      <w:pPr>
        <w:rPr>
          <w:color w:val="000000"/>
          <w:szCs w:val="26"/>
        </w:rPr>
      </w:pPr>
      <w:r>
        <w:rPr>
          <w:color w:val="000000"/>
          <w:szCs w:val="26"/>
        </w:rPr>
        <w:t>180.</w:t>
      </w:r>
      <w:r>
        <w:rPr>
          <w:color w:val="000000"/>
          <w:szCs w:val="26"/>
        </w:rPr>
        <w:tab/>
      </w:r>
      <w:r w:rsidRPr="00D80201">
        <w:rPr>
          <w:color w:val="000000"/>
          <w:szCs w:val="26"/>
        </w:rPr>
        <w:t xml:space="preserve">SDG&amp;E supports the inclusion of new high voltage facilities in the grid wide component of the TAC as just and reasonable because the Commission has approved that grid wide rate as reasonable and the facilities were approved and built according to the ISO’s planning criteria.  As discussed above, SDG&amp;E contends that treating the facilities as existing facilities would render the rates unjust and unreasonable per </w:t>
      </w:r>
      <w:r w:rsidRPr="00D80201">
        <w:rPr>
          <w:color w:val="000000"/>
          <w:szCs w:val="26"/>
          <w:u w:val="single"/>
        </w:rPr>
        <w:t>New England Power Pool, Mass. Mun. Wholesale Elec. Co.</w:t>
      </w:r>
      <w:r w:rsidRPr="00D80201">
        <w:rPr>
          <w:color w:val="000000"/>
          <w:szCs w:val="26"/>
        </w:rPr>
        <w:t xml:space="preserve">, 83 FERC ¶61,045 at PP 61,238-39 (1998).  </w:t>
      </w:r>
    </w:p>
    <w:p w14:paraId="6F0C5478" w14:textId="77777777" w:rsidR="00824130" w:rsidRPr="00D80201" w:rsidRDefault="00824130">
      <w:pPr>
        <w:rPr>
          <w:color w:val="000000"/>
          <w:szCs w:val="26"/>
        </w:rPr>
      </w:pPr>
    </w:p>
    <w:p w14:paraId="471163C6" w14:textId="77777777" w:rsidR="00824130" w:rsidRPr="00D80201" w:rsidRDefault="00824130">
      <w:pPr>
        <w:rPr>
          <w:color w:val="000000"/>
          <w:szCs w:val="26"/>
        </w:rPr>
      </w:pPr>
      <w:r>
        <w:rPr>
          <w:color w:val="000000"/>
          <w:szCs w:val="26"/>
        </w:rPr>
        <w:t>181.</w:t>
      </w:r>
      <w:r>
        <w:rPr>
          <w:color w:val="000000"/>
          <w:szCs w:val="26"/>
        </w:rPr>
        <w:tab/>
      </w:r>
      <w:r w:rsidRPr="00D80201">
        <w:rPr>
          <w:color w:val="000000"/>
          <w:szCs w:val="26"/>
        </w:rPr>
        <w:t xml:space="preserve">SC’s position is that it does not oppose the immediate inclusion of new high voltage facilities in the </w:t>
      </w:r>
      <w:r>
        <w:rPr>
          <w:color w:val="000000"/>
          <w:szCs w:val="26"/>
        </w:rPr>
        <w:t>grid wide</w:t>
      </w:r>
      <w:r w:rsidRPr="00D80201">
        <w:rPr>
          <w:color w:val="000000"/>
          <w:szCs w:val="26"/>
        </w:rPr>
        <w:t xml:space="preserve"> component of the HVAC.  However, is opposes the ISO’s proposal to treat the new high voltage facilities differently from recently transferred existing facilities of the new PTOs for the reasons discussed in the previous section.  </w:t>
      </w:r>
    </w:p>
    <w:p w14:paraId="012D773A" w14:textId="77777777" w:rsidR="00824130" w:rsidRPr="00D80201" w:rsidRDefault="00824130">
      <w:pPr>
        <w:rPr>
          <w:color w:val="000000"/>
          <w:szCs w:val="26"/>
        </w:rPr>
      </w:pPr>
    </w:p>
    <w:p w14:paraId="4843ACCF" w14:textId="77777777" w:rsidR="00824130" w:rsidRPr="00D80201" w:rsidRDefault="00824130">
      <w:pPr>
        <w:rPr>
          <w:color w:val="000000"/>
          <w:szCs w:val="26"/>
        </w:rPr>
      </w:pPr>
      <w:r>
        <w:rPr>
          <w:color w:val="000000"/>
          <w:szCs w:val="26"/>
        </w:rPr>
        <w:t>182.</w:t>
      </w:r>
      <w:r>
        <w:rPr>
          <w:color w:val="000000"/>
          <w:szCs w:val="26"/>
        </w:rPr>
        <w:tab/>
      </w:r>
      <w:r w:rsidRPr="00D80201">
        <w:rPr>
          <w:color w:val="000000"/>
          <w:szCs w:val="26"/>
        </w:rPr>
        <w:t xml:space="preserve">MID, similar to its position regarding issue III.C., </w:t>
      </w:r>
      <w:r w:rsidRPr="00D80201">
        <w:rPr>
          <w:color w:val="000000"/>
          <w:szCs w:val="26"/>
          <w:u w:val="single"/>
        </w:rPr>
        <w:t>supra</w:t>
      </w:r>
      <w:r w:rsidRPr="00D80201">
        <w:rPr>
          <w:color w:val="000000"/>
          <w:szCs w:val="26"/>
        </w:rPr>
        <w:t xml:space="preserve">, views the immediate inclusion of new facilities in the </w:t>
      </w:r>
      <w:r>
        <w:rPr>
          <w:color w:val="000000"/>
          <w:szCs w:val="26"/>
        </w:rPr>
        <w:t>grid wide</w:t>
      </w:r>
      <w:r w:rsidRPr="00D80201">
        <w:rPr>
          <w:color w:val="000000"/>
          <w:szCs w:val="26"/>
        </w:rPr>
        <w:t xml:space="preserve"> component as an example of what MID asserts is the discriminatory nature of the cost-shift cap.</w:t>
      </w:r>
    </w:p>
    <w:p w14:paraId="674958A4" w14:textId="77777777" w:rsidR="00824130" w:rsidRPr="00D80201" w:rsidRDefault="00824130">
      <w:pPr>
        <w:rPr>
          <w:color w:val="000000"/>
          <w:szCs w:val="26"/>
        </w:rPr>
      </w:pPr>
    </w:p>
    <w:p w14:paraId="03DA6FE9" w14:textId="77777777" w:rsidR="00824130" w:rsidRPr="00D80201" w:rsidRDefault="00824130">
      <w:pPr>
        <w:pStyle w:val="BodyText"/>
        <w:jc w:val="both"/>
        <w:rPr>
          <w:color w:val="000000"/>
          <w:sz w:val="26"/>
          <w:szCs w:val="26"/>
        </w:rPr>
      </w:pPr>
      <w:r>
        <w:rPr>
          <w:color w:val="000000"/>
          <w:sz w:val="26"/>
          <w:szCs w:val="26"/>
        </w:rPr>
        <w:t>183.</w:t>
      </w:r>
      <w:r>
        <w:rPr>
          <w:color w:val="000000"/>
          <w:sz w:val="26"/>
          <w:szCs w:val="26"/>
        </w:rPr>
        <w:tab/>
      </w:r>
      <w:r w:rsidRPr="00D80201">
        <w:rPr>
          <w:color w:val="000000"/>
          <w:sz w:val="26"/>
          <w:szCs w:val="26"/>
        </w:rPr>
        <w:t xml:space="preserve">NCPA contends that the ISO’s proposal to include new high-voltage transmission plants in the </w:t>
      </w:r>
      <w:r>
        <w:rPr>
          <w:color w:val="000000"/>
          <w:sz w:val="26"/>
          <w:szCs w:val="26"/>
        </w:rPr>
        <w:t>grid wide</w:t>
      </w:r>
      <w:r w:rsidRPr="00D80201">
        <w:rPr>
          <w:color w:val="000000"/>
          <w:sz w:val="26"/>
          <w:szCs w:val="26"/>
        </w:rPr>
        <w:t xml:space="preserve"> rates, when combined with the cost shift cap, has an arbitrary and discriminatory effect against somewhat new facilities built by new PTOs shortly before they join the ISO.  However, in the event that the cost shift cap is duly eliminated, NCPA supports the proposal to include the new HV facilities in the </w:t>
      </w:r>
      <w:r>
        <w:rPr>
          <w:color w:val="000000"/>
          <w:sz w:val="26"/>
          <w:szCs w:val="26"/>
        </w:rPr>
        <w:t>grid wide</w:t>
      </w:r>
      <w:r w:rsidRPr="00D80201">
        <w:rPr>
          <w:color w:val="000000"/>
          <w:sz w:val="26"/>
          <w:szCs w:val="26"/>
        </w:rPr>
        <w:t xml:space="preserve"> rate.</w:t>
      </w:r>
    </w:p>
    <w:p w14:paraId="6E03F96F" w14:textId="77777777" w:rsidR="00824130" w:rsidRPr="00D80201" w:rsidRDefault="00824130">
      <w:pPr>
        <w:rPr>
          <w:color w:val="000000"/>
          <w:szCs w:val="26"/>
        </w:rPr>
      </w:pPr>
    </w:p>
    <w:p w14:paraId="29851595" w14:textId="77777777" w:rsidR="00824130" w:rsidRPr="00D80201" w:rsidRDefault="00824130">
      <w:pPr>
        <w:rPr>
          <w:color w:val="000000"/>
          <w:szCs w:val="26"/>
        </w:rPr>
      </w:pPr>
      <w:r>
        <w:rPr>
          <w:color w:val="000000"/>
          <w:szCs w:val="26"/>
        </w:rPr>
        <w:t>184.</w:t>
      </w:r>
      <w:r>
        <w:rPr>
          <w:color w:val="000000"/>
          <w:szCs w:val="26"/>
        </w:rPr>
        <w:tab/>
      </w:r>
      <w:r w:rsidRPr="00D80201">
        <w:rPr>
          <w:color w:val="000000"/>
          <w:szCs w:val="26"/>
        </w:rPr>
        <w:t xml:space="preserve">If the cost shift cap is eliminated, then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is willing to withdraw its opposition to the treatment of high voltage facilities </w:t>
      </w:r>
      <w:r>
        <w:rPr>
          <w:color w:val="000000"/>
          <w:szCs w:val="26"/>
        </w:rPr>
        <w:t>grid wide</w:t>
      </w:r>
      <w:r w:rsidRPr="00D80201">
        <w:rPr>
          <w:color w:val="000000"/>
          <w:szCs w:val="26"/>
        </w:rPr>
        <w:t xml:space="preserve">.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Reply Brief at 41.  In the alternative, if the cost shift cap is approved,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asserts that new transmission, owned by a PTO, should initially be assigned to the same TAC area as the PTO is assigned and should gradually be transferred to ISO </w:t>
      </w:r>
      <w:r>
        <w:rPr>
          <w:color w:val="000000"/>
          <w:szCs w:val="26"/>
        </w:rPr>
        <w:t>grid wide</w:t>
      </w:r>
      <w:r w:rsidRPr="00D80201">
        <w:rPr>
          <w:color w:val="000000"/>
          <w:szCs w:val="26"/>
        </w:rPr>
        <w:t xml:space="preserve"> rates during the transition period.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claims that the ISO proposal in the treatment of transmission investments, based on whether they were made on or before </w:t>
      </w:r>
      <w:smartTag w:uri="urn:schemas-microsoft-com:office:smarttags" w:element="date">
        <w:smartTagPr>
          <w:attr w:name="Month" w:val="1"/>
          <w:attr w:name="Day" w:val="1"/>
          <w:attr w:name="Year" w:val="2001"/>
        </w:smartTagPr>
        <w:r w:rsidRPr="00D80201">
          <w:rPr>
            <w:color w:val="000000"/>
            <w:szCs w:val="26"/>
          </w:rPr>
          <w:t>January 1, 2001</w:t>
        </w:r>
      </w:smartTag>
      <w:r w:rsidRPr="00D80201">
        <w:rPr>
          <w:color w:val="000000"/>
          <w:szCs w:val="26"/>
        </w:rPr>
        <w:t xml:space="preserve">, discriminates against PTOs with transmission investments made before </w:t>
      </w:r>
      <w:smartTag w:uri="urn:schemas-microsoft-com:office:smarttags" w:element="date">
        <w:smartTagPr>
          <w:attr w:name="Month" w:val="1"/>
          <w:attr w:name="Day" w:val="1"/>
          <w:attr w:name="Year" w:val="2001"/>
        </w:smartTagPr>
        <w:r w:rsidRPr="00D80201">
          <w:rPr>
            <w:color w:val="000000"/>
            <w:szCs w:val="26"/>
          </w:rPr>
          <w:t>January 1, 2001</w:t>
        </w:r>
      </w:smartTag>
      <w:r w:rsidRPr="00D80201">
        <w:rPr>
          <w:color w:val="000000"/>
          <w:szCs w:val="26"/>
        </w:rPr>
        <w:t xml:space="preserve"> and has not been supported.  Ex. VER-1 at 31-33; Ex. VER-13 at 16-25.  </w:t>
      </w:r>
    </w:p>
    <w:p w14:paraId="7199AB26" w14:textId="77777777" w:rsidR="00824130" w:rsidRPr="00D80201" w:rsidRDefault="00824130">
      <w:pPr>
        <w:rPr>
          <w:color w:val="000000"/>
          <w:szCs w:val="26"/>
        </w:rPr>
      </w:pPr>
    </w:p>
    <w:p w14:paraId="2F47CF96" w14:textId="77777777" w:rsidR="00824130" w:rsidRPr="00D80201" w:rsidRDefault="00824130">
      <w:pPr>
        <w:rPr>
          <w:color w:val="000000"/>
          <w:szCs w:val="26"/>
        </w:rPr>
      </w:pPr>
      <w:r>
        <w:rPr>
          <w:color w:val="000000"/>
          <w:szCs w:val="26"/>
        </w:rPr>
        <w:t>185.</w:t>
      </w:r>
      <w:r>
        <w:rPr>
          <w:color w:val="000000"/>
          <w:szCs w:val="26"/>
        </w:rPr>
        <w:tab/>
      </w:r>
      <w:r w:rsidRPr="00D80201">
        <w:rPr>
          <w:color w:val="000000"/>
          <w:szCs w:val="26"/>
        </w:rPr>
        <w:t xml:space="preserve">Emphasizing the need to eliminate the cost shift cap, Staff posits that it appears that </w:t>
      </w:r>
      <w:r>
        <w:rPr>
          <w:color w:val="000000"/>
          <w:szCs w:val="26"/>
        </w:rPr>
        <w:t xml:space="preserve">the </w:t>
      </w:r>
      <w:r w:rsidRPr="00D80201">
        <w:rPr>
          <w:color w:val="000000"/>
          <w:szCs w:val="26"/>
        </w:rPr>
        <w:t xml:space="preserve">ISO, SDG&amp;E, PG&amp;E, SCE and the EOB all support this provision, whereas </w:t>
      </w:r>
    </w:p>
    <w:p w14:paraId="70F36DDA" w14:textId="77777777" w:rsidR="00824130" w:rsidRPr="00D80201" w:rsidRDefault="00824130">
      <w:pPr>
        <w:rPr>
          <w:color w:val="000000"/>
          <w:szCs w:val="26"/>
        </w:rPr>
      </w:pPr>
      <w:r w:rsidRPr="00D80201">
        <w:rPr>
          <w:color w:val="000000"/>
          <w:szCs w:val="26"/>
        </w:rPr>
        <w:t xml:space="preserve">TANC, MID, SC and NCPA all object to the way it would interact with the cost shift cap, but do not object if cost shift caps are eliminated.  According to Staff,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’s objections seem to stem from its reluctance to share the costs of any other PTO’s new high voltage facilities without a phase-</w:t>
      </w:r>
      <w:r>
        <w:rPr>
          <w:color w:val="000000"/>
          <w:szCs w:val="26"/>
        </w:rPr>
        <w:t>in period.  Ex.VER-13 at 19:9 – 2</w:t>
      </w:r>
      <w:r w:rsidRPr="00D80201">
        <w:rPr>
          <w:color w:val="000000"/>
          <w:szCs w:val="26"/>
        </w:rPr>
        <w:t xml:space="preserve">1:4.  Staff posits that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is hard pressed to demonstrate any actual harm from the TAC methodology, even if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’s benefits might be slightly less than it had hoped.</w:t>
      </w:r>
    </w:p>
    <w:p w14:paraId="45CA4586" w14:textId="77777777" w:rsidR="00824130" w:rsidRPr="00D80201" w:rsidRDefault="00824130">
      <w:pPr>
        <w:rPr>
          <w:color w:val="000000"/>
          <w:szCs w:val="26"/>
        </w:rPr>
      </w:pPr>
    </w:p>
    <w:p w14:paraId="7BD9ECEF" w14:textId="77777777" w:rsidR="00824130" w:rsidRDefault="00824130">
      <w:pPr>
        <w:ind w:left="720"/>
        <w:rPr>
          <w:b/>
          <w:color w:val="000000"/>
          <w:szCs w:val="26"/>
        </w:rPr>
      </w:pPr>
      <w:r w:rsidRPr="00D80201">
        <w:rPr>
          <w:b/>
          <w:color w:val="000000"/>
          <w:szCs w:val="26"/>
        </w:rPr>
        <w:t>Discussion and Findings</w:t>
      </w:r>
    </w:p>
    <w:p w14:paraId="7263830F" w14:textId="77777777" w:rsidR="00824130" w:rsidRPr="00D80201" w:rsidRDefault="00824130">
      <w:pPr>
        <w:ind w:left="720"/>
        <w:rPr>
          <w:b/>
          <w:color w:val="000000"/>
          <w:szCs w:val="26"/>
        </w:rPr>
      </w:pPr>
    </w:p>
    <w:p w14:paraId="6EA7C890" w14:textId="77777777" w:rsidR="00824130" w:rsidRPr="00D80201" w:rsidRDefault="00824130">
      <w:pPr>
        <w:rPr>
          <w:color w:val="000000"/>
          <w:szCs w:val="26"/>
        </w:rPr>
      </w:pPr>
      <w:r>
        <w:rPr>
          <w:color w:val="000000"/>
          <w:szCs w:val="26"/>
        </w:rPr>
        <w:t>186.</w:t>
      </w:r>
      <w:r w:rsidRPr="00D80201">
        <w:rPr>
          <w:color w:val="000000"/>
          <w:szCs w:val="26"/>
        </w:rPr>
        <w:tab/>
        <w:t xml:space="preserve">As Staff correctly observes, the ISO, SDG&amp;E, PG&amp;E, SCE and the EOB all support the immediate inclusion of New High Voltage Facilities in the </w:t>
      </w:r>
      <w:r>
        <w:rPr>
          <w:color w:val="000000"/>
          <w:szCs w:val="26"/>
        </w:rPr>
        <w:t>grid wide</w:t>
      </w:r>
      <w:r w:rsidRPr="00D80201">
        <w:rPr>
          <w:color w:val="000000"/>
          <w:szCs w:val="26"/>
        </w:rPr>
        <w:t xml:space="preserve"> component of the High Voltage Access Charge. TANC, MID, SC and NCPA object to this provision for many of the same reasons offered in support of elimination of the cost shift cap. With the elimination of the cost shift cap,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is willing to withdraw its opposition to the treatment of high voltage facilities </w:t>
      </w:r>
      <w:r>
        <w:rPr>
          <w:color w:val="000000"/>
          <w:szCs w:val="26"/>
        </w:rPr>
        <w:t>grid wide</w:t>
      </w:r>
      <w:r w:rsidRPr="00D80201">
        <w:rPr>
          <w:color w:val="000000"/>
          <w:szCs w:val="26"/>
        </w:rPr>
        <w:t>.</w:t>
      </w:r>
      <w:r w:rsidRPr="00D80201">
        <w:rPr>
          <w:rStyle w:val="FootnoteReference"/>
          <w:color w:val="000000"/>
        </w:rPr>
        <w:footnoteReference w:id="59"/>
      </w:r>
      <w:r w:rsidRPr="00D80201">
        <w:rPr>
          <w:color w:val="000000"/>
          <w:szCs w:val="26"/>
        </w:rPr>
        <w:t xml:space="preserve">  As discussed more fully in Section III, </w:t>
      </w:r>
      <w:r w:rsidRPr="00D80201">
        <w:rPr>
          <w:color w:val="000000"/>
          <w:szCs w:val="26"/>
          <w:u w:val="single"/>
        </w:rPr>
        <w:t>supra</w:t>
      </w:r>
      <w:r w:rsidRPr="00D80201">
        <w:rPr>
          <w:color w:val="000000"/>
          <w:szCs w:val="26"/>
        </w:rPr>
        <w:t>, it is the determination of the undersigned Presiding Judge that even the most aggressive projection of cost shifts under the TAC would equal only a small percent of the overall cost of electricity and would not result in rate shock to ratepayers, that the proposed cost shift cap has been ineff</w:t>
      </w:r>
      <w:r>
        <w:rPr>
          <w:color w:val="000000"/>
          <w:szCs w:val="26"/>
        </w:rPr>
        <w:t>ective as an inducement for ETC</w:t>
      </w:r>
      <w:r w:rsidRPr="00D80201">
        <w:rPr>
          <w:color w:val="000000"/>
          <w:szCs w:val="26"/>
        </w:rPr>
        <w:t xml:space="preserve">s to join the ISO, and that the proposed cost shift cap should be eliminated on a prospective basis.  </w:t>
      </w:r>
    </w:p>
    <w:p w14:paraId="35C62EBB" w14:textId="77777777" w:rsidR="00824130" w:rsidRPr="00D80201" w:rsidRDefault="00824130">
      <w:pPr>
        <w:rPr>
          <w:color w:val="000000"/>
          <w:szCs w:val="26"/>
        </w:rPr>
      </w:pPr>
    </w:p>
    <w:p w14:paraId="0EFB7D80" w14:textId="77777777" w:rsidR="00824130" w:rsidRDefault="00824130">
      <w:pPr>
        <w:rPr>
          <w:szCs w:val="26"/>
        </w:rPr>
      </w:pPr>
      <w:r>
        <w:rPr>
          <w:color w:val="000000"/>
          <w:szCs w:val="26"/>
        </w:rPr>
        <w:t>187.</w:t>
      </w:r>
      <w:r>
        <w:rPr>
          <w:color w:val="000000"/>
          <w:szCs w:val="26"/>
        </w:rPr>
        <w:tab/>
      </w:r>
      <w:r w:rsidRPr="00D80201">
        <w:rPr>
          <w:color w:val="000000"/>
          <w:szCs w:val="26"/>
        </w:rPr>
        <w:t xml:space="preserve">Given these findings, continued objections to the immediate inclusion of New High Voltage Facilities in the </w:t>
      </w:r>
      <w:r>
        <w:rPr>
          <w:color w:val="000000"/>
          <w:szCs w:val="26"/>
        </w:rPr>
        <w:t>grid wide</w:t>
      </w:r>
      <w:r w:rsidRPr="00D80201">
        <w:rPr>
          <w:color w:val="000000"/>
          <w:szCs w:val="26"/>
        </w:rPr>
        <w:t xml:space="preserve"> component of the High Voltage Access Charge are unpersuasive.  Accordingly, it is the determination of the undersigned Presiding Judge that the immediate inclusion of new high voltage facilities in the </w:t>
      </w:r>
      <w:r>
        <w:rPr>
          <w:color w:val="000000"/>
          <w:szCs w:val="26"/>
        </w:rPr>
        <w:t>grid wide</w:t>
      </w:r>
      <w:r w:rsidRPr="00D80201">
        <w:rPr>
          <w:color w:val="000000"/>
          <w:szCs w:val="26"/>
        </w:rPr>
        <w:t xml:space="preserve"> component of the high voltage access charge does not discriminate against any PTO class for the reasons discussed in Section III. C., </w:t>
      </w:r>
      <w:r w:rsidRPr="00D80201">
        <w:rPr>
          <w:color w:val="000000"/>
          <w:szCs w:val="26"/>
          <w:u w:val="single"/>
        </w:rPr>
        <w:t>supra</w:t>
      </w:r>
      <w:r w:rsidRPr="00D80201">
        <w:rPr>
          <w:color w:val="000000"/>
          <w:szCs w:val="26"/>
        </w:rPr>
        <w:t>, serves valid policy purposes as articulated and identified by the ISO, and is hereby adopted as proposed.</w:t>
      </w:r>
    </w:p>
    <w:p w14:paraId="610A4880" w14:textId="77777777" w:rsidR="00824130" w:rsidRPr="00D80201" w:rsidRDefault="00824130">
      <w:pPr>
        <w:rPr>
          <w:szCs w:val="26"/>
        </w:rPr>
      </w:pPr>
    </w:p>
    <w:p w14:paraId="628C4EC2" w14:textId="77777777" w:rsidR="00824130" w:rsidRPr="00D80201" w:rsidRDefault="00824130">
      <w:pPr>
        <w:numPr>
          <w:ilvl w:val="0"/>
          <w:numId w:val="23"/>
        </w:numPr>
        <w:rPr>
          <w:b/>
          <w:color w:val="000000"/>
          <w:szCs w:val="26"/>
        </w:rPr>
      </w:pPr>
      <w:r w:rsidRPr="00D80201">
        <w:rPr>
          <w:b/>
          <w:color w:val="000000"/>
          <w:szCs w:val="26"/>
        </w:rPr>
        <w:t>FTR’s</w:t>
      </w:r>
    </w:p>
    <w:p w14:paraId="3BB656C6" w14:textId="77777777" w:rsidR="00824130" w:rsidRPr="00D80201" w:rsidRDefault="00824130">
      <w:pPr>
        <w:rPr>
          <w:b/>
          <w:color w:val="000000"/>
          <w:szCs w:val="26"/>
        </w:rPr>
      </w:pPr>
    </w:p>
    <w:p w14:paraId="5D2BABCA" w14:textId="77777777" w:rsidR="00824130" w:rsidRPr="00D80201" w:rsidRDefault="00824130">
      <w:pPr>
        <w:ind w:left="1080"/>
        <w:rPr>
          <w:b/>
          <w:color w:val="000000"/>
          <w:szCs w:val="26"/>
        </w:rPr>
      </w:pPr>
      <w:r w:rsidRPr="00D80201">
        <w:rPr>
          <w:b/>
          <w:color w:val="000000"/>
          <w:szCs w:val="26"/>
        </w:rPr>
        <w:t>A. Whether it is just, reasonable and not unduly discriminatory to treat the Original Participating TO</w:t>
      </w:r>
      <w:r>
        <w:rPr>
          <w:b/>
          <w:color w:val="000000"/>
          <w:szCs w:val="26"/>
        </w:rPr>
        <w:t>’s FTRs differently</w:t>
      </w:r>
      <w:r w:rsidRPr="00D80201">
        <w:rPr>
          <w:b/>
          <w:color w:val="000000"/>
          <w:szCs w:val="26"/>
        </w:rPr>
        <w:t xml:space="preserve"> than New Participating TOs in Section 9.4.3 of the ISO Tariff.</w:t>
      </w:r>
    </w:p>
    <w:p w14:paraId="6F6A579F" w14:textId="77777777" w:rsidR="00824130" w:rsidRPr="00D80201" w:rsidRDefault="00824130">
      <w:pPr>
        <w:rPr>
          <w:b/>
          <w:color w:val="000000"/>
          <w:szCs w:val="26"/>
        </w:rPr>
      </w:pPr>
    </w:p>
    <w:p w14:paraId="5DB05689" w14:textId="77777777" w:rsidR="00824130" w:rsidRPr="00D80201" w:rsidRDefault="00824130">
      <w:pPr>
        <w:rPr>
          <w:b/>
          <w:color w:val="000000"/>
          <w:szCs w:val="26"/>
        </w:rPr>
      </w:pPr>
      <w:r w:rsidRPr="00D80201">
        <w:rPr>
          <w:b/>
          <w:color w:val="000000"/>
          <w:szCs w:val="26"/>
        </w:rPr>
        <w:tab/>
        <w:t>Position of the Parties</w:t>
      </w:r>
    </w:p>
    <w:p w14:paraId="50F4B5A3" w14:textId="77777777" w:rsidR="00824130" w:rsidRPr="00D80201" w:rsidRDefault="00824130">
      <w:pPr>
        <w:rPr>
          <w:color w:val="000000"/>
          <w:szCs w:val="26"/>
        </w:rPr>
      </w:pPr>
    </w:p>
    <w:p w14:paraId="56E90F52" w14:textId="77777777" w:rsidR="00824130" w:rsidRPr="00D80201" w:rsidRDefault="00824130">
      <w:pPr>
        <w:rPr>
          <w:color w:val="000000"/>
          <w:szCs w:val="26"/>
        </w:rPr>
      </w:pPr>
      <w:r>
        <w:rPr>
          <w:color w:val="000000"/>
          <w:szCs w:val="26"/>
        </w:rPr>
        <w:t>188.</w:t>
      </w:r>
      <w:r>
        <w:rPr>
          <w:color w:val="000000"/>
          <w:szCs w:val="26"/>
        </w:rPr>
        <w:tab/>
      </w:r>
      <w:r w:rsidRPr="00D80201">
        <w:rPr>
          <w:color w:val="000000"/>
          <w:szCs w:val="26"/>
        </w:rPr>
        <w:t xml:space="preserve">The ISO asserts that the Section 9.4.3 treatment of FTRs is a just, reasonable, and not unduly discriminatory inducement for participation in the ISO.  The Section 9.4.3 treatment distinguishes between OPTOs and new PTOs, but, the ISO argues, Commission precedent has held that the benefits of expanding the ISO justify that temporary distinction. </w:t>
      </w:r>
    </w:p>
    <w:p w14:paraId="45FDA637" w14:textId="77777777" w:rsidR="00824130" w:rsidRPr="00D80201" w:rsidRDefault="00824130">
      <w:pPr>
        <w:ind w:firstLine="720"/>
        <w:rPr>
          <w:color w:val="000000"/>
          <w:szCs w:val="26"/>
        </w:rPr>
      </w:pPr>
    </w:p>
    <w:p w14:paraId="2EDE5543" w14:textId="77777777" w:rsidR="00824130" w:rsidRDefault="00824130">
      <w:pPr>
        <w:pStyle w:val="BodyTextFirstIndentD"/>
        <w:spacing w:line="240" w:lineRule="auto"/>
        <w:ind w:firstLine="0"/>
        <w:rPr>
          <w:i/>
          <w:color w:val="000000"/>
          <w:u w:val="single"/>
        </w:rPr>
      </w:pPr>
      <w:r>
        <w:rPr>
          <w:color w:val="000000"/>
        </w:rPr>
        <w:t>189.</w:t>
      </w:r>
      <w:r>
        <w:rPr>
          <w:color w:val="000000"/>
        </w:rPr>
        <w:tab/>
      </w:r>
      <w:r w:rsidRPr="00D80201">
        <w:rPr>
          <w:color w:val="000000"/>
        </w:rPr>
        <w:t xml:space="preserve">The ISO responds to arguments by SDG&amp;E, discussed more fully below, that the best solution would be the CRRs that the ISO has proposed in the </w:t>
      </w:r>
      <w:r>
        <w:rPr>
          <w:color w:val="000000"/>
        </w:rPr>
        <w:t>MD02</w:t>
      </w:r>
      <w:r w:rsidRPr="00D80201">
        <w:rPr>
          <w:color w:val="000000"/>
        </w:rPr>
        <w:t xml:space="preserve"> proceeding, by arguing that the CRRs are not compatible with the ISO’s current congestion management proposal.  The CRRs would be issued </w:t>
      </w:r>
      <w:r>
        <w:rPr>
          <w:color w:val="000000"/>
        </w:rPr>
        <w:t xml:space="preserve">on a </w:t>
      </w:r>
      <w:r w:rsidRPr="00D80201">
        <w:rPr>
          <w:color w:val="000000"/>
        </w:rPr>
        <w:t xml:space="preserve">point-by-point basis, consistent with locational marginal pricing.  </w:t>
      </w:r>
      <w:smartTag w:uri="urn:schemas-microsoft-com:office:smarttags" w:element="place">
        <w:smartTag w:uri="urn:schemas-microsoft-com:office:smarttags" w:element="State">
          <w:r w:rsidRPr="00D80201">
            <w:rPr>
              <w:color w:val="000000"/>
              <w:u w:val="single"/>
            </w:rPr>
            <w:t>Cal.</w:t>
          </w:r>
        </w:smartTag>
      </w:smartTag>
      <w:r w:rsidRPr="00D80201">
        <w:rPr>
          <w:color w:val="000000"/>
          <w:u w:val="single"/>
        </w:rPr>
        <w:t xml:space="preserve"> Indep. Sys. Operator Corp.</w:t>
      </w:r>
      <w:r w:rsidRPr="00D80201">
        <w:rPr>
          <w:color w:val="000000"/>
        </w:rPr>
        <w:t xml:space="preserve">, 105 FERC ¶ 61,140 at P 30 (2003).  Meanwhile, the ISO currently manages Congestion on a zonal basis.  Ex. J-2, ISO Tariff § 7.2 </w:t>
      </w:r>
      <w:r w:rsidRPr="00D80201">
        <w:rPr>
          <w:color w:val="000000"/>
          <w:u w:val="single"/>
        </w:rPr>
        <w:t>et seq</w:t>
      </w:r>
      <w:r w:rsidRPr="00D80201">
        <w:rPr>
          <w:i/>
          <w:color w:val="000000"/>
          <w:u w:val="single"/>
        </w:rPr>
        <w:t>.</w:t>
      </w:r>
    </w:p>
    <w:p w14:paraId="2279B78B" w14:textId="77777777" w:rsidR="00824130" w:rsidRPr="00D80201" w:rsidRDefault="00824130">
      <w:pPr>
        <w:pStyle w:val="BodyTextFirstIndentD"/>
        <w:spacing w:line="240" w:lineRule="auto"/>
        <w:ind w:firstLine="0"/>
        <w:rPr>
          <w:color w:val="000000"/>
        </w:rPr>
      </w:pPr>
    </w:p>
    <w:p w14:paraId="32831EEC" w14:textId="77777777" w:rsidR="00824130" w:rsidRPr="00D80201" w:rsidRDefault="00824130">
      <w:pPr>
        <w:rPr>
          <w:color w:val="000000"/>
          <w:szCs w:val="26"/>
        </w:rPr>
      </w:pPr>
      <w:r>
        <w:rPr>
          <w:color w:val="000000"/>
          <w:szCs w:val="26"/>
        </w:rPr>
        <w:t>190.</w:t>
      </w:r>
      <w:r w:rsidRPr="00D80201">
        <w:rPr>
          <w:color w:val="000000"/>
          <w:szCs w:val="26"/>
        </w:rPr>
        <w:tab/>
        <w:t xml:space="preserve">Staff supports the ISO’s view that Commission precedent allows differential treatment of OPTOs and new PTOs; the Commission has held that “the ISO's proposal is not unduly discriminatory but a balance of incentives intended to encourage other transmission owners to join the ISO.”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i/>
          <w:color w:val="000000"/>
          <w:szCs w:val="26"/>
        </w:rPr>
        <w:t xml:space="preserve">, </w:t>
      </w:r>
      <w:r w:rsidRPr="00D80201">
        <w:rPr>
          <w:color w:val="000000"/>
          <w:szCs w:val="26"/>
        </w:rPr>
        <w:t xml:space="preserve">104 FERC ¶ 61,062 at P 29 (2003).  In its reply brief, Staff responds to </w:t>
      </w:r>
      <w:r>
        <w:rPr>
          <w:color w:val="000000"/>
          <w:szCs w:val="26"/>
        </w:rPr>
        <w:t>contentions by TANC and PG&amp;E – t</w:t>
      </w:r>
      <w:r w:rsidRPr="00D80201">
        <w:rPr>
          <w:color w:val="000000"/>
          <w:szCs w:val="26"/>
        </w:rPr>
        <w:t xml:space="preserve">hat the Commission should exempt OPTOs from auctioning their FTRs and that such an exemption is consistent with the </w:t>
      </w:r>
      <w:r>
        <w:rPr>
          <w:color w:val="000000"/>
          <w:szCs w:val="26"/>
        </w:rPr>
        <w:t>MD02</w:t>
      </w:r>
      <w:r w:rsidRPr="00D80201">
        <w:rPr>
          <w:color w:val="000000"/>
          <w:szCs w:val="26"/>
        </w:rPr>
        <w:t xml:space="preserve"> proceeding – by countering that this proceeding is not the </w:t>
      </w:r>
      <w:r>
        <w:rPr>
          <w:color w:val="000000"/>
          <w:szCs w:val="26"/>
        </w:rPr>
        <w:t>MD02</w:t>
      </w:r>
      <w:r w:rsidRPr="00D80201">
        <w:rPr>
          <w:color w:val="000000"/>
          <w:szCs w:val="26"/>
        </w:rPr>
        <w:t xml:space="preserve"> proceeding and that the ISO’s treatment of FTRs is reasonable.  </w:t>
      </w:r>
    </w:p>
    <w:p w14:paraId="6B460BE3" w14:textId="77777777" w:rsidR="00824130" w:rsidRPr="00D80201" w:rsidRDefault="00824130">
      <w:pPr>
        <w:rPr>
          <w:color w:val="000000"/>
          <w:szCs w:val="26"/>
        </w:rPr>
      </w:pPr>
    </w:p>
    <w:p w14:paraId="79430098" w14:textId="77777777" w:rsidR="00824130" w:rsidRPr="00D80201" w:rsidRDefault="00824130">
      <w:pPr>
        <w:rPr>
          <w:color w:val="000000"/>
          <w:szCs w:val="26"/>
        </w:rPr>
      </w:pPr>
      <w:r>
        <w:rPr>
          <w:color w:val="000000"/>
          <w:szCs w:val="26"/>
        </w:rPr>
        <w:t>191.</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’s position is that Section 9.4.3 FTRs are an incentive to potential new PTOs to join the ISO, but opposes the use of cost shift caps as a “counterbalance.”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contends that to do so would reduce the incentives to new potential PTOs to join the ISO.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Reply Brief at 9-10, 42.</w:t>
      </w:r>
    </w:p>
    <w:p w14:paraId="1A7AAE3F" w14:textId="77777777" w:rsidR="00824130" w:rsidRPr="00D80201" w:rsidRDefault="00824130">
      <w:pPr>
        <w:rPr>
          <w:color w:val="000000"/>
          <w:szCs w:val="26"/>
        </w:rPr>
      </w:pPr>
    </w:p>
    <w:p w14:paraId="6F7B776F" w14:textId="77777777" w:rsidR="00824130" w:rsidRPr="00D80201" w:rsidRDefault="00824130">
      <w:pPr>
        <w:rPr>
          <w:color w:val="000000"/>
          <w:szCs w:val="26"/>
        </w:rPr>
      </w:pPr>
      <w:r>
        <w:rPr>
          <w:color w:val="000000"/>
          <w:szCs w:val="26"/>
        </w:rPr>
        <w:t>192.</w:t>
      </w:r>
      <w:r>
        <w:rPr>
          <w:color w:val="000000"/>
          <w:szCs w:val="26"/>
        </w:rPr>
        <w:tab/>
      </w:r>
      <w:r w:rsidRPr="00D80201">
        <w:rPr>
          <w:color w:val="000000"/>
          <w:szCs w:val="26"/>
        </w:rPr>
        <w:t xml:space="preserve">SWP contends that FTRs fully commensurate with ETC rights should be granted to new PTOs upon contract conversion.  In response to arguments by certain other parties that the ISO’s current FTR proposal would discriminate against OPTOs, SWP agrees with Staff that the Commission has already found that “the ISO’s proposal is not unduly discriminatory but a balance of incentives intended to encourage other transmission owners to join the ISO.”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i/>
          <w:color w:val="000000"/>
          <w:szCs w:val="26"/>
        </w:rPr>
        <w:t xml:space="preserve">, </w:t>
      </w:r>
      <w:r w:rsidRPr="00D80201">
        <w:rPr>
          <w:color w:val="000000"/>
          <w:szCs w:val="26"/>
        </w:rPr>
        <w:t xml:space="preserve">104 FERC ¶ 61,062 at P 29 (2003).  </w:t>
      </w:r>
    </w:p>
    <w:p w14:paraId="6EA1C147" w14:textId="77777777" w:rsidR="00824130" w:rsidRPr="00D80201" w:rsidRDefault="00824130">
      <w:pPr>
        <w:spacing w:before="240"/>
        <w:rPr>
          <w:color w:val="000000"/>
          <w:szCs w:val="26"/>
        </w:rPr>
      </w:pPr>
      <w:r>
        <w:rPr>
          <w:color w:val="000000"/>
          <w:szCs w:val="26"/>
        </w:rPr>
        <w:t>193.</w:t>
      </w:r>
      <w:r>
        <w:rPr>
          <w:color w:val="000000"/>
          <w:szCs w:val="26"/>
        </w:rPr>
        <w:tab/>
      </w:r>
      <w:r w:rsidRPr="00D80201">
        <w:rPr>
          <w:color w:val="000000"/>
          <w:szCs w:val="26"/>
        </w:rPr>
        <w:t xml:space="preserve">SWP describes that it provides transmission payments and in-kind reliability support in exchange for a specified amount of firm transmission service under its ETCs with PG&amp;E and SCE.  SWP essentially contends that “commensurate” FTRs are essential “as compensation for converted Existing Contract rights . . . to keep converted rightsholder whole from the loss of benefits of their firm, long-term transmission contract.” Ex. SWP-28 at 12.  SWP argues that if it joined the ISO and converted its ETC, PG&amp;E and the ISO would still view SWP as obligated to provide in-kind reliability services without receiving any services in return from PG&amp;E because its ETC would no longer exist.  Ex. SWP-75 at 1-2, 14-18; Ex. SWP-12.  In addition, SWP asserts that the TAC would require SWP to continue to pay PG&amp;E and SCE, as well as to start paying the ISO, for “firm” contract demand ETC service after contract conversion; to recover its payments to SCE and PG&amp;E, SWP would have to file a transmission rate with the Commission. Ex. SWP-78A; Ex. SWP-78B.  </w:t>
      </w:r>
      <w:r w:rsidRPr="00D80201">
        <w:rPr>
          <w:iCs/>
          <w:color w:val="000000"/>
          <w:szCs w:val="26"/>
          <w:u w:val="single"/>
        </w:rPr>
        <w:t>See</w:t>
      </w:r>
      <w:r w:rsidRPr="00D80201">
        <w:rPr>
          <w:i/>
          <w:iCs/>
          <w:color w:val="000000"/>
          <w:szCs w:val="26"/>
        </w:rPr>
        <w:t xml:space="preserve"> </w:t>
      </w:r>
      <w:r w:rsidRPr="00D80201">
        <w:rPr>
          <w:color w:val="000000"/>
          <w:szCs w:val="26"/>
        </w:rPr>
        <w:t xml:space="preserve">Ex. SWP-13 at 1-3. </w:t>
      </w:r>
    </w:p>
    <w:p w14:paraId="4E80A69F" w14:textId="77777777" w:rsidR="00824130" w:rsidRPr="00D80201" w:rsidRDefault="00824130">
      <w:pPr>
        <w:spacing w:before="240"/>
        <w:rPr>
          <w:color w:val="000000"/>
          <w:szCs w:val="26"/>
        </w:rPr>
      </w:pPr>
      <w:r>
        <w:rPr>
          <w:color w:val="000000"/>
          <w:szCs w:val="26"/>
        </w:rPr>
        <w:t>194.</w:t>
      </w:r>
      <w:r>
        <w:rPr>
          <w:color w:val="000000"/>
          <w:szCs w:val="26"/>
        </w:rPr>
        <w:tab/>
      </w:r>
      <w:r w:rsidRPr="00D80201">
        <w:rPr>
          <w:color w:val="000000"/>
          <w:szCs w:val="26"/>
        </w:rPr>
        <w:t xml:space="preserve">SC argues that the OPTOs have not demonstrated that it is unduly discriminatory to treat OPTOs differently than the new PTOs regarding FTRs, and supports the differential treatment because new PTOs are situated differently.  </w:t>
      </w:r>
    </w:p>
    <w:p w14:paraId="3884F5E8" w14:textId="77777777" w:rsidR="00824130" w:rsidRPr="00D80201" w:rsidRDefault="00824130">
      <w:pPr>
        <w:rPr>
          <w:color w:val="000000"/>
          <w:szCs w:val="26"/>
        </w:rPr>
      </w:pPr>
    </w:p>
    <w:p w14:paraId="5FDA9E72" w14:textId="77777777" w:rsidR="00824130" w:rsidRPr="00D80201" w:rsidRDefault="00824130">
      <w:pPr>
        <w:pStyle w:val="FootnoteText"/>
        <w:ind w:firstLine="0"/>
        <w:rPr>
          <w:szCs w:val="26"/>
        </w:rPr>
      </w:pPr>
      <w:r>
        <w:rPr>
          <w:szCs w:val="26"/>
        </w:rPr>
        <w:t>195.</w:t>
      </w:r>
      <w:r>
        <w:rPr>
          <w:szCs w:val="26"/>
        </w:rPr>
        <w:tab/>
      </w:r>
      <w:r w:rsidRPr="00D80201">
        <w:rPr>
          <w:szCs w:val="26"/>
        </w:rPr>
        <w:t>SCE supports the FTR proposal, although it asserts that in isolation, the provision by the ISO of free FTRs and netting treatm</w:t>
      </w:r>
      <w:r>
        <w:rPr>
          <w:szCs w:val="26"/>
        </w:rPr>
        <w:t xml:space="preserve">ent to only </w:t>
      </w:r>
      <w:r w:rsidRPr="00D80201">
        <w:rPr>
          <w:szCs w:val="26"/>
        </w:rPr>
        <w:t xml:space="preserve">new PTOs is blatantly discriminatory.  </w:t>
      </w:r>
      <w:r w:rsidRPr="00D80201">
        <w:rPr>
          <w:szCs w:val="26"/>
          <w:u w:val="single"/>
        </w:rPr>
        <w:t>E.g.</w:t>
      </w:r>
      <w:r w:rsidRPr="00D80201">
        <w:rPr>
          <w:i/>
          <w:szCs w:val="26"/>
        </w:rPr>
        <w:t xml:space="preserve">, </w:t>
      </w:r>
      <w:r w:rsidRPr="00D80201">
        <w:rPr>
          <w:szCs w:val="26"/>
        </w:rPr>
        <w:t>Tr. 1409 (NCPA witness Rushton agreed the treatment is not comparable); Ex. ISO-1 at 14 (ISO witness Le Vine admitted that new PTOs receive benefits unavailable to OPTOs).  According to SCE, the discriminatory provision of Free FTRs, however, was intended to be balanced, among other things, by the cost-shift caps and transition period.  While some potential new PTOs such as TANC believe that providing all load serving entities the hedge provided by FTRs would eliminate the need for cost shift caps,</w:t>
      </w:r>
      <w:r w:rsidRPr="00D80201">
        <w:rPr>
          <w:rStyle w:val="FootnoteReference"/>
          <w:color w:val="000000"/>
        </w:rPr>
        <w:footnoteReference w:id="60"/>
      </w:r>
      <w:r w:rsidRPr="00D80201">
        <w:rPr>
          <w:szCs w:val="26"/>
        </w:rPr>
        <w:t xml:space="preserve"> SCE contends that the new PTOs have already received many benefits in the changes to the TAC proposal since it was proposed.  Accordingly, SCE supports the current provision to preserve the balance between costs and benefits, especially given the amount of the transition period that will have lapsed by the time the final TAC proposal is approved and the inability to implement comparable treatment retroactively to the start of the TAC in 2001.  Tr. 2356-2357. </w:t>
      </w:r>
    </w:p>
    <w:p w14:paraId="60FD5B19" w14:textId="77777777" w:rsidR="00824130" w:rsidRPr="00D80201" w:rsidRDefault="00824130">
      <w:pPr>
        <w:pStyle w:val="FootnoteText"/>
        <w:rPr>
          <w:szCs w:val="26"/>
        </w:rPr>
      </w:pPr>
    </w:p>
    <w:p w14:paraId="729CA632" w14:textId="77777777" w:rsidR="00824130" w:rsidRPr="00D80201" w:rsidRDefault="00824130">
      <w:pPr>
        <w:pStyle w:val="FootnoteText"/>
        <w:ind w:firstLine="0"/>
        <w:rPr>
          <w:szCs w:val="26"/>
        </w:rPr>
      </w:pPr>
      <w:r>
        <w:rPr>
          <w:szCs w:val="26"/>
        </w:rPr>
        <w:t>196.</w:t>
      </w:r>
      <w:r>
        <w:rPr>
          <w:szCs w:val="26"/>
        </w:rPr>
        <w:tab/>
      </w:r>
      <w:r w:rsidRPr="00D80201">
        <w:rPr>
          <w:szCs w:val="26"/>
        </w:rPr>
        <w:t xml:space="preserve">SCE also disputes arguments that the OPTOs and new PTOs are differentially situated and thus merit differential treatment.  In particular, SCE counters SWP by contending that the OPTOs are not different from new PTOs in having to incur intra-zonal congestion charges, and in having to maintain their obligations under their ETCs.  ISO Tariff §§ 2.4.4.2.1, 2.4.4.3.1.2; ISO Tariff §§ 2.4.4.2.2, 2.4.4.3.1.5.  However, SCE argues, the OPTOs do not receive FTRs despite being in the same position.  </w:t>
      </w:r>
    </w:p>
    <w:p w14:paraId="7EA0BD61" w14:textId="77777777" w:rsidR="00824130" w:rsidRPr="00D80201" w:rsidRDefault="00824130">
      <w:pPr>
        <w:rPr>
          <w:color w:val="000000"/>
          <w:szCs w:val="26"/>
        </w:rPr>
      </w:pPr>
    </w:p>
    <w:p w14:paraId="778E1DC2" w14:textId="77777777" w:rsidR="00824130" w:rsidRPr="00D80201" w:rsidRDefault="00824130">
      <w:pPr>
        <w:rPr>
          <w:color w:val="000000"/>
          <w:szCs w:val="26"/>
        </w:rPr>
      </w:pPr>
      <w:r>
        <w:rPr>
          <w:color w:val="000000"/>
          <w:szCs w:val="26"/>
        </w:rPr>
        <w:t>197.</w:t>
      </w:r>
      <w:r>
        <w:rPr>
          <w:color w:val="000000"/>
          <w:szCs w:val="26"/>
        </w:rPr>
        <w:tab/>
      </w:r>
      <w:r w:rsidRPr="00D80201">
        <w:rPr>
          <w:color w:val="000000"/>
          <w:szCs w:val="26"/>
        </w:rPr>
        <w:t xml:space="preserve">The EOB also contends that while this element of the TAC on its own may be otherwise, it is just, reasonable, and not unduly discriminatory as part of the overall TAC package.  </w:t>
      </w:r>
    </w:p>
    <w:p w14:paraId="22188E7E" w14:textId="77777777" w:rsidR="00824130" w:rsidRPr="00D80201" w:rsidRDefault="00824130">
      <w:pPr>
        <w:pStyle w:val="FootnoteText"/>
        <w:rPr>
          <w:szCs w:val="26"/>
        </w:rPr>
      </w:pPr>
    </w:p>
    <w:p w14:paraId="231F4AB9" w14:textId="77777777" w:rsidR="00824130" w:rsidRPr="00D80201" w:rsidRDefault="00824130">
      <w:pPr>
        <w:rPr>
          <w:color w:val="000000"/>
          <w:szCs w:val="26"/>
        </w:rPr>
      </w:pPr>
      <w:r>
        <w:rPr>
          <w:color w:val="000000"/>
          <w:szCs w:val="26"/>
        </w:rPr>
        <w:t>198.</w:t>
      </w:r>
      <w:r>
        <w:rPr>
          <w:color w:val="000000"/>
          <w:szCs w:val="26"/>
        </w:rPr>
        <w:tab/>
      </w:r>
      <w:r w:rsidRPr="00D80201">
        <w:rPr>
          <w:color w:val="000000"/>
          <w:szCs w:val="26"/>
        </w:rPr>
        <w:t xml:space="preserve">SDG&amp;E advocates throughout its Initial Brief for elimination of the transition charge mechanism from the TAC proposal.  If the transition charge were eliminated from the TAC proposal, SDG&amp;E contends that the “unauctioned” FTRs awarded under Section 9.4.3 of the ISO Tariff are a just, reasonable and not unduly discriminatory accommodation offered to new PTOs during the transition period.  SDG&amp;E believes that providing unauctioned FTRs to new PTOs during the transition period is an appropriate balance to offset the burden caused by the immediate inclusion of new high voltage facilities in the grid wide component of the TAC.  </w:t>
      </w:r>
    </w:p>
    <w:p w14:paraId="0282519C" w14:textId="77777777" w:rsidR="00824130" w:rsidRPr="00D80201" w:rsidRDefault="00824130">
      <w:pPr>
        <w:ind w:firstLine="720"/>
        <w:rPr>
          <w:color w:val="000000"/>
          <w:szCs w:val="26"/>
        </w:rPr>
      </w:pPr>
    </w:p>
    <w:p w14:paraId="5C817C33" w14:textId="77777777" w:rsidR="00824130" w:rsidRPr="00D80201" w:rsidRDefault="00824130">
      <w:pPr>
        <w:rPr>
          <w:color w:val="000000"/>
          <w:szCs w:val="26"/>
        </w:rPr>
      </w:pPr>
      <w:r>
        <w:rPr>
          <w:color w:val="000000"/>
          <w:szCs w:val="26"/>
        </w:rPr>
        <w:t>199.</w:t>
      </w:r>
      <w:r>
        <w:rPr>
          <w:color w:val="000000"/>
          <w:szCs w:val="26"/>
        </w:rPr>
        <w:tab/>
      </w:r>
      <w:r w:rsidRPr="00D80201">
        <w:rPr>
          <w:color w:val="000000"/>
          <w:szCs w:val="26"/>
        </w:rPr>
        <w:t xml:space="preserve">SDG&amp;E posits that there appears to be consensus among the parties that the best resolution of this issue would be the allocation of </w:t>
      </w:r>
      <w:r>
        <w:rPr>
          <w:color w:val="000000"/>
          <w:szCs w:val="26"/>
        </w:rPr>
        <w:t xml:space="preserve"> Congestion Revenue Rights (</w:t>
      </w:r>
      <w:r w:rsidRPr="00D80201">
        <w:rPr>
          <w:color w:val="000000"/>
          <w:szCs w:val="26"/>
        </w:rPr>
        <w:t>“CRRs”</w:t>
      </w:r>
      <w:r>
        <w:rPr>
          <w:color w:val="000000"/>
          <w:szCs w:val="26"/>
        </w:rPr>
        <w:t>)</w:t>
      </w:r>
      <w:r w:rsidRPr="00D80201">
        <w:rPr>
          <w:rStyle w:val="FootnoteReference"/>
          <w:color w:val="000000"/>
        </w:rPr>
        <w:footnoteReference w:id="61"/>
      </w:r>
      <w:r w:rsidRPr="00D80201">
        <w:rPr>
          <w:color w:val="000000"/>
          <w:szCs w:val="26"/>
        </w:rPr>
        <w:t xml:space="preserve"> to load serving entities without charge, as proposed in the </w:t>
      </w:r>
      <w:r>
        <w:rPr>
          <w:color w:val="000000"/>
          <w:szCs w:val="26"/>
        </w:rPr>
        <w:t>MD02</w:t>
      </w:r>
      <w:r w:rsidRPr="00D80201">
        <w:rPr>
          <w:color w:val="000000"/>
          <w:szCs w:val="26"/>
        </w:rPr>
        <w:t xml:space="preserve"> proceeding.  SDG&amp;E argues that the Commission possesses Section 205 authority to require the ISO to implement such allocation of CRRs in this docket, or to require that unauctioned FTRs will cease to be offered at the earlier of (1) the end of the transition period, (2) the termination of the ETC or (3) the implementation of the congestion management provisions of </w:t>
      </w:r>
      <w:r>
        <w:rPr>
          <w:color w:val="000000"/>
          <w:szCs w:val="26"/>
        </w:rPr>
        <w:t>MD02</w:t>
      </w:r>
      <w:r w:rsidRPr="00D80201">
        <w:rPr>
          <w:color w:val="000000"/>
          <w:szCs w:val="26"/>
        </w:rPr>
        <w:t xml:space="preserve">, specifically the allocation of CRRs.  In any case, SDG&amp;E contends, the </w:t>
      </w:r>
      <w:r>
        <w:rPr>
          <w:color w:val="000000"/>
          <w:szCs w:val="26"/>
        </w:rPr>
        <w:t>MD02</w:t>
      </w:r>
      <w:r w:rsidRPr="00D80201">
        <w:rPr>
          <w:color w:val="000000"/>
          <w:szCs w:val="26"/>
        </w:rPr>
        <w:t xml:space="preserve"> proposal is the best solution for this issue.</w:t>
      </w:r>
    </w:p>
    <w:p w14:paraId="6E86A903" w14:textId="77777777" w:rsidR="00824130" w:rsidRPr="00D80201" w:rsidRDefault="00824130">
      <w:pPr>
        <w:ind w:firstLine="720"/>
        <w:rPr>
          <w:color w:val="000000"/>
          <w:szCs w:val="26"/>
        </w:rPr>
      </w:pPr>
    </w:p>
    <w:p w14:paraId="3F0ECBEE" w14:textId="77777777" w:rsidR="00824130" w:rsidRPr="00D80201" w:rsidRDefault="00824130">
      <w:pPr>
        <w:pStyle w:val="BodyText"/>
        <w:rPr>
          <w:color w:val="000000"/>
          <w:sz w:val="26"/>
          <w:szCs w:val="26"/>
        </w:rPr>
      </w:pPr>
      <w:r>
        <w:rPr>
          <w:color w:val="000000"/>
          <w:sz w:val="26"/>
          <w:szCs w:val="26"/>
        </w:rPr>
        <w:t>200.</w:t>
      </w:r>
      <w:r>
        <w:rPr>
          <w:color w:val="000000"/>
          <w:sz w:val="26"/>
          <w:szCs w:val="26"/>
        </w:rPr>
        <w:tab/>
      </w:r>
      <w:r w:rsidRPr="00D80201">
        <w:rPr>
          <w:color w:val="000000"/>
          <w:sz w:val="26"/>
          <w:szCs w:val="26"/>
        </w:rPr>
        <w:t xml:space="preserve">NCPA takes no position on this issue but believes that it has been superseded by the ISO’s </w:t>
      </w:r>
      <w:r>
        <w:rPr>
          <w:color w:val="000000"/>
          <w:sz w:val="26"/>
          <w:szCs w:val="26"/>
        </w:rPr>
        <w:t>MD02</w:t>
      </w:r>
      <w:r w:rsidRPr="00D80201">
        <w:rPr>
          <w:color w:val="000000"/>
          <w:sz w:val="26"/>
          <w:szCs w:val="26"/>
        </w:rPr>
        <w:t xml:space="preserve"> filing and the Commission’s orders in response to that filing.</w:t>
      </w:r>
    </w:p>
    <w:p w14:paraId="35B23C68" w14:textId="77777777" w:rsidR="00824130" w:rsidRPr="00D80201" w:rsidRDefault="00824130">
      <w:pPr>
        <w:pStyle w:val="BodyText"/>
        <w:rPr>
          <w:color w:val="000000"/>
          <w:sz w:val="26"/>
          <w:szCs w:val="26"/>
        </w:rPr>
      </w:pPr>
    </w:p>
    <w:p w14:paraId="11C43E8C" w14:textId="77777777" w:rsidR="00824130" w:rsidRPr="00D80201" w:rsidRDefault="00824130">
      <w:pPr>
        <w:rPr>
          <w:color w:val="000000"/>
          <w:szCs w:val="26"/>
        </w:rPr>
      </w:pPr>
      <w:r>
        <w:rPr>
          <w:color w:val="000000"/>
          <w:szCs w:val="26"/>
        </w:rPr>
        <w:t>201.</w:t>
      </w:r>
      <w:r>
        <w:rPr>
          <w:color w:val="000000"/>
          <w:szCs w:val="26"/>
        </w:rPr>
        <w:tab/>
      </w:r>
      <w:r w:rsidRPr="00D80201">
        <w:rPr>
          <w:color w:val="000000"/>
          <w:szCs w:val="26"/>
        </w:rPr>
        <w:t xml:space="preserve">TANC’s position is that there the current FTR proposal is discriminatory as is, and should be modified so that all LSEs should receive an allocation of FTRs without having to participate in the ISO’s auction.  In its reply brief, TANC agrees with SCE that it would be difficult to apply this remedy retroactively back to 2001, and instead recommends permitting new PTOs to receive an allocation of FTRs from the time the TAC took effect until the ISO can obtain approval for a mechanism that allocates FTRs to all LSEs.  SCE Initial Brief at 35, n. 34; TANC Reply Brief at 47.  TANC also contends that the current FTR proposal is outdated when compared with what the ISO has proposed in its </w:t>
      </w:r>
      <w:r>
        <w:rPr>
          <w:color w:val="000000"/>
          <w:szCs w:val="26"/>
        </w:rPr>
        <w:t>MD02</w:t>
      </w:r>
      <w:r w:rsidRPr="00D80201">
        <w:rPr>
          <w:color w:val="000000"/>
          <w:szCs w:val="26"/>
        </w:rPr>
        <w:t xml:space="preserve"> proceeding, in which the ISO has recommended that FTRs be allocated free of charge to LSEs, and that it is inconsistent with the direction of the Commission.  Regarding this latter point, TANC points out that the ISO’s proposal to provide “unauctioned” FTRs to new PTOs under Section 9.4.3 of the ISO Tariff does less than that which has been proposed by the Commission in its White Paper regarding The Wholesale Power Market Platform.”</w:t>
      </w:r>
      <w:r w:rsidRPr="00D80201">
        <w:rPr>
          <w:rStyle w:val="FootnoteReference"/>
          <w:color w:val="000000"/>
        </w:rPr>
        <w:footnoteReference w:id="62"/>
      </w:r>
    </w:p>
    <w:p w14:paraId="30A02F64" w14:textId="77777777" w:rsidR="00824130" w:rsidRPr="00D80201" w:rsidRDefault="00824130">
      <w:pPr>
        <w:pStyle w:val="BodyText"/>
        <w:rPr>
          <w:color w:val="000000"/>
          <w:sz w:val="26"/>
          <w:szCs w:val="26"/>
        </w:rPr>
      </w:pPr>
    </w:p>
    <w:p w14:paraId="0C46E174" w14:textId="77777777" w:rsidR="00824130" w:rsidRPr="00D80201" w:rsidRDefault="00824130">
      <w:pPr>
        <w:pStyle w:val="FootnoteText"/>
        <w:ind w:firstLine="0"/>
        <w:rPr>
          <w:szCs w:val="26"/>
        </w:rPr>
      </w:pPr>
      <w:r>
        <w:rPr>
          <w:szCs w:val="26"/>
        </w:rPr>
        <w:t>202.</w:t>
      </w:r>
      <w:r>
        <w:rPr>
          <w:szCs w:val="26"/>
        </w:rPr>
        <w:tab/>
      </w:r>
      <w:r w:rsidRPr="00D80201">
        <w:rPr>
          <w:szCs w:val="26"/>
        </w:rPr>
        <w:t xml:space="preserve">PG&amp;E contends that the FTR auction requirement is unjust, unreasonable and unduly discriminatory toward the OPTOs.  PG&amp;E advances that OPTOs should be awarded similar treatment.  PG&amp;E also addresses SWP’s arguments, discussed more fully above, regarding SWP’s continued obligations under existing contracts.  PG&amp;E counters that SWP’s arguments are outside the scope of this proceeding and that the remedy to SWP’s complaints regarding continued obligations under its existing contract with PG&amp;E lie in negotiating contractual terms with PG&amp;E after conversion, should SWP choose to join the ISO.  PG&amp;E also contends that the Commission has already rejected SWP’s arguments that it should be exempt from filing a TRR to recover payments to PG&amp;E and SCE if SWP joins the ISO, and PG&amp;E argues for the same result here.  PG&amp;E Reply Brief at 24, </w:t>
      </w:r>
      <w:r w:rsidRPr="00D80201">
        <w:rPr>
          <w:szCs w:val="26"/>
          <w:u w:val="single"/>
        </w:rPr>
        <w:t>citing</w:t>
      </w:r>
      <w:r w:rsidRPr="00D80201">
        <w:rPr>
          <w:i/>
          <w:szCs w:val="26"/>
        </w:rPr>
        <w:t xml:space="preserve"> </w:t>
      </w:r>
      <w:smartTag w:uri="urn:schemas-microsoft-com:office:smarttags" w:element="place">
        <w:smartTag w:uri="urn:schemas-microsoft-com:office:smarttags" w:element="State">
          <w:r w:rsidRPr="00D80201">
            <w:rPr>
              <w:iCs/>
              <w:szCs w:val="26"/>
              <w:u w:val="single"/>
            </w:rPr>
            <w:t>Cal.</w:t>
          </w:r>
        </w:smartTag>
      </w:smartTag>
      <w:r w:rsidRPr="00D80201">
        <w:rPr>
          <w:iCs/>
          <w:szCs w:val="26"/>
          <w:u w:val="single"/>
        </w:rPr>
        <w:t xml:space="preserve"> Indep. Sys. Operator Corp.</w:t>
      </w:r>
      <w:r w:rsidRPr="00D80201">
        <w:rPr>
          <w:szCs w:val="26"/>
        </w:rPr>
        <w:t xml:space="preserve">, 94 FERC ¶ 61,343 at 62,269 (2000); </w:t>
      </w:r>
      <w:smartTag w:uri="urn:schemas-microsoft-com:office:smarttags" w:element="place">
        <w:smartTag w:uri="urn:schemas-microsoft-com:office:smarttags" w:element="State">
          <w:r w:rsidRPr="00D80201">
            <w:rPr>
              <w:iCs/>
              <w:szCs w:val="26"/>
              <w:u w:val="single"/>
            </w:rPr>
            <w:t>Cal.</w:t>
          </w:r>
        </w:smartTag>
      </w:smartTag>
      <w:r w:rsidRPr="00D80201">
        <w:rPr>
          <w:iCs/>
          <w:szCs w:val="26"/>
          <w:u w:val="single"/>
        </w:rPr>
        <w:t xml:space="preserve"> Indep. Sys. Operator Corp.</w:t>
      </w:r>
      <w:r w:rsidRPr="00D80201">
        <w:rPr>
          <w:szCs w:val="26"/>
        </w:rPr>
        <w:t>, 101 FERC ¶ 61,021 at P 16 (2002).</w:t>
      </w:r>
    </w:p>
    <w:p w14:paraId="1643D59E" w14:textId="77777777" w:rsidR="00824130" w:rsidRPr="00D80201" w:rsidRDefault="00824130">
      <w:pPr>
        <w:pStyle w:val="FootnoteText"/>
        <w:rPr>
          <w:szCs w:val="26"/>
        </w:rPr>
      </w:pPr>
    </w:p>
    <w:p w14:paraId="4366C3E6" w14:textId="77777777" w:rsidR="00824130" w:rsidRPr="00D80201" w:rsidRDefault="00824130">
      <w:pPr>
        <w:pStyle w:val="FootnoteText"/>
        <w:rPr>
          <w:b/>
          <w:szCs w:val="26"/>
        </w:rPr>
      </w:pPr>
      <w:r w:rsidRPr="00D80201">
        <w:rPr>
          <w:b/>
          <w:szCs w:val="26"/>
        </w:rPr>
        <w:t>Discussion and Findings</w:t>
      </w:r>
    </w:p>
    <w:p w14:paraId="58761C8E" w14:textId="77777777" w:rsidR="00824130" w:rsidRPr="00D80201" w:rsidRDefault="00824130">
      <w:pPr>
        <w:pStyle w:val="FootnoteText"/>
        <w:rPr>
          <w:szCs w:val="26"/>
        </w:rPr>
      </w:pPr>
    </w:p>
    <w:p w14:paraId="463250CC" w14:textId="77777777" w:rsidR="00824130" w:rsidRPr="00D80201" w:rsidRDefault="00824130">
      <w:pPr>
        <w:pStyle w:val="BodyTextFirstIndentD"/>
        <w:spacing w:line="240" w:lineRule="auto"/>
        <w:ind w:firstLine="0"/>
      </w:pPr>
      <w:r>
        <w:t>203.</w:t>
      </w:r>
      <w:r>
        <w:tab/>
      </w:r>
      <w:r w:rsidRPr="00D80201">
        <w:t xml:space="preserve">The undersigned Presiding Judge </w:t>
      </w:r>
      <w:r>
        <w:t xml:space="preserve">rejects arguments urging </w:t>
      </w:r>
      <w:r w:rsidRPr="00D80201">
        <w:t xml:space="preserve">the implementation of the ISO’s Congestion Revenue Rights (“CRR”) proposal from </w:t>
      </w:r>
      <w:r>
        <w:t>MD02</w:t>
      </w:r>
      <w:r w:rsidRPr="00D80201">
        <w:t xml:space="preserve"> in this proceeding.  As the ISO explained in its Initial Brief, </w:t>
      </w:r>
      <w:r>
        <w:t>MD02</w:t>
      </w:r>
      <w:r w:rsidRPr="00D80201">
        <w:t xml:space="preserve"> is an integrated proposal, which the Commission continues to monitor, and which should not be pre-empted in this proceeding.  ISO Initial Brief at 49.  In point of fact, the CRR proposal is not com</w:t>
      </w:r>
      <w:r>
        <w:t>patible with the ISO’s current c</w:t>
      </w:r>
      <w:r w:rsidRPr="00D80201">
        <w:t xml:space="preserve">ongestion management proposal.  CRRs are to be issued on a point-to-point basis, consistent with locational marginal pricing.  </w:t>
      </w:r>
      <w:smartTag w:uri="urn:schemas-microsoft-com:office:smarttags" w:element="place">
        <w:smartTag w:uri="urn:schemas-microsoft-com:office:smarttags" w:element="State">
          <w:r w:rsidRPr="00D80201">
            <w:rPr>
              <w:u w:val="single"/>
            </w:rPr>
            <w:t>Cal.</w:t>
          </w:r>
        </w:smartTag>
      </w:smartTag>
      <w:r w:rsidRPr="00D80201">
        <w:rPr>
          <w:u w:val="single"/>
        </w:rPr>
        <w:t xml:space="preserve"> Indep. Sys. Operator Corp.</w:t>
      </w:r>
      <w:r w:rsidRPr="00D80201">
        <w:t xml:space="preserve">, 105 FERC ¶ 61,140 at P 30 (2003).  The ISO currently manages Congestion on a zonal basis.  ISO Tariff § 7.2 </w:t>
      </w:r>
      <w:r w:rsidRPr="00D80201">
        <w:rPr>
          <w:u w:val="single"/>
        </w:rPr>
        <w:t>et seq.</w:t>
      </w:r>
      <w:r w:rsidRPr="00D80201">
        <w:t>, Ex. J-2.</w:t>
      </w:r>
    </w:p>
    <w:p w14:paraId="13527A74" w14:textId="77777777" w:rsidR="00824130" w:rsidRPr="00D80201" w:rsidRDefault="00824130">
      <w:pPr>
        <w:pStyle w:val="BodyTextFirstIndentD"/>
        <w:spacing w:line="240" w:lineRule="auto"/>
      </w:pPr>
    </w:p>
    <w:p w14:paraId="5E306D89" w14:textId="77777777" w:rsidR="00824130" w:rsidRPr="00D80201" w:rsidRDefault="00824130">
      <w:pPr>
        <w:pStyle w:val="BodyTextFirstIndentD"/>
        <w:spacing w:line="240" w:lineRule="auto"/>
        <w:ind w:firstLine="0"/>
      </w:pPr>
      <w:r>
        <w:t>204.</w:t>
      </w:r>
      <w:r>
        <w:tab/>
      </w:r>
      <w:r w:rsidRPr="00D80201">
        <w:t xml:space="preserve">Section 9.4.3 of the ISO Tariff, as proposed by Amendment No. 27, provides that, during the ten-year transition period (or a shorter period representing the term of an existing contract), a new PTO that converts existing rights to ISO transmission service will receive FTRs represented by those rights directly, without the necessity of participating in the ISO’s FTR auction.  As Commission Staff witness Patterson has noted, the Commission has already approved this proposal.  Ex. S-5 at 41:7-16.  In the </w:t>
      </w:r>
      <w:smartTag w:uri="urn:schemas-microsoft-com:office:smarttags" w:element="date">
        <w:smartTagPr>
          <w:attr w:name="Month" w:val="5"/>
          <w:attr w:name="Day" w:val="31"/>
          <w:attr w:name="Year" w:val="2000"/>
        </w:smartTagPr>
        <w:r w:rsidRPr="00D80201">
          <w:t>May 31, 2000</w:t>
        </w:r>
      </w:smartTag>
      <w:r w:rsidRPr="00D80201">
        <w:t xml:space="preserve"> order in this proceeding, the Commission stated:</w:t>
      </w:r>
    </w:p>
    <w:p w14:paraId="02E6FFDC" w14:textId="77777777" w:rsidR="00824130" w:rsidRPr="00D80201" w:rsidRDefault="00824130">
      <w:pPr>
        <w:pStyle w:val="BodyTextFirstIndentD"/>
        <w:spacing w:line="240" w:lineRule="auto"/>
      </w:pPr>
    </w:p>
    <w:p w14:paraId="72F23B4A" w14:textId="77777777" w:rsidR="00824130" w:rsidRPr="00D80201" w:rsidRDefault="00824130">
      <w:pPr>
        <w:pStyle w:val="Quote"/>
      </w:pPr>
      <w:r w:rsidRPr="00D80201">
        <w:t>Generally, we find that the ISO’s proposed treatment of FTRs is reasonable.  As explained by the ISO, the proposal to exempt new Participating TOs from the auction process during the transition period is a feature that has been offered as an inducement to encourage participation in the ISO.  The proposal will afford new Participating TOs protection against cost increases during the transition period.</w:t>
      </w:r>
    </w:p>
    <w:p w14:paraId="51D971B5" w14:textId="77777777" w:rsidR="00824130" w:rsidRPr="00D80201" w:rsidRDefault="00824130">
      <w:pPr>
        <w:pStyle w:val="BodyTextD"/>
        <w:spacing w:line="240" w:lineRule="auto"/>
      </w:pPr>
      <w:smartTag w:uri="urn:schemas-microsoft-com:office:smarttags" w:element="place">
        <w:smartTag w:uri="urn:schemas-microsoft-com:office:smarttags" w:element="State">
          <w:r w:rsidRPr="00D80201">
            <w:rPr>
              <w:u w:val="single"/>
            </w:rPr>
            <w:t>Cal.</w:t>
          </w:r>
        </w:smartTag>
      </w:smartTag>
      <w:r w:rsidRPr="00D80201">
        <w:rPr>
          <w:u w:val="single"/>
        </w:rPr>
        <w:t xml:space="preserve"> Indep. Serv. Operator Corp.</w:t>
      </w:r>
      <w:r w:rsidRPr="00D80201">
        <w:t>, 91 FERC ¶ 61,205 at 61,726 (2000).</w:t>
      </w:r>
    </w:p>
    <w:p w14:paraId="1DEC05D9" w14:textId="77777777" w:rsidR="00824130" w:rsidRPr="00D80201" w:rsidRDefault="00824130">
      <w:pPr>
        <w:pStyle w:val="BodyTextFirstIndentD"/>
        <w:spacing w:line="240" w:lineRule="auto"/>
      </w:pPr>
    </w:p>
    <w:p w14:paraId="02A90830" w14:textId="77777777" w:rsidR="00824130" w:rsidRPr="00D80201" w:rsidRDefault="00824130">
      <w:pPr>
        <w:pStyle w:val="BodyTextFirstIndentD"/>
        <w:spacing w:line="240" w:lineRule="auto"/>
        <w:ind w:firstLine="0"/>
      </w:pPr>
      <w:r>
        <w:t>205.</w:t>
      </w:r>
      <w:r>
        <w:tab/>
      </w:r>
      <w:r w:rsidRPr="00D80201">
        <w:t>Further, as the ISO noted in Section I of its Reply Brief, the Commission has explicitly rejected arguments that the ISO’s FTR proposal is unduly discriminatory:</w:t>
      </w:r>
    </w:p>
    <w:p w14:paraId="29ABCF50" w14:textId="77777777" w:rsidR="00824130" w:rsidRPr="00D80201" w:rsidRDefault="00824130">
      <w:pPr>
        <w:pStyle w:val="BodyTextFirstIndentD"/>
        <w:spacing w:line="240" w:lineRule="auto"/>
      </w:pPr>
    </w:p>
    <w:p w14:paraId="3F3CFA8B" w14:textId="77777777" w:rsidR="00824130" w:rsidRPr="00D80201" w:rsidRDefault="00824130">
      <w:pPr>
        <w:pStyle w:val="Quote"/>
      </w:pPr>
      <w:r w:rsidRPr="00D80201">
        <w:t>Regarding [SCE’s] and Enron’s rehearing request concerning possible discriminatory treatment, we find that the ISO’s [FTR] proposal is not unduly discriminatory but a balance of incentives intended to encourage other transmission owners to join the ISO.</w:t>
      </w:r>
    </w:p>
    <w:p w14:paraId="2164861B" w14:textId="77777777" w:rsidR="00824130" w:rsidRPr="00D80201" w:rsidRDefault="00824130">
      <w:pPr>
        <w:pStyle w:val="BodyTextD"/>
        <w:spacing w:line="240" w:lineRule="auto"/>
      </w:pPr>
      <w:smartTag w:uri="urn:schemas-microsoft-com:office:smarttags" w:element="place">
        <w:smartTag w:uri="urn:schemas-microsoft-com:office:smarttags" w:element="State">
          <w:r w:rsidRPr="00D80201">
            <w:rPr>
              <w:u w:val="single"/>
            </w:rPr>
            <w:t>Cal.</w:t>
          </w:r>
        </w:smartTag>
      </w:smartTag>
      <w:r w:rsidRPr="00D80201">
        <w:rPr>
          <w:u w:val="single"/>
        </w:rPr>
        <w:t xml:space="preserve"> Indep. Sys. Operator Corp.</w:t>
      </w:r>
      <w:r w:rsidRPr="00D80201">
        <w:t>, 104 FERC ¶ 61,062 at P 29 (2003)(brackets added by the ISO).</w:t>
      </w:r>
    </w:p>
    <w:p w14:paraId="28798AF5" w14:textId="77777777" w:rsidR="00824130" w:rsidRPr="00D80201" w:rsidRDefault="00824130">
      <w:pPr>
        <w:pStyle w:val="BodyTextFirstIndentD"/>
        <w:spacing w:line="240" w:lineRule="auto"/>
        <w:ind w:firstLine="0"/>
      </w:pPr>
      <w:r>
        <w:t>206.</w:t>
      </w:r>
      <w:r>
        <w:tab/>
      </w:r>
      <w:r w:rsidRPr="00D80201">
        <w:t xml:space="preserve">As ISO witness Le Vine explained, during the negotiations related to the ISO’s FTR proposal, representatives of some potential new PTOs expressed concerned that replacing their existing rights, one-for-one, with FTRs acquired through the ISO’s auction process would impair their ability to continue to serve their customers economically.  Ex. ISO-1 at 66:15-19.  Section 9.4.3 was therefore added to provide a temporary inducement and to remove a potential barrier to new PTOs.  The FTRs provide new PTOs with a financial hedge against congestion and a scheduling priority in the day-ahead market without which existing rights holders might delay such participation until their existing rights expire.  Thus, although Section 9.4.3 does treat OPTOs differently than new PTOs, this temporary distinction is justified, as the Commission found, by the benefits of expanding participation in the ISO.  </w:t>
      </w:r>
    </w:p>
    <w:p w14:paraId="59D4A7FA" w14:textId="77777777" w:rsidR="00824130" w:rsidRPr="00D80201" w:rsidRDefault="00824130">
      <w:pPr>
        <w:pStyle w:val="BodyTextFirstIndentD"/>
        <w:spacing w:line="240" w:lineRule="auto"/>
        <w:ind w:firstLine="0"/>
      </w:pPr>
    </w:p>
    <w:p w14:paraId="4E3D0CE4" w14:textId="77777777" w:rsidR="00824130" w:rsidRPr="00D80201" w:rsidRDefault="00824130">
      <w:pPr>
        <w:pStyle w:val="BodyTextFirstIndentD"/>
        <w:spacing w:line="240" w:lineRule="auto"/>
        <w:ind w:firstLine="0"/>
      </w:pPr>
      <w:r>
        <w:t>207.</w:t>
      </w:r>
      <w:r>
        <w:tab/>
      </w:r>
      <w:r w:rsidRPr="00D80201">
        <w:t>The undersigned Presiding Judge therefore finds that, consistent with the Commission’s prior order, the Section 9.4.3 treatment of FTRs for new PTOs is just, reasonable, and not unduly discriminatory.</w:t>
      </w:r>
    </w:p>
    <w:p w14:paraId="17247653" w14:textId="77777777" w:rsidR="00824130" w:rsidRPr="00D80201" w:rsidRDefault="00824130">
      <w:pPr>
        <w:rPr>
          <w:color w:val="000000"/>
          <w:szCs w:val="26"/>
        </w:rPr>
      </w:pPr>
    </w:p>
    <w:p w14:paraId="6CDC0C6A" w14:textId="77777777" w:rsidR="00824130" w:rsidRPr="00D80201" w:rsidRDefault="00824130">
      <w:pPr>
        <w:numPr>
          <w:ilvl w:val="0"/>
          <w:numId w:val="22"/>
        </w:numPr>
        <w:rPr>
          <w:b/>
          <w:color w:val="000000"/>
          <w:szCs w:val="26"/>
        </w:rPr>
      </w:pPr>
      <w:r w:rsidRPr="00D80201">
        <w:rPr>
          <w:b/>
          <w:color w:val="000000"/>
          <w:szCs w:val="26"/>
        </w:rPr>
        <w:t xml:space="preserve">Whether the provisions of the ISO Tariff relating to the netting of Usage Charges against Usage Charges revenues associated with FTRs received under Section 9.4.3 (specifically the definitions of New FTR Revenue and Transmission Revenue Credit) are just, reasonable and not unduly discriminatory.  </w:t>
      </w:r>
    </w:p>
    <w:p w14:paraId="50D53C89" w14:textId="77777777" w:rsidR="00824130" w:rsidRPr="00D80201" w:rsidRDefault="00824130">
      <w:pPr>
        <w:ind w:firstLine="720"/>
        <w:rPr>
          <w:b/>
          <w:color w:val="000000"/>
          <w:szCs w:val="26"/>
        </w:rPr>
      </w:pPr>
    </w:p>
    <w:p w14:paraId="1F8041B1" w14:textId="77777777" w:rsidR="00824130" w:rsidRPr="00D80201" w:rsidRDefault="00824130">
      <w:pPr>
        <w:ind w:firstLine="720"/>
        <w:rPr>
          <w:b/>
          <w:color w:val="000000"/>
          <w:szCs w:val="26"/>
        </w:rPr>
      </w:pPr>
      <w:r w:rsidRPr="00D80201">
        <w:rPr>
          <w:b/>
          <w:color w:val="000000"/>
          <w:szCs w:val="26"/>
        </w:rPr>
        <w:t>Position of the Parties</w:t>
      </w:r>
    </w:p>
    <w:p w14:paraId="1664E8B0" w14:textId="77777777" w:rsidR="00824130" w:rsidRPr="00D80201" w:rsidRDefault="00824130">
      <w:pPr>
        <w:rPr>
          <w:color w:val="000000"/>
          <w:szCs w:val="26"/>
        </w:rPr>
      </w:pPr>
    </w:p>
    <w:p w14:paraId="383F630F" w14:textId="77777777" w:rsidR="00824130" w:rsidRPr="00D80201" w:rsidRDefault="00824130">
      <w:pPr>
        <w:rPr>
          <w:color w:val="000000"/>
          <w:szCs w:val="26"/>
        </w:rPr>
      </w:pPr>
      <w:r>
        <w:rPr>
          <w:color w:val="000000"/>
          <w:szCs w:val="26"/>
        </w:rPr>
        <w:t>208.</w:t>
      </w:r>
      <w:r>
        <w:rPr>
          <w:color w:val="000000"/>
          <w:szCs w:val="26"/>
        </w:rPr>
        <w:tab/>
      </w:r>
      <w:r w:rsidRPr="00D80201">
        <w:rPr>
          <w:color w:val="000000"/>
          <w:szCs w:val="26"/>
        </w:rPr>
        <w:t>The ISO asserts that the ISO Tariff apportions revenues associated with Section 9.4.3 FTRs in a manner carefully and appropriately tailored to their limited purpose.  The ISO proposes in Section 9.4.3 to revise the definition</w:t>
      </w:r>
      <w:r>
        <w:rPr>
          <w:color w:val="000000"/>
          <w:szCs w:val="26"/>
        </w:rPr>
        <w:t>s</w:t>
      </w:r>
      <w:r w:rsidRPr="00D80201">
        <w:rPr>
          <w:color w:val="000000"/>
          <w:szCs w:val="26"/>
        </w:rPr>
        <w:t xml:space="preserve"> of Transmission Revenue Credit and New FTR Revenue such that the recipients of Section 9.4.3 must credit against their TRR the positive difference between the usage charges paid and the congestion revenue received for each hour.  Responding to arguments by TANC and SWP witnesses that the proposed changes are insufficient, the ISO contends that the revision ensures that the new PTOs receive the full benefit of the hedge against congestion that Section 9.4.3 FTRs provide, but not more than that amount.  </w:t>
      </w:r>
    </w:p>
    <w:p w14:paraId="72C7F5FC" w14:textId="77777777" w:rsidR="00824130" w:rsidRPr="00D80201" w:rsidRDefault="00824130">
      <w:pPr>
        <w:ind w:firstLine="720"/>
        <w:rPr>
          <w:color w:val="000000"/>
          <w:szCs w:val="26"/>
        </w:rPr>
      </w:pPr>
    </w:p>
    <w:p w14:paraId="7C34C5F2" w14:textId="77777777" w:rsidR="00824130" w:rsidRPr="00D80201" w:rsidRDefault="00824130">
      <w:pPr>
        <w:rPr>
          <w:color w:val="000000"/>
          <w:szCs w:val="26"/>
        </w:rPr>
      </w:pPr>
      <w:r>
        <w:rPr>
          <w:color w:val="000000"/>
          <w:szCs w:val="26"/>
        </w:rPr>
        <w:t>209.</w:t>
      </w:r>
      <w:r>
        <w:rPr>
          <w:color w:val="000000"/>
          <w:szCs w:val="26"/>
        </w:rPr>
        <w:tab/>
      </w:r>
      <w:r w:rsidRPr="00D80201">
        <w:rPr>
          <w:color w:val="000000"/>
          <w:szCs w:val="26"/>
        </w:rPr>
        <w:t>PG&amp;E supports the ISO’s proposal concerning the netting of usage charges.  In its reply brief, PG&amp;E states that it supports the ISO’s and SCE’s arguments in their initial briefs on this issue.  PG&amp;E Reply Brief at 25.</w:t>
      </w:r>
    </w:p>
    <w:p w14:paraId="0F9AC96E" w14:textId="77777777" w:rsidR="00824130" w:rsidRPr="00D80201" w:rsidRDefault="00824130">
      <w:pPr>
        <w:ind w:firstLine="720"/>
        <w:rPr>
          <w:color w:val="000000"/>
          <w:szCs w:val="26"/>
        </w:rPr>
      </w:pPr>
    </w:p>
    <w:p w14:paraId="402E45D2" w14:textId="77777777" w:rsidR="00824130" w:rsidRPr="00D80201" w:rsidRDefault="00824130">
      <w:pPr>
        <w:rPr>
          <w:color w:val="000000"/>
          <w:szCs w:val="26"/>
        </w:rPr>
      </w:pPr>
      <w:r>
        <w:rPr>
          <w:color w:val="000000"/>
          <w:szCs w:val="26"/>
        </w:rPr>
        <w:t>210.</w:t>
      </w:r>
      <w:r>
        <w:rPr>
          <w:color w:val="000000"/>
          <w:szCs w:val="26"/>
        </w:rPr>
        <w:tab/>
      </w:r>
      <w:r w:rsidRPr="00D80201">
        <w:rPr>
          <w:color w:val="000000"/>
          <w:szCs w:val="26"/>
        </w:rPr>
        <w:t xml:space="preserve">SC states that </w:t>
      </w:r>
      <w:smartTag w:uri="urn:schemas-microsoft-com:office:smarttags" w:element="place">
        <w:smartTag w:uri="urn:schemas-microsoft-com:office:smarttags" w:element="City">
          <w:r w:rsidRPr="00D80201">
            <w:rPr>
              <w:color w:val="000000"/>
              <w:szCs w:val="26"/>
            </w:rPr>
            <w:t>Anaheim</w:t>
          </w:r>
        </w:smartTag>
      </w:smartTag>
      <w:r w:rsidRPr="00D80201">
        <w:rPr>
          <w:color w:val="000000"/>
          <w:szCs w:val="26"/>
        </w:rPr>
        <w:t xml:space="preserve">, </w:t>
      </w:r>
      <w:smartTag w:uri="urn:schemas-microsoft-com:office:smarttags" w:element="place">
        <w:smartTag w:uri="urn:schemas-microsoft-com:office:smarttags" w:element="City">
          <w:r w:rsidRPr="00D80201">
            <w:rPr>
              <w:color w:val="000000"/>
              <w:szCs w:val="26"/>
            </w:rPr>
            <w:t>Azusa</w:t>
          </w:r>
        </w:smartTag>
      </w:smartTag>
      <w:r w:rsidRPr="00D80201">
        <w:rPr>
          <w:color w:val="000000"/>
          <w:szCs w:val="26"/>
        </w:rPr>
        <w:t xml:space="preserve">, Banning, and </w:t>
      </w:r>
      <w:smartTag w:uri="urn:schemas-microsoft-com:office:smarttags" w:element="place">
        <w:smartTag w:uri="urn:schemas-microsoft-com:office:smarttags" w:element="City">
          <w:r w:rsidRPr="00D80201">
            <w:rPr>
              <w:color w:val="000000"/>
              <w:szCs w:val="26"/>
            </w:rPr>
            <w:t>Riverside</w:t>
          </w:r>
        </w:smartTag>
      </w:smartTag>
      <w:r w:rsidRPr="00D80201">
        <w:rPr>
          <w:color w:val="000000"/>
          <w:szCs w:val="26"/>
        </w:rPr>
        <w:t xml:space="preserve"> have agreed to the netting provisions in the Offer of Settlement and Settlement Agreement filed in Docket Nos. EL03-14-000, EL03-15-000, EL03-20-000, and EL03-21-000 on </w:t>
      </w:r>
      <w:smartTag w:uri="urn:schemas-microsoft-com:office:smarttags" w:element="date">
        <w:smartTagPr>
          <w:attr w:name="Month" w:val="7"/>
          <w:attr w:name="Day" w:val="18"/>
          <w:attr w:name="Year" w:val="2003"/>
        </w:smartTagPr>
        <w:r w:rsidRPr="00D80201">
          <w:rPr>
            <w:color w:val="000000"/>
            <w:szCs w:val="26"/>
          </w:rPr>
          <w:t>July 18, 2003</w:t>
        </w:r>
      </w:smartTag>
      <w:r w:rsidRPr="00D80201">
        <w:rPr>
          <w:color w:val="000000"/>
          <w:szCs w:val="26"/>
        </w:rPr>
        <w:t xml:space="preserve"> and certified by the Settlement Judge to the Commission as an Uncontested Offer of Settlement on </w:t>
      </w:r>
      <w:smartTag w:uri="urn:schemas-microsoft-com:office:smarttags" w:element="date">
        <w:smartTagPr>
          <w:attr w:name="Month" w:val="8"/>
          <w:attr w:name="Day" w:val="29"/>
          <w:attr w:name="Year" w:val="2003"/>
        </w:smartTagPr>
        <w:r w:rsidRPr="00D80201">
          <w:rPr>
            <w:color w:val="000000"/>
            <w:szCs w:val="26"/>
          </w:rPr>
          <w:t>August 29, 2003</w:t>
        </w:r>
      </w:smartTag>
      <w:r w:rsidRPr="00D80201">
        <w:rPr>
          <w:color w:val="000000"/>
          <w:szCs w:val="26"/>
        </w:rPr>
        <w:t>.  SC supports the settlement provisions.</w:t>
      </w:r>
    </w:p>
    <w:p w14:paraId="4A39605B" w14:textId="77777777" w:rsidR="00824130" w:rsidRPr="00D80201" w:rsidRDefault="00824130">
      <w:pPr>
        <w:rPr>
          <w:color w:val="000000"/>
          <w:szCs w:val="26"/>
        </w:rPr>
      </w:pPr>
      <w:r>
        <w:rPr>
          <w:color w:val="000000"/>
          <w:szCs w:val="26"/>
        </w:rPr>
        <w:t>211.</w:t>
      </w:r>
      <w:r>
        <w:rPr>
          <w:color w:val="000000"/>
          <w:szCs w:val="26"/>
        </w:rPr>
        <w:tab/>
      </w:r>
      <w:r w:rsidRPr="00D80201">
        <w:rPr>
          <w:color w:val="000000"/>
          <w:szCs w:val="26"/>
        </w:rPr>
        <w:t xml:space="preserve">SCE explains that the Amendment 49 netting treatment, an important element of the free FTR hedge, benefits new PTOs by providing a hedge against congestion that is comparable to the hedge they have as non-PTOs.  SCE opposes the proposals of potential PTOs, such as SWP’s, to modify the netting proposal in a manner that puts the new PTO in a superior position to that which it is in before it joins the ISO.  Moreover, SCE argues, if a new PTO could use usage charge revenues from one hour to offset usage charge costs in other hours, the clear purpose of ISO Tariff Section 7.3.1.7 (the TO Debit) -- which is to reduce use of the congested paths when they are de-rated -- would be thwarted.  Ex. SCE-13 at 27-29; </w:t>
      </w:r>
      <w:r w:rsidRPr="00D80201">
        <w:rPr>
          <w:color w:val="000000"/>
          <w:szCs w:val="26"/>
          <w:u w:val="single"/>
        </w:rPr>
        <w:t>see also</w:t>
      </w:r>
      <w:r w:rsidRPr="00D80201">
        <w:rPr>
          <w:i/>
          <w:color w:val="000000"/>
          <w:szCs w:val="26"/>
        </w:rPr>
        <w:t xml:space="preserve"> </w:t>
      </w:r>
      <w:r w:rsidRPr="00D80201">
        <w:rPr>
          <w:color w:val="000000"/>
          <w:szCs w:val="26"/>
        </w:rPr>
        <w:t xml:space="preserve">Tr. 1890-92.  </w:t>
      </w:r>
    </w:p>
    <w:p w14:paraId="16325F73" w14:textId="77777777" w:rsidR="00824130" w:rsidRPr="00D80201" w:rsidRDefault="00824130">
      <w:pPr>
        <w:ind w:firstLine="720"/>
        <w:rPr>
          <w:color w:val="000000"/>
          <w:szCs w:val="26"/>
        </w:rPr>
      </w:pPr>
    </w:p>
    <w:p w14:paraId="258470D5" w14:textId="77777777" w:rsidR="00824130" w:rsidRPr="00D80201" w:rsidRDefault="00824130">
      <w:pPr>
        <w:rPr>
          <w:color w:val="000000"/>
          <w:szCs w:val="26"/>
        </w:rPr>
      </w:pPr>
      <w:r>
        <w:rPr>
          <w:color w:val="000000"/>
          <w:szCs w:val="26"/>
        </w:rPr>
        <w:t>212.</w:t>
      </w:r>
      <w:r>
        <w:rPr>
          <w:color w:val="000000"/>
          <w:szCs w:val="26"/>
        </w:rPr>
        <w:tab/>
      </w:r>
      <w:r w:rsidRPr="00D80201">
        <w:rPr>
          <w:color w:val="000000"/>
          <w:szCs w:val="26"/>
        </w:rPr>
        <w:t>The EOB states that it agrees with the modification proposed by SCE, and supported by the ISO, that provide a consistent FTR revenue crediting procedure for all PTOs.  Ex. SCE-1 at 28-30; Ex. ISO-33 at 27:1-3.  Responding to suggestions by TANC and SWP that the period over which usage costs are credited against FTR revenues should be longer than one hour, or that the hourly value should be allowed to be negative, the EOB recommends that the same treatment should be afforded to the OPTOs should the Commission choose to allow new PTOs to net usage charges against FTR revenues for a longer period.  TNC-1 at 36-38; TNC-21 at 26-28; SWP-70 at 12-14.</w:t>
      </w:r>
    </w:p>
    <w:p w14:paraId="64E95BBE" w14:textId="77777777" w:rsidR="00824130" w:rsidRPr="00D80201" w:rsidRDefault="00824130">
      <w:pPr>
        <w:spacing w:before="240"/>
        <w:rPr>
          <w:color w:val="000000"/>
          <w:szCs w:val="26"/>
        </w:rPr>
      </w:pPr>
      <w:r>
        <w:rPr>
          <w:color w:val="000000"/>
          <w:szCs w:val="26"/>
        </w:rPr>
        <w:t>213.</w:t>
      </w:r>
      <w:r>
        <w:rPr>
          <w:color w:val="000000"/>
          <w:szCs w:val="26"/>
        </w:rPr>
        <w:tab/>
      </w:r>
      <w:r w:rsidRPr="00D80201">
        <w:rPr>
          <w:color w:val="000000"/>
          <w:szCs w:val="26"/>
        </w:rPr>
        <w:t xml:space="preserve">SWP contends that the ISO Tariff should be revised to ensure that new PTOs receive FTR revenues that not only provide no profit, but also provide no loss, in connection with converted rights.  SWP suggests that this could be achieved through a monthly true-up, through negative credits, or potentially through other means. SWP states that the ISO has, for instance, various “true-up” or balancing mechanisms in other billing categories that might serve as a model. Ex. SWP-72 at 65.  Countering arguments by SCE that such a change might allow new PTOs to engage in abuse, SWP contends that the FTR holder would have to “game” by falsely scheduling in order to create artificial scarcity to drive up congestion fees, and that there is no evidence that any PTO has engaged in such practice.  SWP also emphasizes its concerns about being made whole because the TAC could result in a portion of congestion fees being paid to the facilities owner (OPTOs) rather than the FTR holder (new PTOs), leaving new PTOs without a hedge that was intended to make them whole.  SWP Initial Brief at 14.  </w:t>
      </w:r>
    </w:p>
    <w:p w14:paraId="677162FC" w14:textId="77777777" w:rsidR="00824130" w:rsidRPr="00D80201" w:rsidRDefault="00824130">
      <w:pPr>
        <w:ind w:firstLine="720"/>
        <w:rPr>
          <w:color w:val="000000"/>
          <w:szCs w:val="26"/>
        </w:rPr>
      </w:pPr>
    </w:p>
    <w:p w14:paraId="03EF4B05" w14:textId="77777777" w:rsidR="00824130" w:rsidRPr="00D80201" w:rsidRDefault="00824130">
      <w:pPr>
        <w:rPr>
          <w:color w:val="000000"/>
          <w:szCs w:val="26"/>
        </w:rPr>
      </w:pPr>
      <w:r>
        <w:rPr>
          <w:color w:val="000000"/>
          <w:szCs w:val="26"/>
        </w:rPr>
        <w:t>214.</w:t>
      </w:r>
      <w:r>
        <w:rPr>
          <w:color w:val="000000"/>
          <w:szCs w:val="26"/>
        </w:rPr>
        <w:tab/>
      </w:r>
      <w:r w:rsidRPr="00D80201">
        <w:rPr>
          <w:color w:val="000000"/>
          <w:szCs w:val="26"/>
        </w:rPr>
        <w:t>TANC also advocates modifying the current TAC proposal to allow all entities to net usage charges from one period against usage revenues from other periods.  Both TANC and SWP have expressed concerns that under the TAC, new PTOs are not allowed to credit usage charges that exceed usage revenues in one hour again other usage revenues that accrue in other hours.  Addressing SCE’s arguments that TANC’s and SWP’s proposed modification would leave new PTOs with a better hedge than they would have without joining the ISO, TANC counters that new PTOs would not have to be limited to hour-by-hour netting of costs and revenues prior to joining the ISO.  Thus, TANC contends, the new PTOs would not be better off.</w:t>
      </w:r>
    </w:p>
    <w:p w14:paraId="0E1DC0C2" w14:textId="77777777" w:rsidR="00824130" w:rsidRDefault="00824130">
      <w:pPr>
        <w:rPr>
          <w:color w:val="000000"/>
          <w:szCs w:val="26"/>
        </w:rPr>
      </w:pPr>
    </w:p>
    <w:p w14:paraId="26787FF6" w14:textId="77777777" w:rsidR="00824130" w:rsidRPr="00D80201" w:rsidRDefault="00824130">
      <w:pPr>
        <w:rPr>
          <w:color w:val="000000"/>
          <w:szCs w:val="26"/>
        </w:rPr>
      </w:pPr>
      <w:r>
        <w:rPr>
          <w:color w:val="000000"/>
          <w:szCs w:val="26"/>
        </w:rPr>
        <w:t>215.</w:t>
      </w:r>
      <w:r>
        <w:rPr>
          <w:color w:val="000000"/>
          <w:szCs w:val="26"/>
        </w:rPr>
        <w:tab/>
      </w:r>
      <w:r w:rsidRPr="00D80201">
        <w:rPr>
          <w:color w:val="000000"/>
          <w:szCs w:val="26"/>
        </w:rPr>
        <w:t xml:space="preserve">Staff’s witness Patterson has suggested that if TANC and SWP oppose the ISO’s treatment, then perhaps the ISO should treat them like OPTOs.  In addition to meeting opposition from SCE’s witness Cuillier, this idea has also been rejected by TANC and SWP, who do not wish to be treated like OPTOs.  Staff Initial Brief at 47, </w:t>
      </w:r>
      <w:r w:rsidRPr="00D80201">
        <w:rPr>
          <w:color w:val="000000"/>
          <w:szCs w:val="26"/>
          <w:u w:val="single"/>
        </w:rPr>
        <w:t>citing</w:t>
      </w:r>
      <w:r w:rsidRPr="00D80201">
        <w:rPr>
          <w:color w:val="000000"/>
          <w:szCs w:val="26"/>
        </w:rPr>
        <w:t xml:space="preserve"> Ex. TNC-21 at 27:1-10; Ex. SWP-70 at </w:t>
      </w:r>
      <w:smartTag w:uri="urn:schemas-microsoft-com:office:smarttags" w:element="time">
        <w:smartTagPr>
          <w:attr w:name="Hour" w:val="14"/>
          <w:attr w:name="Minute" w:val="10"/>
        </w:smartTagPr>
        <w:r w:rsidRPr="00D80201">
          <w:rPr>
            <w:color w:val="000000"/>
            <w:szCs w:val="26"/>
          </w:rPr>
          <w:t>14:10</w:t>
        </w:r>
      </w:smartTag>
      <w:r w:rsidRPr="00D80201">
        <w:rPr>
          <w:color w:val="000000"/>
          <w:szCs w:val="26"/>
        </w:rPr>
        <w:t xml:space="preserve">-21.  Staff contends that if TANC and SWP are unwilling to be treated like OPTOs, then they should not be allowed to argue that this provision of the ISO’s TAC discriminates against them.  Staff further argues that TANC and SWP have not shown the ISO’s proposal to be unreasonable.  In addition, Staff counters TANC’s and SWP’s concerns by contending that usage charge revenues almost always exceed usage charges, except for if a de-rate were to occur.  ISO Initial Brief at 47; SCE Initial Brief at 36.  If an existing contract were to provide for such a scenario, Staff contends, there would be no reason to provide a new PTO with a greater hedge than it already has due to the existing contract.  </w:t>
      </w:r>
    </w:p>
    <w:p w14:paraId="77D1BDA8" w14:textId="77777777" w:rsidR="00824130" w:rsidRPr="00D80201" w:rsidRDefault="00824130">
      <w:pPr>
        <w:rPr>
          <w:color w:val="000000"/>
          <w:szCs w:val="26"/>
        </w:rPr>
      </w:pPr>
    </w:p>
    <w:p w14:paraId="4465C633" w14:textId="77777777" w:rsidR="00824130" w:rsidRPr="00D80201" w:rsidRDefault="00824130">
      <w:pPr>
        <w:rPr>
          <w:color w:val="000000"/>
          <w:szCs w:val="26"/>
        </w:rPr>
      </w:pPr>
      <w:r>
        <w:rPr>
          <w:color w:val="000000"/>
          <w:szCs w:val="26"/>
        </w:rPr>
        <w:t>216.</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states that it is precluded from addressing this topic under the </w:t>
      </w:r>
      <w:smartTag w:uri="urn:schemas-microsoft-com:office:smarttags" w:element="date">
        <w:smartTagPr>
          <w:attr w:name="Year" w:val="2002"/>
          <w:attr w:name="Day" w:val="26"/>
          <w:attr w:name="Month" w:val="12"/>
        </w:smartTagPr>
        <w:r w:rsidRPr="00D80201">
          <w:rPr>
            <w:color w:val="000000"/>
            <w:szCs w:val="26"/>
          </w:rPr>
          <w:t>December 26, 2002</w:t>
        </w:r>
      </w:smartTag>
      <w:r w:rsidRPr="00D80201">
        <w:rPr>
          <w:color w:val="000000"/>
          <w:szCs w:val="26"/>
        </w:rPr>
        <w:t xml:space="preserve"> settlement in Docket No. EL02-103.  </w:t>
      </w:r>
      <w:r w:rsidRPr="00D80201">
        <w:rPr>
          <w:color w:val="000000"/>
          <w:szCs w:val="26"/>
          <w:u w:val="single"/>
        </w:rPr>
        <w:t>See</w:t>
      </w:r>
      <w:r w:rsidRPr="00D80201">
        <w:rPr>
          <w:color w:val="000000"/>
          <w:szCs w:val="26"/>
        </w:rPr>
        <w:t xml:space="preserve"> </w:t>
      </w:r>
      <w:r w:rsidRPr="00D80201">
        <w:rPr>
          <w:color w:val="000000"/>
          <w:szCs w:val="26"/>
          <w:u w:val="single"/>
        </w:rPr>
        <w:t xml:space="preserve">City of </w:t>
      </w:r>
      <w:smartTag w:uri="urn:schemas-microsoft-com:office:smarttags" w:element="place">
        <w:smartTag w:uri="urn:schemas-microsoft-com:office:smarttags" w:element="City">
          <w:r w:rsidRPr="00D80201">
            <w:rPr>
              <w:color w:val="000000"/>
              <w:szCs w:val="26"/>
              <w:u w:val="single"/>
            </w:rPr>
            <w:t>Vernon</w:t>
          </w:r>
        </w:smartTag>
      </w:smartTag>
      <w:r w:rsidRPr="00D80201">
        <w:rPr>
          <w:color w:val="000000"/>
          <w:szCs w:val="26"/>
        </w:rPr>
        <w:t xml:space="preserve">, 102 FERC ¶ 63,009 (2003).  </w:t>
      </w:r>
    </w:p>
    <w:p w14:paraId="0F716939" w14:textId="77777777" w:rsidR="00824130" w:rsidRPr="00D80201" w:rsidRDefault="00824130">
      <w:pPr>
        <w:rPr>
          <w:color w:val="000000"/>
          <w:szCs w:val="26"/>
        </w:rPr>
      </w:pPr>
    </w:p>
    <w:p w14:paraId="0CDE6941" w14:textId="77777777" w:rsidR="00824130" w:rsidRPr="00D80201" w:rsidRDefault="00824130">
      <w:pPr>
        <w:rPr>
          <w:b/>
          <w:color w:val="000000"/>
          <w:szCs w:val="26"/>
        </w:rPr>
      </w:pPr>
      <w:r w:rsidRPr="00D80201">
        <w:rPr>
          <w:color w:val="000000"/>
          <w:szCs w:val="26"/>
        </w:rPr>
        <w:tab/>
      </w:r>
      <w:r w:rsidRPr="00D80201">
        <w:rPr>
          <w:b/>
          <w:color w:val="000000"/>
          <w:szCs w:val="26"/>
        </w:rPr>
        <w:t xml:space="preserve">Discussion and Findings </w:t>
      </w:r>
    </w:p>
    <w:p w14:paraId="4B78A945" w14:textId="77777777" w:rsidR="00824130" w:rsidRPr="00D80201" w:rsidRDefault="00824130">
      <w:pPr>
        <w:rPr>
          <w:color w:val="000000"/>
          <w:szCs w:val="26"/>
        </w:rPr>
      </w:pPr>
    </w:p>
    <w:p w14:paraId="6F02A0EB" w14:textId="77777777" w:rsidR="00824130" w:rsidRPr="00D80201" w:rsidRDefault="00824130">
      <w:pPr>
        <w:pStyle w:val="BodyTextFirstIndentD"/>
        <w:spacing w:line="240" w:lineRule="auto"/>
        <w:ind w:firstLine="0"/>
      </w:pPr>
      <w:r>
        <w:rPr>
          <w:color w:val="000000"/>
        </w:rPr>
        <w:t>217.</w:t>
      </w:r>
      <w:r>
        <w:rPr>
          <w:color w:val="000000"/>
        </w:rPr>
        <w:tab/>
      </w:r>
      <w:r w:rsidRPr="00D80201">
        <w:t>The ISO proposes in Amendment No. 49 to revise the definition of Transmission Revenue Credit and Net FTR Revenue such that the recipients of Section 9.4.3 FTRs must credit against their Transmission Revenue Requirement the positive difference between the usage charges paid and the congestion revenue received for each hour.  This revision ensures that the new PTOs receive the full benefit of the hedge against congestion that is provided by Section 9.4.3 FTRs, but not more than that amount.  Challenges that the proposed change is an unreasonable limitation on the ability of new PTOs to credit ISO transmission charges against FTR revenues are simply not consistent with the limited purpose of Section 9.4.3 FTRs and are unpersuasive.</w:t>
      </w:r>
      <w:r w:rsidRPr="00D80201">
        <w:rPr>
          <w:rStyle w:val="FootnoteReference"/>
        </w:rPr>
        <w:footnoteReference w:id="63"/>
      </w:r>
      <w:r w:rsidRPr="00D80201">
        <w:t xml:space="preserve">  </w:t>
      </w:r>
    </w:p>
    <w:p w14:paraId="52E443F1" w14:textId="77777777" w:rsidR="00824130" w:rsidRPr="00D80201" w:rsidRDefault="00824130">
      <w:pPr>
        <w:pStyle w:val="BodyTextFirstIndentD"/>
        <w:spacing w:line="240" w:lineRule="auto"/>
        <w:ind w:firstLine="0"/>
      </w:pPr>
    </w:p>
    <w:p w14:paraId="1A0F5609" w14:textId="77777777" w:rsidR="00824130" w:rsidRPr="00D80201" w:rsidRDefault="00824130">
      <w:pPr>
        <w:pStyle w:val="BodyTextFirstIndentD"/>
        <w:spacing w:line="240" w:lineRule="auto"/>
        <w:ind w:firstLine="0"/>
      </w:pPr>
      <w:r>
        <w:t>218.</w:t>
      </w:r>
      <w:r>
        <w:tab/>
      </w:r>
      <w:r w:rsidRPr="00D80201">
        <w:t>Section 9.4.3 FTRs are designed to provide new PTOs a financial hedge against usage charges that they would not have paid under their existing contracts</w:t>
      </w:r>
      <w:r w:rsidRPr="00D80201">
        <w:rPr>
          <w:rStyle w:val="FootnoteReference"/>
        </w:rPr>
        <w:footnoteReference w:id="64"/>
      </w:r>
      <w:r w:rsidRPr="00D80201">
        <w:t xml:space="preserve"> and were never intended to confer a benefit beyond this particular and limited purpose.  Because the undersigned Presiding Judge finds that the ISO’s proposed provisions in Amendment No. 49 for netting usage charges against FTR Revenues are appropriately designed to implement the purpose of Section 9.4.3 FTRs, proposals that would confer a financial advantage beyond the more proportionate benefit that Section 9.4.3 should convey are hereby rejected.   </w:t>
      </w:r>
    </w:p>
    <w:p w14:paraId="596456CF" w14:textId="77777777" w:rsidR="00824130" w:rsidRPr="00D80201" w:rsidRDefault="00824130">
      <w:pPr>
        <w:pStyle w:val="BodyTextFirstIndentD"/>
        <w:spacing w:line="240" w:lineRule="auto"/>
        <w:ind w:firstLine="0"/>
      </w:pPr>
      <w:r>
        <w:t>219.</w:t>
      </w:r>
      <w:r w:rsidRPr="00D80201">
        <w:tab/>
        <w:t>Further it is the determination of the undersigned Presiding Judge that it is just, reasonable and not unduly discriminatory that the provision of FTRs to new PTOs under Section 9.4.3 terminate at the earlier of the end of the transition period or termination of an existing contract. This determination is consistent with the Commission’s finding on this issue:</w:t>
      </w:r>
    </w:p>
    <w:p w14:paraId="79631E3C" w14:textId="77777777" w:rsidR="00824130" w:rsidRPr="00D80201" w:rsidRDefault="00824130">
      <w:pPr>
        <w:pStyle w:val="BodyTextFirstIndentD"/>
        <w:spacing w:line="240" w:lineRule="auto"/>
        <w:ind w:firstLine="0"/>
      </w:pPr>
    </w:p>
    <w:p w14:paraId="6A8BD83C" w14:textId="77777777" w:rsidR="00824130" w:rsidRPr="00D80201" w:rsidRDefault="00824130">
      <w:pPr>
        <w:pStyle w:val="Quote"/>
      </w:pPr>
      <w:r w:rsidRPr="00D80201">
        <w:t>With respect to the ISO’s proposal that the FTRs be limit</w:t>
      </w:r>
      <w:r>
        <w:t>ed to lesser of the ten-year transition p</w:t>
      </w:r>
      <w:r w:rsidRPr="00D80201">
        <w:t>eriod or the life of the contract if its term is less than ten years, we find that this proposal is also reasonable.  The holders of contract rights that become new Participating TOs must recognize that this election will fundamentally change their current status, and consistent with that change, the new Participating TOs should have to participate in the auction process for the purchase of FTRs in the same manner as the original Participating TOs after the transition period.</w:t>
      </w:r>
    </w:p>
    <w:p w14:paraId="11F35A21" w14:textId="77777777" w:rsidR="00824130" w:rsidRPr="00D80201" w:rsidRDefault="00824130">
      <w:pPr>
        <w:rPr>
          <w:szCs w:val="26"/>
        </w:rPr>
      </w:pPr>
    </w:p>
    <w:p w14:paraId="3FD55FC8" w14:textId="77777777" w:rsidR="00824130" w:rsidRPr="00D80201" w:rsidRDefault="00824130">
      <w:pPr>
        <w:pStyle w:val="BodyTextD"/>
        <w:spacing w:line="240" w:lineRule="auto"/>
      </w:pPr>
      <w:smartTag w:uri="urn:schemas-microsoft-com:office:smarttags" w:element="place">
        <w:smartTag w:uri="urn:schemas-microsoft-com:office:smarttags" w:element="State">
          <w:r w:rsidRPr="00D80201">
            <w:rPr>
              <w:u w:val="single"/>
            </w:rPr>
            <w:t>Cal.</w:t>
          </w:r>
        </w:smartTag>
      </w:smartTag>
      <w:r w:rsidRPr="00D80201">
        <w:rPr>
          <w:u w:val="single"/>
        </w:rPr>
        <w:t xml:space="preserve"> Indep. Sys. Operator Corp.</w:t>
      </w:r>
      <w:r w:rsidRPr="00D80201">
        <w:t>, 91 FERC ¶ 61,205 at 61,726 (2000).</w:t>
      </w:r>
    </w:p>
    <w:p w14:paraId="77C8538B" w14:textId="77777777" w:rsidR="00824130" w:rsidRPr="00D80201" w:rsidRDefault="00824130">
      <w:pPr>
        <w:rPr>
          <w:color w:val="000000"/>
          <w:szCs w:val="26"/>
        </w:rPr>
      </w:pPr>
    </w:p>
    <w:p w14:paraId="5B39FE2B" w14:textId="77777777" w:rsidR="00824130" w:rsidRPr="00D80201" w:rsidRDefault="00824130">
      <w:pPr>
        <w:rPr>
          <w:color w:val="000000"/>
          <w:szCs w:val="26"/>
        </w:rPr>
      </w:pPr>
    </w:p>
    <w:p w14:paraId="5AD8AF6E" w14:textId="77777777" w:rsidR="00824130" w:rsidRPr="00D80201" w:rsidRDefault="00824130">
      <w:pPr>
        <w:numPr>
          <w:ilvl w:val="0"/>
          <w:numId w:val="22"/>
        </w:numPr>
        <w:rPr>
          <w:b/>
          <w:color w:val="000000"/>
          <w:szCs w:val="26"/>
        </w:rPr>
      </w:pPr>
      <w:r w:rsidRPr="00D80201">
        <w:rPr>
          <w:b/>
          <w:color w:val="000000"/>
          <w:szCs w:val="26"/>
        </w:rPr>
        <w:t xml:space="preserve">Whether it is just, reasonable and not unduly discriminatory that the provision of FTRs to New Participating TOs under Section 9.4.3 terminates at the earlier of the end of the transition period or termination of an Existing Contract.  </w:t>
      </w:r>
    </w:p>
    <w:p w14:paraId="45CEF9CF" w14:textId="77777777" w:rsidR="00824130" w:rsidRPr="00D80201" w:rsidRDefault="00824130">
      <w:pPr>
        <w:rPr>
          <w:b/>
          <w:color w:val="000000"/>
          <w:szCs w:val="26"/>
        </w:rPr>
      </w:pPr>
    </w:p>
    <w:p w14:paraId="305254CA" w14:textId="77777777" w:rsidR="00824130" w:rsidRPr="00D80201" w:rsidRDefault="00824130">
      <w:pPr>
        <w:ind w:firstLine="720"/>
        <w:rPr>
          <w:b/>
          <w:color w:val="000000"/>
          <w:szCs w:val="26"/>
        </w:rPr>
      </w:pPr>
      <w:r w:rsidRPr="00D80201">
        <w:rPr>
          <w:b/>
          <w:color w:val="000000"/>
          <w:szCs w:val="26"/>
        </w:rPr>
        <w:t>Position of the Parties</w:t>
      </w:r>
    </w:p>
    <w:p w14:paraId="618B9402" w14:textId="77777777" w:rsidR="00824130" w:rsidRPr="00D80201" w:rsidRDefault="00824130">
      <w:pPr>
        <w:rPr>
          <w:b/>
          <w:color w:val="000000"/>
          <w:szCs w:val="26"/>
        </w:rPr>
      </w:pPr>
    </w:p>
    <w:p w14:paraId="42BA0DA2" w14:textId="77777777" w:rsidR="00824130" w:rsidRPr="00D80201" w:rsidRDefault="00824130">
      <w:pPr>
        <w:rPr>
          <w:color w:val="000000"/>
          <w:szCs w:val="26"/>
        </w:rPr>
      </w:pPr>
      <w:r>
        <w:rPr>
          <w:color w:val="000000"/>
          <w:szCs w:val="26"/>
        </w:rPr>
        <w:t>220.</w:t>
      </w:r>
      <w:r>
        <w:rPr>
          <w:color w:val="000000"/>
          <w:szCs w:val="26"/>
        </w:rPr>
        <w:tab/>
      </w:r>
      <w:r w:rsidRPr="00D80201">
        <w:rPr>
          <w:color w:val="000000"/>
          <w:szCs w:val="26"/>
        </w:rPr>
        <w:t xml:space="preserve">The ISO contends that the Commission has recognized that the limited purpose of Section 9.4.3 FTRs – to confer an initial inducement to new PTOs – corresponds precisely with the proposed termination.  </w:t>
      </w:r>
      <w:smartTag w:uri="urn:schemas-microsoft-com:office:smarttags" w:element="place">
        <w:smartTag w:uri="urn:schemas-microsoft-com:office:smarttags" w:element="State">
          <w:r w:rsidRPr="00D80201">
            <w:rPr>
              <w:color w:val="000000"/>
              <w:szCs w:val="26"/>
              <w:u w:val="single"/>
            </w:rPr>
            <w:t>Cal.</w:t>
          </w:r>
        </w:smartTag>
      </w:smartTag>
      <w:r w:rsidRPr="00D80201">
        <w:rPr>
          <w:color w:val="000000"/>
          <w:szCs w:val="26"/>
          <w:u w:val="single"/>
        </w:rPr>
        <w:t xml:space="preserve"> Indep. Sys. Operator Corp.</w:t>
      </w:r>
      <w:r w:rsidRPr="00D80201">
        <w:rPr>
          <w:color w:val="000000"/>
          <w:szCs w:val="26"/>
        </w:rPr>
        <w:t xml:space="preserve">, 91 FERC ¶ 61,205 at 61,726 (2000).  Responding to TANC’s witnesses’ proposals to change the FTR program entirely, the ISO contends that although it has proposed such a change in a different proceeding, the proposed change is not open for consideration in this proceeding.  </w:t>
      </w:r>
    </w:p>
    <w:p w14:paraId="76A9D1D2" w14:textId="77777777" w:rsidR="00824130" w:rsidRPr="00D80201" w:rsidRDefault="00824130">
      <w:pPr>
        <w:ind w:firstLine="720"/>
        <w:rPr>
          <w:color w:val="000000"/>
          <w:szCs w:val="26"/>
        </w:rPr>
      </w:pPr>
    </w:p>
    <w:p w14:paraId="6BE35A8D" w14:textId="77777777" w:rsidR="00824130" w:rsidRPr="00D80201" w:rsidRDefault="00824130">
      <w:pPr>
        <w:rPr>
          <w:color w:val="000000"/>
          <w:szCs w:val="26"/>
        </w:rPr>
      </w:pPr>
      <w:r>
        <w:rPr>
          <w:color w:val="000000"/>
          <w:szCs w:val="26"/>
        </w:rPr>
        <w:t>221.</w:t>
      </w:r>
      <w:r>
        <w:rPr>
          <w:color w:val="000000"/>
          <w:szCs w:val="26"/>
        </w:rPr>
        <w:tab/>
      </w:r>
      <w:r w:rsidRPr="00D80201">
        <w:rPr>
          <w:color w:val="000000"/>
          <w:szCs w:val="26"/>
        </w:rPr>
        <w:t xml:space="preserve">SCE essentially agrees with the ISO on this issue.  </w:t>
      </w:r>
    </w:p>
    <w:p w14:paraId="0C15B768" w14:textId="77777777" w:rsidR="00824130" w:rsidRDefault="00824130">
      <w:pPr>
        <w:rPr>
          <w:color w:val="000000"/>
          <w:szCs w:val="26"/>
        </w:rPr>
      </w:pPr>
    </w:p>
    <w:p w14:paraId="3829BEB7" w14:textId="77777777" w:rsidR="00824130" w:rsidRPr="00D80201" w:rsidRDefault="00824130">
      <w:pPr>
        <w:rPr>
          <w:color w:val="000000"/>
          <w:szCs w:val="26"/>
        </w:rPr>
      </w:pPr>
      <w:r>
        <w:rPr>
          <w:color w:val="000000"/>
          <w:szCs w:val="26"/>
        </w:rPr>
        <w:t>222.</w:t>
      </w:r>
      <w:r>
        <w:rPr>
          <w:color w:val="000000"/>
          <w:szCs w:val="26"/>
        </w:rPr>
        <w:tab/>
      </w:r>
      <w:r w:rsidRPr="00D80201">
        <w:rPr>
          <w:color w:val="000000"/>
          <w:szCs w:val="26"/>
        </w:rPr>
        <w:t>Citing language from the Commission’s order and rehearing order on Amendment No. 27, Staff contends that the Commission sees this issue, how long a new PTO should receive FTRs without participating in the ISO auction, to be tied to the length of the transition period.</w:t>
      </w:r>
      <w:r w:rsidRPr="00D80201">
        <w:rPr>
          <w:rStyle w:val="FootnoteReference"/>
          <w:color w:val="000000"/>
        </w:rPr>
        <w:footnoteReference w:id="65"/>
      </w:r>
      <w:r w:rsidRPr="00D80201">
        <w:rPr>
          <w:color w:val="000000"/>
          <w:szCs w:val="26"/>
        </w:rPr>
        <w:t xml:space="preserve">  Staff also generally agrees with the ISO’s position that parties against the proposal, such as TANC and SWP, have not proven the current proposal unreasonable or contradictory to any established precedent or regulation.   </w:t>
      </w:r>
    </w:p>
    <w:p w14:paraId="34863338" w14:textId="77777777" w:rsidR="00824130" w:rsidRPr="00D80201" w:rsidRDefault="00824130">
      <w:pPr>
        <w:rPr>
          <w:color w:val="000000"/>
          <w:szCs w:val="26"/>
        </w:rPr>
      </w:pPr>
    </w:p>
    <w:p w14:paraId="1B67C2CA" w14:textId="77777777" w:rsidR="00824130" w:rsidRPr="00D80201" w:rsidRDefault="00824130">
      <w:pPr>
        <w:pStyle w:val="BodyText"/>
        <w:rPr>
          <w:color w:val="000000"/>
          <w:sz w:val="26"/>
          <w:szCs w:val="26"/>
        </w:rPr>
      </w:pPr>
      <w:r>
        <w:rPr>
          <w:color w:val="000000"/>
          <w:sz w:val="26"/>
          <w:szCs w:val="26"/>
        </w:rPr>
        <w:t>223.</w:t>
      </w:r>
      <w:r>
        <w:rPr>
          <w:color w:val="000000"/>
          <w:sz w:val="26"/>
          <w:szCs w:val="26"/>
        </w:rPr>
        <w:tab/>
      </w:r>
      <w:r w:rsidRPr="00D80201">
        <w:rPr>
          <w:color w:val="000000"/>
          <w:sz w:val="26"/>
          <w:szCs w:val="26"/>
        </w:rPr>
        <w:t xml:space="preserve">PG&amp;E contends that the Commission has already determined that the ISO’s proposal to end unauctioned FTRs at the earlier of the end of the transition period or termination of an existing contract is just and reasonable.  </w:t>
      </w:r>
      <w:smartTag w:uri="urn:schemas-microsoft-com:office:smarttags" w:element="place">
        <w:smartTag w:uri="urn:schemas-microsoft-com:office:smarttags" w:element="State">
          <w:r w:rsidRPr="00D80201">
            <w:rPr>
              <w:color w:val="000000"/>
              <w:sz w:val="26"/>
              <w:szCs w:val="26"/>
              <w:u w:val="single"/>
            </w:rPr>
            <w:t>Cal.</w:t>
          </w:r>
        </w:smartTag>
      </w:smartTag>
      <w:r w:rsidRPr="00D80201">
        <w:rPr>
          <w:color w:val="000000"/>
          <w:sz w:val="26"/>
          <w:szCs w:val="26"/>
          <w:u w:val="single"/>
        </w:rPr>
        <w:t xml:space="preserve"> Indep. Sys. Operator Corp.</w:t>
      </w:r>
      <w:r w:rsidRPr="00D80201">
        <w:rPr>
          <w:color w:val="000000"/>
          <w:sz w:val="26"/>
          <w:szCs w:val="26"/>
        </w:rPr>
        <w:t xml:space="preserve">, 91 FERC ¶ 61,205 at 61,726 (2000).  According to PG&amp;E, no evidence was submitted during hearing that would justify changing that determination.  </w:t>
      </w:r>
    </w:p>
    <w:p w14:paraId="76A871E2" w14:textId="77777777" w:rsidR="00824130" w:rsidRPr="00D80201" w:rsidRDefault="00824130">
      <w:pPr>
        <w:ind w:firstLine="720"/>
        <w:rPr>
          <w:color w:val="000000"/>
          <w:szCs w:val="26"/>
        </w:rPr>
      </w:pPr>
    </w:p>
    <w:p w14:paraId="3725D547" w14:textId="77777777" w:rsidR="00824130" w:rsidRPr="00D80201" w:rsidRDefault="00824130">
      <w:pPr>
        <w:rPr>
          <w:color w:val="000000"/>
          <w:szCs w:val="26"/>
        </w:rPr>
      </w:pPr>
      <w:r>
        <w:rPr>
          <w:color w:val="000000"/>
          <w:szCs w:val="26"/>
        </w:rPr>
        <w:t>224.</w:t>
      </w:r>
      <w:r>
        <w:rPr>
          <w:color w:val="000000"/>
          <w:szCs w:val="26"/>
        </w:rPr>
        <w:tab/>
      </w:r>
      <w:r w:rsidRPr="00D80201">
        <w:rPr>
          <w:color w:val="000000"/>
          <w:szCs w:val="26"/>
        </w:rPr>
        <w:t xml:space="preserve">The EOB notes that the Commission has deemed just and reasonable the ISO’s proposal to limit the allocation of FTRs to new PTOs to the lesser of the ten-year transition period or the remaining term of the contract.  </w:t>
      </w:r>
      <w:smartTag w:uri="urn:schemas-microsoft-com:office:smarttags" w:element="place">
        <w:smartTag w:uri="urn:schemas-microsoft-com:office:smarttags" w:element="State">
          <w:r w:rsidRPr="00D80201">
            <w:rPr>
              <w:color w:val="000000"/>
              <w:szCs w:val="26"/>
              <w:u w:val="single"/>
            </w:rPr>
            <w:t>Id.</w:t>
          </w:r>
        </w:smartTag>
      </w:smartTag>
      <w:r w:rsidRPr="00D80201">
        <w:rPr>
          <w:color w:val="000000"/>
          <w:szCs w:val="26"/>
        </w:rPr>
        <w:t xml:space="preserve">  However, the EOB believes it would be more equitable to connect the term of the treatment afforded converted rights with the term of the existing contract.  The EOB asserts that such treatment would conform to the expected benefits anticipated under the contract and further remove a potential disincentive for potential TOs to joining the ISO.  Yet, it is also the EOB’s position that this treatment should not apply to contract extensions exercised or agreed to after January 1, 2001, which the EOB believes should be discouraged.</w:t>
      </w:r>
    </w:p>
    <w:p w14:paraId="4173C71B" w14:textId="77777777" w:rsidR="00824130" w:rsidRPr="00D80201" w:rsidRDefault="00824130">
      <w:pPr>
        <w:rPr>
          <w:color w:val="000000"/>
          <w:szCs w:val="26"/>
        </w:rPr>
      </w:pPr>
    </w:p>
    <w:p w14:paraId="11AA2723" w14:textId="77777777" w:rsidR="00824130" w:rsidRPr="00D80201" w:rsidRDefault="00824130">
      <w:pPr>
        <w:rPr>
          <w:color w:val="000000"/>
          <w:szCs w:val="26"/>
        </w:rPr>
      </w:pPr>
      <w:r>
        <w:rPr>
          <w:color w:val="000000"/>
          <w:szCs w:val="26"/>
        </w:rPr>
        <w:t>225.</w:t>
      </w:r>
      <w:r>
        <w:rPr>
          <w:color w:val="000000"/>
          <w:szCs w:val="26"/>
        </w:rPr>
        <w:tab/>
      </w:r>
      <w:r w:rsidRPr="00D80201">
        <w:rPr>
          <w:color w:val="000000"/>
          <w:szCs w:val="26"/>
        </w:rPr>
        <w:t>SWP contends that to be commensurate, FTRs granted upon contract conversion should be coterminous with the ETCs upon which they are based.  Countering Staff’s position that the ISO’s current proposal has not been demonstrated to be unreasonable, SWP responds that it would be obligated to provide in-kind reliability services under its ETC to PG&amp;E for four years without receiving services in return that are equivalent to the contracted firm service.  SWP explains that it would have to continue to provide such benefits without any equivalent to firm transmission service because its ETC ends in 2014 and the ISO’s transition period ends in 2010, leaving it without firm transmission service or FTRs to hedge against congestion costs.</w:t>
      </w:r>
      <w:r w:rsidRPr="00D80201">
        <w:rPr>
          <w:rStyle w:val="FootnoteReference"/>
          <w:color w:val="000000"/>
        </w:rPr>
        <w:footnoteReference w:id="66"/>
      </w:r>
      <w:r w:rsidRPr="00D80201">
        <w:rPr>
          <w:color w:val="000000"/>
          <w:szCs w:val="26"/>
        </w:rPr>
        <w:t xml:space="preserve">  </w:t>
      </w:r>
    </w:p>
    <w:p w14:paraId="47AC1267" w14:textId="77777777" w:rsidR="00824130" w:rsidRPr="00D80201" w:rsidRDefault="00824130">
      <w:pPr>
        <w:rPr>
          <w:color w:val="000000"/>
          <w:szCs w:val="26"/>
        </w:rPr>
      </w:pPr>
    </w:p>
    <w:p w14:paraId="2F4AC519" w14:textId="77777777" w:rsidR="00824130" w:rsidRPr="00D80201" w:rsidRDefault="00824130">
      <w:pPr>
        <w:rPr>
          <w:color w:val="000000"/>
          <w:szCs w:val="26"/>
        </w:rPr>
      </w:pPr>
      <w:r>
        <w:rPr>
          <w:color w:val="000000"/>
          <w:szCs w:val="26"/>
        </w:rPr>
        <w:t>226.</w:t>
      </w:r>
      <w:r>
        <w:rPr>
          <w:color w:val="000000"/>
          <w:szCs w:val="26"/>
        </w:rPr>
        <w:tab/>
      </w:r>
      <w:r w:rsidRPr="00D80201">
        <w:rPr>
          <w:color w:val="000000"/>
          <w:szCs w:val="26"/>
        </w:rPr>
        <w:t xml:space="preserve">SDG&amp;E believes it is just, reasonable and not unduly discriminatory for unauctioned FTRs to terminate at the earlier of the end of the transition period or at the termination of an ETC.  Further discussion of SDG&amp;E’s viewpoint about this issue occurs in V.A., </w:t>
      </w:r>
      <w:r w:rsidRPr="00D80201">
        <w:rPr>
          <w:color w:val="000000"/>
          <w:szCs w:val="26"/>
          <w:u w:val="single"/>
        </w:rPr>
        <w:t>supra</w:t>
      </w:r>
      <w:r w:rsidRPr="00D80201">
        <w:rPr>
          <w:color w:val="000000"/>
          <w:szCs w:val="26"/>
        </w:rPr>
        <w:t>.</w:t>
      </w:r>
    </w:p>
    <w:p w14:paraId="62781517" w14:textId="77777777" w:rsidR="00824130" w:rsidRPr="00D80201" w:rsidRDefault="00824130">
      <w:pPr>
        <w:rPr>
          <w:color w:val="000000"/>
          <w:szCs w:val="26"/>
        </w:rPr>
      </w:pPr>
    </w:p>
    <w:p w14:paraId="33CDF85C" w14:textId="77777777" w:rsidR="00824130" w:rsidRPr="00D80201" w:rsidRDefault="00824130">
      <w:pPr>
        <w:ind w:firstLine="720"/>
        <w:rPr>
          <w:b/>
          <w:color w:val="000000"/>
          <w:szCs w:val="26"/>
        </w:rPr>
      </w:pPr>
      <w:r w:rsidRPr="00D80201">
        <w:rPr>
          <w:b/>
          <w:color w:val="000000"/>
          <w:szCs w:val="26"/>
        </w:rPr>
        <w:t>Discussion and Findings</w:t>
      </w:r>
    </w:p>
    <w:p w14:paraId="7FBDB590" w14:textId="77777777" w:rsidR="00824130" w:rsidRPr="00D80201" w:rsidRDefault="00824130">
      <w:pPr>
        <w:rPr>
          <w:color w:val="000000"/>
          <w:szCs w:val="26"/>
        </w:rPr>
      </w:pPr>
    </w:p>
    <w:p w14:paraId="2BEB54D8" w14:textId="77777777" w:rsidR="00824130" w:rsidRPr="00D80201" w:rsidRDefault="00824130">
      <w:pPr>
        <w:pStyle w:val="BodyTextFirstIndentD"/>
        <w:spacing w:line="240" w:lineRule="auto"/>
        <w:ind w:firstLine="0"/>
      </w:pPr>
      <w:r>
        <w:t>227.</w:t>
      </w:r>
      <w:r>
        <w:tab/>
      </w:r>
      <w:r w:rsidRPr="00D80201">
        <w:t>Proposed Section 9.4.3 provides that a new PTO will be provided FTRs commensurate with the transmission capacity that it places under the ISO’s operational control.  Under proposed Section 4.5 of Schedule 3 of Appendix F, in making that determination, the ISO will consider the amount of contracted transmission capacity, the firmness of the contracted transmission capacity, and other characteristics of the contracted transmission capacity to determine the amount of FTRs.  These provisions provide potential new PTOs and other market participants with notice of the factors that the ISO will consider,</w:t>
      </w:r>
      <w:r w:rsidRPr="00D80201">
        <w:rPr>
          <w:rStyle w:val="FootnoteReference"/>
        </w:rPr>
        <w:footnoteReference w:id="67"/>
      </w:r>
      <w:r w:rsidRPr="00D80201">
        <w:t xml:space="preserve"> while providing the ISO some flexibility in negotiating the number of FTRs with potential new PTOs. </w:t>
      </w:r>
    </w:p>
    <w:p w14:paraId="7E229BEF" w14:textId="77777777" w:rsidR="00824130" w:rsidRPr="00D80201" w:rsidRDefault="00824130">
      <w:pPr>
        <w:pStyle w:val="BodyTextFirstIndentD"/>
        <w:spacing w:line="240" w:lineRule="auto"/>
        <w:ind w:firstLine="0"/>
      </w:pPr>
    </w:p>
    <w:p w14:paraId="10C52C3E" w14:textId="77777777" w:rsidR="00824130" w:rsidRPr="00D80201" w:rsidRDefault="00824130">
      <w:pPr>
        <w:pStyle w:val="BodyTextFirstIndentD"/>
        <w:spacing w:line="240" w:lineRule="auto"/>
        <w:ind w:firstLine="0"/>
      </w:pPr>
      <w:r>
        <w:t>228.</w:t>
      </w:r>
      <w:r>
        <w:tab/>
      </w:r>
      <w:r w:rsidRPr="00D80201">
        <w:t>The record supports a finding that due to significant differences in individual existing contracts, the ISO requires a degree of flexibility in determining the appropriate number of FTRs to award under Section 9.4.3, and that this degree of flexibility plays a significant role in ensuring the Section 9.4.3 allocation of FTRs fulfills its purpose as an inducement to expanded participation in the ISO. However, to ensure that market participants have a full opportunity to litigate the proposed award of FTRs, the ISO’s tariff should be amended to require the ISO to file the proposed award with the Commission simultaneously with an amendment to the Transmission Control Agreement (“TCA”) regarding each new PTO.  The ISO has stated that it has no objection to such a tariff requirement.</w:t>
      </w:r>
      <w:r w:rsidRPr="00D80201">
        <w:rPr>
          <w:rStyle w:val="FootnoteReference"/>
        </w:rPr>
        <w:footnoteReference w:id="68"/>
      </w:r>
      <w:r w:rsidRPr="00D80201">
        <w:t xml:space="preserve">  Such a tariff amendment will ensure that provisions regarding the award of FTRs to new PTOs will </w:t>
      </w:r>
      <w:r w:rsidRPr="00D80201">
        <w:rPr>
          <w:i/>
          <w:iCs/>
        </w:rPr>
        <w:t xml:space="preserve">not </w:t>
      </w:r>
      <w:r w:rsidRPr="00D80201">
        <w:t xml:space="preserve">affect any market participants until they are awarded, and </w:t>
      </w:r>
      <w:r w:rsidRPr="00D80201">
        <w:rPr>
          <w:i/>
          <w:iCs/>
        </w:rPr>
        <w:t xml:space="preserve">before that occurs, </w:t>
      </w:r>
      <w:r w:rsidRPr="00D80201">
        <w:t>every market participant will be provided notice of the proposed award and the opportunity to challenge it with full Commission review.  Accordingly, with the filing of the tariff amendment described hereinabove, it is the determination of the undersigned Presiding Judge that Section 9.4.3 and Section 4.5 of Appendix F, Schedule 3, provide sufficient detail regarding the award of FTRs to new PTOs.</w:t>
      </w:r>
    </w:p>
    <w:p w14:paraId="773F0948" w14:textId="77777777" w:rsidR="00824130" w:rsidRPr="00D80201" w:rsidRDefault="00824130">
      <w:pPr>
        <w:ind w:firstLine="720"/>
        <w:rPr>
          <w:color w:val="000000"/>
          <w:szCs w:val="26"/>
        </w:rPr>
      </w:pPr>
    </w:p>
    <w:p w14:paraId="4854094A" w14:textId="77777777" w:rsidR="00824130" w:rsidRPr="00D80201" w:rsidRDefault="00824130">
      <w:pPr>
        <w:numPr>
          <w:ilvl w:val="0"/>
          <w:numId w:val="22"/>
        </w:numPr>
        <w:rPr>
          <w:b/>
          <w:color w:val="000000"/>
          <w:szCs w:val="26"/>
        </w:rPr>
      </w:pPr>
      <w:r w:rsidRPr="00D80201">
        <w:rPr>
          <w:b/>
          <w:color w:val="000000"/>
          <w:szCs w:val="26"/>
        </w:rPr>
        <w:t>Whether Amendment No. 27 is unjust, unreasonable and unduly discriminatory because it does not specify the methodology for the allocation of FTRs pursuant to Section 9.4.3. of the ISO Tariff.</w:t>
      </w:r>
    </w:p>
    <w:p w14:paraId="5AF538B8" w14:textId="77777777" w:rsidR="00824130" w:rsidRPr="00D80201" w:rsidRDefault="00824130">
      <w:pPr>
        <w:rPr>
          <w:b/>
          <w:color w:val="000000"/>
          <w:szCs w:val="26"/>
        </w:rPr>
      </w:pPr>
    </w:p>
    <w:p w14:paraId="0C8DC6B6" w14:textId="77777777" w:rsidR="00824130" w:rsidRPr="00D80201" w:rsidRDefault="00824130">
      <w:pPr>
        <w:ind w:firstLine="720"/>
        <w:rPr>
          <w:b/>
          <w:color w:val="000000"/>
          <w:szCs w:val="26"/>
        </w:rPr>
      </w:pPr>
      <w:r w:rsidRPr="00D80201">
        <w:rPr>
          <w:b/>
          <w:color w:val="000000"/>
          <w:szCs w:val="26"/>
        </w:rPr>
        <w:t>Position of the Parties</w:t>
      </w:r>
    </w:p>
    <w:p w14:paraId="360CDBC1" w14:textId="77777777" w:rsidR="00824130" w:rsidRPr="00D80201" w:rsidRDefault="00824130">
      <w:pPr>
        <w:rPr>
          <w:b/>
          <w:color w:val="000000"/>
          <w:szCs w:val="26"/>
        </w:rPr>
      </w:pPr>
    </w:p>
    <w:p w14:paraId="26575853" w14:textId="77777777" w:rsidR="00824130" w:rsidRPr="00D80201" w:rsidRDefault="00824130">
      <w:pPr>
        <w:rPr>
          <w:color w:val="000000"/>
          <w:szCs w:val="26"/>
        </w:rPr>
      </w:pPr>
      <w:r>
        <w:rPr>
          <w:color w:val="000000"/>
          <w:szCs w:val="26"/>
        </w:rPr>
        <w:t>229.</w:t>
      </w:r>
      <w:r>
        <w:rPr>
          <w:color w:val="000000"/>
          <w:szCs w:val="26"/>
        </w:rPr>
        <w:tab/>
      </w:r>
      <w:r w:rsidRPr="00D80201">
        <w:rPr>
          <w:color w:val="000000"/>
          <w:szCs w:val="26"/>
        </w:rPr>
        <w:t>PG&amp;E has requested that the ISO develop uniform standards to be included in the ISO Tariff, which standards would clearly set out and explain the criteria and methodology for allocating FTRs t</w:t>
      </w:r>
      <w:r>
        <w:rPr>
          <w:color w:val="000000"/>
          <w:szCs w:val="26"/>
        </w:rPr>
        <w:t>o New PTOs.  Ex. PGE-1 at 29:1 – 3</w:t>
      </w:r>
      <w:r w:rsidRPr="00D80201">
        <w:rPr>
          <w:color w:val="000000"/>
          <w:szCs w:val="26"/>
        </w:rPr>
        <w:t>0:22.  As discussed above, the ISO has refused and has argued it needs flexibility when determining FTR allocation to a new PTO.  PG&amp;E contends that refraining from developing standards could result in undue discrimination and that parties reviewing the ISO’s allocation of FTRs when a new PTO joins will have a difficult time determining if the ISO’s proposed allocation is appropriate.</w:t>
      </w:r>
    </w:p>
    <w:p w14:paraId="7FE4407D" w14:textId="77777777" w:rsidR="00824130" w:rsidRPr="00D80201" w:rsidRDefault="00824130">
      <w:pPr>
        <w:ind w:firstLine="720"/>
        <w:rPr>
          <w:color w:val="000000"/>
          <w:szCs w:val="26"/>
        </w:rPr>
      </w:pPr>
    </w:p>
    <w:p w14:paraId="728B0187" w14:textId="77777777" w:rsidR="00824130" w:rsidRPr="00D80201" w:rsidRDefault="00824130">
      <w:pPr>
        <w:rPr>
          <w:color w:val="000000"/>
          <w:szCs w:val="26"/>
        </w:rPr>
      </w:pPr>
      <w:r>
        <w:rPr>
          <w:color w:val="000000"/>
          <w:szCs w:val="26"/>
        </w:rPr>
        <w:t>230.</w:t>
      </w:r>
      <w:r>
        <w:rPr>
          <w:color w:val="000000"/>
          <w:szCs w:val="26"/>
        </w:rPr>
        <w:tab/>
      </w:r>
      <w:r w:rsidRPr="00D80201">
        <w:rPr>
          <w:color w:val="000000"/>
          <w:szCs w:val="26"/>
        </w:rPr>
        <w:t>SWP, similar to PG&amp;E and Staff, requests the undersigned to order the ISO to develop publicly stated, transparent, and objective criteria for FTR allocation; unlike the other parties, SWP advocates for the inclusion of proportionally greater FTRs because of SWP’s contribution to the capacity of Path 15.  SWP contends that the ISO</w:t>
      </w:r>
      <w:r w:rsidRPr="00D80201">
        <w:rPr>
          <w:color w:val="000000"/>
          <w:szCs w:val="26"/>
        </w:rPr>
        <w:sym w:font="WP TypographicSymbols" w:char="003D"/>
      </w:r>
      <w:r w:rsidRPr="00D80201">
        <w:rPr>
          <w:color w:val="000000"/>
          <w:szCs w:val="26"/>
        </w:rPr>
        <w:t>s filing fails to meet the hearing order</w:t>
      </w:r>
      <w:r w:rsidRPr="00D80201">
        <w:rPr>
          <w:color w:val="000000"/>
          <w:szCs w:val="26"/>
        </w:rPr>
        <w:sym w:font="WP TypographicSymbols" w:char="003D"/>
      </w:r>
      <w:r w:rsidRPr="00D80201">
        <w:rPr>
          <w:color w:val="000000"/>
          <w:szCs w:val="26"/>
        </w:rPr>
        <w:t>s requirement for an explanation of the ISO</w:t>
      </w:r>
      <w:r w:rsidRPr="00D80201">
        <w:rPr>
          <w:color w:val="000000"/>
          <w:szCs w:val="26"/>
        </w:rPr>
        <w:sym w:font="WP TypographicSymbols" w:char="003D"/>
      </w:r>
      <w:r w:rsidRPr="00D80201">
        <w:rPr>
          <w:color w:val="000000"/>
          <w:szCs w:val="26"/>
        </w:rPr>
        <w:t>s allocation of</w:t>
      </w:r>
      <w:r w:rsidRPr="00D80201">
        <w:rPr>
          <w:i/>
          <w:iCs/>
          <w:color w:val="000000"/>
          <w:szCs w:val="26"/>
        </w:rPr>
        <w:t xml:space="preserve"> </w:t>
      </w:r>
      <w:r w:rsidRPr="00D80201">
        <w:rPr>
          <w:iCs/>
          <w:color w:val="000000"/>
          <w:szCs w:val="26"/>
        </w:rPr>
        <w:t>“commensurate” FTRs upon contract conversion</w:t>
      </w:r>
      <w:r w:rsidRPr="00D80201">
        <w:rPr>
          <w:color w:val="000000"/>
          <w:szCs w:val="26"/>
        </w:rPr>
        <w:t xml:space="preserve">. </w:t>
      </w:r>
      <w:r w:rsidRPr="00D80201">
        <w:rPr>
          <w:iCs/>
          <w:color w:val="000000"/>
          <w:szCs w:val="26"/>
        </w:rPr>
        <w:t xml:space="preserve"> </w:t>
      </w:r>
      <w:r w:rsidRPr="00D80201">
        <w:rPr>
          <w:color w:val="000000"/>
          <w:szCs w:val="26"/>
        </w:rPr>
        <w:t>Further, SWP asserts that the ISO</w:t>
      </w:r>
      <w:r w:rsidRPr="00D80201">
        <w:rPr>
          <w:color w:val="000000"/>
          <w:szCs w:val="26"/>
        </w:rPr>
        <w:sym w:font="WP TypographicSymbols" w:char="003D"/>
      </w:r>
      <w:r w:rsidRPr="00D80201">
        <w:rPr>
          <w:color w:val="000000"/>
          <w:szCs w:val="26"/>
        </w:rPr>
        <w:t>s practice of negotiating FTRs in private discussions, whose outcome may or may not be made public, is not consistent with the Commission</w:t>
      </w:r>
      <w:r w:rsidRPr="00D80201">
        <w:rPr>
          <w:color w:val="000000"/>
          <w:szCs w:val="26"/>
        </w:rPr>
        <w:sym w:font="WP TypographicSymbols" w:char="003D"/>
      </w:r>
      <w:r w:rsidRPr="00D80201">
        <w:rPr>
          <w:color w:val="000000"/>
          <w:szCs w:val="26"/>
        </w:rPr>
        <w:t>s Order 889 Standards of Conduct, which require that transmission customers must be given transparent information about capacity and services that may be available, and which limit transmission providers</w:t>
      </w:r>
      <w:r w:rsidRPr="00D80201">
        <w:rPr>
          <w:color w:val="000000"/>
          <w:szCs w:val="26"/>
        </w:rPr>
        <w:sym w:font="WP TypographicSymbols" w:char="003D"/>
      </w:r>
      <w:r w:rsidRPr="00D80201">
        <w:rPr>
          <w:color w:val="000000"/>
          <w:szCs w:val="26"/>
        </w:rPr>
        <w:t xml:space="preserve"> discretion accordingly.  18 C.F.R. § 37.4 (2003).  SWP advocates consistently applied standards that are subject to meaningful review.  </w:t>
      </w:r>
    </w:p>
    <w:p w14:paraId="59C69DA4" w14:textId="77777777" w:rsidR="00824130" w:rsidRPr="00D80201" w:rsidRDefault="00824130">
      <w:pPr>
        <w:ind w:firstLine="720"/>
        <w:rPr>
          <w:color w:val="000000"/>
          <w:szCs w:val="26"/>
        </w:rPr>
      </w:pPr>
    </w:p>
    <w:p w14:paraId="339A7153" w14:textId="77777777" w:rsidR="00824130" w:rsidRPr="00D80201" w:rsidRDefault="00824130">
      <w:pPr>
        <w:rPr>
          <w:color w:val="000000"/>
          <w:szCs w:val="26"/>
        </w:rPr>
      </w:pPr>
      <w:r>
        <w:rPr>
          <w:color w:val="000000"/>
          <w:szCs w:val="26"/>
        </w:rPr>
        <w:t>231.</w:t>
      </w:r>
      <w:r>
        <w:rPr>
          <w:color w:val="000000"/>
          <w:szCs w:val="26"/>
        </w:rPr>
        <w:tab/>
      </w:r>
      <w:r w:rsidRPr="00D80201">
        <w:rPr>
          <w:color w:val="000000"/>
          <w:szCs w:val="26"/>
        </w:rPr>
        <w:t xml:space="preserve">TANC, similar to PG&amp;E, SWP, and Staff, asserts that Amendment No. 27 is unjust, unreasonable and unduly discriminatory because it does not specify the methodology for the allocation of FTRs pursuant to Section 9.4.3 of the ISO Tariff.  </w:t>
      </w:r>
    </w:p>
    <w:p w14:paraId="46FA4156" w14:textId="77777777" w:rsidR="00824130" w:rsidRPr="00D80201" w:rsidRDefault="00824130">
      <w:pPr>
        <w:rPr>
          <w:b/>
          <w:color w:val="000000"/>
          <w:szCs w:val="26"/>
        </w:rPr>
      </w:pPr>
    </w:p>
    <w:p w14:paraId="09A96553" w14:textId="77777777" w:rsidR="00824130" w:rsidRPr="00D80201" w:rsidRDefault="00824130">
      <w:pPr>
        <w:rPr>
          <w:color w:val="000000"/>
          <w:szCs w:val="26"/>
        </w:rPr>
      </w:pPr>
      <w:r>
        <w:rPr>
          <w:color w:val="000000"/>
          <w:szCs w:val="26"/>
        </w:rPr>
        <w:t>232.</w:t>
      </w:r>
      <w:r>
        <w:rPr>
          <w:color w:val="000000"/>
          <w:szCs w:val="26"/>
        </w:rPr>
        <w:tab/>
      </w:r>
      <w:r w:rsidRPr="00D80201">
        <w:rPr>
          <w:color w:val="000000"/>
          <w:szCs w:val="26"/>
        </w:rPr>
        <w:t>Staff argues that the ISO’s standards allow the ISO too much discretion.  Staff‘s position is based on a consensus among PG&amp;E, SWP, and TANC, in the Joint Statement of Issues, and testimony by ISO witness Le Vine describing the criteria that the ISO uses in evaluating the FTRs that a new PT</w:t>
      </w:r>
      <w:r>
        <w:rPr>
          <w:color w:val="000000"/>
          <w:szCs w:val="26"/>
        </w:rPr>
        <w:t>O would receive.  Tr. 692:20 – 693:5, 697:17 – 2</w:t>
      </w:r>
      <w:r w:rsidRPr="00D80201">
        <w:rPr>
          <w:color w:val="000000"/>
          <w:szCs w:val="26"/>
        </w:rPr>
        <w:t>1.  Countering the ISO’s argument that variations in existing contracts require the amount of the discretion that the ISO has, Staff advocates objective, quantifiable standards to remove possible subjectivity from the evaluation process.  Accordingly, Staff witness Patterson recommends that the ISO develop standards for determining the amount of FTRs to be allocated to a new PTO for each existing right that the new PTO converts to converted rights, and that these standards should be included in the ISO Tariff.  Ex. S-5 at 48:17-20.</w:t>
      </w:r>
    </w:p>
    <w:p w14:paraId="42A0D5E7" w14:textId="77777777" w:rsidR="00824130" w:rsidRPr="00D80201" w:rsidRDefault="00824130">
      <w:pPr>
        <w:rPr>
          <w:b/>
          <w:color w:val="000000"/>
          <w:szCs w:val="26"/>
        </w:rPr>
      </w:pPr>
    </w:p>
    <w:p w14:paraId="2F3AD3F7" w14:textId="77777777" w:rsidR="00824130" w:rsidRPr="00D80201" w:rsidRDefault="00824130">
      <w:pPr>
        <w:rPr>
          <w:color w:val="000000"/>
          <w:szCs w:val="26"/>
        </w:rPr>
      </w:pPr>
      <w:r>
        <w:rPr>
          <w:color w:val="000000"/>
          <w:szCs w:val="26"/>
        </w:rPr>
        <w:t>233.</w:t>
      </w:r>
      <w:r>
        <w:rPr>
          <w:color w:val="000000"/>
          <w:szCs w:val="26"/>
        </w:rPr>
        <w:tab/>
      </w:r>
      <w:r w:rsidRPr="00D80201">
        <w:rPr>
          <w:color w:val="000000"/>
          <w:szCs w:val="26"/>
        </w:rPr>
        <w:t xml:space="preserve">The ISO addresses arguments by SWP, PG&amp;E, and Staff that the ISO should propose a specific and transparent methodology to allocate FTRs to new PTOs by contending that the varying nature of existing rights under existing contracts precludes a fixed formula for the allocation of Section 9.4.3 FTRs.  Further, the ISO argues that whether a particular allocation is just, reasonable and unduly discriminatory can be adjudged at the time that the allocation is filed with the Commission.  </w:t>
      </w:r>
    </w:p>
    <w:p w14:paraId="7EE2646C" w14:textId="77777777" w:rsidR="00824130" w:rsidRPr="00D80201" w:rsidRDefault="00824130">
      <w:pPr>
        <w:rPr>
          <w:color w:val="000000"/>
          <w:szCs w:val="26"/>
        </w:rPr>
      </w:pPr>
      <w:r>
        <w:rPr>
          <w:color w:val="000000"/>
          <w:szCs w:val="26"/>
        </w:rPr>
        <w:t>234.</w:t>
      </w:r>
      <w:r>
        <w:rPr>
          <w:color w:val="000000"/>
          <w:szCs w:val="26"/>
        </w:rPr>
        <w:tab/>
      </w:r>
      <w:r w:rsidRPr="00D80201">
        <w:rPr>
          <w:color w:val="000000"/>
          <w:szCs w:val="26"/>
        </w:rPr>
        <w:t xml:space="preserve">The EOB believes Section 4.5 provides parties with sufficient guidance.  The EOB agrees in principle with the concerns raised by some interveners that a more formal and precise methodology would produce some benefits. However, the EOB is also sympathetic to the desire of the ISO to have flexibility in determining an FTR allocation, given the potential variety of rights under existing contracts.  </w:t>
      </w:r>
    </w:p>
    <w:p w14:paraId="4E337E31" w14:textId="77777777" w:rsidR="00824130" w:rsidRPr="00D80201" w:rsidRDefault="00824130">
      <w:pPr>
        <w:rPr>
          <w:color w:val="000000"/>
          <w:szCs w:val="26"/>
        </w:rPr>
      </w:pPr>
    </w:p>
    <w:p w14:paraId="287CFA7D" w14:textId="77777777" w:rsidR="00824130" w:rsidRPr="00D80201" w:rsidRDefault="00824130">
      <w:pPr>
        <w:rPr>
          <w:b/>
          <w:color w:val="000000"/>
          <w:szCs w:val="26"/>
        </w:rPr>
      </w:pPr>
      <w:r w:rsidRPr="00D80201">
        <w:rPr>
          <w:color w:val="000000"/>
          <w:szCs w:val="26"/>
        </w:rPr>
        <w:tab/>
      </w:r>
      <w:r w:rsidRPr="00D80201">
        <w:rPr>
          <w:b/>
          <w:color w:val="000000"/>
          <w:szCs w:val="26"/>
        </w:rPr>
        <w:t>Discussion and Findings</w:t>
      </w:r>
    </w:p>
    <w:p w14:paraId="5DA25B56" w14:textId="77777777" w:rsidR="00824130" w:rsidRPr="00D80201" w:rsidRDefault="00824130">
      <w:pPr>
        <w:rPr>
          <w:color w:val="000000"/>
          <w:szCs w:val="26"/>
        </w:rPr>
      </w:pPr>
    </w:p>
    <w:p w14:paraId="3896C87C" w14:textId="77777777" w:rsidR="00824130" w:rsidRPr="00D80201" w:rsidRDefault="00824130">
      <w:pPr>
        <w:pStyle w:val="Text-FERCPleading"/>
        <w:spacing w:line="240" w:lineRule="auto"/>
        <w:ind w:firstLine="0"/>
        <w:rPr>
          <w:rFonts w:ascii="Times New Roman" w:hAnsi="Times New Roman"/>
        </w:rPr>
      </w:pPr>
      <w:r>
        <w:rPr>
          <w:rFonts w:ascii="Times New Roman" w:hAnsi="Times New Roman"/>
        </w:rPr>
        <w:t>235.</w:t>
      </w:r>
      <w:r>
        <w:rPr>
          <w:rFonts w:ascii="Times New Roman" w:hAnsi="Times New Roman"/>
        </w:rPr>
        <w:tab/>
      </w:r>
      <w:r w:rsidRPr="00D80201">
        <w:rPr>
          <w:rFonts w:ascii="Times New Roman" w:hAnsi="Times New Roman"/>
        </w:rPr>
        <w:t>As previously explained, Section 9.4.3 FTRs are designed to provide new PTOs a financial hedge against usage charges that they would not have paid under their Existing Contracts</w:t>
      </w:r>
      <w:r w:rsidRPr="00D80201">
        <w:rPr>
          <w:rStyle w:val="FootnoteReference"/>
        </w:rPr>
        <w:footnoteReference w:id="69"/>
      </w:r>
      <w:r w:rsidRPr="00D80201">
        <w:rPr>
          <w:rFonts w:ascii="Times New Roman" w:hAnsi="Times New Roman"/>
        </w:rPr>
        <w:t xml:space="preserve"> (as well as a limited scheduling priority), and were never intended to confer a benefit beyond this particular and limited purpose.</w:t>
      </w:r>
      <w:r w:rsidRPr="00D80201">
        <w:rPr>
          <w:rStyle w:val="FootnoteReference"/>
        </w:rPr>
        <w:footnoteReference w:id="70"/>
      </w:r>
      <w:r w:rsidRPr="00D80201">
        <w:rPr>
          <w:rFonts w:ascii="Times New Roman" w:hAnsi="Times New Roman"/>
        </w:rPr>
        <w:t xml:space="preserve">  Section 9.4.3 serves to emulate the status quo during the transition period.  FTRs are not intended to confer a benefit beyond this particular and limited purpose.  Ex. SCE-13 at 27.  The ISO has not proposed to award FTRs to new PTOs in connection with new high voltage facilities and has no objection to clarifying Section 9.4.3 to make this clear. The ISO is hereby directed to do so.  The Commission’s Order only approved an award to FTRs at the time of the execution of the TCA, and nothing presented in this record supports a different result.  The award of Section 9.4.3 FTRs to new PTOs who construct new high voltage facilities  would be inconsistent with the limited purpose of Section 9.4.3 FTRs—to confer an initial inducement to ISO participation—and may unduly discriminate against the OPTOs.</w:t>
      </w:r>
    </w:p>
    <w:p w14:paraId="0B961983" w14:textId="77777777" w:rsidR="00824130" w:rsidRPr="00D80201" w:rsidRDefault="00824130">
      <w:pPr>
        <w:rPr>
          <w:color w:val="000000"/>
          <w:szCs w:val="26"/>
        </w:rPr>
      </w:pPr>
    </w:p>
    <w:p w14:paraId="185D6F9D" w14:textId="77777777" w:rsidR="00824130" w:rsidRPr="00D80201" w:rsidRDefault="00824130">
      <w:pPr>
        <w:numPr>
          <w:ilvl w:val="0"/>
          <w:numId w:val="22"/>
        </w:numPr>
        <w:rPr>
          <w:b/>
          <w:color w:val="000000"/>
          <w:szCs w:val="26"/>
        </w:rPr>
      </w:pPr>
      <w:r w:rsidRPr="00D80201">
        <w:rPr>
          <w:b/>
          <w:color w:val="000000"/>
          <w:szCs w:val="26"/>
        </w:rPr>
        <w:t>Whether FTRs should be allocated pursuant to Section 9.4.3 of the ISO Tariff for transmission built by a New Participating TO after it becomes a Participating TO.</w:t>
      </w:r>
    </w:p>
    <w:p w14:paraId="538F9647" w14:textId="77777777" w:rsidR="00824130" w:rsidRPr="00D80201" w:rsidRDefault="00824130">
      <w:pPr>
        <w:rPr>
          <w:b/>
          <w:color w:val="000000"/>
          <w:szCs w:val="26"/>
        </w:rPr>
      </w:pPr>
    </w:p>
    <w:p w14:paraId="4684FD21" w14:textId="77777777" w:rsidR="00824130" w:rsidRPr="00D80201" w:rsidRDefault="00824130">
      <w:pPr>
        <w:ind w:firstLine="720"/>
        <w:rPr>
          <w:b/>
          <w:color w:val="000000"/>
          <w:szCs w:val="26"/>
        </w:rPr>
      </w:pPr>
      <w:r w:rsidRPr="00D80201">
        <w:rPr>
          <w:b/>
          <w:color w:val="000000"/>
          <w:szCs w:val="26"/>
        </w:rPr>
        <w:t>Position of the Parties</w:t>
      </w:r>
    </w:p>
    <w:p w14:paraId="76EFC4EF" w14:textId="77777777" w:rsidR="00824130" w:rsidRPr="00D80201" w:rsidRDefault="00824130">
      <w:pPr>
        <w:rPr>
          <w:b/>
          <w:color w:val="000000"/>
          <w:szCs w:val="26"/>
        </w:rPr>
      </w:pPr>
    </w:p>
    <w:p w14:paraId="6762FEE1" w14:textId="77777777" w:rsidR="00824130" w:rsidRDefault="00824130">
      <w:pPr>
        <w:rPr>
          <w:color w:val="000000"/>
          <w:szCs w:val="26"/>
        </w:rPr>
      </w:pPr>
      <w:r>
        <w:rPr>
          <w:color w:val="000000"/>
          <w:szCs w:val="26"/>
        </w:rPr>
        <w:t>236.</w:t>
      </w:r>
      <w:r>
        <w:rPr>
          <w:color w:val="000000"/>
          <w:szCs w:val="26"/>
        </w:rPr>
        <w:tab/>
      </w:r>
      <w:r w:rsidRPr="00D80201">
        <w:rPr>
          <w:color w:val="000000"/>
          <w:szCs w:val="26"/>
        </w:rPr>
        <w:t xml:space="preserve">The ISO asserts that the award of Section 9.4.3 FTRs to new PTOs who construct new high voltage transmission facilities would be inconsistent with the limited purpose of Section 9.4.3 FTRs – to confer an initial inducement to ISO participation – and may unduly discriminate against the OPTOs.  Responding to SCE’s witness’ contention that Section 9.4.3 is not clear whether FTRs could be awarded to new PTOs beyond the initial inducement, the ISO states that it is not opposed to clarifying the Section and requests the undersigned to direct it to do so.  </w:t>
      </w:r>
    </w:p>
    <w:p w14:paraId="5BD8F9E5" w14:textId="77777777" w:rsidR="00824130" w:rsidRPr="00D80201" w:rsidRDefault="00824130">
      <w:pPr>
        <w:rPr>
          <w:color w:val="000000"/>
          <w:szCs w:val="26"/>
        </w:rPr>
      </w:pPr>
    </w:p>
    <w:p w14:paraId="2DF79F35" w14:textId="77777777" w:rsidR="00824130" w:rsidRPr="00D80201" w:rsidRDefault="00824130">
      <w:pPr>
        <w:rPr>
          <w:color w:val="000000"/>
          <w:szCs w:val="26"/>
        </w:rPr>
      </w:pPr>
      <w:r>
        <w:rPr>
          <w:color w:val="000000"/>
          <w:szCs w:val="26"/>
        </w:rPr>
        <w:t>237.</w:t>
      </w:r>
      <w:r>
        <w:rPr>
          <w:color w:val="000000"/>
          <w:szCs w:val="26"/>
        </w:rPr>
        <w:tab/>
      </w:r>
      <w:r w:rsidRPr="00D80201">
        <w:rPr>
          <w:color w:val="000000"/>
          <w:szCs w:val="26"/>
        </w:rPr>
        <w:t>The EOB believes that in isolation, extending this type of treatment to new facilities may be unjust, unreasonable, and unduly discriminatory, but supports it as part of an overall balance in the TAC package.</w:t>
      </w:r>
    </w:p>
    <w:p w14:paraId="0FA38601" w14:textId="77777777" w:rsidR="00824130" w:rsidRPr="00D80201" w:rsidRDefault="00824130">
      <w:pPr>
        <w:rPr>
          <w:color w:val="000000"/>
          <w:szCs w:val="26"/>
        </w:rPr>
      </w:pPr>
    </w:p>
    <w:p w14:paraId="0F588E5C" w14:textId="77777777" w:rsidR="00824130" w:rsidRPr="00D80201" w:rsidRDefault="00824130">
      <w:pPr>
        <w:rPr>
          <w:color w:val="000000"/>
          <w:szCs w:val="26"/>
        </w:rPr>
      </w:pPr>
      <w:r>
        <w:rPr>
          <w:color w:val="000000"/>
          <w:szCs w:val="26"/>
        </w:rPr>
        <w:t>238.</w:t>
      </w:r>
      <w:r>
        <w:rPr>
          <w:color w:val="000000"/>
          <w:szCs w:val="26"/>
        </w:rPr>
        <w:tab/>
      </w:r>
      <w:r w:rsidRPr="00D80201">
        <w:rPr>
          <w:color w:val="000000"/>
          <w:szCs w:val="26"/>
        </w:rPr>
        <w:t>Due to the immediate rolling in of the cost of new HV facilities under Amendment 49,</w:t>
      </w:r>
      <w:r w:rsidRPr="00D80201">
        <w:rPr>
          <w:rStyle w:val="FootnoteReference"/>
          <w:color w:val="000000"/>
        </w:rPr>
        <w:footnoteReference w:id="71"/>
      </w:r>
      <w:r w:rsidRPr="00D80201">
        <w:rPr>
          <w:color w:val="000000"/>
          <w:szCs w:val="26"/>
        </w:rPr>
        <w:t xml:space="preserve"> SCE contends that any additional compensation to the new PTOs via free FTRs for newly-constructed high voltage facilities is unwarranted.  SCE claims that the cost-shift caps do not limit in any way the recovery in the TAC of the cost of such investments by the new PTOs.  </w:t>
      </w:r>
    </w:p>
    <w:p w14:paraId="535A2986" w14:textId="77777777" w:rsidR="00824130" w:rsidRPr="00D80201" w:rsidRDefault="00824130">
      <w:pPr>
        <w:ind w:firstLine="720"/>
        <w:rPr>
          <w:color w:val="000000"/>
          <w:szCs w:val="26"/>
        </w:rPr>
      </w:pPr>
    </w:p>
    <w:p w14:paraId="44F7EC2C" w14:textId="77777777" w:rsidR="00824130" w:rsidRPr="00D80201" w:rsidRDefault="00824130">
      <w:pPr>
        <w:pStyle w:val="BodyText"/>
        <w:rPr>
          <w:color w:val="000000"/>
          <w:sz w:val="26"/>
          <w:szCs w:val="26"/>
        </w:rPr>
      </w:pPr>
      <w:r>
        <w:rPr>
          <w:color w:val="000000"/>
          <w:sz w:val="26"/>
          <w:szCs w:val="26"/>
        </w:rPr>
        <w:t>239.</w:t>
      </w:r>
      <w:r>
        <w:rPr>
          <w:color w:val="000000"/>
          <w:sz w:val="26"/>
          <w:szCs w:val="26"/>
        </w:rPr>
        <w:tab/>
      </w:r>
      <w:r w:rsidRPr="00D80201">
        <w:rPr>
          <w:color w:val="000000"/>
          <w:sz w:val="26"/>
          <w:szCs w:val="26"/>
        </w:rPr>
        <w:t>PG&amp;E believes “unauctioned” FTRs (</w:t>
      </w:r>
      <w:r w:rsidRPr="00D80201">
        <w:rPr>
          <w:i/>
          <w:iCs/>
          <w:color w:val="000000"/>
          <w:sz w:val="26"/>
          <w:szCs w:val="26"/>
        </w:rPr>
        <w:t>i.e.</w:t>
      </w:r>
      <w:r w:rsidRPr="00D80201">
        <w:rPr>
          <w:color w:val="000000"/>
          <w:sz w:val="26"/>
          <w:szCs w:val="26"/>
        </w:rPr>
        <w:t xml:space="preserve">, pursuant to Section 9.4.3) should be awarded to all PTOs, not just new PTOs. If FTRs are awarded to all PTOs or load serving entities, PG&amp;E does not oppose awarding FTRs to all PTOs for facilities constructed after the PTO joined the ISO.  However, PG&amp;E contends that if new PTOs continue to receive “unauctioned” FTRs, but OPTOs do not, awarding FTRs for facilities built by a new PTO after joining the ISO will only exacerbate what PG&amp;E views as the already discriminatory treatment under TAC.  </w:t>
      </w:r>
    </w:p>
    <w:p w14:paraId="762C1C70" w14:textId="77777777" w:rsidR="00824130" w:rsidRPr="00D80201" w:rsidRDefault="00824130">
      <w:pPr>
        <w:ind w:firstLine="720"/>
        <w:rPr>
          <w:color w:val="000000"/>
          <w:szCs w:val="26"/>
        </w:rPr>
      </w:pPr>
    </w:p>
    <w:p w14:paraId="154BE755" w14:textId="77777777" w:rsidR="00824130" w:rsidRPr="00D80201" w:rsidRDefault="00824130">
      <w:pPr>
        <w:rPr>
          <w:color w:val="000000"/>
          <w:szCs w:val="26"/>
        </w:rPr>
      </w:pPr>
      <w:r>
        <w:rPr>
          <w:color w:val="000000"/>
          <w:szCs w:val="26"/>
        </w:rPr>
        <w:t>240.</w:t>
      </w:r>
      <w:r>
        <w:rPr>
          <w:color w:val="000000"/>
          <w:szCs w:val="26"/>
        </w:rPr>
        <w:tab/>
      </w:r>
      <w:r w:rsidRPr="00D80201">
        <w:rPr>
          <w:color w:val="000000"/>
          <w:szCs w:val="26"/>
        </w:rPr>
        <w:t xml:space="preserve">TANC advocates allocating FTRs to all LSEs for all transmission entitlements.  In the alternative, if the undersigned finds that the new PTOs should be treated differently, TANC contends that the new PTOs should not be limited in the allocation of FTRs by having certain facilities excluded.  </w:t>
      </w:r>
    </w:p>
    <w:p w14:paraId="1BF6580F" w14:textId="77777777" w:rsidR="00824130" w:rsidRPr="00D80201" w:rsidRDefault="00824130">
      <w:pPr>
        <w:rPr>
          <w:b/>
          <w:color w:val="000000"/>
          <w:szCs w:val="26"/>
        </w:rPr>
      </w:pPr>
    </w:p>
    <w:p w14:paraId="549D096B" w14:textId="77777777" w:rsidR="00824130" w:rsidRPr="00D80201" w:rsidRDefault="00824130">
      <w:pPr>
        <w:rPr>
          <w:color w:val="000000"/>
          <w:szCs w:val="26"/>
        </w:rPr>
      </w:pPr>
      <w:r>
        <w:rPr>
          <w:color w:val="000000"/>
          <w:szCs w:val="26"/>
        </w:rPr>
        <w:t>241.</w:t>
      </w:r>
      <w:r>
        <w:rPr>
          <w:color w:val="000000"/>
          <w:szCs w:val="26"/>
        </w:rPr>
        <w:tab/>
      </w:r>
      <w:r w:rsidRPr="00D80201">
        <w:rPr>
          <w:color w:val="000000"/>
          <w:szCs w:val="26"/>
        </w:rPr>
        <w:t>Staff posits that this subissue may be moot.  Considering the lead time necessary for constructing a major transmission project, that there is no evidence that new load-serving PTOs have major projects even in the planning stage, and that there are little more than six years left in the transition period, Staff ventures that the question may never come up.  Staff also contends that the ISO can’t determine how to allocate FTRs for existing projects, and thus it is moot to argue about how it would allocate them for potential projects.  Staff suggests that if the ISO were to formulate objective standards regarding FTR allocation based on the criteria discussed by ISO witness Le Vine in her testimony,</w:t>
      </w:r>
      <w:r w:rsidRPr="00D80201">
        <w:rPr>
          <w:rStyle w:val="FootnoteReference"/>
          <w:color w:val="000000"/>
        </w:rPr>
        <w:footnoteReference w:id="72"/>
      </w:r>
      <w:r w:rsidRPr="00D80201">
        <w:rPr>
          <w:color w:val="000000"/>
          <w:szCs w:val="26"/>
        </w:rPr>
        <w:t xml:space="preserve"> then it would be easier to determine allocation of FTRs for potential projects.  </w:t>
      </w:r>
    </w:p>
    <w:p w14:paraId="277F4323" w14:textId="77777777" w:rsidR="00824130" w:rsidRDefault="00824130">
      <w:pPr>
        <w:rPr>
          <w:color w:val="000000"/>
          <w:szCs w:val="26"/>
        </w:rPr>
      </w:pPr>
    </w:p>
    <w:p w14:paraId="583F5374" w14:textId="77777777" w:rsidR="00824130" w:rsidRDefault="00824130">
      <w:pPr>
        <w:rPr>
          <w:color w:val="000000"/>
          <w:szCs w:val="26"/>
        </w:rPr>
      </w:pPr>
    </w:p>
    <w:p w14:paraId="10717CC2" w14:textId="77777777" w:rsidR="00824130" w:rsidRDefault="00824130">
      <w:pPr>
        <w:rPr>
          <w:color w:val="000000"/>
          <w:szCs w:val="26"/>
        </w:rPr>
      </w:pPr>
    </w:p>
    <w:p w14:paraId="6CCBDC5D" w14:textId="77777777" w:rsidR="00824130" w:rsidRPr="00D80201" w:rsidRDefault="00824130">
      <w:pPr>
        <w:rPr>
          <w:color w:val="000000"/>
          <w:szCs w:val="26"/>
        </w:rPr>
      </w:pPr>
    </w:p>
    <w:p w14:paraId="63D1DD56" w14:textId="77777777" w:rsidR="00824130" w:rsidRPr="00D80201" w:rsidRDefault="00824130">
      <w:pPr>
        <w:rPr>
          <w:b/>
          <w:color w:val="000000"/>
          <w:szCs w:val="26"/>
        </w:rPr>
      </w:pPr>
      <w:r w:rsidRPr="00D80201">
        <w:rPr>
          <w:color w:val="000000"/>
          <w:szCs w:val="26"/>
        </w:rPr>
        <w:tab/>
      </w:r>
      <w:r w:rsidRPr="00D80201">
        <w:rPr>
          <w:b/>
          <w:color w:val="000000"/>
          <w:szCs w:val="26"/>
        </w:rPr>
        <w:t>Discussion and Findings</w:t>
      </w:r>
    </w:p>
    <w:p w14:paraId="05250855" w14:textId="77777777" w:rsidR="00824130" w:rsidRPr="00D80201" w:rsidRDefault="00824130">
      <w:pPr>
        <w:rPr>
          <w:color w:val="000000"/>
          <w:szCs w:val="26"/>
        </w:rPr>
      </w:pPr>
    </w:p>
    <w:p w14:paraId="78BD616B" w14:textId="77777777" w:rsidR="00824130" w:rsidRPr="00D80201" w:rsidRDefault="00824130">
      <w:pPr>
        <w:pStyle w:val="BodyTextFirstIndentD"/>
        <w:spacing w:line="240" w:lineRule="auto"/>
        <w:ind w:firstLine="0"/>
      </w:pPr>
      <w:r>
        <w:t>242.</w:t>
      </w:r>
      <w:r>
        <w:tab/>
      </w:r>
      <w:r w:rsidRPr="00D80201">
        <w:t>SCE witness Cuillier has pointed out that the formula for disbursement of usage charge revenues to FTR holders and PTOs included in ISO Tariff Section 7.3.1.6 fails to account for a situation where a new PTO has been provided Section 9.4.3 FTRs over an interface owned jointly with another PTO not entitled to Section 9.4.3 FTRs (i.e. an OPTO).</w:t>
      </w:r>
      <w:r w:rsidRPr="00D80201">
        <w:rPr>
          <w:rStyle w:val="FootnoteReference"/>
        </w:rPr>
        <w:footnoteReference w:id="73"/>
      </w:r>
      <w:r w:rsidRPr="00D80201">
        <w:t xml:space="preserve">  Because the new PTO holds Section 9.4.3 FTRs for all of its capacity at the interface, it will be fully compensated in the initial disbursement of usage charges to FTR holders (or by sales revenue if it sells the FTRs).  Consequently, in this circumstance, the new PTO should not participate in the disbursement of usage charges based on capacity for which the ISO has not issued FTRs.</w:t>
      </w:r>
      <w:r w:rsidRPr="00D80201">
        <w:rPr>
          <w:rStyle w:val="FootnoteReference"/>
        </w:rPr>
        <w:footnoteReference w:id="74"/>
      </w:r>
      <w:r w:rsidRPr="00D80201">
        <w:t xml:space="preserve">  The ISO supports the revisions to ISO Tariff Section 7.3.1.6 proposed by SCE witness Cuillier that appropriately clarify this point</w:t>
      </w:r>
      <w:r w:rsidRPr="00D80201">
        <w:rPr>
          <w:rStyle w:val="FootnoteReference"/>
        </w:rPr>
        <w:footnoteReference w:id="75"/>
      </w:r>
      <w:r w:rsidRPr="00D80201">
        <w:t>; accordingly, the undersigned Presiding Judge hereby directs the ISO to amend Section 7.3.1.6 consistent with the amendment proposed by SCE witness Cuillier.</w:t>
      </w:r>
    </w:p>
    <w:p w14:paraId="144F3D16" w14:textId="77777777" w:rsidR="00824130" w:rsidRPr="00D80201" w:rsidRDefault="00824130">
      <w:pPr>
        <w:rPr>
          <w:color w:val="000000"/>
          <w:szCs w:val="26"/>
        </w:rPr>
      </w:pPr>
    </w:p>
    <w:p w14:paraId="3EE7282B" w14:textId="77777777" w:rsidR="00824130" w:rsidRPr="00D80201" w:rsidRDefault="00824130">
      <w:pPr>
        <w:numPr>
          <w:ilvl w:val="0"/>
          <w:numId w:val="22"/>
        </w:numPr>
        <w:rPr>
          <w:b/>
          <w:color w:val="000000"/>
          <w:szCs w:val="26"/>
        </w:rPr>
      </w:pPr>
      <w:r w:rsidRPr="00D80201">
        <w:rPr>
          <w:b/>
          <w:color w:val="000000"/>
          <w:szCs w:val="26"/>
        </w:rPr>
        <w:t>Whether Section 7.3.1.6 of the ISO Tariff should be modified to address the situation in which a New Participating TO has been allocated FTRs pursuant to Section 9.4.3 of the ISO Tariff over a jointly-owned interface with an Original Participating TO.</w:t>
      </w:r>
    </w:p>
    <w:p w14:paraId="44FCD5C8" w14:textId="77777777" w:rsidR="00824130" w:rsidRPr="00D80201" w:rsidRDefault="00824130">
      <w:pPr>
        <w:rPr>
          <w:b/>
          <w:color w:val="000000"/>
          <w:szCs w:val="26"/>
        </w:rPr>
      </w:pPr>
    </w:p>
    <w:p w14:paraId="32A24388" w14:textId="77777777" w:rsidR="00824130" w:rsidRPr="00D80201" w:rsidRDefault="00824130">
      <w:pPr>
        <w:ind w:firstLine="720"/>
        <w:rPr>
          <w:b/>
          <w:color w:val="000000"/>
          <w:szCs w:val="26"/>
        </w:rPr>
      </w:pPr>
      <w:r w:rsidRPr="00D80201">
        <w:rPr>
          <w:b/>
          <w:color w:val="000000"/>
          <w:szCs w:val="26"/>
        </w:rPr>
        <w:t>Position of the Parties</w:t>
      </w:r>
    </w:p>
    <w:p w14:paraId="16058523" w14:textId="77777777" w:rsidR="00824130" w:rsidRPr="00D80201" w:rsidRDefault="00824130">
      <w:pPr>
        <w:rPr>
          <w:b/>
          <w:color w:val="000000"/>
          <w:szCs w:val="26"/>
        </w:rPr>
      </w:pPr>
    </w:p>
    <w:p w14:paraId="6CD14330" w14:textId="77777777" w:rsidR="00824130" w:rsidRPr="00D80201" w:rsidRDefault="00824130">
      <w:pPr>
        <w:rPr>
          <w:color w:val="000000"/>
          <w:szCs w:val="26"/>
        </w:rPr>
      </w:pPr>
      <w:r>
        <w:rPr>
          <w:color w:val="000000"/>
          <w:szCs w:val="26"/>
        </w:rPr>
        <w:t>243.</w:t>
      </w:r>
      <w:r>
        <w:rPr>
          <w:color w:val="000000"/>
          <w:szCs w:val="26"/>
        </w:rPr>
        <w:tab/>
      </w:r>
      <w:r w:rsidRPr="00D80201">
        <w:rPr>
          <w:color w:val="000000"/>
          <w:szCs w:val="26"/>
        </w:rPr>
        <w:t xml:space="preserve">The ISO states that it supports revision to the definition of transmission revenue credits in order to appropriately clarify the treatment of Section 9.4.3 FTRs in the ISO Tariff.  </w:t>
      </w:r>
    </w:p>
    <w:p w14:paraId="330B8079" w14:textId="77777777" w:rsidR="00824130" w:rsidRPr="00D80201" w:rsidRDefault="00824130">
      <w:pPr>
        <w:rPr>
          <w:color w:val="000000"/>
          <w:szCs w:val="26"/>
        </w:rPr>
      </w:pPr>
    </w:p>
    <w:p w14:paraId="5B4C7B7F" w14:textId="77777777" w:rsidR="00824130" w:rsidRDefault="00824130">
      <w:pPr>
        <w:pStyle w:val="BodyText"/>
        <w:rPr>
          <w:color w:val="000000"/>
          <w:sz w:val="26"/>
          <w:szCs w:val="26"/>
        </w:rPr>
      </w:pPr>
      <w:r>
        <w:rPr>
          <w:color w:val="000000"/>
          <w:sz w:val="26"/>
          <w:szCs w:val="26"/>
        </w:rPr>
        <w:t>244.</w:t>
      </w:r>
      <w:r>
        <w:rPr>
          <w:color w:val="000000"/>
          <w:sz w:val="26"/>
          <w:szCs w:val="26"/>
        </w:rPr>
        <w:tab/>
      </w:r>
      <w:r w:rsidRPr="00D80201">
        <w:rPr>
          <w:color w:val="000000"/>
          <w:sz w:val="26"/>
          <w:szCs w:val="26"/>
        </w:rPr>
        <w:t>SCE proposed to alter Section 7.3.1.6 as follows:</w:t>
      </w:r>
    </w:p>
    <w:p w14:paraId="202A934D" w14:textId="77777777" w:rsidR="00824130" w:rsidRPr="00D80201" w:rsidRDefault="00824130">
      <w:pPr>
        <w:pStyle w:val="BodyText"/>
        <w:ind w:firstLine="720"/>
        <w:rPr>
          <w:color w:val="000000"/>
          <w:sz w:val="26"/>
          <w:szCs w:val="26"/>
        </w:rPr>
      </w:pPr>
    </w:p>
    <w:p w14:paraId="1C61B47C" w14:textId="77777777" w:rsidR="00824130" w:rsidRPr="00D80201" w:rsidRDefault="00824130">
      <w:pPr>
        <w:pStyle w:val="Quote"/>
        <w:keepNext/>
        <w:rPr>
          <w:b/>
          <w:color w:val="000000"/>
        </w:rPr>
      </w:pPr>
      <w:r w:rsidRPr="00D80201">
        <w:rPr>
          <w:b/>
          <w:color w:val="000000"/>
        </w:rPr>
        <w:t>7.3.1.6.  ISO Disbursement Of Net Usage Charge Revenue</w:t>
      </w:r>
    </w:p>
    <w:p w14:paraId="6B55C5C5" w14:textId="77777777" w:rsidR="00824130" w:rsidRPr="00D80201" w:rsidRDefault="00824130">
      <w:pPr>
        <w:pStyle w:val="Quote"/>
        <w:rPr>
          <w:color w:val="000000"/>
        </w:rPr>
      </w:pPr>
      <w:r w:rsidRPr="00D80201">
        <w:rPr>
          <w:color w:val="000000"/>
        </w:rPr>
        <w:t xml:space="preserve">. . .  </w:t>
      </w:r>
      <w:r w:rsidRPr="00D80201">
        <w:rPr>
          <w:color w:val="000000"/>
          <w:u w:val="single"/>
        </w:rPr>
        <w:t>If a Participating TO has received any FTRs, pursuant to Section 9.4.3, over an Inter-Zonal Interface, these MW of FTRs received shall not be eligible for the disbursement of Usage Charge revenues under part (ii) of this Section</w:t>
      </w:r>
      <w:r w:rsidRPr="00D80201">
        <w:rPr>
          <w:color w:val="000000"/>
        </w:rPr>
        <w:t xml:space="preserve">.  . . . </w:t>
      </w:r>
    </w:p>
    <w:p w14:paraId="549116C5" w14:textId="77777777" w:rsidR="00824130" w:rsidRPr="00D80201" w:rsidRDefault="00824130">
      <w:pPr>
        <w:rPr>
          <w:color w:val="000000"/>
          <w:szCs w:val="26"/>
        </w:rPr>
      </w:pPr>
      <w:r>
        <w:rPr>
          <w:color w:val="000000"/>
          <w:szCs w:val="26"/>
        </w:rPr>
        <w:t>245.</w:t>
      </w:r>
      <w:r>
        <w:rPr>
          <w:color w:val="000000"/>
          <w:szCs w:val="26"/>
        </w:rPr>
        <w:tab/>
      </w:r>
      <w:r w:rsidRPr="00D80201">
        <w:rPr>
          <w:color w:val="000000"/>
          <w:szCs w:val="26"/>
        </w:rPr>
        <w:t xml:space="preserve">SCE discusses TANC’s criticism of the proposal, which pointed out that a new PTO may not actually receive FTRs for all its rights on a particular </w:t>
      </w:r>
      <w:r>
        <w:rPr>
          <w:color w:val="000000"/>
          <w:szCs w:val="26"/>
        </w:rPr>
        <w:t>interface.  Ex. TNC-21 at 28:7 – 1</w:t>
      </w:r>
      <w:r w:rsidRPr="00D80201">
        <w:rPr>
          <w:color w:val="000000"/>
          <w:szCs w:val="26"/>
        </w:rPr>
        <w:t xml:space="preserve">3.  SCE claims that its proposal already covers this situation; the limitation on receiving residual revenues only comes into play for those MWs of capacity for which free FTRs were allocated.  </w:t>
      </w:r>
    </w:p>
    <w:p w14:paraId="5D235550" w14:textId="77777777" w:rsidR="00824130" w:rsidRPr="00D80201" w:rsidRDefault="00824130">
      <w:pPr>
        <w:ind w:firstLine="720"/>
        <w:rPr>
          <w:color w:val="000000"/>
          <w:szCs w:val="26"/>
        </w:rPr>
      </w:pPr>
    </w:p>
    <w:p w14:paraId="2F8CBE6C" w14:textId="77777777" w:rsidR="00824130" w:rsidRPr="00D80201" w:rsidRDefault="00824130">
      <w:pPr>
        <w:rPr>
          <w:color w:val="000000"/>
          <w:szCs w:val="26"/>
        </w:rPr>
      </w:pPr>
      <w:r>
        <w:rPr>
          <w:color w:val="000000"/>
          <w:szCs w:val="26"/>
        </w:rPr>
        <w:t>246.</w:t>
      </w:r>
      <w:r>
        <w:rPr>
          <w:color w:val="000000"/>
          <w:szCs w:val="26"/>
        </w:rPr>
        <w:tab/>
      </w:r>
      <w:r w:rsidRPr="00D80201">
        <w:rPr>
          <w:color w:val="000000"/>
          <w:szCs w:val="26"/>
        </w:rPr>
        <w:t>Staff describes that SCE witness Cuillier set out the basis for this proposed change, and ISO witness Le Vine supplied a numerical example.  Ex.</w:t>
      </w:r>
      <w:r>
        <w:rPr>
          <w:color w:val="000000"/>
          <w:szCs w:val="26"/>
        </w:rPr>
        <w:t xml:space="preserve"> SCE-1 at 32:29 – 3</w:t>
      </w:r>
      <w:r w:rsidRPr="00D80201">
        <w:rPr>
          <w:color w:val="000000"/>
          <w:szCs w:val="26"/>
        </w:rPr>
        <w:t xml:space="preserve">3:2; Ex. </w:t>
      </w:r>
      <w:r>
        <w:rPr>
          <w:color w:val="000000"/>
          <w:szCs w:val="26"/>
        </w:rPr>
        <w:t xml:space="preserve">ISO-33 at </w:t>
      </w:r>
      <w:smartTag w:uri="urn:schemas-microsoft-com:office:smarttags" w:element="time">
        <w:smartTagPr>
          <w:attr w:name="Hour" w:val="22"/>
          <w:attr w:name="Minute" w:val="15"/>
        </w:smartTagPr>
        <w:r>
          <w:rPr>
            <w:color w:val="000000"/>
            <w:szCs w:val="26"/>
          </w:rPr>
          <w:t>22:15</w:t>
        </w:r>
      </w:smartTag>
      <w:r>
        <w:rPr>
          <w:color w:val="000000"/>
          <w:szCs w:val="26"/>
        </w:rPr>
        <w:t xml:space="preserve"> – 2</w:t>
      </w:r>
      <w:r w:rsidRPr="00D80201">
        <w:rPr>
          <w:color w:val="000000"/>
          <w:szCs w:val="26"/>
        </w:rPr>
        <w:t xml:space="preserve">0.  Based on this example, Staff concludes that the proposed change appears reasonable and does not object to it.  Staff’s Initial Brief at 54.  </w:t>
      </w:r>
    </w:p>
    <w:p w14:paraId="4571FF57" w14:textId="77777777" w:rsidR="00824130" w:rsidRPr="00D80201" w:rsidRDefault="00824130">
      <w:pPr>
        <w:rPr>
          <w:color w:val="000000"/>
          <w:szCs w:val="26"/>
        </w:rPr>
      </w:pPr>
    </w:p>
    <w:p w14:paraId="415D78BC" w14:textId="77777777" w:rsidR="00824130" w:rsidRPr="00D80201" w:rsidRDefault="00824130">
      <w:pPr>
        <w:rPr>
          <w:color w:val="000000"/>
          <w:szCs w:val="26"/>
        </w:rPr>
      </w:pPr>
      <w:r>
        <w:rPr>
          <w:color w:val="000000"/>
          <w:szCs w:val="26"/>
        </w:rPr>
        <w:t>247.</w:t>
      </w:r>
      <w:r>
        <w:rPr>
          <w:color w:val="000000"/>
          <w:szCs w:val="26"/>
        </w:rPr>
        <w:tab/>
      </w:r>
      <w:r w:rsidRPr="00D80201">
        <w:rPr>
          <w:color w:val="000000"/>
          <w:szCs w:val="26"/>
        </w:rPr>
        <w:t xml:space="preserve">PG&amp;E also concurs with the ISO and SCE regarding SCE’s proposed modification.  </w:t>
      </w:r>
    </w:p>
    <w:p w14:paraId="39ED8CC1" w14:textId="77777777" w:rsidR="00824130" w:rsidRPr="00D80201" w:rsidRDefault="00824130">
      <w:pPr>
        <w:ind w:firstLine="720"/>
        <w:rPr>
          <w:color w:val="000000"/>
          <w:szCs w:val="26"/>
        </w:rPr>
      </w:pPr>
    </w:p>
    <w:p w14:paraId="693D9463" w14:textId="77777777" w:rsidR="00824130" w:rsidRPr="00D80201" w:rsidRDefault="00824130">
      <w:pPr>
        <w:rPr>
          <w:color w:val="000000"/>
          <w:szCs w:val="26"/>
        </w:rPr>
      </w:pPr>
      <w:r>
        <w:rPr>
          <w:color w:val="000000"/>
          <w:szCs w:val="26"/>
        </w:rPr>
        <w:t>248.</w:t>
      </w:r>
      <w:r>
        <w:rPr>
          <w:color w:val="000000"/>
          <w:szCs w:val="26"/>
        </w:rPr>
        <w:tab/>
      </w:r>
      <w:r w:rsidRPr="00D80201">
        <w:rPr>
          <w:color w:val="000000"/>
          <w:szCs w:val="26"/>
        </w:rPr>
        <w:t xml:space="preserve">The EOB also supports the SCE revision, to which the ISO has agreed, and criticizes TANC’s position.  </w:t>
      </w:r>
    </w:p>
    <w:p w14:paraId="7A7296B8" w14:textId="77777777" w:rsidR="00824130" w:rsidRPr="00D80201" w:rsidRDefault="00824130">
      <w:pPr>
        <w:rPr>
          <w:color w:val="000000"/>
          <w:szCs w:val="26"/>
        </w:rPr>
      </w:pPr>
    </w:p>
    <w:p w14:paraId="190CFB3F" w14:textId="77777777" w:rsidR="00824130" w:rsidRPr="00D80201" w:rsidRDefault="00824130">
      <w:pPr>
        <w:rPr>
          <w:color w:val="000000"/>
          <w:szCs w:val="26"/>
        </w:rPr>
      </w:pPr>
      <w:r>
        <w:rPr>
          <w:color w:val="000000"/>
          <w:szCs w:val="26"/>
        </w:rPr>
        <w:t>249.</w:t>
      </w:r>
      <w:r>
        <w:rPr>
          <w:color w:val="000000"/>
          <w:szCs w:val="26"/>
        </w:rPr>
        <w:tab/>
      </w:r>
      <w:r w:rsidRPr="00D80201">
        <w:rPr>
          <w:color w:val="000000"/>
          <w:szCs w:val="26"/>
        </w:rPr>
        <w:t>TANC supports revision of the transmission revenue credits but, as briefly discussed above, opposes SCE’s proposal.  TANC expresses concern that there are instances where an entity may not receive a full allocation of FTRs based on its ownership rights or entitlements, and in this instance, it is not clear that they will receive an allocation of surplus revenues.  TANC adds that similarly, it is possible, due to usage of the line above its rated capacity, that surplus revenues will be generated, which should be shared with Section 9.4.3 FTR holders as well as OPTOs.</w:t>
      </w:r>
      <w:r w:rsidRPr="00D80201">
        <w:rPr>
          <w:rStyle w:val="FootnoteReference"/>
          <w:color w:val="000000"/>
        </w:rPr>
        <w:footnoteReference w:id="76"/>
      </w:r>
      <w:r w:rsidRPr="00D80201">
        <w:rPr>
          <w:color w:val="000000"/>
          <w:szCs w:val="26"/>
        </w:rPr>
        <w:t xml:space="preserve">  TANC thus recommends that SCE’s proposal be modified to provide for an allocation of FTR revenues consistent with their ownership or entitlement shares and include consideration of instances other than the allocation of FTRs.</w:t>
      </w:r>
    </w:p>
    <w:p w14:paraId="220F50AB" w14:textId="77777777" w:rsidR="00824130" w:rsidRPr="00D80201" w:rsidRDefault="00824130">
      <w:pPr>
        <w:ind w:firstLine="720"/>
        <w:rPr>
          <w:color w:val="000000"/>
          <w:szCs w:val="26"/>
        </w:rPr>
      </w:pPr>
    </w:p>
    <w:p w14:paraId="40966D1D" w14:textId="77777777" w:rsidR="00824130" w:rsidRPr="00D80201" w:rsidRDefault="00824130">
      <w:pPr>
        <w:rPr>
          <w:color w:val="000000"/>
          <w:szCs w:val="26"/>
        </w:rPr>
      </w:pPr>
      <w:r>
        <w:rPr>
          <w:color w:val="000000"/>
          <w:szCs w:val="26"/>
        </w:rPr>
        <w:t>250.</w:t>
      </w:r>
      <w:r>
        <w:rPr>
          <w:color w:val="000000"/>
          <w:szCs w:val="26"/>
        </w:rPr>
        <w:tab/>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supports the original ISO Amendment No. 27 filing as to Section 7.3.1.6 of the Tariff, and contends that SCE fails to meet its basis for challenging the ISO Tariff.  Responding to SCE witness Cuillier’s contention that new PTOs would be compensated at the expense of OPTOs if the proposal were left as is,</w:t>
      </w:r>
      <w:r w:rsidRPr="00D80201">
        <w:rPr>
          <w:rStyle w:val="FootnoteReference"/>
          <w:color w:val="000000"/>
        </w:rPr>
        <w:footnoteReference w:id="77"/>
      </w:r>
      <w:r w:rsidRPr="00D80201">
        <w:rPr>
          <w:color w:val="000000"/>
          <w:szCs w:val="26"/>
        </w:rPr>
        <w:t xml:space="preserve"> Vernon asserts that all usage charge revenues received by a new PTO as a TO (as opposed to as an FTR holder) are </w:t>
      </w:r>
      <w:r>
        <w:rPr>
          <w:color w:val="000000"/>
          <w:szCs w:val="26"/>
        </w:rPr>
        <w:t>credited 100 percent to the TRB</w:t>
      </w:r>
      <w:r w:rsidRPr="00D80201">
        <w:rPr>
          <w:color w:val="000000"/>
          <w:szCs w:val="26"/>
        </w:rPr>
        <w:t>A, obviating the need for SCE’s proposed change.</w:t>
      </w:r>
      <w:r w:rsidRPr="00D80201">
        <w:rPr>
          <w:rStyle w:val="FootnoteReference"/>
          <w:color w:val="000000"/>
        </w:rPr>
        <w:footnoteReference w:id="78"/>
      </w:r>
      <w:r w:rsidRPr="00D80201">
        <w:rPr>
          <w:color w:val="000000"/>
          <w:szCs w:val="26"/>
        </w:rPr>
        <w:t xml:space="preserve">  Ex. VER-13 at 25.  </w:t>
      </w:r>
      <w:smartTag w:uri="urn:schemas-microsoft-com:office:smarttags" w:element="place">
        <w:smartTag w:uri="urn:schemas-microsoft-com:office:smarttags" w:element="City">
          <w:r w:rsidRPr="00D80201">
            <w:rPr>
              <w:color w:val="000000"/>
              <w:szCs w:val="26"/>
            </w:rPr>
            <w:t>Vernon</w:t>
          </w:r>
        </w:smartTag>
      </w:smartTag>
      <w:r w:rsidRPr="00D80201">
        <w:rPr>
          <w:color w:val="000000"/>
          <w:szCs w:val="26"/>
        </w:rPr>
        <w:t xml:space="preserve"> contends that the same is true for OPTOs.</w:t>
      </w:r>
    </w:p>
    <w:p w14:paraId="65E4C5D4" w14:textId="77777777" w:rsidR="00824130" w:rsidRPr="00D80201" w:rsidRDefault="00824130">
      <w:pPr>
        <w:rPr>
          <w:color w:val="000000"/>
          <w:szCs w:val="26"/>
        </w:rPr>
      </w:pPr>
    </w:p>
    <w:p w14:paraId="14863D1F" w14:textId="77777777" w:rsidR="00824130" w:rsidRPr="00D80201" w:rsidRDefault="00824130">
      <w:pPr>
        <w:ind w:firstLine="720"/>
        <w:rPr>
          <w:b/>
          <w:color w:val="000000"/>
          <w:szCs w:val="26"/>
        </w:rPr>
      </w:pPr>
      <w:r w:rsidRPr="00D80201">
        <w:rPr>
          <w:b/>
          <w:color w:val="000000"/>
          <w:szCs w:val="26"/>
        </w:rPr>
        <w:t>Discussion and Findings</w:t>
      </w:r>
    </w:p>
    <w:p w14:paraId="7CE37F56" w14:textId="77777777" w:rsidR="00824130" w:rsidRPr="00D80201" w:rsidRDefault="00824130">
      <w:pPr>
        <w:rPr>
          <w:color w:val="000000"/>
          <w:szCs w:val="26"/>
        </w:rPr>
      </w:pPr>
    </w:p>
    <w:p w14:paraId="3E990579" w14:textId="77777777" w:rsidR="00824130" w:rsidRDefault="00824130">
      <w:pPr>
        <w:pStyle w:val="BodyTextFirstIndentD"/>
        <w:spacing w:line="240" w:lineRule="auto"/>
        <w:ind w:firstLine="0"/>
        <w:rPr>
          <w:iCs/>
        </w:rPr>
      </w:pPr>
      <w:r>
        <w:t>251.</w:t>
      </w:r>
      <w:r>
        <w:tab/>
      </w:r>
      <w:r w:rsidRPr="00D80201">
        <w:t xml:space="preserve">In addition to the proposed change to the crediting process for Section 9.4.3 FTRs, discussed </w:t>
      </w:r>
      <w:r w:rsidRPr="00D80201">
        <w:rPr>
          <w:u w:val="single"/>
        </w:rPr>
        <w:t>supra.</w:t>
      </w:r>
      <w:r w:rsidRPr="00D80201">
        <w:rPr>
          <w:i/>
        </w:rPr>
        <w:t>,</w:t>
      </w:r>
      <w:r w:rsidRPr="00D80201">
        <w:t xml:space="preserve"> SCE witness Cuillier has proposed to revise the definition</w:t>
      </w:r>
      <w:r>
        <w:t xml:space="preserve"> of Transmission Revenue Credit</w:t>
      </w:r>
      <w:r w:rsidRPr="00D80201">
        <w:t xml:space="preserve"> in two respects that the ISO agrees are necessary.</w:t>
      </w:r>
      <w:r w:rsidRPr="00D80201">
        <w:rPr>
          <w:rStyle w:val="FootnoteReference"/>
        </w:rPr>
        <w:footnoteReference w:id="79"/>
      </w:r>
      <w:r w:rsidRPr="00D80201">
        <w:t xml:space="preserve">  The proposed revisions would, consistent with the treatment adopted for new PTOs,</w:t>
      </w:r>
      <w:r w:rsidRPr="00D80201">
        <w:rPr>
          <w:rStyle w:val="FootnoteReference"/>
        </w:rPr>
        <w:footnoteReference w:id="80"/>
      </w:r>
      <w:r w:rsidRPr="00D80201">
        <w:t xml:space="preserve"> account for the two roles of OPTOs as transmission owners and load serving entities.  In their role as load serving entities, OPTOs may choose to purchase FTRs that earn usage charge revenue that is not appropriately reflected in the Transmission Revenue Credit, as would be the case for usage charge revenues obtained in their role as PTO.</w:t>
      </w:r>
      <w:r w:rsidRPr="00D80201">
        <w:rPr>
          <w:rStyle w:val="FootnoteReference"/>
        </w:rPr>
        <w:footnoteReference w:id="81"/>
      </w:r>
      <w:r w:rsidRPr="00D80201">
        <w:t xml:space="preserve">  These dual roles can also apply to new PTOs.  The proposed revisions would make this explicit, achieve consistency in the text applicable to original and new PTOs, and thereby avoid confusion.  </w:t>
      </w:r>
      <w:r w:rsidRPr="00D80201">
        <w:rPr>
          <w:iCs/>
        </w:rPr>
        <w:t>The ISO supports such a revision to the definition of Transmission Revenue Credits in order to appropriately clarify the treatment of Section 9.4.3 FTRs in the ISO Tariff.  A</w:t>
      </w:r>
      <w:r w:rsidRPr="00D80201">
        <w:t>ccordingly, the undersigned Presiding Judge hereby directs the ISO to amend the definition</w:t>
      </w:r>
      <w:r>
        <w:t xml:space="preserve"> of Transmission Revenue Credit</w:t>
      </w:r>
      <w:r w:rsidRPr="00D80201">
        <w:t xml:space="preserve"> consistent with the recommendation of SCE witness Cuillier set forth </w:t>
      </w:r>
      <w:r w:rsidRPr="00D80201">
        <w:rPr>
          <w:iCs/>
          <w:u w:val="single"/>
        </w:rPr>
        <w:t>supra</w:t>
      </w:r>
      <w:r w:rsidRPr="00D80201">
        <w:rPr>
          <w:i/>
          <w:iCs/>
        </w:rPr>
        <w:t xml:space="preserve">.  </w:t>
      </w:r>
    </w:p>
    <w:p w14:paraId="0F73B6EC" w14:textId="77777777" w:rsidR="00824130" w:rsidRPr="00D80201" w:rsidRDefault="00824130">
      <w:pPr>
        <w:rPr>
          <w:color w:val="000000"/>
          <w:szCs w:val="26"/>
        </w:rPr>
      </w:pPr>
    </w:p>
    <w:p w14:paraId="653D258B" w14:textId="77777777" w:rsidR="00824130" w:rsidRPr="00D80201" w:rsidRDefault="00824130">
      <w:pPr>
        <w:numPr>
          <w:ilvl w:val="0"/>
          <w:numId w:val="22"/>
        </w:numPr>
        <w:rPr>
          <w:b/>
          <w:color w:val="000000"/>
          <w:szCs w:val="26"/>
        </w:rPr>
      </w:pPr>
      <w:r w:rsidRPr="00D80201">
        <w:rPr>
          <w:b/>
          <w:color w:val="000000"/>
          <w:szCs w:val="26"/>
        </w:rPr>
        <w:t>Whether the definition of Transmission Revenue Credits for Original Participating TOs should be revised to 1) reflect the fact that Original Participating TOs often have two roles, Transmission Owner and Energy supplier and 2) address the subtraction of “any charges attributable to the Participating TO (but not those attributable to the FTR Holder) pursuant to Section 7.3.1.7.</w:t>
      </w:r>
      <w:r>
        <w:rPr>
          <w:b/>
          <w:color w:val="000000"/>
          <w:szCs w:val="26"/>
        </w:rPr>
        <w:t>”</w:t>
      </w:r>
    </w:p>
    <w:p w14:paraId="75D62CF8" w14:textId="77777777" w:rsidR="00824130" w:rsidRDefault="00824130">
      <w:pPr>
        <w:rPr>
          <w:b/>
          <w:color w:val="000000"/>
          <w:szCs w:val="26"/>
        </w:rPr>
      </w:pPr>
    </w:p>
    <w:p w14:paraId="34882061" w14:textId="77777777" w:rsidR="00824130" w:rsidRDefault="00824130">
      <w:pPr>
        <w:ind w:firstLine="720"/>
        <w:rPr>
          <w:b/>
          <w:color w:val="000000"/>
          <w:szCs w:val="26"/>
        </w:rPr>
      </w:pPr>
    </w:p>
    <w:p w14:paraId="654EED7F" w14:textId="77777777" w:rsidR="00824130" w:rsidRDefault="00824130">
      <w:pPr>
        <w:ind w:firstLine="720"/>
        <w:rPr>
          <w:b/>
          <w:color w:val="000000"/>
          <w:szCs w:val="26"/>
        </w:rPr>
      </w:pPr>
    </w:p>
    <w:p w14:paraId="1FFA0D30" w14:textId="77777777" w:rsidR="00824130" w:rsidRDefault="00824130">
      <w:pPr>
        <w:ind w:firstLine="720"/>
        <w:rPr>
          <w:b/>
          <w:color w:val="000000"/>
          <w:szCs w:val="26"/>
        </w:rPr>
      </w:pPr>
      <w:r w:rsidRPr="00D80201">
        <w:rPr>
          <w:b/>
          <w:color w:val="000000"/>
          <w:szCs w:val="26"/>
        </w:rPr>
        <w:t>Position of the Parties</w:t>
      </w:r>
    </w:p>
    <w:p w14:paraId="56D89B11" w14:textId="77777777" w:rsidR="00824130" w:rsidRPr="00D80201" w:rsidRDefault="00824130">
      <w:pPr>
        <w:ind w:firstLine="720"/>
        <w:rPr>
          <w:b/>
          <w:color w:val="000000"/>
          <w:szCs w:val="26"/>
        </w:rPr>
      </w:pPr>
    </w:p>
    <w:p w14:paraId="4EC1B098" w14:textId="77777777" w:rsidR="00824130" w:rsidRPr="00D80201" w:rsidRDefault="00824130">
      <w:pPr>
        <w:rPr>
          <w:color w:val="000000"/>
          <w:szCs w:val="26"/>
        </w:rPr>
      </w:pPr>
      <w:r>
        <w:rPr>
          <w:color w:val="000000"/>
          <w:szCs w:val="26"/>
        </w:rPr>
        <w:t>252.</w:t>
      </w:r>
      <w:r>
        <w:rPr>
          <w:color w:val="000000"/>
          <w:szCs w:val="26"/>
        </w:rPr>
        <w:tab/>
      </w:r>
      <w:r w:rsidRPr="00D80201">
        <w:rPr>
          <w:color w:val="000000"/>
          <w:szCs w:val="26"/>
        </w:rPr>
        <w:t xml:space="preserve">The ISO states that it supports revision to the definition of transmission revenue credits in order to appropriately clarify the treatment of Section 9.4.3 FTRs in the ISO Tariff.  </w:t>
      </w:r>
    </w:p>
    <w:p w14:paraId="77A093C1" w14:textId="77777777" w:rsidR="00824130" w:rsidRPr="00D80201" w:rsidRDefault="00824130">
      <w:pPr>
        <w:ind w:firstLine="720"/>
        <w:rPr>
          <w:color w:val="000000"/>
          <w:szCs w:val="26"/>
        </w:rPr>
      </w:pPr>
    </w:p>
    <w:p w14:paraId="66513977" w14:textId="77777777" w:rsidR="00824130" w:rsidRPr="00D80201" w:rsidRDefault="00824130">
      <w:pPr>
        <w:rPr>
          <w:color w:val="000000"/>
          <w:szCs w:val="26"/>
        </w:rPr>
      </w:pPr>
      <w:r>
        <w:rPr>
          <w:color w:val="000000"/>
          <w:szCs w:val="26"/>
        </w:rPr>
        <w:t>253.</w:t>
      </w:r>
      <w:r>
        <w:rPr>
          <w:color w:val="000000"/>
          <w:szCs w:val="26"/>
        </w:rPr>
        <w:tab/>
      </w:r>
      <w:r w:rsidRPr="00D80201">
        <w:rPr>
          <w:color w:val="000000"/>
          <w:szCs w:val="26"/>
        </w:rPr>
        <w:t xml:space="preserve">SCE represents that no party opposes its proposed change, and that the ISO explicitly supports it.  </w:t>
      </w:r>
    </w:p>
    <w:p w14:paraId="551668DD" w14:textId="77777777" w:rsidR="00824130" w:rsidRPr="00D80201" w:rsidRDefault="00824130">
      <w:pPr>
        <w:rPr>
          <w:color w:val="000000"/>
          <w:szCs w:val="26"/>
        </w:rPr>
      </w:pPr>
    </w:p>
    <w:p w14:paraId="57C1CFEF" w14:textId="77777777" w:rsidR="00824130" w:rsidRPr="00D80201" w:rsidRDefault="00824130">
      <w:pPr>
        <w:rPr>
          <w:color w:val="000000"/>
          <w:szCs w:val="26"/>
        </w:rPr>
      </w:pPr>
      <w:r>
        <w:rPr>
          <w:color w:val="000000"/>
          <w:szCs w:val="26"/>
        </w:rPr>
        <w:t>254.</w:t>
      </w:r>
      <w:r>
        <w:rPr>
          <w:color w:val="000000"/>
          <w:szCs w:val="26"/>
        </w:rPr>
        <w:tab/>
      </w:r>
      <w:r w:rsidRPr="00D80201">
        <w:rPr>
          <w:color w:val="000000"/>
          <w:szCs w:val="26"/>
        </w:rPr>
        <w:t>Staff describes that SCE witness Cuillier explains the rationale behind the proposed change,</w:t>
      </w:r>
      <w:r w:rsidRPr="00D80201">
        <w:rPr>
          <w:rStyle w:val="FootnoteReference"/>
          <w:color w:val="000000"/>
        </w:rPr>
        <w:footnoteReference w:id="82"/>
      </w:r>
      <w:r w:rsidRPr="00D80201">
        <w:rPr>
          <w:color w:val="000000"/>
          <w:szCs w:val="26"/>
        </w:rPr>
        <w:t xml:space="preserve"> and ISO witness Le Vine and Staff witness Patterson agree with the proposed change.  Ex. SCE-1 at 30:19 - 31:6, 31:8-12; Ex. ISO-33 at 22:9-11; Ex. S-5 at 41:16-17.  </w:t>
      </w:r>
    </w:p>
    <w:p w14:paraId="4152E202" w14:textId="77777777" w:rsidR="00824130" w:rsidRPr="00D80201" w:rsidRDefault="00824130">
      <w:pPr>
        <w:ind w:firstLine="720"/>
        <w:rPr>
          <w:color w:val="000000"/>
          <w:szCs w:val="26"/>
        </w:rPr>
      </w:pPr>
    </w:p>
    <w:p w14:paraId="23B54CEE" w14:textId="77777777" w:rsidR="00824130" w:rsidRPr="00D80201" w:rsidRDefault="00824130">
      <w:pPr>
        <w:rPr>
          <w:color w:val="000000"/>
          <w:szCs w:val="26"/>
        </w:rPr>
      </w:pPr>
      <w:r>
        <w:rPr>
          <w:color w:val="000000"/>
          <w:szCs w:val="26"/>
        </w:rPr>
        <w:t>255.</w:t>
      </w:r>
      <w:r>
        <w:rPr>
          <w:color w:val="000000"/>
          <w:szCs w:val="26"/>
        </w:rPr>
        <w:tab/>
      </w:r>
      <w:r w:rsidRPr="00D80201">
        <w:rPr>
          <w:color w:val="000000"/>
          <w:szCs w:val="26"/>
        </w:rPr>
        <w:t xml:space="preserve">PG&amp;E concurs with the ISO and SCE in supporting SCE’s proposed change.  </w:t>
      </w:r>
    </w:p>
    <w:p w14:paraId="7D551701" w14:textId="77777777" w:rsidR="00824130" w:rsidRPr="00D80201" w:rsidRDefault="00824130">
      <w:pPr>
        <w:ind w:firstLine="720"/>
        <w:rPr>
          <w:color w:val="000000"/>
          <w:szCs w:val="26"/>
        </w:rPr>
      </w:pPr>
    </w:p>
    <w:p w14:paraId="44608BAE" w14:textId="77777777" w:rsidR="00824130" w:rsidRPr="00D80201" w:rsidRDefault="00824130">
      <w:pPr>
        <w:rPr>
          <w:color w:val="000000"/>
          <w:szCs w:val="26"/>
        </w:rPr>
      </w:pPr>
      <w:r>
        <w:rPr>
          <w:color w:val="000000"/>
          <w:szCs w:val="26"/>
        </w:rPr>
        <w:t>256.</w:t>
      </w:r>
      <w:r>
        <w:rPr>
          <w:color w:val="000000"/>
          <w:szCs w:val="26"/>
        </w:rPr>
        <w:tab/>
      </w:r>
      <w:r w:rsidRPr="00D80201">
        <w:rPr>
          <w:color w:val="000000"/>
          <w:szCs w:val="26"/>
        </w:rPr>
        <w:t xml:space="preserve">TANC contends that SCE’s and the ISO’s recommendation will not fully eliminate discriminatory treatment and that it perpetuates the discriminatory treatment among PTOs with respect to the allocation of FTRs and the treatment of FTR revenues.  Under the ISO TAC proposal, OPTOs are required to auction their FTRs and credit these revenues against their TRR, and as discussed above, TANC opposes this idea.  If the Commission were to approve that aspect of the TAC as is, then TANC concedes that it would be reasonable to modify the definition of “Transmission Revenue Credits” to recognize the difference between the revenues which flow to the PTO and the FTR holder.  </w:t>
      </w:r>
    </w:p>
    <w:p w14:paraId="46DB780A" w14:textId="77777777" w:rsidR="00824130" w:rsidRPr="00D80201" w:rsidRDefault="00824130">
      <w:pPr>
        <w:ind w:firstLine="720"/>
        <w:rPr>
          <w:color w:val="000000"/>
          <w:szCs w:val="26"/>
        </w:rPr>
      </w:pPr>
    </w:p>
    <w:p w14:paraId="6C98EBB3" w14:textId="77777777" w:rsidR="00824130" w:rsidRPr="00D80201" w:rsidRDefault="00824130">
      <w:pPr>
        <w:rPr>
          <w:color w:val="000000"/>
          <w:szCs w:val="26"/>
        </w:rPr>
      </w:pPr>
      <w:r>
        <w:rPr>
          <w:color w:val="000000"/>
          <w:szCs w:val="26"/>
        </w:rPr>
        <w:t>257.</w:t>
      </w:r>
      <w:r>
        <w:rPr>
          <w:color w:val="000000"/>
          <w:szCs w:val="26"/>
        </w:rPr>
        <w:tab/>
      </w:r>
      <w:r w:rsidRPr="00D80201">
        <w:rPr>
          <w:color w:val="000000"/>
          <w:szCs w:val="26"/>
        </w:rPr>
        <w:t>The EOB’s position is that if new PTOs are to be given the benefit of netting usage charges against FTR revenues, the OPTOs should also be given that opportunity.</w:t>
      </w:r>
    </w:p>
    <w:p w14:paraId="41972A96" w14:textId="77777777" w:rsidR="00824130" w:rsidRPr="00D80201" w:rsidRDefault="00824130">
      <w:pPr>
        <w:rPr>
          <w:color w:val="000000"/>
          <w:szCs w:val="26"/>
        </w:rPr>
      </w:pPr>
    </w:p>
    <w:p w14:paraId="5F49A05F" w14:textId="77777777" w:rsidR="00824130" w:rsidRPr="00D80201" w:rsidRDefault="00824130">
      <w:pPr>
        <w:ind w:firstLine="720"/>
        <w:rPr>
          <w:b/>
          <w:color w:val="000000"/>
          <w:szCs w:val="26"/>
        </w:rPr>
      </w:pPr>
      <w:r w:rsidRPr="00D80201">
        <w:rPr>
          <w:b/>
          <w:color w:val="000000"/>
          <w:szCs w:val="26"/>
        </w:rPr>
        <w:t>Discussion and Findings</w:t>
      </w:r>
    </w:p>
    <w:p w14:paraId="269A3B39" w14:textId="77777777" w:rsidR="00824130" w:rsidRPr="00D80201" w:rsidRDefault="00824130">
      <w:pPr>
        <w:rPr>
          <w:b/>
          <w:color w:val="000000"/>
          <w:szCs w:val="26"/>
        </w:rPr>
      </w:pPr>
    </w:p>
    <w:p w14:paraId="05DEC3F7" w14:textId="77777777" w:rsidR="00824130" w:rsidRPr="00D80201" w:rsidRDefault="00824130">
      <w:pPr>
        <w:rPr>
          <w:color w:val="000000"/>
          <w:szCs w:val="26"/>
        </w:rPr>
      </w:pPr>
      <w:r>
        <w:rPr>
          <w:color w:val="000000"/>
          <w:szCs w:val="26"/>
        </w:rPr>
        <w:t>258.</w:t>
      </w:r>
      <w:r>
        <w:rPr>
          <w:color w:val="000000"/>
          <w:szCs w:val="26"/>
        </w:rPr>
        <w:tab/>
      </w:r>
      <w:r w:rsidRPr="00D80201">
        <w:rPr>
          <w:color w:val="000000"/>
          <w:szCs w:val="26"/>
        </w:rPr>
        <w:t xml:space="preserve">As addressed in V.F., </w:t>
      </w:r>
      <w:r w:rsidRPr="00D80201">
        <w:rPr>
          <w:color w:val="000000"/>
          <w:szCs w:val="26"/>
          <w:u w:val="single"/>
        </w:rPr>
        <w:t>supra</w:t>
      </w:r>
      <w:r w:rsidRPr="00D80201">
        <w:rPr>
          <w:color w:val="000000"/>
          <w:szCs w:val="26"/>
        </w:rPr>
        <w:t>, the undersigned Presiding Judge has directed the ISO to revise the definition</w:t>
      </w:r>
      <w:r>
        <w:rPr>
          <w:color w:val="000000"/>
          <w:szCs w:val="26"/>
        </w:rPr>
        <w:t xml:space="preserve"> of Transmission Revenue Credit</w:t>
      </w:r>
      <w:r w:rsidRPr="00D80201">
        <w:rPr>
          <w:color w:val="000000"/>
          <w:szCs w:val="26"/>
        </w:rPr>
        <w:t xml:space="preserve"> in order to appropriately clarify the treatment of Section 9.4.3 FTRs in the ISO Tariff.  </w:t>
      </w:r>
    </w:p>
    <w:p w14:paraId="4E108E6E" w14:textId="77777777" w:rsidR="00824130" w:rsidRDefault="00824130">
      <w:pPr>
        <w:rPr>
          <w:color w:val="000000"/>
          <w:szCs w:val="26"/>
        </w:rPr>
      </w:pPr>
      <w:r w:rsidRPr="00D80201">
        <w:rPr>
          <w:color w:val="000000"/>
          <w:szCs w:val="26"/>
        </w:rPr>
        <w:t xml:space="preserve"> </w:t>
      </w:r>
    </w:p>
    <w:p w14:paraId="6C34F889" w14:textId="77777777" w:rsidR="00824130" w:rsidRDefault="00824130">
      <w:pPr>
        <w:rPr>
          <w:color w:val="000000"/>
          <w:szCs w:val="26"/>
        </w:rPr>
      </w:pPr>
    </w:p>
    <w:p w14:paraId="472F9329" w14:textId="77777777" w:rsidR="00824130" w:rsidRDefault="00824130">
      <w:pPr>
        <w:rPr>
          <w:color w:val="000000"/>
          <w:szCs w:val="26"/>
        </w:rPr>
      </w:pPr>
    </w:p>
    <w:p w14:paraId="072D5B3F" w14:textId="77777777" w:rsidR="00824130" w:rsidRPr="00D80201" w:rsidRDefault="00824130">
      <w:pPr>
        <w:rPr>
          <w:rFonts w:ascii="Times New Roman Bold" w:hAnsi="Times New Roman Bold"/>
          <w:b/>
          <w:color w:val="000000"/>
          <w:szCs w:val="26"/>
        </w:rPr>
      </w:pPr>
    </w:p>
    <w:p w14:paraId="72124112" w14:textId="77777777" w:rsidR="00824130" w:rsidRDefault="00824130">
      <w:pPr>
        <w:numPr>
          <w:ilvl w:val="0"/>
          <w:numId w:val="24"/>
        </w:numPr>
        <w:rPr>
          <w:rFonts w:ascii="Times New Roman Bold" w:hAnsi="Times New Roman Bold"/>
          <w:b/>
          <w:color w:val="000000"/>
          <w:szCs w:val="26"/>
        </w:rPr>
      </w:pPr>
      <w:r w:rsidRPr="00D80201">
        <w:rPr>
          <w:rFonts w:ascii="Times New Roman Bold" w:hAnsi="Times New Roman Bold"/>
          <w:b/>
          <w:color w:val="000000"/>
          <w:szCs w:val="26"/>
        </w:rPr>
        <w:t>Treatment of Existing Contracts</w:t>
      </w:r>
    </w:p>
    <w:p w14:paraId="415750CA" w14:textId="77777777" w:rsidR="00824130" w:rsidRDefault="00824130">
      <w:pPr>
        <w:rPr>
          <w:rFonts w:ascii="Times New Roman Bold" w:hAnsi="Times New Roman Bold"/>
          <w:b/>
          <w:color w:val="000000"/>
          <w:szCs w:val="26"/>
        </w:rPr>
      </w:pPr>
    </w:p>
    <w:p w14:paraId="4DC33BF6" w14:textId="77777777" w:rsidR="00824130" w:rsidRPr="00D80201" w:rsidRDefault="00824130">
      <w:pPr>
        <w:numPr>
          <w:ilvl w:val="1"/>
          <w:numId w:val="24"/>
        </w:numPr>
        <w:rPr>
          <w:rFonts w:ascii="Times New Roman Bold" w:hAnsi="Times New Roman Bold"/>
          <w:b/>
          <w:color w:val="000000"/>
          <w:szCs w:val="26"/>
        </w:rPr>
      </w:pPr>
      <w:r w:rsidRPr="00D80201">
        <w:rPr>
          <w:rFonts w:ascii="Times New Roman Bold" w:hAnsi="Times New Roman Bold"/>
          <w:b/>
          <w:color w:val="000000"/>
          <w:szCs w:val="26"/>
        </w:rPr>
        <w:t>Whether the ISO’s transmission Access Charge proposal is unjust, unreasonable and unduly discriminatory because it fails to compensate in-kind reliability support provided under Existing Contracts if the Existing Rights holder were to become a participating TO.</w:t>
      </w:r>
    </w:p>
    <w:p w14:paraId="55E01964" w14:textId="77777777" w:rsidR="00824130" w:rsidRPr="00D80201" w:rsidRDefault="00824130">
      <w:pPr>
        <w:ind w:left="1080"/>
        <w:rPr>
          <w:rFonts w:ascii="Times New Roman Bold" w:hAnsi="Times New Roman Bold"/>
          <w:b/>
          <w:color w:val="000000"/>
          <w:szCs w:val="26"/>
        </w:rPr>
      </w:pPr>
    </w:p>
    <w:p w14:paraId="113B070B"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2089F230" w14:textId="77777777" w:rsidR="00824130" w:rsidRDefault="00824130">
      <w:pPr>
        <w:rPr>
          <w:rFonts w:ascii="Times New Roman Bold" w:hAnsi="Times New Roman Bold"/>
          <w:b/>
          <w:color w:val="000000"/>
          <w:szCs w:val="26"/>
        </w:rPr>
      </w:pPr>
    </w:p>
    <w:p w14:paraId="671CCFF6" w14:textId="77777777" w:rsidR="00824130" w:rsidRPr="00D80201" w:rsidRDefault="00824130">
      <w:pPr>
        <w:rPr>
          <w:color w:val="000000"/>
          <w:szCs w:val="26"/>
        </w:rPr>
      </w:pPr>
      <w:r>
        <w:rPr>
          <w:color w:val="000000"/>
          <w:szCs w:val="26"/>
        </w:rPr>
        <w:t>259.</w:t>
      </w:r>
      <w:r>
        <w:rPr>
          <w:color w:val="000000"/>
          <w:szCs w:val="26"/>
        </w:rPr>
        <w:tab/>
      </w:r>
      <w:r w:rsidRPr="00D80201">
        <w:rPr>
          <w:color w:val="000000"/>
          <w:szCs w:val="26"/>
        </w:rPr>
        <w:t xml:space="preserve">The ISO asserts that its TAC proposal need not provide for specific compensation for in-kind reliability support in order to be just, reasonable and not unduly discriminatory.  This argument responds to SWP’s contention that the TAC proposal is unjust, unreasonable, or unduly discriminatory because it does not compensate SWP for the in-kind reliability support that it currently provides under its existing contracts.  The ISO contends that SWP’s in-kind reliability support is already covered by the ISO’s Tariff if SWP can establish that the in-kind reliability support is a quantifiable cost for transmission that it pays under its existing contracts.  On the other hand, the ISO argues, if SWP is asserting that its in-kind reliability services would provide a benefit to the ISO for which SWP will no longer be compensated, then SWP’s contention is unrelated to the TAC and outside the scope of this proceeding.  </w:t>
      </w:r>
    </w:p>
    <w:p w14:paraId="5762F6DE" w14:textId="77777777" w:rsidR="00824130" w:rsidRPr="00D80201" w:rsidRDefault="00824130">
      <w:pPr>
        <w:ind w:firstLine="720"/>
        <w:rPr>
          <w:color w:val="000000"/>
          <w:szCs w:val="26"/>
        </w:rPr>
      </w:pPr>
    </w:p>
    <w:p w14:paraId="0AA58F13" w14:textId="77777777" w:rsidR="00824130" w:rsidRPr="00D80201" w:rsidRDefault="00824130">
      <w:pPr>
        <w:rPr>
          <w:color w:val="000000"/>
          <w:szCs w:val="26"/>
        </w:rPr>
      </w:pPr>
      <w:r>
        <w:rPr>
          <w:color w:val="000000"/>
          <w:szCs w:val="26"/>
        </w:rPr>
        <w:t>260.</w:t>
      </w:r>
      <w:r>
        <w:rPr>
          <w:color w:val="000000"/>
          <w:szCs w:val="26"/>
        </w:rPr>
        <w:tab/>
      </w:r>
      <w:r w:rsidRPr="00D80201">
        <w:rPr>
          <w:color w:val="000000"/>
          <w:szCs w:val="26"/>
        </w:rPr>
        <w:t xml:space="preserve">The ISO further contends that even if the “unbundling” of SWP’s services under its existing contracts were at issue in this case and were able to be regulated by the ISO, which is not a party to those contracts, the record does not support the conclusion that the ISO needs any of the unbundled services that SWP offers were SWP not obligated to provide them under existing contracts.  </w:t>
      </w:r>
    </w:p>
    <w:p w14:paraId="0C6E7903" w14:textId="77777777" w:rsidR="00824130" w:rsidRPr="00D80201" w:rsidRDefault="00824130">
      <w:pPr>
        <w:rPr>
          <w:rFonts w:ascii="Times New Roman Bold" w:hAnsi="Times New Roman Bold"/>
          <w:b/>
          <w:color w:val="000000"/>
          <w:szCs w:val="26"/>
        </w:rPr>
      </w:pPr>
    </w:p>
    <w:p w14:paraId="052528E8" w14:textId="77777777" w:rsidR="00824130" w:rsidRPr="00D80201" w:rsidRDefault="00824130">
      <w:pPr>
        <w:pStyle w:val="BodyText"/>
        <w:rPr>
          <w:color w:val="000000"/>
          <w:sz w:val="26"/>
          <w:szCs w:val="26"/>
        </w:rPr>
      </w:pPr>
      <w:r>
        <w:rPr>
          <w:color w:val="000000"/>
          <w:sz w:val="26"/>
          <w:szCs w:val="26"/>
        </w:rPr>
        <w:t>261.</w:t>
      </w:r>
      <w:r>
        <w:rPr>
          <w:color w:val="000000"/>
          <w:sz w:val="26"/>
          <w:szCs w:val="26"/>
        </w:rPr>
        <w:tab/>
      </w:r>
      <w:r w:rsidRPr="00D80201">
        <w:rPr>
          <w:color w:val="000000"/>
          <w:sz w:val="26"/>
          <w:szCs w:val="26"/>
        </w:rPr>
        <w:t xml:space="preserve">SWP argues that if it will be treated the same as other new PTOs upon contract conversion, then it should either be excused from having to provide in-kind reliability services, or those services should be unbundled and compensated.  SWP asserts that to allow otherwise would be contrary to Commission precedent, which SWP contends provides compensation for those providing services to the </w:t>
      </w:r>
      <w:smartTag w:uri="urn:schemas-microsoft-com:office:smarttags" w:element="place">
        <w:smartTag w:uri="urn:schemas-microsoft-com:office:smarttags" w:element="State">
          <w:r w:rsidRPr="00D80201">
            <w:rPr>
              <w:color w:val="000000"/>
              <w:sz w:val="26"/>
              <w:szCs w:val="26"/>
            </w:rPr>
            <w:t>California</w:t>
          </w:r>
        </w:smartTag>
      </w:smartTag>
      <w:r w:rsidRPr="00D80201">
        <w:rPr>
          <w:color w:val="000000"/>
          <w:sz w:val="26"/>
          <w:szCs w:val="26"/>
        </w:rPr>
        <w:t xml:space="preserve"> grid.  </w:t>
      </w:r>
      <w:smartTag w:uri="urn:schemas-microsoft-com:office:smarttags" w:element="place">
        <w:smartTag w:uri="urn:schemas-microsoft-com:office:smarttags" w:element="State">
          <w:r w:rsidRPr="00D80201">
            <w:rPr>
              <w:iCs/>
              <w:color w:val="000000"/>
              <w:sz w:val="26"/>
              <w:szCs w:val="26"/>
              <w:u w:val="single"/>
            </w:rPr>
            <w:t>Cal.</w:t>
          </w:r>
        </w:smartTag>
      </w:smartTag>
      <w:r w:rsidRPr="00D80201">
        <w:rPr>
          <w:iCs/>
          <w:color w:val="000000"/>
          <w:sz w:val="26"/>
          <w:szCs w:val="26"/>
          <w:u w:val="single"/>
        </w:rPr>
        <w:t xml:space="preserve"> Indep. Sys. Operator Corp.</w:t>
      </w:r>
      <w:r w:rsidRPr="00D80201">
        <w:rPr>
          <w:i/>
          <w:iCs/>
          <w:color w:val="000000"/>
          <w:sz w:val="26"/>
          <w:szCs w:val="26"/>
        </w:rPr>
        <w:t xml:space="preserve">, </w:t>
      </w:r>
      <w:r w:rsidRPr="00D80201">
        <w:rPr>
          <w:color w:val="000000"/>
          <w:sz w:val="26"/>
          <w:szCs w:val="26"/>
        </w:rPr>
        <w:t xml:space="preserve">97 FERC </w:t>
      </w:r>
      <w:r w:rsidRPr="00D80201">
        <w:rPr>
          <w:rFonts w:ascii="WP TypographicSymbols" w:hAnsi="WP TypographicSymbols"/>
          <w:color w:val="000000"/>
          <w:sz w:val="26"/>
          <w:szCs w:val="26"/>
        </w:rPr>
        <w:t>&amp;</w:t>
      </w:r>
      <w:r>
        <w:rPr>
          <w:color w:val="000000"/>
          <w:sz w:val="26"/>
          <w:szCs w:val="26"/>
        </w:rPr>
        <w:t> 61,151</w:t>
      </w:r>
      <w:r w:rsidRPr="00D80201">
        <w:rPr>
          <w:color w:val="000000"/>
          <w:sz w:val="26"/>
          <w:szCs w:val="26"/>
        </w:rPr>
        <w:t xml:space="preserve"> at 61,659 (2001)</w:t>
      </w:r>
      <w:r>
        <w:rPr>
          <w:color w:val="000000"/>
          <w:sz w:val="26"/>
          <w:szCs w:val="26"/>
        </w:rPr>
        <w:t>.</w:t>
      </w:r>
      <w:r w:rsidRPr="00D80201">
        <w:rPr>
          <w:color w:val="000000"/>
          <w:sz w:val="26"/>
          <w:szCs w:val="26"/>
        </w:rPr>
        <w:t xml:space="preserve">  In addition, in its reply brief, SWP requests an alternate remedy of proportionally greater FTRs to compensate it for in-kind reliability support and its contribution to Path 15.  </w:t>
      </w:r>
    </w:p>
    <w:p w14:paraId="7D9F0453" w14:textId="77777777" w:rsidR="00824130" w:rsidRDefault="00824130">
      <w:pPr>
        <w:pStyle w:val="BodyText"/>
        <w:rPr>
          <w:color w:val="000000"/>
          <w:sz w:val="26"/>
          <w:szCs w:val="26"/>
        </w:rPr>
      </w:pPr>
    </w:p>
    <w:p w14:paraId="5875DF42" w14:textId="77777777" w:rsidR="00824130" w:rsidRPr="00D80201" w:rsidRDefault="00824130">
      <w:pPr>
        <w:pStyle w:val="BodyText"/>
        <w:rPr>
          <w:color w:val="000000"/>
          <w:sz w:val="26"/>
          <w:szCs w:val="26"/>
        </w:rPr>
      </w:pPr>
      <w:r>
        <w:rPr>
          <w:color w:val="000000"/>
          <w:sz w:val="26"/>
          <w:szCs w:val="26"/>
        </w:rPr>
        <w:t>262.</w:t>
      </w:r>
      <w:r>
        <w:rPr>
          <w:color w:val="000000"/>
          <w:sz w:val="26"/>
          <w:szCs w:val="26"/>
        </w:rPr>
        <w:tab/>
      </w:r>
      <w:r w:rsidRPr="00D80201">
        <w:rPr>
          <w:color w:val="000000"/>
          <w:sz w:val="26"/>
          <w:szCs w:val="26"/>
        </w:rPr>
        <w:t xml:space="preserve">SCE opposes SWP’s request for compensation for in-reliability services in addition to its ETC.  SCE argues that in order to demonstrate that SWP is being treated discriminatorily, SWP must show that other PTOs are receiving compensation under their converted ETCs for the reliability support they provide the ISO and that SWP would be denied similar treatment if it joined the ISO.  SCE contends that SWP has made no such showing and posits that there are numerous manners in which SWP may be compensated by the ISO for reliability services, if it terminates its obligation to provide those same services under its ETC to the ETC service provider.  Tr. 1833 – 1834; 1858:12 – 16; 1858:25 – 1859:19.  </w:t>
      </w:r>
    </w:p>
    <w:p w14:paraId="3D02D19A" w14:textId="77777777" w:rsidR="00824130" w:rsidRPr="00D80201" w:rsidRDefault="00824130">
      <w:pPr>
        <w:pStyle w:val="BodyText"/>
        <w:rPr>
          <w:color w:val="000000"/>
          <w:sz w:val="26"/>
          <w:szCs w:val="26"/>
        </w:rPr>
      </w:pPr>
    </w:p>
    <w:p w14:paraId="302FC6A1" w14:textId="77777777" w:rsidR="00824130" w:rsidRPr="00D80201" w:rsidRDefault="00824130">
      <w:pPr>
        <w:rPr>
          <w:color w:val="000000"/>
          <w:szCs w:val="26"/>
        </w:rPr>
      </w:pPr>
      <w:r>
        <w:rPr>
          <w:color w:val="000000"/>
          <w:szCs w:val="26"/>
        </w:rPr>
        <w:t>263.</w:t>
      </w:r>
      <w:r>
        <w:rPr>
          <w:color w:val="000000"/>
          <w:szCs w:val="26"/>
        </w:rPr>
        <w:tab/>
      </w:r>
      <w:r w:rsidRPr="00D80201">
        <w:rPr>
          <w:color w:val="000000"/>
          <w:szCs w:val="26"/>
        </w:rPr>
        <w:t xml:space="preserve">Staff’s position is that this issue should not be resolved in this case.  Without addressing the merits of SWP’s contentions in raising this issue, Staff recommends that SWP’s dispute with PG&amp;E regarding its existing contract should be resolved by negotiation or in a separate docket before the Commission, if SWP has grounds to modify its contract.  In Staff’s opinion, </w:t>
      </w:r>
      <w:r>
        <w:rPr>
          <w:color w:val="000000"/>
          <w:szCs w:val="26"/>
        </w:rPr>
        <w:t>SWP has not shown that the ISO T</w:t>
      </w:r>
      <w:r w:rsidRPr="00D80201">
        <w:rPr>
          <w:color w:val="000000"/>
          <w:szCs w:val="26"/>
        </w:rPr>
        <w:t xml:space="preserve">ariff is unjust and unreasonable simply because it does not account for the problems that SWP views exist between it and PG&amp;E in their contract.  </w:t>
      </w:r>
    </w:p>
    <w:p w14:paraId="33E3E57B" w14:textId="77777777" w:rsidR="00824130" w:rsidRPr="00D80201" w:rsidRDefault="00824130">
      <w:pPr>
        <w:pStyle w:val="BodyText"/>
        <w:rPr>
          <w:color w:val="000000"/>
          <w:sz w:val="26"/>
          <w:szCs w:val="26"/>
        </w:rPr>
      </w:pPr>
    </w:p>
    <w:p w14:paraId="48E7751A" w14:textId="77777777" w:rsidR="00824130" w:rsidRPr="00D80201" w:rsidRDefault="00824130">
      <w:pPr>
        <w:pStyle w:val="BodyText"/>
        <w:rPr>
          <w:color w:val="000000"/>
          <w:sz w:val="26"/>
          <w:szCs w:val="26"/>
        </w:rPr>
      </w:pPr>
      <w:r>
        <w:rPr>
          <w:color w:val="000000"/>
          <w:sz w:val="26"/>
          <w:szCs w:val="26"/>
        </w:rPr>
        <w:t>264.</w:t>
      </w:r>
      <w:r>
        <w:rPr>
          <w:color w:val="000000"/>
          <w:sz w:val="26"/>
          <w:szCs w:val="26"/>
        </w:rPr>
        <w:tab/>
      </w:r>
      <w:r w:rsidRPr="00D80201">
        <w:rPr>
          <w:color w:val="000000"/>
          <w:sz w:val="26"/>
          <w:szCs w:val="26"/>
        </w:rPr>
        <w:t xml:space="preserve">PG&amp;E agrees with Staff that this issue is outside the scope of this proceeding.  Further, PG&amp;E contends that the Commission should not presume that a particular entity will join the ISO and should not make special concessions to that individual entity’s concerns.  </w:t>
      </w:r>
      <w:r w:rsidRPr="00D80201">
        <w:rPr>
          <w:iCs/>
          <w:color w:val="000000"/>
          <w:sz w:val="26"/>
          <w:szCs w:val="26"/>
          <w:u w:val="single"/>
        </w:rPr>
        <w:t>See</w:t>
      </w:r>
      <w:r w:rsidRPr="00D80201">
        <w:rPr>
          <w:i/>
          <w:iCs/>
          <w:color w:val="000000"/>
          <w:sz w:val="26"/>
          <w:szCs w:val="26"/>
        </w:rPr>
        <w:t xml:space="preserve">, </w:t>
      </w:r>
      <w:r w:rsidRPr="00D80201">
        <w:rPr>
          <w:iCs/>
          <w:color w:val="000000"/>
          <w:sz w:val="26"/>
          <w:szCs w:val="26"/>
          <w:u w:val="single"/>
        </w:rPr>
        <w:t>e.g.</w:t>
      </w:r>
      <w:r w:rsidRPr="00D80201">
        <w:rPr>
          <w:i/>
          <w:iCs/>
          <w:color w:val="000000"/>
          <w:sz w:val="26"/>
          <w:szCs w:val="26"/>
        </w:rPr>
        <w:t>,</w:t>
      </w:r>
      <w:r w:rsidRPr="00D80201">
        <w:rPr>
          <w:color w:val="000000"/>
          <w:sz w:val="26"/>
          <w:szCs w:val="26"/>
        </w:rPr>
        <w:t xml:space="preserve"> </w:t>
      </w:r>
      <w:smartTag w:uri="urn:schemas-microsoft-com:office:smarttags" w:element="place">
        <w:smartTag w:uri="urn:schemas-microsoft-com:office:smarttags" w:element="State">
          <w:r w:rsidRPr="00D80201">
            <w:rPr>
              <w:iCs/>
              <w:color w:val="000000"/>
              <w:sz w:val="26"/>
              <w:szCs w:val="26"/>
              <w:u w:val="single"/>
            </w:rPr>
            <w:t>Cal.</w:t>
          </w:r>
        </w:smartTag>
      </w:smartTag>
      <w:r w:rsidRPr="00D80201">
        <w:rPr>
          <w:iCs/>
          <w:color w:val="000000"/>
          <w:sz w:val="26"/>
          <w:szCs w:val="26"/>
          <w:u w:val="single"/>
        </w:rPr>
        <w:t xml:space="preserve"> Indep. Sys. Operator Corp.</w:t>
      </w:r>
      <w:r w:rsidRPr="00D80201">
        <w:rPr>
          <w:color w:val="000000"/>
          <w:sz w:val="26"/>
          <w:szCs w:val="26"/>
        </w:rPr>
        <w:t>, 103 FERC ¶ 61,260 at P 13 (2003)</w:t>
      </w:r>
      <w:r w:rsidRPr="00D80201">
        <w:rPr>
          <w:sz w:val="26"/>
          <w:szCs w:val="26"/>
        </w:rPr>
        <w:t xml:space="preserve"> (rejected ISO proposal for broad tariff language to accommodate WAPA and finding generally that exceptions to TAC methodology should be made in context of specific new PTOs request to join the ISO)</w:t>
      </w:r>
      <w:r w:rsidRPr="00D80201">
        <w:rPr>
          <w:color w:val="000000"/>
          <w:sz w:val="26"/>
          <w:szCs w:val="26"/>
        </w:rPr>
        <w:t xml:space="preserve">.  PG&amp;E also argues that it is inappropriate for an entity to request compensation from the ISO for obligations that entity has under its existing contract.  </w:t>
      </w:r>
    </w:p>
    <w:p w14:paraId="728442FB" w14:textId="77777777" w:rsidR="00824130" w:rsidRPr="00D80201" w:rsidRDefault="00824130">
      <w:pPr>
        <w:pStyle w:val="BodyText"/>
        <w:rPr>
          <w:color w:val="000000"/>
          <w:sz w:val="26"/>
          <w:szCs w:val="26"/>
        </w:rPr>
      </w:pPr>
    </w:p>
    <w:p w14:paraId="570A7D89" w14:textId="77777777" w:rsidR="00824130" w:rsidRPr="00D80201" w:rsidRDefault="00824130">
      <w:pPr>
        <w:pStyle w:val="BodyText"/>
        <w:ind w:firstLine="720"/>
        <w:rPr>
          <w:rFonts w:ascii="Times New Roman Bold" w:hAnsi="Times New Roman Bold"/>
          <w:b/>
          <w:color w:val="000000"/>
          <w:sz w:val="26"/>
          <w:szCs w:val="26"/>
        </w:rPr>
      </w:pPr>
      <w:r w:rsidRPr="00D80201">
        <w:rPr>
          <w:rFonts w:ascii="Times New Roman Bold" w:hAnsi="Times New Roman Bold"/>
          <w:b/>
          <w:color w:val="000000"/>
          <w:sz w:val="26"/>
          <w:szCs w:val="26"/>
        </w:rPr>
        <w:t>Discussion and Findings</w:t>
      </w:r>
    </w:p>
    <w:p w14:paraId="487ECF67" w14:textId="77777777" w:rsidR="00824130" w:rsidRPr="00D80201" w:rsidRDefault="00824130">
      <w:pPr>
        <w:pStyle w:val="BodyText"/>
        <w:rPr>
          <w:rFonts w:ascii="Times New Roman Bold" w:hAnsi="Times New Roman Bold"/>
          <w:b/>
          <w:color w:val="000000"/>
          <w:sz w:val="26"/>
          <w:szCs w:val="26"/>
        </w:rPr>
      </w:pPr>
    </w:p>
    <w:p w14:paraId="43E78C11" w14:textId="77777777" w:rsidR="00824130" w:rsidRPr="00D80201" w:rsidRDefault="00824130">
      <w:pPr>
        <w:rPr>
          <w:color w:val="000000"/>
          <w:szCs w:val="26"/>
        </w:rPr>
      </w:pPr>
      <w:r>
        <w:rPr>
          <w:color w:val="000000"/>
          <w:szCs w:val="26"/>
        </w:rPr>
        <w:t>265.</w:t>
      </w:r>
      <w:r>
        <w:rPr>
          <w:color w:val="000000"/>
          <w:szCs w:val="26"/>
        </w:rPr>
        <w:tab/>
      </w:r>
      <w:r w:rsidRPr="00D80201">
        <w:rPr>
          <w:color w:val="000000"/>
          <w:szCs w:val="26"/>
        </w:rPr>
        <w:t xml:space="preserve">This issue primarily impacts SWP.  While SWP is correct that Commission precedent requires reasonable compensation to those providing services to the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grid,</w:t>
      </w:r>
      <w:r w:rsidRPr="00D80201">
        <w:rPr>
          <w:rStyle w:val="FootnoteReference"/>
          <w:color w:val="000000"/>
        </w:rPr>
        <w:footnoteReference w:id="83"/>
      </w:r>
      <w:r w:rsidRPr="00D80201">
        <w:rPr>
          <w:color w:val="000000"/>
          <w:szCs w:val="26"/>
        </w:rPr>
        <w:t xml:space="preserve">  SCE points out that there are numerous ways that SWP may be compensated for its services, but SWP must first terminate providing those same services under its ETC to the ETC provider.</w:t>
      </w:r>
      <w:r w:rsidRPr="00D80201">
        <w:rPr>
          <w:rStyle w:val="FootnoteReference"/>
          <w:color w:val="000000"/>
        </w:rPr>
        <w:footnoteReference w:id="84"/>
      </w:r>
      <w:r w:rsidRPr="00D80201">
        <w:rPr>
          <w:color w:val="000000"/>
          <w:szCs w:val="26"/>
        </w:rPr>
        <w:t xml:space="preserve">  SCE Initial Brief at 42-43.  Conversion of ETC rights to the ISO applies only to transmission, not other services.  ISO Initial Brief at 57.  As PG&amp;E witness Weingart points out, if in-kind reliability support is a service whose cost to SWP is related to transmission that SWP pays for under existing contracts, and if SWP can quantify that cost, then the TAC already provides for recovery of that expense because SWP can claim it as part of its TRR.  ISO Initial Brief at 57, </w:t>
      </w:r>
      <w:r w:rsidRPr="00D80201">
        <w:rPr>
          <w:color w:val="000000"/>
          <w:szCs w:val="26"/>
          <w:u w:val="single"/>
        </w:rPr>
        <w:t>citing</w:t>
      </w:r>
      <w:r w:rsidRPr="00D80201">
        <w:rPr>
          <w:color w:val="000000"/>
          <w:szCs w:val="26"/>
        </w:rPr>
        <w:t xml:space="preserve"> Tr. 2305:10 – 14.  Non-transmission related services and costs arising under the ETC will continue as long as the ETC exists, and without it, will cease. Thus, the benefits that SWP secures under its ETC would be viable as long as the ETC exists.  </w:t>
      </w:r>
      <w:smartTag w:uri="urn:schemas-microsoft-com:office:smarttags" w:element="place">
        <w:smartTag w:uri="urn:schemas-microsoft-com:office:smarttags" w:element="State">
          <w:r w:rsidRPr="00D80201">
            <w:rPr>
              <w:color w:val="000000"/>
              <w:szCs w:val="26"/>
              <w:u w:val="single"/>
            </w:rPr>
            <w:t>Id.</w:t>
          </w:r>
        </w:smartTag>
      </w:smartTag>
      <w:r w:rsidRPr="00D80201">
        <w:rPr>
          <w:color w:val="000000"/>
          <w:szCs w:val="26"/>
        </w:rPr>
        <w:t>; PG&amp;E Initial Brief at 33.  Without it, SWP would not receive those benefits, but it would also not be obligated to provide in-kind reliability services.  Issues pertaining to non-transmission related services and cost associated with a specific PTO/Scheduling Coordinators should be resolved through contract negotiations with that PTO/ Scheduling Coordinator or in a separate docket at the Commission.</w:t>
      </w:r>
      <w:r w:rsidRPr="00D80201">
        <w:rPr>
          <w:rStyle w:val="FootnoteReference"/>
          <w:color w:val="000000"/>
        </w:rPr>
        <w:footnoteReference w:id="85"/>
      </w:r>
      <w:r w:rsidRPr="00D80201">
        <w:rPr>
          <w:color w:val="000000"/>
          <w:szCs w:val="26"/>
        </w:rPr>
        <w:t xml:space="preserve">   As to these non-transmission related services and costs, they are not relevant to the TAC and, therefore, the undersigned Presiding Judge hereby finds that they are outside the scope of this proceeding.</w:t>
      </w:r>
    </w:p>
    <w:p w14:paraId="24F5465D" w14:textId="77777777" w:rsidR="00824130" w:rsidRPr="00D80201" w:rsidRDefault="00824130">
      <w:pPr>
        <w:ind w:firstLine="720"/>
        <w:rPr>
          <w:color w:val="000000"/>
          <w:szCs w:val="26"/>
        </w:rPr>
      </w:pPr>
    </w:p>
    <w:p w14:paraId="70991D9F" w14:textId="77777777" w:rsidR="00824130" w:rsidRPr="00D80201" w:rsidRDefault="00824130">
      <w:pPr>
        <w:numPr>
          <w:ilvl w:val="1"/>
          <w:numId w:val="24"/>
        </w:numPr>
        <w:rPr>
          <w:rFonts w:ascii="Times New Roman Bold" w:hAnsi="Times New Roman Bold"/>
          <w:b/>
          <w:color w:val="000000"/>
          <w:szCs w:val="26"/>
        </w:rPr>
      </w:pPr>
      <w:r w:rsidRPr="00D80201">
        <w:rPr>
          <w:rFonts w:ascii="Times New Roman Bold" w:hAnsi="Times New Roman Bold"/>
          <w:b/>
          <w:color w:val="000000"/>
          <w:szCs w:val="26"/>
        </w:rPr>
        <w:t>Whether the ISO’s transmission Access Charge proposal is unjust, unreasonable and unduly discriminatory against entities who would become New Participating TOs through conversion of Existing Contracts alone.</w:t>
      </w:r>
    </w:p>
    <w:p w14:paraId="3D1253AC" w14:textId="77777777" w:rsidR="00824130" w:rsidRPr="00D80201" w:rsidRDefault="00824130">
      <w:pPr>
        <w:ind w:firstLine="720"/>
        <w:rPr>
          <w:rFonts w:ascii="Times New Roman Bold" w:hAnsi="Times New Roman Bold"/>
          <w:b/>
          <w:color w:val="000000"/>
          <w:szCs w:val="26"/>
        </w:rPr>
      </w:pPr>
    </w:p>
    <w:p w14:paraId="0320D185"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1D127B3D" w14:textId="77777777" w:rsidR="00824130" w:rsidRPr="00D80201" w:rsidRDefault="00824130">
      <w:pPr>
        <w:ind w:left="1080"/>
        <w:rPr>
          <w:rFonts w:ascii="Times New Roman Bold" w:hAnsi="Times New Roman Bold"/>
          <w:b/>
          <w:color w:val="000000"/>
          <w:szCs w:val="26"/>
        </w:rPr>
      </w:pPr>
    </w:p>
    <w:p w14:paraId="690E952C" w14:textId="77777777" w:rsidR="00824130" w:rsidRPr="00D80201" w:rsidRDefault="00824130">
      <w:pPr>
        <w:pStyle w:val="BodyText"/>
        <w:rPr>
          <w:color w:val="000000"/>
          <w:sz w:val="26"/>
          <w:szCs w:val="26"/>
        </w:rPr>
      </w:pPr>
      <w:r>
        <w:rPr>
          <w:color w:val="000000"/>
          <w:sz w:val="26"/>
          <w:szCs w:val="26"/>
        </w:rPr>
        <w:t>266.</w:t>
      </w:r>
      <w:r>
        <w:rPr>
          <w:color w:val="000000"/>
          <w:sz w:val="26"/>
          <w:szCs w:val="26"/>
        </w:rPr>
        <w:tab/>
      </w:r>
      <w:r w:rsidRPr="00D80201">
        <w:rPr>
          <w:color w:val="000000"/>
          <w:sz w:val="26"/>
          <w:szCs w:val="26"/>
        </w:rPr>
        <w:t xml:space="preserve">SWP reiterates that it is not like other PTOs that would convert transmission facilities in addition to ETCs, and thus claims that it is unduly discriminatory to relieve transmission owning PTOs of all ETC obligations and to accommodate certain PTOs while leaving SWP with ETC burdens and no benefits.  SWP cites </w:t>
      </w:r>
      <w:r>
        <w:rPr>
          <w:color w:val="000000"/>
          <w:sz w:val="26"/>
          <w:szCs w:val="26"/>
        </w:rPr>
        <w:t>TransElect</w:t>
      </w:r>
      <w:r w:rsidRPr="00D80201">
        <w:rPr>
          <w:color w:val="000000"/>
          <w:sz w:val="26"/>
          <w:szCs w:val="26"/>
        </w:rPr>
        <w:t xml:space="preserve"> as an example of a new PTO that the ISO has accommodated because of certain contributions that it, like SWP will make to Path 15.  Ex. ISO-1 at 81, 90</w:t>
      </w:r>
      <w:r w:rsidRPr="00D80201">
        <w:rPr>
          <w:i/>
          <w:color w:val="000000"/>
          <w:sz w:val="26"/>
          <w:szCs w:val="26"/>
        </w:rPr>
        <w:t xml:space="preserve">.  </w:t>
      </w:r>
      <w:r w:rsidRPr="00D80201">
        <w:rPr>
          <w:color w:val="000000"/>
          <w:sz w:val="26"/>
          <w:szCs w:val="26"/>
        </w:rPr>
        <w:t xml:space="preserve">SWP requests the undersigned to require PG&amp;E and the ISO to excuse SWP from requirements to pay for converted ETC service through monetary or in-kind compensation; alternatively, SWP requests proportionally greater FTRs to compensate it for in-kind reliability support and its contribution to Path 15.  </w:t>
      </w:r>
    </w:p>
    <w:p w14:paraId="6F7DAACC" w14:textId="77777777" w:rsidR="00824130" w:rsidRPr="00D80201" w:rsidRDefault="00824130">
      <w:pPr>
        <w:rPr>
          <w:rFonts w:ascii="Times New Roman Bold" w:hAnsi="Times New Roman Bold"/>
          <w:b/>
          <w:color w:val="000000"/>
          <w:szCs w:val="26"/>
        </w:rPr>
      </w:pPr>
    </w:p>
    <w:p w14:paraId="430E50F1" w14:textId="77777777" w:rsidR="00824130" w:rsidRPr="00D80201" w:rsidRDefault="00824130">
      <w:pPr>
        <w:pStyle w:val="BodyTextFirstIndentD"/>
        <w:spacing w:line="240" w:lineRule="auto"/>
        <w:ind w:firstLine="0"/>
        <w:rPr>
          <w:color w:val="000000"/>
        </w:rPr>
      </w:pPr>
      <w:r>
        <w:rPr>
          <w:color w:val="000000"/>
        </w:rPr>
        <w:t>267.</w:t>
      </w:r>
      <w:r>
        <w:rPr>
          <w:color w:val="000000"/>
        </w:rPr>
        <w:tab/>
      </w:r>
      <w:r w:rsidRPr="00D80201">
        <w:rPr>
          <w:color w:val="000000"/>
        </w:rPr>
        <w:t xml:space="preserve">The ISO responds to SWP, which contends the ISO’s TAC proposal is unjust, unreasonable, or unduly discriminatory because it lacks specific provisions to address new PTOs that own no transmission facilities but have existing rights that they desire to turn over to ISO operational control.  According to the ISO, the Commission has already held that the ISO’s provisions regarding the transmission revenue requirement, transmission revenue balancing account, and transmission revenue credits are just and reasonable as they apply to SWP’s circumstances.  </w:t>
      </w:r>
      <w:smartTag w:uri="urn:schemas-microsoft-com:office:smarttags" w:element="place">
        <w:smartTag w:uri="urn:schemas-microsoft-com:office:smarttags" w:element="State">
          <w:r w:rsidRPr="00D80201">
            <w:rPr>
              <w:color w:val="000000"/>
              <w:u w:val="single"/>
            </w:rPr>
            <w:t>Cal.</w:t>
          </w:r>
        </w:smartTag>
      </w:smartTag>
      <w:r w:rsidRPr="00D80201">
        <w:rPr>
          <w:color w:val="000000"/>
          <w:u w:val="single"/>
        </w:rPr>
        <w:t xml:space="preserve"> Indep. Sys. Operator Corp.</w:t>
      </w:r>
      <w:r>
        <w:rPr>
          <w:color w:val="000000"/>
        </w:rPr>
        <w:t>, 94 FERC ¶ 61,343</w:t>
      </w:r>
      <w:r w:rsidRPr="00D80201">
        <w:rPr>
          <w:color w:val="000000"/>
        </w:rPr>
        <w:t xml:space="preserve"> at 62,269 (2001).  The ISO additionally responds to SWP’s arguments discussed above by distinguishing </w:t>
      </w:r>
      <w:r>
        <w:rPr>
          <w:color w:val="000000"/>
        </w:rPr>
        <w:t>TransElect</w:t>
      </w:r>
      <w:r w:rsidRPr="00D80201">
        <w:rPr>
          <w:color w:val="000000"/>
        </w:rPr>
        <w:t xml:space="preserve"> as an entity that was in the process of joining the ISO, and by stating that the ISO would make reasonable Tariff amendments to accommodate SWP as it has with each new PTO.  </w:t>
      </w:r>
      <w:r w:rsidRPr="00D80201">
        <w:rPr>
          <w:color w:val="000000"/>
          <w:u w:val="single"/>
        </w:rPr>
        <w:t>See</w:t>
      </w:r>
      <w:r w:rsidRPr="00D80201">
        <w:rPr>
          <w:color w:val="000000"/>
        </w:rPr>
        <w:t xml:space="preserve"> ISO Reply Brief at 44, </w:t>
      </w:r>
      <w:r w:rsidRPr="00D80201">
        <w:rPr>
          <w:color w:val="000000"/>
          <w:u w:val="single"/>
        </w:rPr>
        <w:t>citing</w:t>
      </w:r>
      <w:r w:rsidRPr="00D80201">
        <w:rPr>
          <w:i/>
          <w:color w:val="000000"/>
        </w:rPr>
        <w:t xml:space="preserve"> </w:t>
      </w:r>
      <w:r w:rsidRPr="00D80201">
        <w:rPr>
          <w:color w:val="000000"/>
          <w:u w:val="single"/>
        </w:rPr>
        <w:t xml:space="preserve">City of </w:t>
      </w:r>
      <w:smartTag w:uri="urn:schemas-microsoft-com:office:smarttags" w:element="place">
        <w:smartTag w:uri="urn:schemas-microsoft-com:office:smarttags" w:element="City">
          <w:r w:rsidRPr="00D80201">
            <w:rPr>
              <w:color w:val="000000"/>
              <w:u w:val="single"/>
            </w:rPr>
            <w:t>Azusa</w:t>
          </w:r>
        </w:smartTag>
      </w:smartTag>
      <w:r w:rsidRPr="00D80201">
        <w:rPr>
          <w:color w:val="000000"/>
        </w:rPr>
        <w:t xml:space="preserve">, 101 FERC ¶ 61,352 (2002), </w:t>
      </w:r>
      <w:r w:rsidRPr="00D80201">
        <w:rPr>
          <w:color w:val="000000"/>
          <w:u w:val="single"/>
        </w:rPr>
        <w:t>clarified</w:t>
      </w:r>
      <w:r w:rsidRPr="00D80201">
        <w:rPr>
          <w:color w:val="000000"/>
        </w:rPr>
        <w:t>, 102 FERC ¶ 61,153 (2003).  Regarding the costs of services that SWP would retain under existing contracts, the ISO notes that if SWP could establish the costs of these obligations, then it could include them in its TRR.</w:t>
      </w:r>
    </w:p>
    <w:p w14:paraId="1743F8B5" w14:textId="77777777" w:rsidR="00824130" w:rsidRPr="00D80201" w:rsidRDefault="00824130">
      <w:pPr>
        <w:ind w:firstLine="780"/>
        <w:rPr>
          <w:color w:val="000000"/>
          <w:szCs w:val="26"/>
        </w:rPr>
      </w:pPr>
      <w:r w:rsidRPr="00D80201">
        <w:rPr>
          <w:color w:val="000000"/>
          <w:szCs w:val="26"/>
        </w:rPr>
        <w:t xml:space="preserve"> </w:t>
      </w:r>
    </w:p>
    <w:p w14:paraId="25A8F25A" w14:textId="77777777" w:rsidR="00824130" w:rsidRPr="00D80201" w:rsidRDefault="00824130">
      <w:pPr>
        <w:rPr>
          <w:color w:val="000000"/>
          <w:szCs w:val="26"/>
        </w:rPr>
      </w:pPr>
      <w:r>
        <w:rPr>
          <w:color w:val="000000"/>
          <w:szCs w:val="26"/>
        </w:rPr>
        <w:t>268.</w:t>
      </w:r>
      <w:r>
        <w:rPr>
          <w:color w:val="000000"/>
          <w:szCs w:val="26"/>
        </w:rPr>
        <w:tab/>
      </w:r>
      <w:r w:rsidRPr="00D80201">
        <w:rPr>
          <w:color w:val="000000"/>
          <w:szCs w:val="26"/>
        </w:rPr>
        <w:t xml:space="preserve">Staff agrees with the ISO.  Staff also points out the inconsistency of the relief that SWP is requesting with its status as an ETC holder that may join the ISO.  In order to provide the relief requested, the ISO would have to abrogate SWP’s contract with PG&amp;E.  Staff continues that not only does the ISO not have the power to do so, but in addition, termination of the contract would leave SWP without any existing rights to turn over to the ISO’s control.  Staff Reply Brief at 37-38.  </w:t>
      </w:r>
    </w:p>
    <w:p w14:paraId="5D661BD1" w14:textId="77777777" w:rsidR="00824130" w:rsidRPr="00D80201" w:rsidRDefault="00824130">
      <w:pPr>
        <w:ind w:firstLine="780"/>
        <w:rPr>
          <w:color w:val="000000"/>
          <w:szCs w:val="26"/>
        </w:rPr>
      </w:pPr>
    </w:p>
    <w:p w14:paraId="314618D0" w14:textId="77777777" w:rsidR="00824130" w:rsidRPr="00D80201" w:rsidRDefault="00824130">
      <w:pPr>
        <w:rPr>
          <w:color w:val="000000"/>
          <w:szCs w:val="26"/>
        </w:rPr>
      </w:pPr>
      <w:r>
        <w:rPr>
          <w:color w:val="000000"/>
          <w:szCs w:val="26"/>
        </w:rPr>
        <w:t>269.</w:t>
      </w:r>
      <w:r>
        <w:rPr>
          <w:color w:val="000000"/>
          <w:szCs w:val="26"/>
        </w:rPr>
        <w:tab/>
      </w:r>
      <w:r w:rsidRPr="00D80201">
        <w:rPr>
          <w:color w:val="000000"/>
          <w:szCs w:val="26"/>
        </w:rPr>
        <w:t xml:space="preserve">SCE agrees with the ISO and Staff regarding the applicability of the Commission’s ruling as discussed above.  </w:t>
      </w:r>
    </w:p>
    <w:p w14:paraId="6932AF03" w14:textId="77777777" w:rsidR="00824130" w:rsidRPr="00D80201" w:rsidRDefault="00824130">
      <w:pPr>
        <w:ind w:firstLine="780"/>
        <w:rPr>
          <w:color w:val="000000"/>
          <w:szCs w:val="26"/>
        </w:rPr>
      </w:pPr>
    </w:p>
    <w:p w14:paraId="587102EB" w14:textId="77777777" w:rsidR="00824130" w:rsidRPr="00D80201" w:rsidRDefault="00824130">
      <w:pPr>
        <w:rPr>
          <w:color w:val="000000"/>
          <w:szCs w:val="26"/>
        </w:rPr>
      </w:pPr>
      <w:r>
        <w:rPr>
          <w:color w:val="000000"/>
          <w:szCs w:val="26"/>
        </w:rPr>
        <w:t>270.</w:t>
      </w:r>
      <w:r>
        <w:rPr>
          <w:color w:val="000000"/>
          <w:szCs w:val="26"/>
        </w:rPr>
        <w:tab/>
      </w:r>
      <w:r w:rsidRPr="00D80201">
        <w:rPr>
          <w:color w:val="000000"/>
          <w:szCs w:val="26"/>
        </w:rPr>
        <w:t>SCE also contends that in the application of the TAC rate methodology, there is no meaningful difference between a PTO with both ownership rights in transmission facilities (hardware owner) and contractual rights (entitlements) and a PTO with only entitlements.  Ex. SCE-13 at 34.  All PTOs with entitlements must continue to pay their contractual service provider and then file a TRR that includes such contractual costs, which it will recover from the ISO.  SCE contends that, before alleging that the ISO’s provision was unreasonable and discriminatory for PTOs that only own contractual rights, SWP did not research whether the eight PTOs that converted contractual rights included the transmission costs that they included in the TRR in the transmission costs that they pay for those contracts in their TRR.  According to SCE, SWP only cited risk of non-recovery and expense of filing as reasons for not filing the TRR; SCE witness Cuillier states that filing a TRR is neither expensive nor burdensome, particularly if a PTO’s TRR is largely limited to the cost of the transmission service payments it makes unde</w:t>
      </w:r>
      <w:r>
        <w:rPr>
          <w:color w:val="000000"/>
          <w:szCs w:val="26"/>
        </w:rPr>
        <w:t xml:space="preserve">r the entitlements.  </w:t>
      </w:r>
      <w:smartTag w:uri="urn:schemas-microsoft-com:office:smarttags" w:element="place">
        <w:smartTag w:uri="urn:schemas-microsoft-com:office:smarttags" w:element="State">
          <w:r w:rsidRPr="00387701">
            <w:rPr>
              <w:color w:val="000000"/>
              <w:szCs w:val="26"/>
              <w:u w:val="single"/>
            </w:rPr>
            <w:t>Id.</w:t>
          </w:r>
        </w:smartTag>
      </w:smartTag>
      <w:r>
        <w:rPr>
          <w:color w:val="000000"/>
          <w:szCs w:val="26"/>
        </w:rPr>
        <w:t xml:space="preserve"> </w:t>
      </w:r>
      <w:r w:rsidRPr="00D80201">
        <w:rPr>
          <w:color w:val="000000"/>
          <w:szCs w:val="26"/>
        </w:rPr>
        <w:t xml:space="preserve">at 35.  </w:t>
      </w:r>
    </w:p>
    <w:p w14:paraId="0289E2BE" w14:textId="77777777" w:rsidR="00824130" w:rsidRPr="00D80201" w:rsidRDefault="00824130">
      <w:pPr>
        <w:ind w:firstLine="780"/>
        <w:rPr>
          <w:color w:val="000000"/>
          <w:szCs w:val="26"/>
        </w:rPr>
      </w:pPr>
    </w:p>
    <w:p w14:paraId="7ECC3FAD" w14:textId="77777777" w:rsidR="00824130" w:rsidRPr="00D80201" w:rsidRDefault="00824130">
      <w:pPr>
        <w:rPr>
          <w:color w:val="000000"/>
          <w:szCs w:val="26"/>
        </w:rPr>
      </w:pPr>
      <w:r>
        <w:rPr>
          <w:color w:val="000000"/>
          <w:szCs w:val="26"/>
        </w:rPr>
        <w:t>271.</w:t>
      </w:r>
      <w:r>
        <w:rPr>
          <w:color w:val="000000"/>
          <w:szCs w:val="26"/>
        </w:rPr>
        <w:tab/>
      </w:r>
      <w:r w:rsidRPr="00D80201">
        <w:rPr>
          <w:color w:val="000000"/>
          <w:szCs w:val="26"/>
        </w:rPr>
        <w:t xml:space="preserve">In response to arguments by SWP that it would still be obligated to provide services under its ETC contract whereas PG&amp;E would not be, SCE argues that all rights other than transmission rights remain unaffected by the conversion.  SCE Reply Brief at 39, </w:t>
      </w:r>
      <w:r w:rsidRPr="00D80201">
        <w:rPr>
          <w:color w:val="000000"/>
          <w:szCs w:val="26"/>
          <w:u w:val="single"/>
        </w:rPr>
        <w:t>citing</w:t>
      </w:r>
      <w:r w:rsidRPr="00D80201">
        <w:rPr>
          <w:color w:val="000000"/>
          <w:szCs w:val="26"/>
        </w:rPr>
        <w:t xml:space="preserve"> ISO Initial Brief at 57.</w:t>
      </w:r>
    </w:p>
    <w:p w14:paraId="7CB3D9F1" w14:textId="77777777" w:rsidR="00824130" w:rsidRPr="00D80201" w:rsidRDefault="00824130">
      <w:pPr>
        <w:ind w:firstLine="780"/>
        <w:rPr>
          <w:color w:val="000000"/>
          <w:szCs w:val="26"/>
        </w:rPr>
      </w:pPr>
    </w:p>
    <w:p w14:paraId="1ABCDA54" w14:textId="77777777" w:rsidR="00824130" w:rsidRPr="00D80201" w:rsidRDefault="00824130">
      <w:pPr>
        <w:rPr>
          <w:color w:val="000000"/>
          <w:szCs w:val="26"/>
        </w:rPr>
      </w:pPr>
      <w:r>
        <w:rPr>
          <w:color w:val="000000"/>
          <w:szCs w:val="26"/>
        </w:rPr>
        <w:t>272.</w:t>
      </w:r>
      <w:r>
        <w:rPr>
          <w:color w:val="000000"/>
          <w:szCs w:val="26"/>
        </w:rPr>
        <w:tab/>
      </w:r>
      <w:r w:rsidRPr="00D80201">
        <w:rPr>
          <w:color w:val="000000"/>
          <w:szCs w:val="26"/>
        </w:rPr>
        <w:t xml:space="preserve">PG&amp;E argues that this issue as outside of the scope of this proceeding.  </w:t>
      </w:r>
    </w:p>
    <w:p w14:paraId="5A109205" w14:textId="77777777" w:rsidR="00824130" w:rsidRPr="00D80201" w:rsidRDefault="00824130">
      <w:pPr>
        <w:ind w:firstLine="720"/>
        <w:rPr>
          <w:color w:val="000000"/>
          <w:szCs w:val="26"/>
        </w:rPr>
      </w:pPr>
    </w:p>
    <w:p w14:paraId="48BEAAEC"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 xml:space="preserve">Discussion and Findings </w:t>
      </w:r>
    </w:p>
    <w:p w14:paraId="55B00928" w14:textId="77777777" w:rsidR="00824130" w:rsidRPr="00D80201" w:rsidRDefault="00824130">
      <w:pPr>
        <w:rPr>
          <w:color w:val="000000"/>
          <w:szCs w:val="26"/>
        </w:rPr>
      </w:pPr>
    </w:p>
    <w:p w14:paraId="5D5C332C" w14:textId="77777777" w:rsidR="00824130" w:rsidRPr="00D80201" w:rsidRDefault="00824130">
      <w:pPr>
        <w:rPr>
          <w:color w:val="000000"/>
          <w:szCs w:val="26"/>
        </w:rPr>
      </w:pPr>
      <w:r>
        <w:rPr>
          <w:color w:val="000000"/>
          <w:szCs w:val="26"/>
        </w:rPr>
        <w:t>273.</w:t>
      </w:r>
      <w:r>
        <w:rPr>
          <w:color w:val="000000"/>
          <w:szCs w:val="26"/>
        </w:rPr>
        <w:tab/>
      </w:r>
      <w:r w:rsidRPr="00D80201">
        <w:rPr>
          <w:color w:val="000000"/>
          <w:szCs w:val="26"/>
        </w:rPr>
        <w:t>As discussed above, SWP requests several alternate forms of relief.  Additionally as discussed above, some of SWP’s requests pertain to issues that it has with specific PTOs/scheduling coordinators, and those issues should be resolved through contract negotiations with that PTO/ Scheduling Coordinator or in a separate docket at the Commission.</w:t>
      </w:r>
      <w:r w:rsidRPr="00D80201">
        <w:rPr>
          <w:rStyle w:val="FootnoteReference"/>
          <w:color w:val="000000"/>
        </w:rPr>
        <w:footnoteReference w:id="86"/>
      </w:r>
      <w:r w:rsidRPr="00D80201">
        <w:rPr>
          <w:color w:val="000000"/>
          <w:szCs w:val="26"/>
        </w:rPr>
        <w:t xml:space="preserve">  As previously explained, services and costs arising under the ETC that are not related to transmission, are not relevant to the TAC and are, therefore, outside the scope of this proceeding.  This section will address remaining requests.  </w:t>
      </w:r>
    </w:p>
    <w:p w14:paraId="3524118D" w14:textId="77777777" w:rsidR="00824130" w:rsidRPr="00D80201" w:rsidRDefault="00824130">
      <w:pPr>
        <w:rPr>
          <w:color w:val="000000"/>
          <w:szCs w:val="26"/>
        </w:rPr>
      </w:pPr>
    </w:p>
    <w:p w14:paraId="43C21DA6" w14:textId="77777777" w:rsidR="00824130" w:rsidRPr="00D80201" w:rsidRDefault="00824130">
      <w:pPr>
        <w:pStyle w:val="FootnoteText"/>
        <w:ind w:firstLine="0"/>
        <w:rPr>
          <w:szCs w:val="26"/>
        </w:rPr>
      </w:pPr>
      <w:r>
        <w:rPr>
          <w:szCs w:val="26"/>
        </w:rPr>
        <w:t>274.</w:t>
      </w:r>
      <w:r>
        <w:rPr>
          <w:szCs w:val="26"/>
        </w:rPr>
        <w:tab/>
      </w:r>
      <w:r w:rsidRPr="00D80201">
        <w:rPr>
          <w:szCs w:val="26"/>
        </w:rPr>
        <w:t xml:space="preserve">SWP requests that it receive treatment similar to </w:t>
      </w:r>
      <w:r>
        <w:rPr>
          <w:szCs w:val="26"/>
        </w:rPr>
        <w:t>TransElect</w:t>
      </w:r>
      <w:r w:rsidRPr="00D80201">
        <w:rPr>
          <w:szCs w:val="26"/>
        </w:rPr>
        <w:t xml:space="preserve">, for whom, SWP contends, the ISO has made certain accommodations due to certain services that it will provide along Path 15.  SWP Reply Brief at 22, </w:t>
      </w:r>
      <w:r w:rsidRPr="00D80201">
        <w:rPr>
          <w:szCs w:val="26"/>
          <w:u w:val="single"/>
        </w:rPr>
        <w:t>citing</w:t>
      </w:r>
      <w:r w:rsidRPr="00D80201">
        <w:rPr>
          <w:szCs w:val="26"/>
        </w:rPr>
        <w:t xml:space="preserve"> Ex. ISO-1 at 81, 90.  However, the obvious difference between the two is that </w:t>
      </w:r>
      <w:r>
        <w:rPr>
          <w:szCs w:val="26"/>
        </w:rPr>
        <w:t>TransElect</w:t>
      </w:r>
      <w:r w:rsidRPr="00D80201">
        <w:rPr>
          <w:szCs w:val="26"/>
        </w:rPr>
        <w:t xml:space="preserve"> has joined the ISO. As the ISO explains, Section 2.4.4.3.2 of the ISO Tariff encourages parties to the existing contract to make changes to avoid inconsistencies with the ISO, or to seek changes from the Commission.  ISO Initial Brief at 57.  Such a process could possibly accommodate some of SWP’s concerns, to the extent that the TRR does not address them, once SWP has joined the ISO, if it decides to do so.  Certainly, the ISO would be expected to make reasonable tariff amendments to accommodate SWP, as it has with each new PTO, at such time as SWP becomes fully committed to becoming a new PTO.  The ISO and/or the PTOs with whom SWP has its existing contracts are strongly urged to continue to work together to amend the Tariff or modify the contracts as necessary and appropriate to address SWP’s concerns.  </w:t>
      </w:r>
    </w:p>
    <w:p w14:paraId="08F83177" w14:textId="77777777" w:rsidR="00824130" w:rsidRPr="00D80201" w:rsidRDefault="00824130">
      <w:pPr>
        <w:pStyle w:val="FootnoteText"/>
        <w:rPr>
          <w:szCs w:val="26"/>
        </w:rPr>
      </w:pPr>
    </w:p>
    <w:p w14:paraId="348E52A3" w14:textId="77777777" w:rsidR="00824130" w:rsidRPr="00D80201" w:rsidRDefault="00824130">
      <w:pPr>
        <w:rPr>
          <w:color w:val="000000"/>
          <w:szCs w:val="26"/>
        </w:rPr>
      </w:pPr>
      <w:r>
        <w:rPr>
          <w:color w:val="000000"/>
          <w:szCs w:val="26"/>
        </w:rPr>
        <w:t>275.</w:t>
      </w:r>
      <w:r>
        <w:rPr>
          <w:color w:val="000000"/>
          <w:szCs w:val="26"/>
        </w:rPr>
        <w:tab/>
      </w:r>
      <w:r w:rsidRPr="00D80201">
        <w:rPr>
          <w:color w:val="000000"/>
          <w:szCs w:val="26"/>
        </w:rPr>
        <w:t>SWP’s attempt to propose tariff language that would exempt SWP from the requirements all PTOs face to develop a TRR, a Transmission Revenue Balancing Account (</w:t>
      </w:r>
      <w:r>
        <w:rPr>
          <w:color w:val="000000"/>
          <w:szCs w:val="26"/>
        </w:rPr>
        <w:t>“</w:t>
      </w:r>
      <w:r w:rsidRPr="00D80201">
        <w:rPr>
          <w:color w:val="000000"/>
          <w:szCs w:val="26"/>
        </w:rPr>
        <w:t>TRBA</w:t>
      </w:r>
      <w:r>
        <w:rPr>
          <w:color w:val="000000"/>
          <w:szCs w:val="26"/>
        </w:rPr>
        <w:t>”</w:t>
      </w:r>
      <w:r w:rsidRPr="00D80201">
        <w:rPr>
          <w:color w:val="000000"/>
          <w:szCs w:val="26"/>
        </w:rPr>
        <w:t>), and a Transmission Owner Tariff must also be rejected.</w:t>
      </w:r>
      <w:r w:rsidRPr="00D80201">
        <w:rPr>
          <w:rStyle w:val="FootnoteReference"/>
          <w:color w:val="000000"/>
        </w:rPr>
        <w:footnoteReference w:id="87"/>
      </w:r>
      <w:r w:rsidRPr="00D80201">
        <w:rPr>
          <w:color w:val="000000"/>
          <w:szCs w:val="26"/>
        </w:rPr>
        <w:t xml:space="preserve">  SCE is correct in asserting that in the application of the TAC rate methodology, there is no meaningful difference between a PTO with both ownership rights in transmission facilities (hardware owner) and contractual rights (entitlements) and a PTO with only entitlements.  Ex. SCE-13 at 34.  </w:t>
      </w:r>
      <w:r w:rsidRPr="00D80201">
        <w:rPr>
          <w:i/>
          <w:color w:val="000000"/>
          <w:szCs w:val="26"/>
        </w:rPr>
        <w:t>All</w:t>
      </w:r>
      <w:r w:rsidRPr="00D80201">
        <w:rPr>
          <w:color w:val="000000"/>
          <w:szCs w:val="26"/>
        </w:rPr>
        <w:t xml:space="preserve"> PTOs with entitlements must continue to pay their contractual service provider and then file a TRR that includes such contractual costs, which it will recover from the ISO.  While it is certainly understandable that SWP would like to be exempted from the need to file a TRR to recover its costs, something which it has never had to do before, SWP is not alone.  Other PTOs must perform the same exercise to recover their transmission costs.  </w:t>
      </w:r>
    </w:p>
    <w:p w14:paraId="5304F7BA" w14:textId="77777777" w:rsidR="00824130" w:rsidRPr="00D80201" w:rsidRDefault="00824130">
      <w:pPr>
        <w:rPr>
          <w:color w:val="000000"/>
          <w:szCs w:val="26"/>
        </w:rPr>
      </w:pPr>
    </w:p>
    <w:p w14:paraId="00A08379" w14:textId="77777777" w:rsidR="00824130" w:rsidRPr="00D80201" w:rsidRDefault="00824130">
      <w:pPr>
        <w:rPr>
          <w:color w:val="000000"/>
          <w:szCs w:val="26"/>
        </w:rPr>
      </w:pPr>
      <w:r>
        <w:rPr>
          <w:color w:val="000000"/>
          <w:szCs w:val="26"/>
        </w:rPr>
        <w:t>276.</w:t>
      </w:r>
      <w:r>
        <w:rPr>
          <w:color w:val="000000"/>
          <w:szCs w:val="26"/>
        </w:rPr>
        <w:tab/>
      </w:r>
      <w:r w:rsidRPr="00D80201">
        <w:rPr>
          <w:color w:val="000000"/>
          <w:szCs w:val="26"/>
        </w:rPr>
        <w:t xml:space="preserve">As Staff points out, both the ISO and the Commission have rejected SWP’s arguments regarding this provision.  In </w:t>
      </w:r>
      <w:smartTag w:uri="urn:schemas-microsoft-com:office:smarttags" w:element="place">
        <w:smartTag w:uri="urn:schemas-microsoft-com:office:smarttags" w:element="State">
          <w:r w:rsidRPr="00D80201">
            <w:rPr>
              <w:color w:val="000000"/>
              <w:szCs w:val="26"/>
              <w:u w:val="single"/>
            </w:rPr>
            <w:t>California</w:t>
          </w:r>
        </w:smartTag>
      </w:smartTag>
      <w:r w:rsidRPr="00D80201">
        <w:rPr>
          <w:color w:val="000000"/>
          <w:szCs w:val="26"/>
          <w:u w:val="single"/>
        </w:rPr>
        <w:t xml:space="preserve"> Indep. Sys. Operator Corp.</w:t>
      </w:r>
      <w:r w:rsidRPr="00D80201">
        <w:rPr>
          <w:color w:val="000000"/>
          <w:szCs w:val="26"/>
        </w:rPr>
        <w:t>, 94 FERC ¶ 61,343, at 62268-69 (2001), the Commission stated</w:t>
      </w:r>
      <w:r>
        <w:rPr>
          <w:color w:val="000000"/>
          <w:szCs w:val="26"/>
        </w:rPr>
        <w:t>:</w:t>
      </w:r>
    </w:p>
    <w:p w14:paraId="28E077D3" w14:textId="77777777" w:rsidR="00824130" w:rsidRPr="00D80201" w:rsidRDefault="00824130">
      <w:pPr>
        <w:rPr>
          <w:color w:val="000000"/>
          <w:szCs w:val="26"/>
        </w:rPr>
      </w:pPr>
    </w:p>
    <w:p w14:paraId="46619C57" w14:textId="77777777" w:rsidR="00824130" w:rsidRPr="00D80201" w:rsidRDefault="00824130">
      <w:pPr>
        <w:ind w:left="720"/>
        <w:rPr>
          <w:color w:val="000000"/>
          <w:szCs w:val="26"/>
        </w:rPr>
      </w:pPr>
      <w:r w:rsidRPr="00D80201">
        <w:rPr>
          <w:color w:val="000000"/>
          <w:szCs w:val="26"/>
        </w:rPr>
        <w:t>Upon consideration of the arguments raised on rehearing by the ISO and SoCal Edison, we grant rehearing on this issue.  We agree with the ISO and SoCal Edison that if DWR becomes a Participating Transmission Owner in the ISO, it must have in place a TRR and TRBA.  Although the ISO in this situation would be the provider of transmission services pursuant to the ISO’s open access tariff, the ISO’s customers would be able to make use of DWR’s contractual rights that have been turned over to the ISO.  The ISO would have to be able to price charges for such use to its customers and DWR would need a mechanism to recoup its costs from the ISO.  We also concur with the ISO and SoCal Edison that an access charge and related mechanisms (</w:t>
      </w:r>
      <w:r w:rsidRPr="00D80201">
        <w:rPr>
          <w:color w:val="000000"/>
          <w:szCs w:val="26"/>
          <w:u w:val="single"/>
        </w:rPr>
        <w:t>e.g.</w:t>
      </w:r>
      <w:r w:rsidRPr="00D80201">
        <w:rPr>
          <w:color w:val="000000"/>
          <w:szCs w:val="26"/>
        </w:rPr>
        <w:t xml:space="preserve">, a TRR) for DWR can be readily derived from the costs of its existing contractual transmission rights, and that treating DWR differently from the other Participating Transmission owners would “severely skew[] the cost allocation system under the ISO tariff.”  We note that all Participating Transmission Owners receive revenues from the ISO and that certain revenues are to be included in the Participating Transmission Owner’s TRBA as a credit to their TRRs.  Thus, DWR, once it converts its rights by joining the ISO, as well as any other new or existing Participating Transmission Owner, must have TRBA that reflects, among other things: Congestion Usage Charge revenues; Wheeling Revenues; and FTR auction revenues, so as to ensure that these revenues are used to reduce the Participating Transmission Owners’ TRR.  </w:t>
      </w:r>
    </w:p>
    <w:p w14:paraId="29B78DE9" w14:textId="77777777" w:rsidR="00824130" w:rsidRPr="00D80201" w:rsidRDefault="00824130">
      <w:pPr>
        <w:rPr>
          <w:color w:val="000000"/>
          <w:szCs w:val="26"/>
        </w:rPr>
      </w:pPr>
    </w:p>
    <w:p w14:paraId="01CBECC7" w14:textId="77777777" w:rsidR="00824130" w:rsidRPr="00D80201" w:rsidRDefault="00824130">
      <w:pPr>
        <w:rPr>
          <w:color w:val="000000"/>
          <w:szCs w:val="26"/>
        </w:rPr>
      </w:pPr>
      <w:r w:rsidRPr="00D80201">
        <w:rPr>
          <w:color w:val="000000"/>
          <w:szCs w:val="26"/>
        </w:rPr>
        <w:t xml:space="preserve">In other words, the differences between SWP and other PTOs due to its owning solely contractual rights and not transmission facilities have not constituted enough reason for differential treatment in the past.   </w:t>
      </w:r>
    </w:p>
    <w:p w14:paraId="07474C90" w14:textId="77777777" w:rsidR="00824130" w:rsidRPr="00D80201" w:rsidRDefault="00824130">
      <w:pPr>
        <w:rPr>
          <w:color w:val="000000"/>
          <w:szCs w:val="26"/>
        </w:rPr>
      </w:pPr>
    </w:p>
    <w:p w14:paraId="5550E19E" w14:textId="77777777" w:rsidR="00824130" w:rsidRPr="00D80201" w:rsidRDefault="00824130">
      <w:pPr>
        <w:rPr>
          <w:color w:val="000000"/>
          <w:szCs w:val="26"/>
        </w:rPr>
      </w:pPr>
      <w:r>
        <w:rPr>
          <w:color w:val="000000"/>
          <w:szCs w:val="26"/>
        </w:rPr>
        <w:t>277.</w:t>
      </w:r>
      <w:r>
        <w:rPr>
          <w:color w:val="000000"/>
          <w:szCs w:val="26"/>
        </w:rPr>
        <w:tab/>
      </w:r>
      <w:r w:rsidRPr="00D80201">
        <w:rPr>
          <w:color w:val="000000"/>
          <w:szCs w:val="26"/>
        </w:rPr>
        <w:t>Accordingly, there is no basis in Commission precedent to require the ISO to adopt SWP’s proposed changes to the TAC solely to accommodate SWP, including both the proposed tariff amendments and alternate forms of relief that SWP has requested, as discussed above.  While the ISO encourages parties to work together to accommodate a new PTOs’ concerns once the new PTO has joined the ISO, it does not seem reasonable to require the ISO to make such allowances unilaterally in anticipation of a specific entity becoming a PTO.</w:t>
      </w:r>
      <w:r w:rsidRPr="00D80201">
        <w:rPr>
          <w:rStyle w:val="FootnoteReference"/>
          <w:color w:val="000000"/>
        </w:rPr>
        <w:footnoteReference w:id="88"/>
      </w:r>
      <w:r w:rsidRPr="00D80201">
        <w:rPr>
          <w:color w:val="000000"/>
          <w:szCs w:val="26"/>
        </w:rPr>
        <w:t xml:space="preserve">  </w:t>
      </w:r>
      <w:r w:rsidRPr="00D80201">
        <w:rPr>
          <w:iCs/>
          <w:color w:val="000000"/>
          <w:szCs w:val="26"/>
          <w:u w:val="single"/>
        </w:rPr>
        <w:t>See</w:t>
      </w:r>
      <w:r w:rsidRPr="00D80201">
        <w:rPr>
          <w:iCs/>
          <w:color w:val="000000"/>
          <w:szCs w:val="26"/>
        </w:rPr>
        <w:t xml:space="preserve">, </w:t>
      </w:r>
      <w:r w:rsidRPr="00D80201">
        <w:rPr>
          <w:iCs/>
          <w:color w:val="000000"/>
          <w:szCs w:val="26"/>
          <w:u w:val="single"/>
        </w:rPr>
        <w:t>e.g.</w:t>
      </w:r>
      <w:r w:rsidRPr="00D80201">
        <w:rPr>
          <w:iCs/>
          <w:color w:val="000000"/>
          <w:szCs w:val="26"/>
        </w:rPr>
        <w:t>,</w:t>
      </w:r>
      <w:r w:rsidRPr="00D80201">
        <w:rPr>
          <w:color w:val="000000"/>
          <w:szCs w:val="26"/>
        </w:rPr>
        <w:t xml:space="preserve"> </w:t>
      </w:r>
      <w:smartTag w:uri="urn:schemas-microsoft-com:office:smarttags" w:element="place">
        <w:smartTag w:uri="urn:schemas-microsoft-com:office:smarttags" w:element="State">
          <w:r w:rsidRPr="00D80201">
            <w:rPr>
              <w:iCs/>
              <w:color w:val="000000"/>
              <w:szCs w:val="26"/>
              <w:u w:val="single"/>
            </w:rPr>
            <w:t>Cal.</w:t>
          </w:r>
        </w:smartTag>
      </w:smartTag>
      <w:r w:rsidRPr="00D80201">
        <w:rPr>
          <w:iCs/>
          <w:color w:val="000000"/>
          <w:szCs w:val="26"/>
          <w:u w:val="single"/>
        </w:rPr>
        <w:t xml:space="preserve"> Indep. Sys. Operator Corp.</w:t>
      </w:r>
      <w:r w:rsidRPr="00D80201">
        <w:rPr>
          <w:color w:val="000000"/>
          <w:szCs w:val="26"/>
        </w:rPr>
        <w:t>, 103 FERC ¶ 61,260 at P 13 (2003)(rejected ISO proposal for broad tariff language to accommodate WAPA, finding generally that exceptions to TAC methodology should be made in context of specific New PTOs request to join the ISO).</w:t>
      </w:r>
    </w:p>
    <w:p w14:paraId="1AEC48CD" w14:textId="77777777" w:rsidR="00824130" w:rsidRPr="00D80201" w:rsidRDefault="00824130">
      <w:pPr>
        <w:pStyle w:val="BodyTextFirstIndentD"/>
        <w:spacing w:line="240" w:lineRule="auto"/>
        <w:ind w:firstLine="0"/>
        <w:rPr>
          <w:color w:val="000000"/>
        </w:rPr>
      </w:pPr>
    </w:p>
    <w:p w14:paraId="75B1A5EE" w14:textId="77777777" w:rsidR="00824130" w:rsidRPr="00D80201" w:rsidRDefault="00824130">
      <w:pPr>
        <w:rPr>
          <w:color w:val="000000"/>
          <w:szCs w:val="26"/>
        </w:rPr>
      </w:pPr>
      <w:r>
        <w:rPr>
          <w:color w:val="000000"/>
          <w:szCs w:val="26"/>
        </w:rPr>
        <w:t>278.</w:t>
      </w:r>
      <w:r>
        <w:rPr>
          <w:color w:val="000000"/>
          <w:szCs w:val="26"/>
        </w:rPr>
        <w:tab/>
      </w:r>
      <w:r w:rsidRPr="00D80201">
        <w:rPr>
          <w:color w:val="000000"/>
          <w:szCs w:val="26"/>
        </w:rPr>
        <w:t xml:space="preserve">In sum, SWP has not met its burden of showing that the TAC is unjust, unreasonable, or unduly discriminatory.  To the extent that SWP is entitled to compensation for costs that it pays for transmission services under its ETC, the TAC would address SWP’s concerns if it were to become a new PTO because SWP could then claim those expenses as part of its TRR.  Tr. 2305:10 – 14.  </w:t>
      </w:r>
    </w:p>
    <w:p w14:paraId="3B3783E9" w14:textId="77777777" w:rsidR="00824130" w:rsidRPr="00D80201" w:rsidRDefault="00824130">
      <w:pPr>
        <w:rPr>
          <w:color w:val="000000"/>
          <w:szCs w:val="26"/>
        </w:rPr>
      </w:pPr>
    </w:p>
    <w:p w14:paraId="5BCC6393" w14:textId="77777777" w:rsidR="00824130" w:rsidRPr="00D80201" w:rsidRDefault="00824130">
      <w:pPr>
        <w:numPr>
          <w:ilvl w:val="0"/>
          <w:numId w:val="25"/>
        </w:numPr>
        <w:rPr>
          <w:rFonts w:ascii="Times New Roman Bold" w:hAnsi="Times New Roman Bold"/>
          <w:b/>
          <w:color w:val="000000"/>
          <w:szCs w:val="26"/>
        </w:rPr>
      </w:pPr>
      <w:r w:rsidRPr="00D80201">
        <w:rPr>
          <w:rFonts w:ascii="Times New Roman Bold" w:hAnsi="Times New Roman Bold"/>
          <w:b/>
          <w:color w:val="000000"/>
          <w:szCs w:val="26"/>
        </w:rPr>
        <w:t xml:space="preserve">High-Low </w:t>
      </w:r>
      <w:smartTag w:uri="urn:schemas-microsoft-com:office:smarttags" w:element="place">
        <w:smartTag w:uri="urn:schemas-microsoft-com:office:smarttags" w:element="City">
          <w:r w:rsidRPr="00D80201">
            <w:rPr>
              <w:rFonts w:ascii="Times New Roman Bold" w:hAnsi="Times New Roman Bold"/>
              <w:b/>
              <w:color w:val="000000"/>
              <w:szCs w:val="26"/>
            </w:rPr>
            <w:t>Split</w:t>
          </w:r>
        </w:smartTag>
      </w:smartTag>
      <w:r w:rsidRPr="00D80201">
        <w:rPr>
          <w:rFonts w:ascii="Times New Roman Bold" w:hAnsi="Times New Roman Bold"/>
          <w:b/>
          <w:color w:val="000000"/>
          <w:szCs w:val="26"/>
        </w:rPr>
        <w:t>: Whether the ISO’s proposed procedure for the allocation of the costs of transmission facilities between High Voltage and Low Voltage is just, reasonable, and not unduly discriminatory.</w:t>
      </w:r>
    </w:p>
    <w:p w14:paraId="4B14E7C0" w14:textId="77777777" w:rsidR="00824130" w:rsidRPr="00D80201" w:rsidRDefault="00824130">
      <w:pPr>
        <w:rPr>
          <w:rFonts w:ascii="Times New Roman Bold" w:hAnsi="Times New Roman Bold"/>
          <w:b/>
          <w:color w:val="000000"/>
          <w:szCs w:val="26"/>
        </w:rPr>
      </w:pPr>
      <w:r w:rsidRPr="00D80201">
        <w:rPr>
          <w:rFonts w:ascii="Times New Roman Bold" w:hAnsi="Times New Roman Bold"/>
          <w:b/>
          <w:color w:val="000000"/>
          <w:szCs w:val="26"/>
        </w:rPr>
        <w:tab/>
      </w:r>
    </w:p>
    <w:p w14:paraId="7C0B996C" w14:textId="77777777" w:rsidR="00824130" w:rsidRPr="00D80201" w:rsidRDefault="00824130">
      <w:pPr>
        <w:ind w:firstLine="36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6409BAEB" w14:textId="77777777" w:rsidR="00824130" w:rsidRPr="00D80201" w:rsidRDefault="00824130">
      <w:pPr>
        <w:rPr>
          <w:rFonts w:ascii="Times New Roman Bold" w:hAnsi="Times New Roman Bold"/>
          <w:b/>
          <w:color w:val="000000"/>
          <w:szCs w:val="26"/>
        </w:rPr>
      </w:pPr>
    </w:p>
    <w:p w14:paraId="6454BEC8" w14:textId="77777777" w:rsidR="00824130" w:rsidRPr="00D80201" w:rsidRDefault="00824130">
      <w:pPr>
        <w:rPr>
          <w:color w:val="000000"/>
          <w:szCs w:val="26"/>
        </w:rPr>
      </w:pPr>
      <w:r>
        <w:rPr>
          <w:color w:val="000000"/>
          <w:szCs w:val="26"/>
        </w:rPr>
        <w:t>279.</w:t>
      </w:r>
      <w:r>
        <w:rPr>
          <w:color w:val="000000"/>
          <w:szCs w:val="26"/>
        </w:rPr>
        <w:tab/>
      </w:r>
      <w:r w:rsidRPr="00D80201">
        <w:rPr>
          <w:color w:val="000000"/>
          <w:szCs w:val="26"/>
        </w:rPr>
        <w:t xml:space="preserve">Staff argues that the ISO’s procedure for division of certain costs between high and low voltage transmission access charges should be contained in the ISO Tariff.  According to Staff, the ISO does not object to this suggested change.  ISO-33 at 27:10 – 16.  </w:t>
      </w:r>
    </w:p>
    <w:p w14:paraId="2227F0B3" w14:textId="77777777" w:rsidR="00824130" w:rsidRPr="00D80201" w:rsidRDefault="00824130">
      <w:pPr>
        <w:ind w:firstLine="720"/>
        <w:rPr>
          <w:color w:val="000000"/>
          <w:szCs w:val="26"/>
        </w:rPr>
      </w:pPr>
    </w:p>
    <w:p w14:paraId="7149C809" w14:textId="77777777" w:rsidR="00824130" w:rsidRPr="00D80201" w:rsidRDefault="00824130">
      <w:pPr>
        <w:rPr>
          <w:color w:val="000000"/>
          <w:szCs w:val="26"/>
        </w:rPr>
      </w:pPr>
      <w:r>
        <w:rPr>
          <w:color w:val="000000"/>
          <w:szCs w:val="26"/>
        </w:rPr>
        <w:t>280.</w:t>
      </w:r>
      <w:r>
        <w:rPr>
          <w:color w:val="000000"/>
          <w:szCs w:val="26"/>
        </w:rPr>
        <w:tab/>
      </w:r>
      <w:r w:rsidRPr="00D80201">
        <w:rPr>
          <w:color w:val="000000"/>
          <w:szCs w:val="26"/>
        </w:rPr>
        <w:t xml:space="preserve">Staff also contends that where there is insufficient revenue requirement information available to allocate step down transformer costs between HVTRR and LVTRR, these costs should be allocated in the same manner as other substation facilities.  Staff states that, with the exception of the ISO’s proposed allocation of step down transformer costs, the ISO’s proposed methodology for splitting costs between HV and </w:t>
      </w:r>
      <w:smartTag w:uri="urn:schemas-microsoft-com:office:smarttags" w:element="place">
        <w:smartTag w:uri="urn:schemas-microsoft-com:office:smarttags" w:element="City">
          <w:r w:rsidRPr="00D80201">
            <w:rPr>
              <w:color w:val="000000"/>
              <w:szCs w:val="26"/>
            </w:rPr>
            <w:t>LV</w:t>
          </w:r>
        </w:smartTag>
      </w:smartTag>
      <w:r w:rsidRPr="00D80201">
        <w:rPr>
          <w:color w:val="000000"/>
          <w:szCs w:val="26"/>
        </w:rPr>
        <w:t xml:space="preserve"> is reasonable.  It balances certainty, understandability, and administrative ease.  Ex. S-1 at </w:t>
      </w:r>
      <w:smartTag w:uri="urn:schemas-microsoft-com:office:smarttags" w:element="time">
        <w:smartTagPr>
          <w:attr w:name="Hour" w:val="16"/>
          <w:attr w:name="Minute" w:val="13"/>
        </w:smartTagPr>
        <w:r w:rsidRPr="00D80201">
          <w:rPr>
            <w:color w:val="000000"/>
            <w:szCs w:val="26"/>
          </w:rPr>
          <w:t>4:13</w:t>
        </w:r>
      </w:smartTag>
      <w:r w:rsidRPr="00D80201">
        <w:rPr>
          <w:color w:val="000000"/>
          <w:szCs w:val="26"/>
        </w:rPr>
        <w:t xml:space="preserve"> – 16.  However, Staff argues, the ISO’s proposal to allocate transformer costs 50 percent to the HVTRR and 50 percent to the LVTRR, when the PTO does not have the TRR information on a voltage basis, is arbitrary and inconsistent with cost causation principles.  In addition, Staff argues for rejection of SWP’s proposed approach when faced with unavailable data, of basing the on a determination of whether the facility “was built and operated for the sole purpose of interconnecting the High Voltage and Low Voltage Systems.”  Staff’s Initial Brief at 61 – 62, </w:t>
      </w:r>
      <w:r w:rsidRPr="00D80201">
        <w:rPr>
          <w:color w:val="000000"/>
          <w:szCs w:val="26"/>
          <w:u w:val="single"/>
        </w:rPr>
        <w:t>citing</w:t>
      </w:r>
      <w:r w:rsidRPr="00D80201">
        <w:rPr>
          <w:i/>
          <w:color w:val="000000"/>
          <w:szCs w:val="26"/>
        </w:rPr>
        <w:t xml:space="preserve"> </w:t>
      </w:r>
      <w:r w:rsidRPr="00D80201">
        <w:rPr>
          <w:color w:val="000000"/>
          <w:szCs w:val="26"/>
        </w:rPr>
        <w:t>Ex. SWP-67 at 51:1 – 25.</w:t>
      </w:r>
    </w:p>
    <w:p w14:paraId="368BE646" w14:textId="77777777" w:rsidR="00824130" w:rsidRPr="00D80201" w:rsidRDefault="00824130">
      <w:pPr>
        <w:rPr>
          <w:b/>
          <w:color w:val="000000"/>
          <w:szCs w:val="26"/>
        </w:rPr>
      </w:pPr>
    </w:p>
    <w:p w14:paraId="300DDF93" w14:textId="77777777" w:rsidR="00824130" w:rsidRPr="00D80201" w:rsidRDefault="00824130">
      <w:pPr>
        <w:rPr>
          <w:color w:val="000000"/>
          <w:szCs w:val="26"/>
        </w:rPr>
      </w:pPr>
      <w:r>
        <w:rPr>
          <w:color w:val="000000"/>
          <w:szCs w:val="26"/>
        </w:rPr>
        <w:t>281.</w:t>
      </w:r>
      <w:r>
        <w:rPr>
          <w:color w:val="000000"/>
          <w:szCs w:val="26"/>
        </w:rPr>
        <w:tab/>
      </w:r>
      <w:r w:rsidRPr="00D80201">
        <w:rPr>
          <w:color w:val="000000"/>
          <w:szCs w:val="26"/>
        </w:rPr>
        <w:t xml:space="preserve">Staff also contends that PG&amp;E has failed to demonstrate that its proposal to include all system interconnections in the high voltage – low voltage allocation is just and reasonable.  </w:t>
      </w:r>
    </w:p>
    <w:p w14:paraId="1F46E392" w14:textId="77777777" w:rsidR="00824130" w:rsidRPr="00D80201" w:rsidRDefault="00824130">
      <w:pPr>
        <w:rPr>
          <w:color w:val="000000"/>
          <w:szCs w:val="26"/>
        </w:rPr>
      </w:pPr>
    </w:p>
    <w:p w14:paraId="7D95115B" w14:textId="77777777" w:rsidR="00824130" w:rsidRPr="00D80201" w:rsidRDefault="00824130">
      <w:pPr>
        <w:rPr>
          <w:color w:val="000000"/>
          <w:szCs w:val="26"/>
        </w:rPr>
      </w:pPr>
      <w:r>
        <w:rPr>
          <w:color w:val="000000"/>
          <w:szCs w:val="26"/>
        </w:rPr>
        <w:t>282.</w:t>
      </w:r>
      <w:r>
        <w:rPr>
          <w:color w:val="000000"/>
          <w:szCs w:val="26"/>
        </w:rPr>
        <w:tab/>
      </w:r>
      <w:r w:rsidRPr="00D80201">
        <w:rPr>
          <w:color w:val="000000"/>
          <w:szCs w:val="26"/>
        </w:rPr>
        <w:t>PG&amp;E has identified certain problems with the ISO’s proposed procedure for allocating the cost of transmission facilities between high voltage and low voltage.  As to two of these problems, PG&amp;E’s proposed fixes have been unopposed by the ISO.  Accordingly, PG&amp;E argues, these two changes should be adopted.  The first of these changes is PG&amp;E’s recommended procedure for appropriately dividing the TRBA between high voltage and low voltage TRRs to ensure the high and low voltage allocation is just, reasonable and not unduly discriminatory.</w:t>
      </w:r>
      <w:r w:rsidRPr="00D80201">
        <w:rPr>
          <w:rStyle w:val="FootnoteReference"/>
          <w:color w:val="000000"/>
        </w:rPr>
        <w:footnoteReference w:id="89"/>
      </w:r>
      <w:r w:rsidRPr="00D80201">
        <w:rPr>
          <w:color w:val="000000"/>
          <w:szCs w:val="26"/>
        </w:rPr>
        <w:t xml:space="preserve">  The second problem to which PG&amp;E has proposed a solution, and to which it claims that no other party has objected, is the fact that the procedures for the high-low split were not proposed by the ISO to be included as part of the ISO Tariff.  PG&amp;E recommends that those procedures be included in the ISO Tariff.  Ex. PGE</w:t>
      </w:r>
      <w:r w:rsidRPr="00D80201">
        <w:rPr>
          <w:color w:val="000000"/>
          <w:szCs w:val="26"/>
        </w:rPr>
        <w:noBreakHyphen/>
        <w:t xml:space="preserve">2 at </w:t>
      </w:r>
      <w:smartTag w:uri="urn:schemas-microsoft-com:office:smarttags" w:element="time">
        <w:smartTagPr>
          <w:attr w:name="Hour" w:val="9"/>
          <w:attr w:name="Minute" w:val="11"/>
        </w:smartTagPr>
        <w:r w:rsidRPr="00D80201">
          <w:rPr>
            <w:color w:val="000000"/>
            <w:szCs w:val="26"/>
          </w:rPr>
          <w:t>9:11</w:t>
        </w:r>
      </w:smartTag>
      <w:r w:rsidRPr="00D80201">
        <w:rPr>
          <w:color w:val="000000"/>
          <w:szCs w:val="26"/>
        </w:rPr>
        <w:t xml:space="preserve"> – 25.  PG&amp;E states that Staff agreed with this proposed change,</w:t>
      </w:r>
      <w:r w:rsidRPr="00D80201">
        <w:rPr>
          <w:rStyle w:val="FootnoteReference"/>
          <w:color w:val="000000"/>
        </w:rPr>
        <w:footnoteReference w:id="90"/>
      </w:r>
      <w:r w:rsidRPr="00D80201">
        <w:rPr>
          <w:color w:val="000000"/>
          <w:szCs w:val="26"/>
        </w:rPr>
        <w:t xml:space="preserve"> and that the ISO has stated that it does not object to such a change in its tariff.  Ex. ISO</w:t>
      </w:r>
      <w:r w:rsidRPr="00D80201">
        <w:rPr>
          <w:color w:val="000000"/>
          <w:szCs w:val="26"/>
        </w:rPr>
        <w:noBreakHyphen/>
        <w:t xml:space="preserve">33 at 27:10 – 16.  </w:t>
      </w:r>
    </w:p>
    <w:p w14:paraId="5AC7CE89" w14:textId="77777777" w:rsidR="00824130" w:rsidRPr="00D80201" w:rsidRDefault="00824130">
      <w:pPr>
        <w:ind w:firstLine="720"/>
        <w:rPr>
          <w:color w:val="000000"/>
          <w:szCs w:val="26"/>
        </w:rPr>
      </w:pPr>
    </w:p>
    <w:p w14:paraId="3E4B4EFD" w14:textId="77777777" w:rsidR="00824130" w:rsidRPr="00D80201" w:rsidRDefault="00824130">
      <w:pPr>
        <w:pStyle w:val="FootnoteText"/>
        <w:ind w:firstLine="0"/>
        <w:rPr>
          <w:szCs w:val="26"/>
        </w:rPr>
      </w:pPr>
      <w:r>
        <w:rPr>
          <w:szCs w:val="26"/>
        </w:rPr>
        <w:t>283.</w:t>
      </w:r>
      <w:r>
        <w:rPr>
          <w:szCs w:val="26"/>
        </w:rPr>
        <w:tab/>
      </w:r>
      <w:r w:rsidRPr="00D80201">
        <w:rPr>
          <w:szCs w:val="26"/>
        </w:rPr>
        <w:t xml:space="preserve">PG&amp;E acknowledges the contention surrounding a third issue, which is the proper allocation of the costs of transmission facilities that interconnect high voltage transmission facilities of a PTO with the transmission facilities of a neighboring control area.  These facilities, which PG&amp;E refers to as “system interconnections,” provide unique, </w:t>
      </w:r>
      <w:r>
        <w:rPr>
          <w:szCs w:val="26"/>
        </w:rPr>
        <w:t>grid wide</w:t>
      </w:r>
      <w:r w:rsidRPr="00D80201">
        <w:rPr>
          <w:szCs w:val="26"/>
        </w:rPr>
        <w:t xml:space="preserve"> benefits by facilitating the transmission of electricity between control areas.  PG&amp;E contends that system interconnections perform the same basic function as the transmission facilities that are included in the high voltage access charge – they carry bulk power, such as for energy transactions with other control areas.  For that reason, PG&amp;E advocates that system interconnections should be included in the high voltage access charge.  Ex. PGE</w:t>
      </w:r>
      <w:r w:rsidRPr="00D80201">
        <w:rPr>
          <w:szCs w:val="26"/>
        </w:rPr>
        <w:noBreakHyphen/>
        <w:t>3 at 6:3 – 15.  PG&amp;E asserts that this change to the ISO’s proposal would not open the door to many additional facilities’ being included in high voltage transmission.  Ex. PGE</w:t>
      </w:r>
      <w:r w:rsidRPr="00D80201">
        <w:rPr>
          <w:szCs w:val="26"/>
        </w:rPr>
        <w:noBreakHyphen/>
        <w:t>6 at 6:3 – 12; Ex. PGE 6</w:t>
      </w:r>
      <w:r w:rsidRPr="00D80201">
        <w:rPr>
          <w:szCs w:val="26"/>
        </w:rPr>
        <w:noBreakHyphen/>
        <w:t>1.  PG&amp;E points out that Staff witness Gross explains, in quoting from ISO</w:t>
      </w:r>
      <w:r w:rsidRPr="00D80201">
        <w:rPr>
          <w:szCs w:val="26"/>
        </w:rPr>
        <w:noBreakHyphen/>
        <w:t>6 at 4, even if all facilities meeting PG&amp;E’s definition of system interconnections of all PTOs were included, there would still only be six paths or scheduling points that would need to be considered.</w:t>
      </w:r>
      <w:r w:rsidRPr="00D80201">
        <w:rPr>
          <w:rStyle w:val="FootnoteReference"/>
          <w:color w:val="000000"/>
        </w:rPr>
        <w:footnoteReference w:id="91"/>
      </w:r>
      <w:r w:rsidRPr="00D80201">
        <w:rPr>
          <w:szCs w:val="26"/>
        </w:rPr>
        <w:t xml:space="preserve">  Ex. S</w:t>
      </w:r>
      <w:r w:rsidRPr="00D80201">
        <w:rPr>
          <w:szCs w:val="26"/>
        </w:rPr>
        <w:noBreakHyphen/>
        <w:t xml:space="preserve">1 at </w:t>
      </w:r>
      <w:smartTag w:uri="urn:schemas-microsoft-com:office:smarttags" w:element="time">
        <w:smartTagPr>
          <w:attr w:name="Hour" w:val="16"/>
          <w:attr w:name="Minute" w:val="10"/>
        </w:smartTagPr>
        <w:r w:rsidRPr="00D80201">
          <w:rPr>
            <w:szCs w:val="26"/>
          </w:rPr>
          <w:t>16:10</w:t>
        </w:r>
      </w:smartTag>
      <w:r w:rsidRPr="00D80201">
        <w:rPr>
          <w:szCs w:val="26"/>
        </w:rPr>
        <w:t xml:space="preserve"> – 17:4.</w:t>
      </w:r>
    </w:p>
    <w:p w14:paraId="6A2204FE" w14:textId="77777777" w:rsidR="00824130" w:rsidRPr="00D80201" w:rsidRDefault="00824130">
      <w:pPr>
        <w:ind w:firstLine="720"/>
        <w:rPr>
          <w:color w:val="000000"/>
          <w:szCs w:val="26"/>
        </w:rPr>
      </w:pPr>
    </w:p>
    <w:p w14:paraId="3626703F" w14:textId="77777777" w:rsidR="00824130" w:rsidRPr="00D80201" w:rsidRDefault="00824130">
      <w:pPr>
        <w:rPr>
          <w:color w:val="000000"/>
          <w:szCs w:val="26"/>
        </w:rPr>
      </w:pPr>
      <w:r>
        <w:rPr>
          <w:color w:val="000000"/>
          <w:szCs w:val="26"/>
        </w:rPr>
        <w:t>284.</w:t>
      </w:r>
      <w:r>
        <w:rPr>
          <w:color w:val="000000"/>
          <w:szCs w:val="26"/>
        </w:rPr>
        <w:tab/>
      </w:r>
      <w:r w:rsidRPr="00D80201">
        <w:rPr>
          <w:color w:val="000000"/>
          <w:szCs w:val="26"/>
        </w:rPr>
        <w:t xml:space="preserve">PG&amp;E also supports the ISO’s proposal in this case for how costs associated with substations and transformers should be allocated between high and low voltage.  </w:t>
      </w:r>
    </w:p>
    <w:p w14:paraId="7BACF0E8" w14:textId="77777777" w:rsidR="00824130" w:rsidRPr="00D80201" w:rsidRDefault="00824130">
      <w:pPr>
        <w:ind w:firstLine="720"/>
        <w:rPr>
          <w:color w:val="000000"/>
          <w:szCs w:val="26"/>
        </w:rPr>
      </w:pPr>
    </w:p>
    <w:p w14:paraId="34A2F42F" w14:textId="77777777" w:rsidR="00824130" w:rsidRDefault="00824130">
      <w:pPr>
        <w:rPr>
          <w:color w:val="000000"/>
          <w:szCs w:val="26"/>
        </w:rPr>
      </w:pPr>
      <w:r>
        <w:rPr>
          <w:color w:val="000000"/>
          <w:szCs w:val="26"/>
        </w:rPr>
        <w:t>285.</w:t>
      </w:r>
      <w:r>
        <w:rPr>
          <w:color w:val="000000"/>
          <w:szCs w:val="26"/>
        </w:rPr>
        <w:tab/>
      </w:r>
      <w:r w:rsidRPr="00D80201">
        <w:rPr>
          <w:color w:val="000000"/>
          <w:szCs w:val="26"/>
        </w:rPr>
        <w:t>SWP claims that the ISO has not met its burden in defending its own approach.  Further, in response to the ISO’s justification that its proposal was the result of an unopposed stakeholder process,</w:t>
      </w:r>
      <w:r w:rsidRPr="00D80201">
        <w:rPr>
          <w:rStyle w:val="FootnoteReference"/>
          <w:color w:val="000000"/>
        </w:rPr>
        <w:footnoteReference w:id="92"/>
      </w:r>
      <w:r w:rsidRPr="00D80201">
        <w:rPr>
          <w:color w:val="000000"/>
          <w:szCs w:val="26"/>
        </w:rPr>
        <w:t xml:space="preserve"> SWP states that the stated justification is inaccurate because SWP did oppose the result.  The ISO advocated its high/low split proposal (now Ex. ISO-16), in testimony in the “830” dockets, concerning adoption of PTO rates to the then-new TAC. This matter was settled, through a </w:t>
      </w:r>
      <w:r w:rsidRPr="00D80201">
        <w:rPr>
          <w:iCs/>
          <w:color w:val="000000"/>
          <w:szCs w:val="26"/>
        </w:rPr>
        <w:t>nonprecedential</w:t>
      </w:r>
      <w:r w:rsidRPr="00D80201">
        <w:rPr>
          <w:i/>
          <w:iCs/>
          <w:color w:val="000000"/>
          <w:szCs w:val="26"/>
        </w:rPr>
        <w:t xml:space="preserve"> </w:t>
      </w:r>
      <w:r w:rsidRPr="00D80201">
        <w:rPr>
          <w:color w:val="000000"/>
          <w:szCs w:val="26"/>
        </w:rPr>
        <w:t xml:space="preserve">settlement filed in Docket No. ER01-831 on </w:t>
      </w:r>
      <w:smartTag w:uri="urn:schemas-microsoft-com:office:smarttags" w:element="date">
        <w:smartTagPr>
          <w:attr w:name="Month" w:val="12"/>
          <w:attr w:name="Day" w:val="21"/>
          <w:attr w:name="Year" w:val="2001"/>
        </w:smartTagPr>
        <w:r w:rsidRPr="00D80201">
          <w:rPr>
            <w:color w:val="000000"/>
            <w:szCs w:val="26"/>
          </w:rPr>
          <w:t>December 21, 2001</w:t>
        </w:r>
      </w:smartTag>
      <w:r w:rsidRPr="00D80201">
        <w:rPr>
          <w:color w:val="000000"/>
          <w:szCs w:val="26"/>
        </w:rPr>
        <w:t xml:space="preserve">. SWP states that this settlement, which includes what Ex. ISO-16 encompasses, expressly provided that the high/low split methodology </w:t>
      </w:r>
      <w:r w:rsidRPr="00D80201">
        <w:rPr>
          <w:iCs/>
          <w:color w:val="000000"/>
          <w:szCs w:val="26"/>
        </w:rPr>
        <w:t>would be subject to the outcome of litigation in this ER00-2019 docket</w:t>
      </w:r>
      <w:r w:rsidRPr="00D80201">
        <w:rPr>
          <w:color w:val="000000"/>
          <w:szCs w:val="26"/>
        </w:rPr>
        <w:t>.  Ex. SWP-57.  SWP states that although it acquiesced in the settlement to deferred resolution of the high/low split methodology by litigation in this Docket No. ER00-2019, it submitted testimony in Docket No. ER01-831 objecting to the very methodology contained in Ex. ISO-16. Thus, SWP claims, the ISO’s sole basis for its proposal in Ex. ISO-16 rests upon a mistake of fact.</w:t>
      </w:r>
    </w:p>
    <w:p w14:paraId="6A7E8B4F" w14:textId="77777777" w:rsidR="00824130" w:rsidRPr="00D80201" w:rsidRDefault="00824130">
      <w:pPr>
        <w:ind w:firstLine="720"/>
        <w:rPr>
          <w:color w:val="000000"/>
          <w:szCs w:val="26"/>
        </w:rPr>
      </w:pPr>
    </w:p>
    <w:p w14:paraId="13B3468B" w14:textId="77777777" w:rsidR="00824130" w:rsidRPr="00D80201" w:rsidRDefault="00824130">
      <w:pPr>
        <w:rPr>
          <w:color w:val="000000"/>
          <w:szCs w:val="26"/>
        </w:rPr>
      </w:pPr>
      <w:r>
        <w:rPr>
          <w:color w:val="000000"/>
          <w:szCs w:val="26"/>
        </w:rPr>
        <w:t>286.</w:t>
      </w:r>
      <w:r>
        <w:rPr>
          <w:color w:val="000000"/>
          <w:szCs w:val="26"/>
        </w:rPr>
        <w:tab/>
      </w:r>
      <w:r w:rsidRPr="00D80201">
        <w:rPr>
          <w:color w:val="000000"/>
          <w:szCs w:val="26"/>
        </w:rPr>
        <w:t xml:space="preserve">SWP supports adoption of either SWP’s proposed approach or Staff’s proposed approach (described above) in lieu of the ISO’s proposal.  Specifically, SWP advocates examining the function of the facility interconnecting or stepping down between high and low-voltage.  If it was built and operated for the sole purpose of providing electricity at low-voltage systems, SWP contends that its costs should accordingly be assigned. </w:t>
      </w:r>
      <w:r w:rsidRPr="00D80201">
        <w:rPr>
          <w:iCs/>
          <w:color w:val="000000"/>
          <w:szCs w:val="26"/>
          <w:u w:val="single"/>
        </w:rPr>
        <w:t>See</w:t>
      </w:r>
      <w:r w:rsidRPr="00D80201">
        <w:rPr>
          <w:i/>
          <w:iCs/>
          <w:color w:val="000000"/>
          <w:szCs w:val="26"/>
        </w:rPr>
        <w:t xml:space="preserve"> </w:t>
      </w:r>
      <w:r w:rsidRPr="00D80201">
        <w:rPr>
          <w:color w:val="000000"/>
          <w:szCs w:val="26"/>
        </w:rPr>
        <w:t>Ex. SWP-58 at 5.  SWP also claims that PG&amp;E would be willing to apply SWP’s proposed test.</w:t>
      </w:r>
    </w:p>
    <w:p w14:paraId="5FA60B1A" w14:textId="77777777" w:rsidR="00824130" w:rsidRPr="00D80201" w:rsidRDefault="00824130">
      <w:pPr>
        <w:ind w:firstLine="720"/>
        <w:rPr>
          <w:color w:val="000000"/>
          <w:szCs w:val="26"/>
        </w:rPr>
      </w:pPr>
    </w:p>
    <w:p w14:paraId="0004BEAA" w14:textId="77777777" w:rsidR="00824130" w:rsidRPr="00D80201" w:rsidRDefault="00824130">
      <w:pPr>
        <w:rPr>
          <w:color w:val="000000"/>
          <w:szCs w:val="26"/>
        </w:rPr>
      </w:pPr>
      <w:r>
        <w:rPr>
          <w:color w:val="000000"/>
          <w:szCs w:val="26"/>
        </w:rPr>
        <w:t>287.</w:t>
      </w:r>
      <w:r>
        <w:rPr>
          <w:color w:val="000000"/>
          <w:szCs w:val="26"/>
        </w:rPr>
        <w:tab/>
      </w:r>
      <w:r w:rsidRPr="00D80201">
        <w:rPr>
          <w:color w:val="000000"/>
          <w:szCs w:val="26"/>
        </w:rPr>
        <w:t xml:space="preserve">The ISO responds to proposed modifications by other parties by asserting that its allocation is just, reasonable and not unduly discriminatory as proposed, and that it does not need to incorporate a functional analysis, a treatment of transformers consistent with other equipment, or assignment of all system interconnections as high voltage.  The ISO further argues that the other parties have not met the burden necessary – by showing that the ISO’s proposal is unjust, unreasonable, or unduly discriminatory – to justify adopting an alternatively proposed solution in this proceeding. </w:t>
      </w:r>
    </w:p>
    <w:p w14:paraId="5113278B" w14:textId="77777777" w:rsidR="00824130" w:rsidRPr="00D80201" w:rsidRDefault="00824130">
      <w:pPr>
        <w:ind w:firstLine="780"/>
        <w:rPr>
          <w:color w:val="000000"/>
          <w:szCs w:val="26"/>
        </w:rPr>
      </w:pPr>
    </w:p>
    <w:p w14:paraId="66E0EAA5" w14:textId="77777777" w:rsidR="00824130" w:rsidRPr="00D80201" w:rsidRDefault="00824130">
      <w:pPr>
        <w:rPr>
          <w:color w:val="000000"/>
          <w:szCs w:val="26"/>
        </w:rPr>
      </w:pPr>
      <w:r>
        <w:rPr>
          <w:color w:val="000000"/>
          <w:szCs w:val="26"/>
        </w:rPr>
        <w:t>288.</w:t>
      </w:r>
      <w:r>
        <w:rPr>
          <w:color w:val="000000"/>
          <w:szCs w:val="26"/>
        </w:rPr>
        <w:tab/>
      </w:r>
      <w:r w:rsidRPr="00D80201">
        <w:rPr>
          <w:color w:val="000000"/>
          <w:szCs w:val="26"/>
        </w:rPr>
        <w:t xml:space="preserve">SCE largely supports the ISO’s position.  </w:t>
      </w:r>
      <w:r>
        <w:rPr>
          <w:color w:val="000000"/>
          <w:szCs w:val="26"/>
        </w:rPr>
        <w:t>SCE Initial Brief at 44.</w:t>
      </w:r>
    </w:p>
    <w:p w14:paraId="5D9699E6" w14:textId="77777777" w:rsidR="00824130" w:rsidRPr="00D80201" w:rsidRDefault="00824130">
      <w:pPr>
        <w:rPr>
          <w:color w:val="000000"/>
          <w:szCs w:val="26"/>
        </w:rPr>
      </w:pPr>
    </w:p>
    <w:p w14:paraId="759B0436" w14:textId="77777777" w:rsidR="00824130" w:rsidRPr="00D80201" w:rsidRDefault="00824130">
      <w:pPr>
        <w:rPr>
          <w:color w:val="000000"/>
          <w:szCs w:val="26"/>
        </w:rPr>
      </w:pPr>
      <w:r>
        <w:rPr>
          <w:color w:val="000000"/>
          <w:szCs w:val="26"/>
        </w:rPr>
        <w:t>289.</w:t>
      </w:r>
      <w:r>
        <w:rPr>
          <w:color w:val="000000"/>
          <w:szCs w:val="26"/>
        </w:rPr>
        <w:tab/>
      </w:r>
      <w:r w:rsidRPr="00D80201">
        <w:rPr>
          <w:color w:val="000000"/>
          <w:szCs w:val="26"/>
        </w:rPr>
        <w:t>The EOB supports the ISO’s proposal as just and reasonable, and contends that the modifications proposed by Staff, PG&amp;E, and SWP would add complexity, administrative burden, and the possibility of future disputes.  Nevertheless, the EOB states that Staff’s proposal is also just and reasonable if applied prospectively.</w:t>
      </w:r>
      <w:r w:rsidRPr="00D80201">
        <w:rPr>
          <w:color w:val="000000"/>
          <w:szCs w:val="26"/>
        </w:rPr>
        <w:cr/>
      </w:r>
    </w:p>
    <w:p w14:paraId="56FD8EE4" w14:textId="77777777" w:rsidR="00824130" w:rsidRPr="00D80201" w:rsidRDefault="00824130">
      <w:pPr>
        <w:ind w:firstLine="720"/>
        <w:rPr>
          <w:color w:val="000000"/>
          <w:szCs w:val="26"/>
        </w:rPr>
      </w:pPr>
      <w:r w:rsidRPr="00D80201">
        <w:rPr>
          <w:b/>
          <w:color w:val="000000"/>
          <w:szCs w:val="26"/>
        </w:rPr>
        <w:t>Discussion and Findings</w:t>
      </w:r>
    </w:p>
    <w:p w14:paraId="585FA3A8" w14:textId="77777777" w:rsidR="00824130" w:rsidRPr="00D80201" w:rsidRDefault="00824130">
      <w:pPr>
        <w:rPr>
          <w:color w:val="000000"/>
          <w:szCs w:val="26"/>
        </w:rPr>
      </w:pPr>
    </w:p>
    <w:p w14:paraId="68165446" w14:textId="77777777" w:rsidR="00824130" w:rsidRDefault="00824130">
      <w:pPr>
        <w:rPr>
          <w:color w:val="000000"/>
          <w:szCs w:val="26"/>
        </w:rPr>
      </w:pPr>
      <w:r>
        <w:rPr>
          <w:color w:val="000000"/>
          <w:szCs w:val="26"/>
        </w:rPr>
        <w:t>290.</w:t>
      </w:r>
      <w:r>
        <w:rPr>
          <w:color w:val="000000"/>
          <w:szCs w:val="26"/>
        </w:rPr>
        <w:tab/>
      </w:r>
      <w:r w:rsidRPr="00D80201">
        <w:rPr>
          <w:color w:val="000000"/>
          <w:szCs w:val="26"/>
        </w:rPr>
        <w:t xml:space="preserve">The record evidence supports a finding that with the exception of the ISO’s proposed allocation of step down transformer costs, the ISO’s proposed methodology for splitting costs between HV and </w:t>
      </w:r>
      <w:smartTag w:uri="urn:schemas-microsoft-com:office:smarttags" w:element="place">
        <w:smartTag w:uri="urn:schemas-microsoft-com:office:smarttags" w:element="City">
          <w:r w:rsidRPr="00D80201">
            <w:rPr>
              <w:color w:val="000000"/>
              <w:szCs w:val="26"/>
            </w:rPr>
            <w:t>LV</w:t>
          </w:r>
        </w:smartTag>
      </w:smartTag>
      <w:r w:rsidRPr="00D80201">
        <w:rPr>
          <w:color w:val="000000"/>
          <w:szCs w:val="26"/>
        </w:rPr>
        <w:t xml:space="preserve"> is reasonable.  The undersigned Presiding Judge concurs with, and hereby adopts, Staff’s view that, except for the ISO’s proposed allocation of step down transformer costs, the ISO proposal balances certainty, understandability, and administrative ease.  Ex. S-1 at </w:t>
      </w:r>
      <w:smartTag w:uri="urn:schemas-microsoft-com:office:smarttags" w:element="time">
        <w:smartTagPr>
          <w:attr w:name="Hour" w:val="16"/>
          <w:attr w:name="Minute" w:val="13"/>
        </w:smartTagPr>
        <w:r w:rsidRPr="00D80201">
          <w:rPr>
            <w:color w:val="000000"/>
            <w:szCs w:val="26"/>
          </w:rPr>
          <w:t>4:13</w:t>
        </w:r>
      </w:smartTag>
      <w:r w:rsidRPr="00D80201">
        <w:rPr>
          <w:color w:val="000000"/>
          <w:szCs w:val="26"/>
        </w:rPr>
        <w:t xml:space="preserve"> – 16.  However, as Staff correctly points out, the ISO’s proposal to allocate transformer costs 50 percent to the HVTRR and 50 percent to the LVTRR, when the PTO does not have the TRR information on a voltage basis, is arbitrary and inconsistent with cost causation principles.  As noted in Staff’s Initial Brief, the record contains no support for the claim that step-down transformers serve high voltage and low voltage functions equally.  Indeed, as Staff Witness Gross pointed out, the ISO’s proposal is not supported by any information.  Ex. S-1 at 11:1 – 6.  At the hearing, Mr. Gross explained that such an arbitrary allocation does not reflect cost causation principles.  Tr. 2707:14 – 2709:20.  Therefore, the ISO proposal is unjust and unreasonable.  Likewise, for the reasons set forth in Staff’s Initial Brief at pages 62-65, PG&amp;E’s proposal to include all “system interconnections,” including low voltage system interconnections, is not supportable and is hereby rejected.</w:t>
      </w:r>
    </w:p>
    <w:p w14:paraId="3BABDF04" w14:textId="77777777" w:rsidR="00824130" w:rsidRPr="00D80201" w:rsidRDefault="00824130">
      <w:pPr>
        <w:ind w:firstLine="720"/>
        <w:rPr>
          <w:color w:val="000000"/>
          <w:szCs w:val="26"/>
        </w:rPr>
      </w:pPr>
    </w:p>
    <w:p w14:paraId="4B977146" w14:textId="77777777" w:rsidR="00824130" w:rsidRPr="00D80201" w:rsidRDefault="00824130">
      <w:pPr>
        <w:rPr>
          <w:color w:val="000000"/>
          <w:szCs w:val="26"/>
        </w:rPr>
      </w:pPr>
      <w:r>
        <w:rPr>
          <w:color w:val="000000"/>
          <w:szCs w:val="26"/>
        </w:rPr>
        <w:t>291.</w:t>
      </w:r>
      <w:r>
        <w:rPr>
          <w:color w:val="000000"/>
          <w:szCs w:val="26"/>
        </w:rPr>
        <w:tab/>
      </w:r>
      <w:r w:rsidRPr="00D80201">
        <w:rPr>
          <w:color w:val="000000"/>
          <w:szCs w:val="26"/>
        </w:rPr>
        <w:t>On the other hand</w:t>
      </w:r>
      <w:r>
        <w:rPr>
          <w:color w:val="000000"/>
          <w:szCs w:val="26"/>
        </w:rPr>
        <w:t xml:space="preserve">, Staff’s alternative proposal - </w:t>
      </w:r>
      <w:r w:rsidRPr="00D80201">
        <w:rPr>
          <w:color w:val="000000"/>
          <w:szCs w:val="26"/>
        </w:rPr>
        <w:t>that where there is insufficient revenue requirement information available to allocate step down transformer costs between HVTRR and LVTRR, these costs should be allocated in the same manner</w:t>
      </w:r>
      <w:r>
        <w:rPr>
          <w:color w:val="000000"/>
          <w:szCs w:val="26"/>
        </w:rPr>
        <w:t xml:space="preserve"> as other substation facilities -</w:t>
      </w:r>
      <w:r w:rsidRPr="00D80201">
        <w:rPr>
          <w:color w:val="000000"/>
          <w:szCs w:val="26"/>
        </w:rPr>
        <w:t xml:space="preserve"> reasonably reflects the relative investment of transmission owners in high voltage and low voltage facilities and is consistent with the ISO’s allocation procedures for other substation facilities.  Tr. 2710:20 – 2712:16.  Staff’s proposal is, therefore, hereby adopted.  However, the undersigned Presiding Judge concurs with the EOB’s concerns regarding a retroactive application of this alternative approach to the parties in this proceeding.  The EOB acknowledges that the Staff proposal is a just and reasonable test if applied prospectively.  EOB Initial Brief at 49.</w:t>
      </w:r>
      <w:r w:rsidRPr="00D80201">
        <w:rPr>
          <w:color w:val="000000"/>
          <w:szCs w:val="26"/>
          <w:vertAlign w:val="superscript"/>
        </w:rPr>
        <w:footnoteReference w:id="93"/>
      </w:r>
      <w:r w:rsidRPr="00D80201">
        <w:rPr>
          <w:color w:val="000000"/>
          <w:szCs w:val="26"/>
        </w:rPr>
        <w:t xml:space="preserve">  The EOB’s position on this point is persuasive and is hereby adopted; accordingly, it is the determination of the undersigned Presiding Judge regarding Staff’s proposal – that where there is insufficient revenue requirement information available to allocate step down transformer costs between HVTRR and LVTRR, these costs should be allocated in the same manner as other substation facilities – should be applied only prospectively.</w:t>
      </w:r>
    </w:p>
    <w:p w14:paraId="0BE15596" w14:textId="77777777" w:rsidR="00824130" w:rsidRPr="00D80201" w:rsidRDefault="00824130">
      <w:pPr>
        <w:rPr>
          <w:color w:val="000000"/>
          <w:szCs w:val="26"/>
        </w:rPr>
      </w:pPr>
    </w:p>
    <w:p w14:paraId="5E9D1616" w14:textId="77777777" w:rsidR="00824130" w:rsidRPr="00D80201" w:rsidRDefault="00824130">
      <w:pPr>
        <w:rPr>
          <w:color w:val="000000"/>
          <w:szCs w:val="26"/>
        </w:rPr>
      </w:pPr>
      <w:r>
        <w:rPr>
          <w:color w:val="000000"/>
          <w:szCs w:val="26"/>
        </w:rPr>
        <w:t>292.</w:t>
      </w:r>
      <w:r>
        <w:rPr>
          <w:color w:val="000000"/>
          <w:szCs w:val="26"/>
        </w:rPr>
        <w:tab/>
      </w:r>
      <w:r w:rsidRPr="00D80201">
        <w:rPr>
          <w:color w:val="000000"/>
          <w:szCs w:val="26"/>
        </w:rPr>
        <w:t>Furthermore, these procedures must be included in the ISO Tariff.  PG&amp;E and Staff are in agreement on this point and the ISO has stated that it does not object to such a change in its tariff.</w:t>
      </w:r>
      <w:r w:rsidRPr="00D80201">
        <w:rPr>
          <w:rStyle w:val="FootnoteReference"/>
          <w:color w:val="000000"/>
        </w:rPr>
        <w:footnoteReference w:id="94"/>
      </w:r>
      <w:r w:rsidRPr="00D80201">
        <w:rPr>
          <w:color w:val="000000"/>
          <w:szCs w:val="26"/>
        </w:rPr>
        <w:t xml:space="preserve">  Excluding the allocation procedures from the tariff would deprive market participants of advance notice of and the opportunity to protest any proposed changes in these procedures.  Accordingly, the ISO is hereby directed to incorporate these procedures into the ISO Tariff.  </w:t>
      </w:r>
    </w:p>
    <w:p w14:paraId="4B65257B" w14:textId="77777777" w:rsidR="00824130" w:rsidRPr="00D80201" w:rsidRDefault="00824130">
      <w:pPr>
        <w:rPr>
          <w:color w:val="000000"/>
          <w:szCs w:val="26"/>
        </w:rPr>
      </w:pPr>
    </w:p>
    <w:p w14:paraId="025BB136" w14:textId="77777777" w:rsidR="00824130" w:rsidRPr="00D80201" w:rsidRDefault="00824130">
      <w:pPr>
        <w:numPr>
          <w:ilvl w:val="0"/>
          <w:numId w:val="26"/>
        </w:numPr>
        <w:rPr>
          <w:rFonts w:ascii="Times New Roman Bold" w:hAnsi="Times New Roman Bold"/>
          <w:b/>
          <w:color w:val="000000"/>
          <w:szCs w:val="26"/>
        </w:rPr>
      </w:pPr>
      <w:r w:rsidRPr="00D80201">
        <w:rPr>
          <w:rFonts w:ascii="Times New Roman Bold" w:hAnsi="Times New Roman Bold"/>
          <w:b/>
          <w:color w:val="000000"/>
          <w:szCs w:val="26"/>
        </w:rPr>
        <w:t>Time-of-Use Rates</w:t>
      </w:r>
    </w:p>
    <w:p w14:paraId="12AA09B6" w14:textId="77777777" w:rsidR="00824130" w:rsidRPr="00D80201" w:rsidRDefault="00824130">
      <w:pPr>
        <w:ind w:left="360"/>
        <w:rPr>
          <w:rFonts w:ascii="Times New Roman Bold" w:hAnsi="Times New Roman Bold"/>
          <w:b/>
          <w:color w:val="000000"/>
          <w:szCs w:val="26"/>
        </w:rPr>
      </w:pPr>
    </w:p>
    <w:p w14:paraId="20433B3A" w14:textId="77777777" w:rsidR="00824130" w:rsidRPr="00D80201" w:rsidRDefault="00824130">
      <w:pPr>
        <w:ind w:left="1080"/>
        <w:rPr>
          <w:rFonts w:ascii="Times New Roman Bold" w:hAnsi="Times New Roman Bold"/>
          <w:b/>
          <w:color w:val="000000"/>
          <w:szCs w:val="26"/>
        </w:rPr>
      </w:pPr>
      <w:r>
        <w:rPr>
          <w:rFonts w:ascii="Times New Roman Bold" w:hAnsi="Times New Roman Bold"/>
          <w:b/>
          <w:color w:val="000000"/>
          <w:szCs w:val="26"/>
        </w:rPr>
        <w:t xml:space="preserve">A.  </w:t>
      </w:r>
      <w:r w:rsidRPr="00D80201">
        <w:rPr>
          <w:rFonts w:ascii="Times New Roman Bold" w:hAnsi="Times New Roman Bold"/>
          <w:b/>
          <w:color w:val="000000"/>
          <w:szCs w:val="26"/>
        </w:rPr>
        <w:t>Whether the ISO’s proposed transmission Access Charge methodology is just, reasonable and not unduly discriminatory without employing time-of-use or coincident peak rates</w:t>
      </w:r>
    </w:p>
    <w:p w14:paraId="4E43DBB6" w14:textId="77777777" w:rsidR="00824130" w:rsidRPr="00D80201" w:rsidRDefault="00824130">
      <w:pPr>
        <w:ind w:left="1080"/>
        <w:rPr>
          <w:rFonts w:ascii="Times New Roman Bold" w:hAnsi="Times New Roman Bold"/>
          <w:b/>
          <w:color w:val="000000"/>
          <w:szCs w:val="26"/>
        </w:rPr>
      </w:pPr>
    </w:p>
    <w:p w14:paraId="1C50C570" w14:textId="77777777" w:rsidR="00824130" w:rsidRPr="00D80201" w:rsidRDefault="00824130">
      <w:pPr>
        <w:ind w:left="108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61B317E0" w14:textId="77777777" w:rsidR="00824130" w:rsidRPr="00D80201" w:rsidRDefault="00824130">
      <w:pPr>
        <w:rPr>
          <w:rFonts w:ascii="Times New Roman Bold" w:hAnsi="Times New Roman Bold"/>
          <w:b/>
          <w:color w:val="000000"/>
          <w:szCs w:val="26"/>
        </w:rPr>
      </w:pPr>
    </w:p>
    <w:p w14:paraId="2EA7E370" w14:textId="77777777" w:rsidR="00824130" w:rsidRPr="00D80201" w:rsidRDefault="00824130">
      <w:pPr>
        <w:pStyle w:val="BodyTextFirstIndent"/>
        <w:widowControl/>
        <w:ind w:firstLine="0"/>
        <w:rPr>
          <w:color w:val="000000"/>
          <w:szCs w:val="26"/>
        </w:rPr>
      </w:pPr>
      <w:r>
        <w:rPr>
          <w:color w:val="000000"/>
          <w:szCs w:val="26"/>
        </w:rPr>
        <w:t>293.</w:t>
      </w:r>
      <w:r>
        <w:rPr>
          <w:color w:val="000000"/>
          <w:szCs w:val="26"/>
        </w:rPr>
        <w:tab/>
      </w:r>
      <w:r w:rsidRPr="00D80201">
        <w:rPr>
          <w:color w:val="000000"/>
          <w:szCs w:val="26"/>
        </w:rPr>
        <w:t>SWP claims that a flat rate violates the just and reasonable standard because it neither reflects cost causation principles nor encourages optimal use of the existing system.  As part of this argument, SWP presents several contentions.  First, SWP contends that guiding Commission policy allocates transmission costs based on a customer’s contribution to system peak usage.</w:t>
      </w:r>
      <w:r w:rsidRPr="00D80201">
        <w:rPr>
          <w:rStyle w:val="FootnoteReference"/>
          <w:color w:val="000000"/>
        </w:rPr>
        <w:footnoteReference w:id="95"/>
      </w:r>
      <w:r w:rsidRPr="00D80201">
        <w:rPr>
          <w:color w:val="000000"/>
          <w:szCs w:val="26"/>
        </w:rPr>
        <w:t xml:space="preserve">  Additionally, SWP asserts that the ISO’s Tariff obligation is to consider off-peak rates in this TAC filing</w:t>
      </w:r>
      <w:r w:rsidRPr="00D80201">
        <w:rPr>
          <w:rStyle w:val="FootnoteReference"/>
          <w:color w:val="000000"/>
        </w:rPr>
        <w:footnoteReference w:id="96"/>
      </w:r>
      <w:r w:rsidRPr="00D80201">
        <w:rPr>
          <w:color w:val="000000"/>
          <w:szCs w:val="26"/>
        </w:rPr>
        <w:t xml:space="preserve"> and claims that the ISO has failed to do so, such as by considering the best practices of other ISOs.  </w:t>
      </w:r>
      <w:r w:rsidRPr="00D80201">
        <w:rPr>
          <w:color w:val="000000"/>
          <w:szCs w:val="26"/>
          <w:u w:val="single"/>
        </w:rPr>
        <w:t>See</w:t>
      </w:r>
      <w:r w:rsidRPr="00D80201">
        <w:rPr>
          <w:i/>
          <w:color w:val="000000"/>
          <w:szCs w:val="26"/>
        </w:rPr>
        <w:t xml:space="preserve"> </w:t>
      </w:r>
      <w:r w:rsidRPr="00D80201">
        <w:rPr>
          <w:color w:val="000000"/>
          <w:szCs w:val="26"/>
        </w:rPr>
        <w:t xml:space="preserve">Ex. SWC-1 at 56-57.  SWP also advances that the lack of time-sensitive rates renders the TAC unjust and unreasonable because it fails to employ a proven method of demand response to reduce for all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ratepayers the heavy cost of new investment in grid upgrades.  SWP discusses the benefits of long-term marginal pricing for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ratepayers and contends that the current ISO practice is contrary to the Commission’s cost causation policy.</w:t>
      </w:r>
      <w:r w:rsidRPr="00D80201">
        <w:rPr>
          <w:rStyle w:val="FootnoteReference"/>
          <w:color w:val="000000"/>
        </w:rPr>
        <w:footnoteReference w:id="97"/>
      </w:r>
      <w:r w:rsidRPr="00D80201">
        <w:rPr>
          <w:color w:val="000000"/>
          <w:szCs w:val="26"/>
        </w:rPr>
        <w:t xml:space="preserve">  SWP also asserts that the facts regarding grid usage do not support an exception to the policy of off-peak pricing.  In response to ISO witness Pfeifenberger’s contention that off-peak pricing would exacerbate congestion rather than improve it, SWP criticizes ISO witness Pfeifenberger’s study for first, analyzing a small and nonrepresentational sample size of high-voltage transmission lines in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and second, not supporting his conclusion.  </w:t>
      </w:r>
    </w:p>
    <w:p w14:paraId="79CD0B36" w14:textId="77777777" w:rsidR="00824130" w:rsidRDefault="00824130">
      <w:pPr>
        <w:pStyle w:val="BodyTextFirstIndent"/>
        <w:widowControl/>
        <w:spacing w:after="0"/>
        <w:ind w:firstLine="720"/>
        <w:rPr>
          <w:color w:val="000000"/>
          <w:szCs w:val="26"/>
        </w:rPr>
      </w:pPr>
    </w:p>
    <w:p w14:paraId="4A341A6A" w14:textId="77777777" w:rsidR="00824130" w:rsidRPr="00D80201" w:rsidRDefault="00824130">
      <w:pPr>
        <w:pStyle w:val="BodyTextFirstIndent"/>
        <w:widowControl/>
        <w:spacing w:after="0"/>
        <w:ind w:firstLine="0"/>
        <w:rPr>
          <w:color w:val="000000"/>
          <w:szCs w:val="26"/>
        </w:rPr>
      </w:pPr>
      <w:r>
        <w:rPr>
          <w:color w:val="000000"/>
          <w:szCs w:val="26"/>
        </w:rPr>
        <w:t>294.</w:t>
      </w:r>
      <w:r>
        <w:rPr>
          <w:color w:val="000000"/>
          <w:szCs w:val="26"/>
        </w:rPr>
        <w:tab/>
      </w:r>
      <w:r w:rsidRPr="00D80201">
        <w:rPr>
          <w:color w:val="000000"/>
          <w:szCs w:val="26"/>
        </w:rPr>
        <w:t>SWP additionally argues that congestion management is not an acceptable substitution for off-peak pricing in sending long-term price signals.  It contends that the TAC, rather than congestion pricing, recovers and allocates the cost of transmission service.  SWP also argues that congestion pricing does not offer a reliable long term price signal upon which investment can be based.  SWP also suggests that time-sensitive rates can work in tandem with congestion pricing to send a two-fold price signal, long-term and short-term, that would complement each other.</w:t>
      </w:r>
    </w:p>
    <w:p w14:paraId="4BE641D4" w14:textId="77777777" w:rsidR="00824130" w:rsidRPr="00D80201" w:rsidRDefault="00824130">
      <w:pPr>
        <w:pStyle w:val="BodyTextFirstIndent"/>
        <w:widowControl/>
        <w:ind w:firstLine="720"/>
        <w:rPr>
          <w:color w:val="000000"/>
          <w:szCs w:val="26"/>
        </w:rPr>
      </w:pPr>
    </w:p>
    <w:p w14:paraId="5B783C61" w14:textId="77777777" w:rsidR="00824130" w:rsidRDefault="00824130">
      <w:pPr>
        <w:pStyle w:val="BodyTextFirstIndent"/>
        <w:widowControl/>
        <w:spacing w:after="0"/>
        <w:ind w:firstLine="0"/>
        <w:rPr>
          <w:color w:val="000000"/>
          <w:szCs w:val="26"/>
        </w:rPr>
      </w:pPr>
      <w:r>
        <w:rPr>
          <w:color w:val="000000"/>
          <w:szCs w:val="26"/>
        </w:rPr>
        <w:t>295.</w:t>
      </w:r>
      <w:r>
        <w:rPr>
          <w:color w:val="000000"/>
          <w:szCs w:val="26"/>
        </w:rPr>
        <w:tab/>
      </w:r>
      <w:r w:rsidRPr="00D80201">
        <w:rPr>
          <w:color w:val="000000"/>
          <w:szCs w:val="26"/>
        </w:rPr>
        <w:t xml:space="preserve">SWC focuses most of its initial and reply briefs on the issue of time-of-use rates.  In essence, SWC contends that the ISO’s proposed flat </w:t>
      </w:r>
      <w:r>
        <w:rPr>
          <w:color w:val="000000"/>
          <w:szCs w:val="26"/>
        </w:rPr>
        <w:t>MWh</w:t>
      </w:r>
      <w:r w:rsidRPr="00D80201">
        <w:rPr>
          <w:color w:val="000000"/>
          <w:szCs w:val="26"/>
        </w:rPr>
        <w:t>-based TAC methodology is unjust, unreasonable, and unduly discriminatory because it does not reflect cost-causation, does not promote</w:t>
      </w:r>
      <w:r w:rsidRPr="00D80201">
        <w:rPr>
          <w:b/>
          <w:bCs/>
          <w:color w:val="000000"/>
          <w:szCs w:val="26"/>
        </w:rPr>
        <w:t xml:space="preserve"> </w:t>
      </w:r>
      <w:r w:rsidRPr="00D80201">
        <w:rPr>
          <w:color w:val="000000"/>
          <w:szCs w:val="26"/>
        </w:rPr>
        <w:t>economic efficiency, fails to send a proper price signal, and is unfair.  Specifically, SWC argues that relevant case law requires that transmission rates be just, reasonable, non-discriminatory, and non-preferential; most of the case law that SWC cites is authority that the Commission used in formulating its Transmission Pricing Policy principles.</w:t>
      </w:r>
      <w:r w:rsidRPr="00D80201">
        <w:rPr>
          <w:rStyle w:val="FootnoteReference"/>
          <w:color w:val="000000"/>
        </w:rPr>
        <w:footnoteReference w:id="98"/>
      </w:r>
      <w:r w:rsidRPr="00D80201">
        <w:rPr>
          <w:color w:val="000000"/>
          <w:szCs w:val="26"/>
        </w:rPr>
        <w:t xml:space="preserve">  SWC also contends that the ISO has introduced scant evidence to support a finding that its TAC is just, reasonable, and not unduly discriminatory.  </w:t>
      </w:r>
    </w:p>
    <w:p w14:paraId="2EB13154" w14:textId="77777777" w:rsidR="00824130" w:rsidRPr="00D80201" w:rsidRDefault="00824130">
      <w:pPr>
        <w:pStyle w:val="BodyTextFirstIndent"/>
        <w:widowControl/>
        <w:ind w:firstLine="0"/>
        <w:rPr>
          <w:color w:val="000000"/>
          <w:szCs w:val="26"/>
        </w:rPr>
      </w:pPr>
    </w:p>
    <w:p w14:paraId="5EBE200E" w14:textId="77777777" w:rsidR="00824130" w:rsidRPr="00D80201" w:rsidRDefault="00824130">
      <w:pPr>
        <w:pStyle w:val="BodyTextFirstIndent"/>
        <w:widowControl/>
        <w:spacing w:after="0"/>
        <w:ind w:firstLine="0"/>
        <w:rPr>
          <w:color w:val="000000"/>
          <w:szCs w:val="26"/>
        </w:rPr>
      </w:pPr>
      <w:r>
        <w:rPr>
          <w:color w:val="000000"/>
          <w:szCs w:val="26"/>
        </w:rPr>
        <w:t>296.</w:t>
      </w:r>
      <w:r>
        <w:rPr>
          <w:color w:val="000000"/>
          <w:szCs w:val="26"/>
        </w:rPr>
        <w:tab/>
      </w:r>
      <w:r w:rsidRPr="00D80201">
        <w:rPr>
          <w:color w:val="000000"/>
          <w:szCs w:val="26"/>
        </w:rPr>
        <w:t xml:space="preserve">SWC also maintains that the flat </w:t>
      </w:r>
      <w:r>
        <w:rPr>
          <w:color w:val="000000"/>
          <w:szCs w:val="26"/>
        </w:rPr>
        <w:t>MWh</w:t>
      </w:r>
      <w:r w:rsidRPr="00D80201">
        <w:rPr>
          <w:color w:val="000000"/>
          <w:szCs w:val="26"/>
        </w:rPr>
        <w:t>-based rate does not meet the TRR because it does not reflect the cost causation principles that grid expansion and transmission upgrades are driven by peak load.  As part of this contention, SWC advances that the ISO’s system peak occurs during the on-peak; that the vast majority of ISO transmission projects are reliability related;</w:t>
      </w:r>
      <w:r w:rsidRPr="00D80201">
        <w:rPr>
          <w:rStyle w:val="FootnoteReference"/>
          <w:color w:val="000000"/>
        </w:rPr>
        <w:footnoteReference w:id="99"/>
      </w:r>
      <w:r w:rsidRPr="00D80201">
        <w:rPr>
          <w:color w:val="000000"/>
          <w:szCs w:val="26"/>
        </w:rPr>
        <w:t xml:space="preserve"> and that reliability and expansion of the ISO grid are driven by peak demand.</w:t>
      </w:r>
      <w:r w:rsidRPr="00D80201">
        <w:rPr>
          <w:rStyle w:val="FootnoteReference"/>
          <w:color w:val="000000"/>
        </w:rPr>
        <w:footnoteReference w:id="100"/>
      </w:r>
      <w:r w:rsidRPr="00D80201">
        <w:rPr>
          <w:color w:val="000000"/>
          <w:szCs w:val="26"/>
        </w:rPr>
        <w:t xml:space="preserve">  SWC also asserts that a flat </w:t>
      </w:r>
      <w:r>
        <w:rPr>
          <w:color w:val="000000"/>
          <w:szCs w:val="26"/>
        </w:rPr>
        <w:t>MWh</w:t>
      </w:r>
      <w:r w:rsidRPr="00D80201">
        <w:rPr>
          <w:color w:val="000000"/>
          <w:szCs w:val="26"/>
        </w:rPr>
        <w:t xml:space="preserve">-based TAC fails to promote economic efficiency because it does not send the appropriate price signals.  As part of this assertion, SWC advances that an economically efficient TAC would send the proper price signals; the ISO errs in concluding that proper price signals for its TAC is unimportant; and the ISO exclusively and erroneously relies on congestion pricing to send price signals.  Additionally as part of the same argument, SWC posits that congestion sends a different price signal than a time-differentiated TAC; to the extent that the congestion management system sends a price signals, it is diminished by FTRs; and the combination of the flat </w:t>
      </w:r>
      <w:r>
        <w:rPr>
          <w:color w:val="000000"/>
          <w:szCs w:val="26"/>
        </w:rPr>
        <w:t>MWh</w:t>
      </w:r>
      <w:r w:rsidRPr="00D80201">
        <w:rPr>
          <w:color w:val="000000"/>
          <w:szCs w:val="26"/>
        </w:rPr>
        <w:t xml:space="preserve"> TAC, congestion management and losses pricing fails to send proper signals regarding the need for expansion.  SWC concludes the argument by contending that as transmission capacity becomes scarce, the need for proper price signals is more acute.  SWC also asserts that a flat </w:t>
      </w:r>
      <w:r>
        <w:rPr>
          <w:color w:val="000000"/>
          <w:szCs w:val="26"/>
        </w:rPr>
        <w:t>MWh</w:t>
      </w:r>
      <w:r w:rsidRPr="00D80201">
        <w:rPr>
          <w:color w:val="000000"/>
          <w:szCs w:val="26"/>
        </w:rPr>
        <w:t xml:space="preserve">-based TAC is unfair and unduly discriminatory because it does not reflect cost-causation.  </w:t>
      </w:r>
    </w:p>
    <w:p w14:paraId="3EE0B04C" w14:textId="77777777" w:rsidR="00824130" w:rsidRPr="00D80201" w:rsidRDefault="00824130">
      <w:pPr>
        <w:pStyle w:val="BodyTextFirstIndent"/>
        <w:widowControl/>
        <w:ind w:firstLine="720"/>
        <w:rPr>
          <w:color w:val="000000"/>
          <w:szCs w:val="26"/>
        </w:rPr>
      </w:pPr>
    </w:p>
    <w:p w14:paraId="4CD82D13" w14:textId="77777777" w:rsidR="00824130" w:rsidRPr="00D80201" w:rsidRDefault="00824130">
      <w:pPr>
        <w:pStyle w:val="BodyTextFirstIndent"/>
        <w:widowControl/>
        <w:spacing w:after="0"/>
        <w:ind w:firstLine="0"/>
        <w:rPr>
          <w:color w:val="000000"/>
          <w:szCs w:val="26"/>
        </w:rPr>
      </w:pPr>
      <w:r>
        <w:rPr>
          <w:color w:val="000000"/>
          <w:szCs w:val="26"/>
        </w:rPr>
        <w:t>297.</w:t>
      </w:r>
      <w:r>
        <w:rPr>
          <w:color w:val="000000"/>
          <w:szCs w:val="26"/>
        </w:rPr>
        <w:tab/>
      </w:r>
      <w:r w:rsidRPr="00D80201">
        <w:rPr>
          <w:color w:val="000000"/>
          <w:szCs w:val="26"/>
        </w:rPr>
        <w:t xml:space="preserve">The EOB’s position is that no party has demonstrated that either time-of-use or </w:t>
      </w:r>
      <w:r>
        <w:rPr>
          <w:color w:val="000000"/>
          <w:szCs w:val="26"/>
        </w:rPr>
        <w:t>12-CP</w:t>
      </w:r>
      <w:r w:rsidRPr="00D80201">
        <w:rPr>
          <w:color w:val="000000"/>
          <w:szCs w:val="26"/>
        </w:rPr>
        <w:t xml:space="preserve"> pricing methodology enhances economic efficiency. The EOB does believe, however, that any economic efficiency associated with time-of-use energy price signals will be realized should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and the Commission, ultimately adopt locational marginal pricing to manage congestion.  </w:t>
      </w:r>
    </w:p>
    <w:p w14:paraId="1C460719" w14:textId="77777777" w:rsidR="00824130" w:rsidRPr="00D80201" w:rsidRDefault="00824130">
      <w:pPr>
        <w:rPr>
          <w:rFonts w:ascii="Times New Roman Bold" w:hAnsi="Times New Roman Bold"/>
          <w:b/>
          <w:color w:val="000000"/>
          <w:szCs w:val="26"/>
        </w:rPr>
      </w:pPr>
    </w:p>
    <w:p w14:paraId="458B11B7" w14:textId="77777777" w:rsidR="00824130" w:rsidRDefault="00824130">
      <w:pPr>
        <w:pStyle w:val="BodyTextFirstIndentD"/>
        <w:spacing w:line="240" w:lineRule="auto"/>
        <w:ind w:firstLine="0"/>
      </w:pPr>
      <w:r>
        <w:t>298.</w:t>
      </w:r>
      <w:r>
        <w:tab/>
      </w:r>
      <w:r w:rsidRPr="00D80201">
        <w:t>The ISO responds to SWP’s and SWC’s criticism by asserting that the ISO’s TAC methodology, in combination with the ISO’s congestion management and transmission losses charges, is a just, reasonable, and not unduly discriminatory rate.  The ISO contends that its TAC is consistent with cost causation principles.  The ISO also argues that the TAC is consistent the Commission’s Transmission Pricing Policy, that the Commission has already held that the two are consistent with each other, and that no changed circumstances warrant changing that conclusion.  In addition, the ISO argues that its proposed transmission rate structure sends the appropriate price signals.</w:t>
      </w:r>
    </w:p>
    <w:p w14:paraId="033365D6" w14:textId="77777777" w:rsidR="00824130" w:rsidRDefault="00824130">
      <w:pPr>
        <w:pStyle w:val="BodyTextFirstIndentD"/>
        <w:spacing w:line="240" w:lineRule="auto"/>
        <w:ind w:firstLine="0"/>
      </w:pPr>
    </w:p>
    <w:p w14:paraId="65D679BD" w14:textId="77777777" w:rsidR="00824130" w:rsidRPr="00D80201" w:rsidRDefault="00824130">
      <w:pPr>
        <w:pStyle w:val="BodyTextFirstIndentD"/>
        <w:spacing w:line="240" w:lineRule="auto"/>
        <w:ind w:firstLine="0"/>
        <w:rPr>
          <w:color w:val="000000"/>
        </w:rPr>
      </w:pPr>
      <w:r>
        <w:t>299.</w:t>
      </w:r>
      <w:r>
        <w:tab/>
      </w:r>
      <w:r w:rsidRPr="00D80201">
        <w:rPr>
          <w:color w:val="000000"/>
        </w:rPr>
        <w:t xml:space="preserve">Staff supports the ISO’s view; it points out that even before the ISO began operation, the Commission has already held that the ISO’s flat </w:t>
      </w:r>
      <w:r>
        <w:rPr>
          <w:color w:val="000000"/>
        </w:rPr>
        <w:t>MWh</w:t>
      </w:r>
      <w:r w:rsidRPr="00D80201">
        <w:rPr>
          <w:color w:val="000000"/>
        </w:rPr>
        <w:t>-based rate methodology was just, reasonable, and economically efficient without time-differentiated rates.</w:t>
      </w:r>
      <w:r w:rsidRPr="00D80201">
        <w:rPr>
          <w:rStyle w:val="FootnoteReference"/>
          <w:color w:val="000000"/>
        </w:rPr>
        <w:footnoteReference w:id="101"/>
      </w:r>
      <w:r w:rsidRPr="00D80201">
        <w:rPr>
          <w:color w:val="000000"/>
        </w:rPr>
        <w:t xml:space="preserve">  </w:t>
      </w:r>
      <w:r w:rsidRPr="00D80201">
        <w:rPr>
          <w:color w:val="000000"/>
          <w:u w:val="single"/>
        </w:rPr>
        <w:t>Pacific Gas and Elec. Co.</w:t>
      </w:r>
      <w:r w:rsidRPr="00D80201">
        <w:rPr>
          <w:color w:val="000000"/>
        </w:rPr>
        <w:t xml:space="preserve">, 80 FERC ¶ 61,128 (1997).  Staff also notes that the Commission found that the ISO’s congestion usage charges provided the proper price signals, and that the ISO’s rate methodology satisfied the transmission pricing principles.  </w:t>
      </w:r>
      <w:smartTag w:uri="urn:schemas-microsoft-com:office:smarttags" w:element="place">
        <w:smartTag w:uri="urn:schemas-microsoft-com:office:smarttags" w:element="State">
          <w:r w:rsidRPr="00D80201">
            <w:rPr>
              <w:color w:val="000000"/>
              <w:u w:val="single"/>
            </w:rPr>
            <w:t>Id.</w:t>
          </w:r>
        </w:smartTag>
      </w:smartTag>
      <w:r w:rsidRPr="00D80201">
        <w:rPr>
          <w:color w:val="000000"/>
        </w:rPr>
        <w:t xml:space="preserve"> at 61,429-30.  Accordingly, Staff argues, even if SWP and SWC have a more economically efficient proposal, they may not advocate substitution of the ISO’s methodology without showing it is somehow unjust, unreasonable, or unduly discriminatory.    </w:t>
      </w:r>
    </w:p>
    <w:p w14:paraId="70092DF0" w14:textId="77777777" w:rsidR="00824130" w:rsidRPr="00D80201" w:rsidRDefault="00824130">
      <w:pPr>
        <w:pStyle w:val="BodyTextFirstIndent"/>
        <w:widowControl/>
        <w:ind w:firstLine="0"/>
        <w:rPr>
          <w:color w:val="000000"/>
          <w:szCs w:val="26"/>
        </w:rPr>
      </w:pPr>
    </w:p>
    <w:p w14:paraId="2B343EB5" w14:textId="77777777" w:rsidR="00824130" w:rsidRPr="00D80201" w:rsidRDefault="00824130">
      <w:pPr>
        <w:pStyle w:val="BodyTextFirstIndent"/>
        <w:widowControl/>
        <w:spacing w:after="0"/>
        <w:ind w:firstLine="0"/>
        <w:rPr>
          <w:color w:val="000000"/>
          <w:szCs w:val="26"/>
        </w:rPr>
      </w:pPr>
      <w:r>
        <w:rPr>
          <w:color w:val="000000"/>
          <w:szCs w:val="26"/>
        </w:rPr>
        <w:t>300.</w:t>
      </w:r>
      <w:r>
        <w:rPr>
          <w:color w:val="000000"/>
          <w:szCs w:val="26"/>
        </w:rPr>
        <w:tab/>
      </w:r>
      <w:r w:rsidRPr="00D80201">
        <w:rPr>
          <w:color w:val="000000"/>
          <w:szCs w:val="26"/>
        </w:rPr>
        <w:t xml:space="preserve">SCE agrees with the ISO and cites Commission precedent to supports its argument that the ISO’s and SCE’s view accords with Commission policy.  </w:t>
      </w:r>
      <w:r w:rsidRPr="00D80201">
        <w:rPr>
          <w:color w:val="000000"/>
          <w:szCs w:val="26"/>
          <w:u w:val="single"/>
        </w:rPr>
        <w:t>TRANSLink Dev. Co., LLC</w:t>
      </w:r>
      <w:r w:rsidRPr="00D80201">
        <w:rPr>
          <w:color w:val="000000"/>
          <w:szCs w:val="26"/>
        </w:rPr>
        <w:t xml:space="preserve">, 103 FERC ¶ 61,208 (2002); </w:t>
      </w:r>
      <w:smartTag w:uri="urn:schemas-microsoft-com:office:smarttags" w:element="place">
        <w:r w:rsidRPr="00D80201">
          <w:rPr>
            <w:color w:val="000000"/>
            <w:szCs w:val="26"/>
            <w:u w:val="single"/>
          </w:rPr>
          <w:t>Midwest</w:t>
        </w:r>
      </w:smartTag>
      <w:r w:rsidRPr="00D80201">
        <w:rPr>
          <w:color w:val="000000"/>
          <w:szCs w:val="26"/>
          <w:u w:val="single"/>
        </w:rPr>
        <w:t xml:space="preserve"> Indep. Sys. Operator, Inc.</w:t>
      </w:r>
      <w:r w:rsidRPr="00D80201">
        <w:rPr>
          <w:i/>
          <w:color w:val="000000"/>
          <w:szCs w:val="26"/>
        </w:rPr>
        <w:t>,</w:t>
      </w:r>
      <w:r w:rsidRPr="00D80201">
        <w:rPr>
          <w:color w:val="000000"/>
          <w:szCs w:val="26"/>
        </w:rPr>
        <w:t xml:space="preserve"> 105 FERC ¶ 61,145 at P 70 (2003).  SCE maintains that the reason that the ISO’s embedded-cost transmission rates should not be time-differentiated is because such an approach interferes with the maximization of economic efficiency.  </w:t>
      </w:r>
      <w:r w:rsidRPr="00D80201">
        <w:rPr>
          <w:color w:val="000000"/>
          <w:szCs w:val="26"/>
          <w:u w:val="single"/>
        </w:rPr>
        <w:t>See</w:t>
      </w:r>
      <w:r w:rsidRPr="00D80201">
        <w:rPr>
          <w:i/>
          <w:color w:val="000000"/>
          <w:szCs w:val="26"/>
        </w:rPr>
        <w:t xml:space="preserve"> </w:t>
      </w:r>
      <w:r w:rsidRPr="00D80201">
        <w:rPr>
          <w:color w:val="000000"/>
          <w:szCs w:val="26"/>
        </w:rPr>
        <w:t xml:space="preserve">Ex. SCE-29 at 15 – 17; Tr. 2433:12 – 17; Ex. ISO-36 at </w:t>
      </w:r>
      <w:smartTag w:uri="urn:schemas-microsoft-com:office:smarttags" w:element="time">
        <w:smartTagPr>
          <w:attr w:name="Hour" w:val="11"/>
          <w:attr w:name="Minute" w:val="16"/>
        </w:smartTagPr>
        <w:r w:rsidRPr="00D80201">
          <w:rPr>
            <w:color w:val="000000"/>
            <w:szCs w:val="26"/>
          </w:rPr>
          <w:t>11:16 – 14:20</w:t>
        </w:r>
      </w:smartTag>
      <w:r w:rsidRPr="00D80201">
        <w:rPr>
          <w:color w:val="000000"/>
          <w:szCs w:val="26"/>
        </w:rPr>
        <w:t xml:space="preserve">.  </w:t>
      </w:r>
    </w:p>
    <w:p w14:paraId="0E567C99" w14:textId="77777777" w:rsidR="00824130" w:rsidRPr="00D80201" w:rsidRDefault="00824130">
      <w:pPr>
        <w:pStyle w:val="BodyTextFirstIndent"/>
        <w:widowControl/>
        <w:ind w:firstLine="0"/>
        <w:rPr>
          <w:color w:val="000000"/>
          <w:szCs w:val="26"/>
        </w:rPr>
      </w:pPr>
    </w:p>
    <w:p w14:paraId="26F6C111" w14:textId="77777777" w:rsidR="00824130" w:rsidRPr="00D80201" w:rsidRDefault="00824130">
      <w:pPr>
        <w:pStyle w:val="BodyTextFirstIndent"/>
        <w:widowControl/>
        <w:spacing w:after="0"/>
        <w:ind w:firstLine="0"/>
        <w:rPr>
          <w:color w:val="000000"/>
          <w:szCs w:val="26"/>
        </w:rPr>
      </w:pPr>
      <w:r>
        <w:rPr>
          <w:color w:val="000000"/>
          <w:szCs w:val="26"/>
        </w:rPr>
        <w:t>301.</w:t>
      </w:r>
      <w:r>
        <w:rPr>
          <w:color w:val="000000"/>
          <w:szCs w:val="26"/>
        </w:rPr>
        <w:tab/>
      </w:r>
      <w:r w:rsidRPr="00D80201">
        <w:rPr>
          <w:color w:val="000000"/>
          <w:szCs w:val="26"/>
        </w:rPr>
        <w:t xml:space="preserve">SCE also defends the ISO’s pricing structure, arguing that the ISO has adopted a congestion and losses pricing structure that promotes economic efficiency by reflecting the marginal costs of transmission.  Ex. SCE-29 at </w:t>
      </w:r>
      <w:smartTag w:uri="urn:schemas-microsoft-com:office:smarttags" w:element="time">
        <w:smartTagPr>
          <w:attr w:name="Hour" w:val="15"/>
          <w:attr w:name="Minute" w:val="13"/>
        </w:smartTagPr>
        <w:r w:rsidRPr="00D80201">
          <w:rPr>
            <w:color w:val="000000"/>
            <w:szCs w:val="26"/>
          </w:rPr>
          <w:t>15:13</w:t>
        </w:r>
      </w:smartTag>
      <w:r w:rsidRPr="00D80201">
        <w:rPr>
          <w:color w:val="000000"/>
          <w:szCs w:val="26"/>
        </w:rPr>
        <w:t xml:space="preserve"> – 15.  SCE argues that the eventual adoption of LMP, in conjunction with a comprehensive transmission planning process, will further improve ISO pricing and make TOU or 12 CP pricing even less appropriate than it is at present.  </w:t>
      </w:r>
    </w:p>
    <w:p w14:paraId="63596797" w14:textId="77777777" w:rsidR="00824130" w:rsidRPr="00D80201" w:rsidRDefault="00824130">
      <w:pPr>
        <w:pStyle w:val="BodyTextFirstIndent"/>
        <w:widowControl/>
        <w:ind w:firstLine="720"/>
        <w:rPr>
          <w:color w:val="000000"/>
          <w:szCs w:val="26"/>
        </w:rPr>
      </w:pPr>
    </w:p>
    <w:p w14:paraId="77E7F175" w14:textId="77777777" w:rsidR="00824130" w:rsidRPr="00D80201" w:rsidRDefault="00824130">
      <w:pPr>
        <w:pStyle w:val="BodyTextFirstIndent"/>
        <w:widowControl/>
        <w:ind w:firstLine="0"/>
        <w:rPr>
          <w:color w:val="000000"/>
          <w:szCs w:val="26"/>
        </w:rPr>
      </w:pPr>
      <w:r>
        <w:rPr>
          <w:color w:val="000000"/>
          <w:szCs w:val="26"/>
        </w:rPr>
        <w:t>302.</w:t>
      </w:r>
      <w:r>
        <w:rPr>
          <w:color w:val="000000"/>
          <w:szCs w:val="26"/>
        </w:rPr>
        <w:tab/>
      </w:r>
      <w:r w:rsidRPr="00D80201">
        <w:rPr>
          <w:color w:val="000000"/>
          <w:szCs w:val="26"/>
        </w:rPr>
        <w:t xml:space="preserve">SC argues that SWP and SWC have not met their burden of proof in showing that the ISO proposal is unjust, unreasonable, and/or unduly discriminatory before advancing their own proposed solutions of time-of-use or 12-CP pricing.  In addition, SC contends that SWP and SWC have not conducted or cited any studies demonstrating that usage patterns on the ISO-controlled grid would conform to the theories on which SWP and SWC base their proposed suggestions.  Based on data and testimony from ISO witness Pfeifenberger and SCE witness </w:t>
      </w:r>
      <w:smartTag w:uri="urn:schemas-microsoft-com:office:smarttags" w:element="place">
        <w:smartTag w:uri="urn:schemas-microsoft-com:office:smarttags" w:element="City">
          <w:r w:rsidRPr="00D80201">
            <w:rPr>
              <w:color w:val="000000"/>
              <w:szCs w:val="26"/>
            </w:rPr>
            <w:t>Hansen</w:t>
          </w:r>
        </w:smartTag>
        <w:r w:rsidRPr="00D80201">
          <w:rPr>
            <w:color w:val="000000"/>
            <w:szCs w:val="26"/>
          </w:rPr>
          <w:t xml:space="preserve">, </w:t>
        </w:r>
        <w:smartTag w:uri="urn:schemas-microsoft-com:office:smarttags" w:element="State">
          <w:r w:rsidRPr="00D80201">
            <w:rPr>
              <w:color w:val="000000"/>
              <w:szCs w:val="26"/>
            </w:rPr>
            <w:t>SC</w:t>
          </w:r>
        </w:smartTag>
      </w:smartTag>
      <w:r w:rsidRPr="00D80201">
        <w:rPr>
          <w:color w:val="000000"/>
          <w:szCs w:val="26"/>
        </w:rPr>
        <w:t xml:space="preserve"> contends that congestion on the ISO-controlled grid occurs during off-peak periods, and that congestion charges provide an appropriate price signal and encourage economically efficient use of the grid.  SC’s position is that using TOU or 12-CP pricing would undermine these price signals.  SC also cites Commission precedent holding that TOU or 12-CP pricing methodology are not a compulsory part of the ISO rate methodology.  </w:t>
      </w:r>
      <w:r w:rsidRPr="00D80201">
        <w:rPr>
          <w:color w:val="000000"/>
          <w:szCs w:val="26"/>
          <w:u w:val="single"/>
        </w:rPr>
        <w:t>S. Cal. Edison Co.</w:t>
      </w:r>
      <w:r>
        <w:rPr>
          <w:color w:val="000000"/>
          <w:szCs w:val="26"/>
        </w:rPr>
        <w:t>, 86 FERC ¶ 63,014</w:t>
      </w:r>
      <w:r w:rsidRPr="00D80201">
        <w:rPr>
          <w:color w:val="000000"/>
          <w:szCs w:val="26"/>
        </w:rPr>
        <w:t xml:space="preserve"> at 65,154 (1999), </w:t>
      </w:r>
      <w:r w:rsidRPr="00D80201">
        <w:rPr>
          <w:color w:val="000000"/>
          <w:szCs w:val="26"/>
          <w:u w:val="single"/>
        </w:rPr>
        <w:t>aff’d in pertinent part</w:t>
      </w:r>
      <w:r w:rsidRPr="00D80201">
        <w:rPr>
          <w:color w:val="000000"/>
          <w:szCs w:val="26"/>
        </w:rPr>
        <w:t>, 92 FERC ¶ 61,070 at 61,263 (2000).</w:t>
      </w:r>
    </w:p>
    <w:p w14:paraId="1826FB09" w14:textId="77777777" w:rsidR="00824130" w:rsidRPr="00D80201" w:rsidRDefault="00824130">
      <w:pPr>
        <w:pStyle w:val="BodyTextFirstIndent"/>
        <w:widowControl/>
        <w:spacing w:after="0"/>
        <w:ind w:firstLine="0"/>
        <w:rPr>
          <w:color w:val="000000"/>
          <w:szCs w:val="26"/>
        </w:rPr>
      </w:pPr>
    </w:p>
    <w:p w14:paraId="2A79408B" w14:textId="77777777" w:rsidR="00824130" w:rsidRPr="00D80201" w:rsidRDefault="00824130">
      <w:pPr>
        <w:pStyle w:val="BodyTextFirstIndent"/>
        <w:widowControl/>
        <w:spacing w:after="0"/>
        <w:ind w:firstLine="0"/>
        <w:rPr>
          <w:color w:val="000000"/>
          <w:szCs w:val="26"/>
        </w:rPr>
      </w:pPr>
      <w:r>
        <w:rPr>
          <w:color w:val="000000"/>
          <w:szCs w:val="26"/>
        </w:rPr>
        <w:t>303.</w:t>
      </w:r>
      <w:r>
        <w:rPr>
          <w:color w:val="000000"/>
          <w:szCs w:val="26"/>
        </w:rPr>
        <w:tab/>
      </w:r>
      <w:r w:rsidRPr="00D80201">
        <w:rPr>
          <w:color w:val="000000"/>
          <w:szCs w:val="26"/>
        </w:rPr>
        <w:t>SDG&amp;E argues that SWP, as the proponent of the time-of-use rate, has the burden in this proceeding to demonstrate that (1) the ISO’s volumetric rate is unjust, unreasonable or unduly discriminatory and (2) the time-of-use rate is just, reasonable and unduly discriminatory.</w:t>
      </w:r>
      <w:r w:rsidRPr="00D80201">
        <w:rPr>
          <w:rStyle w:val="FootnoteReference"/>
          <w:color w:val="000000"/>
        </w:rPr>
        <w:footnoteReference w:id="102"/>
      </w:r>
      <w:r w:rsidRPr="00D80201">
        <w:rPr>
          <w:color w:val="000000"/>
          <w:szCs w:val="26"/>
        </w:rPr>
        <w:t xml:space="preserve">  SDG&amp;E argues that if the ISO’s volumetric rate is found to be just and reasonable, then the Commission must reject SWP’s proposal. </w:t>
      </w:r>
    </w:p>
    <w:p w14:paraId="08ADD7C9" w14:textId="77777777" w:rsidR="00824130" w:rsidRPr="00D80201" w:rsidRDefault="00824130">
      <w:pPr>
        <w:pStyle w:val="BodyTextFirstIndent"/>
        <w:widowControl/>
        <w:ind w:firstLine="720"/>
        <w:rPr>
          <w:color w:val="000000"/>
          <w:szCs w:val="26"/>
        </w:rPr>
      </w:pPr>
    </w:p>
    <w:p w14:paraId="103BF1D8" w14:textId="77777777" w:rsidR="00824130" w:rsidRPr="00D80201" w:rsidRDefault="00824130">
      <w:pPr>
        <w:pStyle w:val="BodyTextFirstIndent"/>
        <w:widowControl/>
        <w:spacing w:after="0"/>
        <w:ind w:firstLine="0"/>
        <w:rPr>
          <w:color w:val="000000"/>
          <w:szCs w:val="26"/>
        </w:rPr>
      </w:pPr>
      <w:r>
        <w:rPr>
          <w:color w:val="000000"/>
          <w:szCs w:val="26"/>
        </w:rPr>
        <w:t>304.</w:t>
      </w:r>
      <w:r>
        <w:rPr>
          <w:color w:val="000000"/>
          <w:szCs w:val="26"/>
        </w:rPr>
        <w:tab/>
      </w:r>
      <w:r w:rsidRPr="00D80201">
        <w:rPr>
          <w:color w:val="000000"/>
          <w:szCs w:val="26"/>
        </w:rPr>
        <w:t>PG&amp;E supports the ISO and argues that SWP’s and SWC’s proposals for different methodology do not by themselves render the TAC unjust, unreasonable, or unduly discriminatory.</w:t>
      </w:r>
    </w:p>
    <w:p w14:paraId="66B9AB4E" w14:textId="77777777" w:rsidR="00824130" w:rsidRPr="00D80201" w:rsidRDefault="00824130">
      <w:pPr>
        <w:pStyle w:val="BodyTextFirstIndent"/>
        <w:widowControl/>
        <w:ind w:firstLine="0"/>
        <w:rPr>
          <w:color w:val="000000"/>
          <w:szCs w:val="26"/>
        </w:rPr>
      </w:pPr>
    </w:p>
    <w:p w14:paraId="7BEDC63E" w14:textId="77777777" w:rsidR="00824130" w:rsidRPr="00D80201" w:rsidRDefault="00824130">
      <w:pPr>
        <w:pStyle w:val="BodyTextFirstIndent"/>
        <w:widowControl/>
        <w:spacing w:after="0"/>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6BDB42D7" w14:textId="77777777" w:rsidR="00824130" w:rsidRPr="00D80201" w:rsidRDefault="00824130">
      <w:pPr>
        <w:pStyle w:val="BodyTextFirstIndent"/>
        <w:widowControl/>
        <w:ind w:firstLine="0"/>
        <w:rPr>
          <w:color w:val="000000"/>
          <w:szCs w:val="26"/>
        </w:rPr>
      </w:pPr>
    </w:p>
    <w:p w14:paraId="55A017EF" w14:textId="77777777" w:rsidR="00824130" w:rsidRPr="00D80201" w:rsidRDefault="00824130">
      <w:pPr>
        <w:rPr>
          <w:color w:val="000000"/>
          <w:szCs w:val="26"/>
        </w:rPr>
      </w:pPr>
      <w:r>
        <w:rPr>
          <w:color w:val="000000"/>
          <w:szCs w:val="26"/>
        </w:rPr>
        <w:t>305.</w:t>
      </w:r>
      <w:r>
        <w:rPr>
          <w:color w:val="000000"/>
          <w:szCs w:val="26"/>
        </w:rPr>
        <w:tab/>
      </w:r>
      <w:r w:rsidRPr="00D80201">
        <w:rPr>
          <w:color w:val="000000"/>
          <w:szCs w:val="26"/>
        </w:rPr>
        <w:t xml:space="preserve">The ISO’s TAC proposal, with its flat </w:t>
      </w:r>
      <w:r>
        <w:rPr>
          <w:color w:val="000000"/>
          <w:szCs w:val="26"/>
        </w:rPr>
        <w:t>MWh</w:t>
      </w:r>
      <w:r w:rsidRPr="00D80201">
        <w:rPr>
          <w:color w:val="000000"/>
          <w:szCs w:val="26"/>
        </w:rPr>
        <w:t>-based methodology, is just, reasonable and not unduly discriminatory without employing the time-of-use or coincident peak rate methodologies for which SWP and SWC argue.  As discussed above, SWP and SWC advance numerous arguments in support of alternative methodologies to that which the TAC already employs.  These two methodologies may be economically efficient and send the right price signals</w:t>
      </w:r>
      <w:r w:rsidRPr="00D80201">
        <w:rPr>
          <w:rStyle w:val="FootnoteReference"/>
          <w:color w:val="000000"/>
        </w:rPr>
        <w:footnoteReference w:id="103"/>
      </w:r>
      <w:r w:rsidRPr="00D80201">
        <w:rPr>
          <w:color w:val="000000"/>
          <w:szCs w:val="26"/>
        </w:rPr>
        <w:t xml:space="preserve"> in the right environment.  However, the ISO, Staff, and various parties defend the ISO’s current TAC methodology as just, reasonable, and not unduly discriminatory,</w:t>
      </w:r>
      <w:r w:rsidRPr="00D80201">
        <w:rPr>
          <w:rStyle w:val="FootnoteReference"/>
          <w:color w:val="000000"/>
        </w:rPr>
        <w:footnoteReference w:id="104"/>
      </w:r>
      <w:r w:rsidRPr="00D80201">
        <w:rPr>
          <w:color w:val="000000"/>
          <w:szCs w:val="26"/>
        </w:rPr>
        <w:t xml:space="preserve"> and SWP and SWC do not succeed in showing otherwise.</w:t>
      </w:r>
      <w:r w:rsidRPr="00D80201">
        <w:rPr>
          <w:rStyle w:val="FootnoteReference"/>
          <w:color w:val="000000"/>
        </w:rPr>
        <w:footnoteReference w:id="105"/>
      </w:r>
      <w:r w:rsidRPr="00D80201">
        <w:rPr>
          <w:color w:val="000000"/>
          <w:szCs w:val="26"/>
        </w:rPr>
        <w:t xml:space="preserve">  </w:t>
      </w:r>
    </w:p>
    <w:p w14:paraId="79C2FFF7" w14:textId="77777777" w:rsidR="00824130" w:rsidRPr="00D80201" w:rsidRDefault="00824130">
      <w:pPr>
        <w:rPr>
          <w:color w:val="000000"/>
          <w:szCs w:val="26"/>
        </w:rPr>
      </w:pPr>
    </w:p>
    <w:p w14:paraId="48E2A642" w14:textId="77777777" w:rsidR="00824130" w:rsidRPr="00D80201" w:rsidRDefault="00824130">
      <w:pPr>
        <w:rPr>
          <w:color w:val="000000"/>
          <w:szCs w:val="26"/>
        </w:rPr>
      </w:pPr>
      <w:r>
        <w:rPr>
          <w:color w:val="000000"/>
          <w:szCs w:val="26"/>
        </w:rPr>
        <w:t>306.</w:t>
      </w:r>
      <w:r>
        <w:rPr>
          <w:color w:val="000000"/>
          <w:szCs w:val="26"/>
        </w:rPr>
        <w:tab/>
      </w:r>
      <w:r w:rsidRPr="00D80201">
        <w:rPr>
          <w:color w:val="000000"/>
          <w:szCs w:val="26"/>
        </w:rPr>
        <w:t xml:space="preserve">SWP and SWC together advance many claims against the TAC’s flat </w:t>
      </w:r>
      <w:r>
        <w:rPr>
          <w:color w:val="000000"/>
          <w:szCs w:val="26"/>
        </w:rPr>
        <w:t>MWh</w:t>
      </w:r>
      <w:r w:rsidRPr="00D80201">
        <w:rPr>
          <w:color w:val="000000"/>
          <w:szCs w:val="26"/>
        </w:rPr>
        <w:t>-based methodology.  Generally, they contend that the TAC does not reflect cost causation principles, encourages optimal investment, and sends deficient pricing signals.</w:t>
      </w:r>
      <w:r w:rsidRPr="00D80201">
        <w:rPr>
          <w:rStyle w:val="FootnoteReference"/>
          <w:color w:val="000000"/>
        </w:rPr>
        <w:footnoteReference w:id="106"/>
      </w:r>
      <w:r w:rsidRPr="00D80201">
        <w:rPr>
          <w:color w:val="000000"/>
          <w:szCs w:val="26"/>
        </w:rPr>
        <w:t xml:space="preserve">  However, other parties defend the ISO’s current pricing methodology, citing Commission approval of it.  In </w:t>
      </w:r>
      <w:r w:rsidRPr="00D80201">
        <w:rPr>
          <w:color w:val="000000"/>
          <w:szCs w:val="26"/>
          <w:u w:val="single"/>
        </w:rPr>
        <w:t>Pacific Gas &amp; Elec. Co.</w:t>
      </w:r>
      <w:r w:rsidRPr="00D80201">
        <w:rPr>
          <w:color w:val="000000"/>
          <w:szCs w:val="26"/>
        </w:rPr>
        <w:t>, 80 FERC ¶ 61,128 at 61,429 (1997), the Commission stated</w:t>
      </w:r>
      <w:r>
        <w:rPr>
          <w:color w:val="000000"/>
          <w:szCs w:val="26"/>
        </w:rPr>
        <w:t>:</w:t>
      </w:r>
      <w:r w:rsidRPr="00D80201">
        <w:rPr>
          <w:color w:val="000000"/>
          <w:szCs w:val="26"/>
        </w:rPr>
        <w:t xml:space="preserve"> </w:t>
      </w:r>
    </w:p>
    <w:p w14:paraId="3A1111CF" w14:textId="77777777" w:rsidR="00824130" w:rsidRPr="00D80201" w:rsidRDefault="00824130">
      <w:pPr>
        <w:rPr>
          <w:color w:val="000000"/>
          <w:szCs w:val="26"/>
        </w:rPr>
      </w:pPr>
    </w:p>
    <w:p w14:paraId="3BE51841" w14:textId="77777777" w:rsidR="00824130" w:rsidRPr="00D80201" w:rsidRDefault="00824130">
      <w:pPr>
        <w:ind w:left="720"/>
        <w:rPr>
          <w:color w:val="000000"/>
          <w:szCs w:val="26"/>
        </w:rPr>
      </w:pPr>
      <w:r w:rsidRPr="00D80201">
        <w:rPr>
          <w:color w:val="000000"/>
          <w:szCs w:val="26"/>
        </w:rPr>
        <w:t>We agree that the congestion usage charge sends the proper price signals regarding the opportunity costs of using congested transmission paths.  The usage charge will encourage efficient usage of the transmission system and facilitate the development of a competitive electric market.  By efficiently pricing the use of a constrained transmission capacity, the ISO’s proposed usage charge will also send the proper price signals for the location and dispatch of existing and new generating resources.  To the extent generation located on the high cost (import) side of a constraint is priced higher as a result of congestion usage charges, generation that would otherwise be more expensive but for the usage charges will be dispatched first.  Therefore, new load will have an incentive to locate on the low cost (export) side of the constraint, and new generation will have an incentive to locate on the high cost (import) side of the constraint.  Moreover, the ISO’s proposed congestion usage charge is also likely to encourage efficient expansion of the transmission system.  For example, to the extent that, over time, congestion usage charges are higher than the cost to expand constrained transmission capacity, transmission customers will have an incentive to expand the transmission system.</w:t>
      </w:r>
    </w:p>
    <w:p w14:paraId="5EE03839" w14:textId="77777777" w:rsidR="00824130" w:rsidRPr="00D80201" w:rsidRDefault="00824130">
      <w:pPr>
        <w:rPr>
          <w:color w:val="000000"/>
          <w:szCs w:val="26"/>
        </w:rPr>
      </w:pPr>
    </w:p>
    <w:p w14:paraId="5AD9CEE7" w14:textId="77777777" w:rsidR="00824130" w:rsidRPr="00D80201" w:rsidRDefault="00824130">
      <w:pPr>
        <w:rPr>
          <w:color w:val="000000"/>
          <w:szCs w:val="26"/>
        </w:rPr>
      </w:pPr>
      <w:r w:rsidRPr="00D80201">
        <w:rPr>
          <w:color w:val="000000"/>
          <w:szCs w:val="26"/>
        </w:rPr>
        <w:t xml:space="preserve">Furthermore, the Commission held that the flat </w:t>
      </w:r>
      <w:r>
        <w:rPr>
          <w:color w:val="000000"/>
          <w:szCs w:val="26"/>
        </w:rPr>
        <w:t>MWh</w:t>
      </w:r>
      <w:r w:rsidRPr="00D80201">
        <w:rPr>
          <w:color w:val="000000"/>
          <w:szCs w:val="26"/>
        </w:rPr>
        <w:t xml:space="preserve">-based rate methodology satisfied the Commission’s transmission pricing principles.  </w:t>
      </w:r>
      <w:smartTag w:uri="urn:schemas-microsoft-com:office:smarttags" w:element="place">
        <w:smartTag w:uri="urn:schemas-microsoft-com:office:smarttags" w:element="State">
          <w:r w:rsidRPr="00D80201">
            <w:rPr>
              <w:color w:val="000000"/>
              <w:szCs w:val="26"/>
              <w:u w:val="single"/>
            </w:rPr>
            <w:t>Id.</w:t>
          </w:r>
        </w:smartTag>
      </w:smartTag>
      <w:r w:rsidRPr="00D80201">
        <w:rPr>
          <w:color w:val="000000"/>
          <w:szCs w:val="26"/>
        </w:rPr>
        <w:t xml:space="preserve"> at 61,430.  </w:t>
      </w:r>
    </w:p>
    <w:p w14:paraId="70E358D8" w14:textId="77777777" w:rsidR="00824130" w:rsidRPr="00D80201" w:rsidRDefault="00824130">
      <w:pPr>
        <w:rPr>
          <w:color w:val="000000"/>
          <w:szCs w:val="26"/>
        </w:rPr>
      </w:pPr>
    </w:p>
    <w:p w14:paraId="5CD44A02" w14:textId="77777777" w:rsidR="00824130" w:rsidRPr="00D80201" w:rsidRDefault="00824130">
      <w:pPr>
        <w:rPr>
          <w:color w:val="000000"/>
          <w:szCs w:val="26"/>
        </w:rPr>
      </w:pPr>
      <w:r>
        <w:rPr>
          <w:color w:val="000000"/>
          <w:szCs w:val="26"/>
        </w:rPr>
        <w:t>307.</w:t>
      </w:r>
      <w:r>
        <w:rPr>
          <w:color w:val="000000"/>
          <w:szCs w:val="26"/>
        </w:rPr>
        <w:tab/>
      </w:r>
      <w:r w:rsidRPr="00D80201">
        <w:rPr>
          <w:color w:val="000000"/>
          <w:szCs w:val="26"/>
        </w:rPr>
        <w:t>In addition, SWP and SWC advance many claims in favor of time-of-use and coincident peak pricing.  They assert that most other ISOs and RTOs are using one of these types of methodologies,</w:t>
      </w:r>
      <w:r w:rsidRPr="00D80201">
        <w:rPr>
          <w:rStyle w:val="FootnoteReference"/>
          <w:color w:val="000000"/>
        </w:rPr>
        <w:footnoteReference w:id="107"/>
      </w:r>
      <w:r w:rsidRPr="00D80201">
        <w:rPr>
          <w:color w:val="000000"/>
          <w:szCs w:val="26"/>
        </w:rPr>
        <w:t xml:space="preserve"> and that the ISO is under obligation to consider them at this juncture.</w:t>
      </w:r>
      <w:r w:rsidRPr="00D80201">
        <w:rPr>
          <w:rStyle w:val="FootnoteReference"/>
          <w:color w:val="000000"/>
        </w:rPr>
        <w:footnoteReference w:id="108"/>
      </w:r>
      <w:r w:rsidRPr="00D80201">
        <w:rPr>
          <w:color w:val="000000"/>
          <w:szCs w:val="26"/>
        </w:rPr>
        <w:t xml:space="preserve">  Further, they advance that the two methodologies better comport with cost causation and transmission pricing principles,</w:t>
      </w:r>
      <w:r w:rsidRPr="00D80201">
        <w:rPr>
          <w:rStyle w:val="FootnoteReference"/>
          <w:color w:val="000000"/>
        </w:rPr>
        <w:footnoteReference w:id="109"/>
      </w:r>
      <w:r w:rsidRPr="00D80201">
        <w:rPr>
          <w:color w:val="000000"/>
          <w:szCs w:val="26"/>
        </w:rPr>
        <w:t xml:space="preserve"> and that they work in tandem with the ISO’s current congestion management system to encourage optimal investment and send efficient price signals.</w:t>
      </w:r>
      <w:r w:rsidRPr="00D80201">
        <w:rPr>
          <w:rStyle w:val="FootnoteReference"/>
          <w:color w:val="000000"/>
        </w:rPr>
        <w:footnoteReference w:id="110"/>
      </w:r>
      <w:r w:rsidRPr="00D80201">
        <w:rPr>
          <w:color w:val="000000"/>
          <w:szCs w:val="26"/>
        </w:rPr>
        <w:t xml:space="preserve">  </w:t>
      </w:r>
    </w:p>
    <w:p w14:paraId="57280C29" w14:textId="77777777" w:rsidR="00824130" w:rsidRPr="00D80201" w:rsidRDefault="00824130">
      <w:pPr>
        <w:rPr>
          <w:color w:val="000000"/>
          <w:szCs w:val="26"/>
        </w:rPr>
      </w:pPr>
    </w:p>
    <w:p w14:paraId="36676E24" w14:textId="77777777" w:rsidR="00824130" w:rsidRPr="00D80201" w:rsidRDefault="00824130">
      <w:pPr>
        <w:rPr>
          <w:color w:val="000000"/>
          <w:szCs w:val="26"/>
        </w:rPr>
      </w:pPr>
      <w:r>
        <w:rPr>
          <w:color w:val="000000"/>
          <w:szCs w:val="26"/>
        </w:rPr>
        <w:t>308.</w:t>
      </w:r>
      <w:r>
        <w:rPr>
          <w:color w:val="000000"/>
          <w:szCs w:val="26"/>
        </w:rPr>
        <w:tab/>
      </w:r>
      <w:r w:rsidRPr="00D80201">
        <w:rPr>
          <w:color w:val="000000"/>
          <w:szCs w:val="26"/>
        </w:rPr>
        <w:t>In principle, SWP and SWC have presented strong arguments that the two pricing methodologies comport with Commission policy and are economically efficient.  The Commission has endorsed their usage in other RTOs and ISOs.</w:t>
      </w:r>
      <w:r w:rsidRPr="00D80201">
        <w:rPr>
          <w:rStyle w:val="FootnoteReference"/>
          <w:color w:val="000000"/>
        </w:rPr>
        <w:footnoteReference w:id="111"/>
      </w:r>
      <w:r w:rsidRPr="00D80201">
        <w:rPr>
          <w:color w:val="000000"/>
          <w:szCs w:val="26"/>
        </w:rPr>
        <w:t xml:space="preserve">  However, while this methodology may be worthy of further consideration in the </w:t>
      </w:r>
      <w:r>
        <w:rPr>
          <w:color w:val="000000"/>
          <w:szCs w:val="26"/>
        </w:rPr>
        <w:t>MD02</w:t>
      </w:r>
      <w:r w:rsidRPr="00D80201">
        <w:rPr>
          <w:color w:val="000000"/>
          <w:szCs w:val="26"/>
        </w:rPr>
        <w:t xml:space="preserve"> proceeding wherein the ISO is moving to a locational marginal pricing system, it is not appropriate to address these alternative methodologies in this proceeding for the reasons discussed more fully below.</w:t>
      </w:r>
      <w:r w:rsidRPr="00D80201">
        <w:rPr>
          <w:rStyle w:val="FootnoteReference"/>
          <w:color w:val="000000"/>
        </w:rPr>
        <w:footnoteReference w:id="112"/>
      </w:r>
      <w:r w:rsidRPr="00D80201">
        <w:rPr>
          <w:color w:val="000000"/>
          <w:szCs w:val="26"/>
        </w:rPr>
        <w:t xml:space="preserve">  </w:t>
      </w:r>
    </w:p>
    <w:p w14:paraId="38F92E79" w14:textId="77777777" w:rsidR="00824130" w:rsidRPr="00D80201" w:rsidRDefault="00824130">
      <w:pPr>
        <w:rPr>
          <w:color w:val="000000"/>
          <w:szCs w:val="26"/>
        </w:rPr>
      </w:pPr>
    </w:p>
    <w:p w14:paraId="4A78B82A" w14:textId="77777777" w:rsidR="00824130" w:rsidRPr="00D80201" w:rsidRDefault="00824130">
      <w:pPr>
        <w:rPr>
          <w:i/>
          <w:color w:val="000000"/>
          <w:szCs w:val="26"/>
        </w:rPr>
      </w:pPr>
      <w:r>
        <w:rPr>
          <w:color w:val="000000"/>
          <w:szCs w:val="26"/>
        </w:rPr>
        <w:t>309.</w:t>
      </w:r>
      <w:r>
        <w:rPr>
          <w:color w:val="000000"/>
          <w:szCs w:val="26"/>
        </w:rPr>
        <w:tab/>
      </w:r>
      <w:r w:rsidRPr="00D80201">
        <w:rPr>
          <w:color w:val="000000"/>
          <w:szCs w:val="26"/>
        </w:rPr>
        <w:t xml:space="preserve">The ISO has not yet converted to locational marginal pricing, and the current ISO pricing structure is unlike most other RTOs and ISOs.  This distinction is particularly important because as discussed above, the Commission has already approved the ISO’s flat </w:t>
      </w:r>
      <w:r>
        <w:rPr>
          <w:color w:val="000000"/>
          <w:szCs w:val="26"/>
        </w:rPr>
        <w:t>MWh</w:t>
      </w:r>
      <w:r w:rsidRPr="00D80201">
        <w:rPr>
          <w:color w:val="000000"/>
          <w:szCs w:val="26"/>
        </w:rPr>
        <w:t xml:space="preserve">-based rate methodology.  </w:t>
      </w:r>
      <w:r w:rsidRPr="00D80201">
        <w:rPr>
          <w:color w:val="000000"/>
          <w:szCs w:val="26"/>
          <w:u w:val="single"/>
        </w:rPr>
        <w:t>Pacific Gas &amp; Elec. Co.</w:t>
      </w:r>
      <w:r w:rsidRPr="00D80201">
        <w:rPr>
          <w:color w:val="000000"/>
          <w:szCs w:val="26"/>
        </w:rPr>
        <w:t xml:space="preserve">, 80 FERC ¶ 61,128 at 61,429-30 (1997).  Until such time as the Commission approves a locational marginal pricing system, the ISO’s current framework is just, reasonable, and not unduly discriminatory.  It satisfies the transmission pricing and cost causation principles, and sends the appropriate price signals.  </w:t>
      </w:r>
      <w:smartTag w:uri="urn:schemas-microsoft-com:office:smarttags" w:element="place">
        <w:smartTag w:uri="urn:schemas-microsoft-com:office:smarttags" w:element="State">
          <w:r w:rsidRPr="00D80201">
            <w:rPr>
              <w:color w:val="000000"/>
              <w:szCs w:val="26"/>
              <w:u w:val="single"/>
            </w:rPr>
            <w:t>Id.</w:t>
          </w:r>
        </w:smartTag>
      </w:smartTag>
    </w:p>
    <w:p w14:paraId="143E05CB" w14:textId="77777777" w:rsidR="00824130" w:rsidRPr="00D80201" w:rsidRDefault="00824130">
      <w:pPr>
        <w:rPr>
          <w:i/>
          <w:color w:val="000000"/>
          <w:szCs w:val="26"/>
        </w:rPr>
      </w:pPr>
    </w:p>
    <w:p w14:paraId="2A70EAC1" w14:textId="77777777" w:rsidR="00824130" w:rsidRPr="00D80201" w:rsidRDefault="00824130">
      <w:pPr>
        <w:ind w:left="1080"/>
        <w:rPr>
          <w:rFonts w:ascii="Times New Roman Bold" w:hAnsi="Times New Roman Bold"/>
          <w:b/>
          <w:color w:val="000000"/>
          <w:szCs w:val="26"/>
        </w:rPr>
      </w:pPr>
      <w:r>
        <w:rPr>
          <w:rFonts w:ascii="Times New Roman Bold" w:hAnsi="Times New Roman Bold"/>
          <w:b/>
          <w:color w:val="000000"/>
          <w:szCs w:val="26"/>
        </w:rPr>
        <w:t xml:space="preserve">B. </w:t>
      </w:r>
      <w:r w:rsidRPr="00D80201">
        <w:rPr>
          <w:rFonts w:ascii="Times New Roman Bold" w:hAnsi="Times New Roman Bold"/>
          <w:b/>
          <w:color w:val="000000"/>
          <w:szCs w:val="26"/>
        </w:rPr>
        <w:t>If the ISO transmission Access Charge is unjust, unreasonable and not unduly discriminatory, is a time-of-use or coincident peak methodology just, reasonable and not unduly discriminatory for the transmission Access Charge methodology.</w:t>
      </w:r>
    </w:p>
    <w:p w14:paraId="48EAB5D2" w14:textId="77777777" w:rsidR="00824130" w:rsidRPr="00D80201" w:rsidRDefault="00824130">
      <w:pPr>
        <w:ind w:left="1080"/>
        <w:rPr>
          <w:rFonts w:ascii="Times New Roman Bold" w:hAnsi="Times New Roman Bold"/>
          <w:b/>
          <w:color w:val="000000"/>
          <w:szCs w:val="26"/>
        </w:rPr>
      </w:pPr>
    </w:p>
    <w:p w14:paraId="6F4E0C9B"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204695EA" w14:textId="77777777" w:rsidR="00824130" w:rsidRPr="00D80201" w:rsidRDefault="00824130">
      <w:pPr>
        <w:rPr>
          <w:rFonts w:ascii="Times New Roman Bold" w:hAnsi="Times New Roman Bold"/>
          <w:b/>
          <w:color w:val="000000"/>
          <w:szCs w:val="26"/>
        </w:rPr>
      </w:pPr>
    </w:p>
    <w:p w14:paraId="4EF1F25F" w14:textId="77777777" w:rsidR="00824130" w:rsidRPr="00D80201" w:rsidRDefault="00824130">
      <w:pPr>
        <w:pStyle w:val="BodyText"/>
        <w:rPr>
          <w:color w:val="000000"/>
          <w:sz w:val="26"/>
          <w:szCs w:val="26"/>
        </w:rPr>
      </w:pPr>
      <w:r>
        <w:rPr>
          <w:color w:val="000000"/>
          <w:sz w:val="26"/>
          <w:szCs w:val="26"/>
        </w:rPr>
        <w:t>310.</w:t>
      </w:r>
      <w:r>
        <w:rPr>
          <w:color w:val="000000"/>
          <w:sz w:val="26"/>
          <w:szCs w:val="26"/>
        </w:rPr>
        <w:tab/>
      </w:r>
      <w:r w:rsidRPr="00D80201">
        <w:rPr>
          <w:color w:val="000000"/>
          <w:sz w:val="26"/>
          <w:szCs w:val="26"/>
        </w:rPr>
        <w:t>SWP recommends adoption of the Commission’s modified Appalachian method,</w:t>
      </w:r>
      <w:r w:rsidRPr="00D80201">
        <w:rPr>
          <w:rStyle w:val="FootnoteReference"/>
          <w:color w:val="000000"/>
        </w:rPr>
        <w:footnoteReference w:id="113"/>
      </w:r>
      <w:r w:rsidRPr="00D80201">
        <w:rPr>
          <w:color w:val="000000"/>
          <w:sz w:val="26"/>
          <w:szCs w:val="26"/>
        </w:rPr>
        <w:t xml:space="preserve"> or the Commission’s traditional 12-CP methodology</w:t>
      </w:r>
      <w:r w:rsidRPr="00D80201">
        <w:rPr>
          <w:rStyle w:val="FootnoteReference"/>
          <w:color w:val="000000"/>
        </w:rPr>
        <w:footnoteReference w:id="114"/>
      </w:r>
      <w:r w:rsidRPr="00D80201">
        <w:rPr>
          <w:color w:val="000000"/>
          <w:sz w:val="26"/>
          <w:szCs w:val="26"/>
        </w:rPr>
        <w:t xml:space="preserve"> in order to send price signals to even out use of the grid and to minimize the need to invest in costly infrastructure.  Ex. SWP-65 at 24-25; Ex. SWP-67 at 34-35.  </w:t>
      </w:r>
    </w:p>
    <w:p w14:paraId="32EC017A" w14:textId="77777777" w:rsidR="00824130" w:rsidRPr="00D80201" w:rsidRDefault="00824130">
      <w:pPr>
        <w:pStyle w:val="BodyText"/>
        <w:ind w:firstLine="720"/>
        <w:rPr>
          <w:color w:val="000000"/>
          <w:sz w:val="26"/>
          <w:szCs w:val="26"/>
        </w:rPr>
      </w:pPr>
    </w:p>
    <w:p w14:paraId="23016C6E" w14:textId="77777777" w:rsidR="00824130" w:rsidRPr="00D80201" w:rsidRDefault="00824130">
      <w:pPr>
        <w:pStyle w:val="BodyText"/>
        <w:rPr>
          <w:color w:val="000000"/>
          <w:sz w:val="26"/>
          <w:szCs w:val="26"/>
        </w:rPr>
      </w:pPr>
      <w:r>
        <w:rPr>
          <w:color w:val="000000"/>
          <w:sz w:val="26"/>
          <w:szCs w:val="26"/>
        </w:rPr>
        <w:t>311.</w:t>
      </w:r>
      <w:r>
        <w:rPr>
          <w:color w:val="000000"/>
          <w:sz w:val="26"/>
          <w:szCs w:val="26"/>
        </w:rPr>
        <w:tab/>
      </w:r>
      <w:r w:rsidRPr="00D80201">
        <w:rPr>
          <w:color w:val="000000"/>
          <w:sz w:val="26"/>
          <w:szCs w:val="26"/>
        </w:rPr>
        <w:t>SWC suggests adoption of coincident peak pricing; alternatively it supports time-of-use as an appropriate methodology as well, endorsing in its reply brief the same modified Appalachian method that SWP recommends.  SWC Reply Brief at 41.  SWC contends that the Commission endorses peak pricing.</w:t>
      </w:r>
      <w:r w:rsidRPr="00D80201">
        <w:rPr>
          <w:rStyle w:val="FootnoteReference"/>
          <w:color w:val="000000"/>
        </w:rPr>
        <w:footnoteReference w:id="115"/>
      </w:r>
      <w:r w:rsidRPr="00D80201">
        <w:rPr>
          <w:color w:val="000000"/>
          <w:sz w:val="26"/>
          <w:szCs w:val="26"/>
        </w:rPr>
        <w:t xml:space="preserve">  SWC also argues that the primary method that the Commission has approved for ISOs and RTOs to allocate transmission costs is demand-based pricing.  SWC emphasizes that only the California ISO and the New York ISO employ a flat </w:t>
      </w:r>
      <w:r>
        <w:rPr>
          <w:color w:val="000000"/>
          <w:sz w:val="26"/>
          <w:szCs w:val="26"/>
        </w:rPr>
        <w:t>MWh</w:t>
      </w:r>
      <w:r w:rsidRPr="00D80201">
        <w:rPr>
          <w:color w:val="000000"/>
          <w:sz w:val="26"/>
          <w:szCs w:val="26"/>
        </w:rPr>
        <w:t xml:space="preserve">-based TAC rate, and of these two, the New York ISO’s system includes additional price signals because the New York ISO charges for transmission system service on a net basis, as opposed to the gross load basis that the California ISO uses.  </w:t>
      </w:r>
      <w:r w:rsidRPr="00D80201">
        <w:rPr>
          <w:color w:val="000000"/>
          <w:sz w:val="26"/>
          <w:szCs w:val="26"/>
          <w:u w:val="single"/>
        </w:rPr>
        <w:t>See</w:t>
      </w:r>
      <w:r w:rsidRPr="00D80201">
        <w:rPr>
          <w:color w:val="000000"/>
          <w:sz w:val="26"/>
          <w:szCs w:val="26"/>
        </w:rPr>
        <w:t xml:space="preserve"> Tr. 2078:16 – 19.  SWC also argues that a 12-CP methodology is just, reasonable, and not unduly discriminatory because it satisfies the Commission’s transmission pricing principles, sends a price signal consistent with the congestion management price signal,</w:t>
      </w:r>
      <w:r w:rsidRPr="00D80201">
        <w:rPr>
          <w:rStyle w:val="FootnoteReference"/>
          <w:color w:val="000000"/>
        </w:rPr>
        <w:footnoteReference w:id="116"/>
      </w:r>
      <w:r w:rsidRPr="00D80201">
        <w:rPr>
          <w:color w:val="000000"/>
          <w:sz w:val="26"/>
          <w:szCs w:val="26"/>
        </w:rPr>
        <w:t xml:space="preserve"> and will shift load from the system peak to result in reduced investment in transmission.  Tr. 2063:4 – 16; Tr. 2671:16 – 25.  SWC also asserts that the 12-CP methodology is consistent with existing cost allocation to retail customers, and that all customers benefit from such a methodology.  SWC also states that it supports a time-of-use rate as an appropriate methodology for the TAC.  </w:t>
      </w:r>
    </w:p>
    <w:p w14:paraId="08A979E7" w14:textId="77777777" w:rsidR="00824130" w:rsidRPr="00D80201" w:rsidRDefault="00824130">
      <w:pPr>
        <w:pStyle w:val="BodyText"/>
        <w:ind w:firstLine="720"/>
        <w:rPr>
          <w:color w:val="000000"/>
          <w:sz w:val="26"/>
          <w:szCs w:val="26"/>
        </w:rPr>
      </w:pPr>
    </w:p>
    <w:p w14:paraId="68B64066" w14:textId="77777777" w:rsidR="00824130" w:rsidRPr="00D80201" w:rsidRDefault="00824130">
      <w:pPr>
        <w:pStyle w:val="BodyTextFirstIndent"/>
        <w:widowControl/>
        <w:spacing w:after="0"/>
        <w:ind w:firstLine="0"/>
        <w:rPr>
          <w:color w:val="000000"/>
          <w:szCs w:val="26"/>
        </w:rPr>
      </w:pPr>
      <w:r>
        <w:rPr>
          <w:color w:val="000000"/>
          <w:szCs w:val="26"/>
        </w:rPr>
        <w:t>312.</w:t>
      </w:r>
      <w:r>
        <w:rPr>
          <w:color w:val="000000"/>
          <w:szCs w:val="26"/>
        </w:rPr>
        <w:tab/>
      </w:r>
      <w:r w:rsidRPr="00D80201">
        <w:rPr>
          <w:color w:val="000000"/>
          <w:szCs w:val="26"/>
        </w:rPr>
        <w:t xml:space="preserve">As previously discussed, the EOB’s position is that the case has not been made that either time-of-use or </w:t>
      </w:r>
      <w:r>
        <w:rPr>
          <w:color w:val="000000"/>
          <w:szCs w:val="26"/>
        </w:rPr>
        <w:t>12-CP</w:t>
      </w:r>
      <w:r w:rsidRPr="00D80201">
        <w:rPr>
          <w:color w:val="000000"/>
          <w:szCs w:val="26"/>
        </w:rPr>
        <w:t xml:space="preserve"> pricing methodology enhances economic efficiency at this time, but believes that that time-of-use could promote economic efficiency if </w:t>
      </w:r>
      <w:smartTag w:uri="urn:schemas-microsoft-com:office:smarttags" w:element="place">
        <w:smartTag w:uri="urn:schemas-microsoft-com:office:smarttags" w:element="State">
          <w:r w:rsidRPr="00D80201">
            <w:rPr>
              <w:color w:val="000000"/>
              <w:szCs w:val="26"/>
            </w:rPr>
            <w:t>California</w:t>
          </w:r>
        </w:smartTag>
      </w:smartTag>
      <w:r w:rsidRPr="00D80201">
        <w:rPr>
          <w:color w:val="000000"/>
          <w:szCs w:val="26"/>
        </w:rPr>
        <w:t xml:space="preserve"> and the Commission adopt locational marginal pricing.   </w:t>
      </w:r>
    </w:p>
    <w:p w14:paraId="32D16CB6" w14:textId="77777777" w:rsidR="00824130" w:rsidRPr="00D80201" w:rsidRDefault="00824130">
      <w:pPr>
        <w:rPr>
          <w:rFonts w:ascii="Times New Roman Bold" w:hAnsi="Times New Roman Bold"/>
          <w:b/>
          <w:color w:val="000000"/>
          <w:szCs w:val="26"/>
        </w:rPr>
      </w:pPr>
    </w:p>
    <w:p w14:paraId="27444BEC" w14:textId="77777777" w:rsidR="00824130" w:rsidRPr="00D80201" w:rsidRDefault="00824130">
      <w:pPr>
        <w:rPr>
          <w:color w:val="000000"/>
          <w:szCs w:val="26"/>
        </w:rPr>
      </w:pPr>
      <w:r>
        <w:rPr>
          <w:color w:val="000000"/>
          <w:szCs w:val="26"/>
        </w:rPr>
        <w:t>313.</w:t>
      </w:r>
      <w:r>
        <w:rPr>
          <w:color w:val="000000"/>
          <w:szCs w:val="26"/>
        </w:rPr>
        <w:tab/>
      </w:r>
      <w:r w:rsidRPr="00D80201">
        <w:rPr>
          <w:color w:val="000000"/>
          <w:szCs w:val="26"/>
        </w:rPr>
        <w:t xml:space="preserve">The ISO contends that this issue is inapplicable because its TAC is just, reasonable, and not unduly discriminatory.  </w:t>
      </w:r>
    </w:p>
    <w:p w14:paraId="0221735B" w14:textId="77777777" w:rsidR="00824130" w:rsidRPr="00D80201" w:rsidRDefault="00824130">
      <w:pPr>
        <w:rPr>
          <w:color w:val="000000"/>
          <w:szCs w:val="26"/>
        </w:rPr>
      </w:pPr>
    </w:p>
    <w:p w14:paraId="58531CA2" w14:textId="77777777" w:rsidR="00824130" w:rsidRPr="00D80201" w:rsidRDefault="00824130">
      <w:pPr>
        <w:rPr>
          <w:color w:val="000000"/>
          <w:szCs w:val="26"/>
        </w:rPr>
      </w:pPr>
      <w:r>
        <w:rPr>
          <w:color w:val="000000"/>
          <w:szCs w:val="26"/>
        </w:rPr>
        <w:t>314.</w:t>
      </w:r>
      <w:r>
        <w:rPr>
          <w:color w:val="000000"/>
          <w:szCs w:val="26"/>
        </w:rPr>
        <w:tab/>
      </w:r>
      <w:r w:rsidRPr="00D80201">
        <w:rPr>
          <w:color w:val="000000"/>
          <w:szCs w:val="26"/>
        </w:rPr>
        <w:t xml:space="preserve">Staff also argues that this issue is inapplicable, because the ISO’s proposal has not been shown to be unjust, unreasonable, or unduly discriminatory.  Nonetheless, on reply briefs, Staff stresses that while the Commission has approved time-of-use or 12-CP pricing for other ISOs, it has approved that the ISO’s flat </w:t>
      </w:r>
      <w:r>
        <w:rPr>
          <w:color w:val="000000"/>
          <w:szCs w:val="26"/>
        </w:rPr>
        <w:t>MWh</w:t>
      </w:r>
      <w:r w:rsidRPr="00D80201">
        <w:rPr>
          <w:color w:val="000000"/>
          <w:szCs w:val="26"/>
        </w:rPr>
        <w:t xml:space="preserve">-based rates with congestion costs are reasonable for the California ISO.  Accordingly, while time-of-use or 12-CP pricing may work for other ISOs, the Commission has found the ISO’s methodology just and reasonable.  </w:t>
      </w:r>
      <w:r w:rsidRPr="00D80201">
        <w:rPr>
          <w:color w:val="000000"/>
          <w:szCs w:val="26"/>
          <w:u w:val="single"/>
        </w:rPr>
        <w:t>Pacific Gas &amp; Elec. Co.</w:t>
      </w:r>
      <w:r w:rsidRPr="00D80201">
        <w:rPr>
          <w:i/>
          <w:color w:val="000000"/>
          <w:szCs w:val="26"/>
        </w:rPr>
        <w:t>,</w:t>
      </w:r>
      <w:r w:rsidRPr="00D80201">
        <w:rPr>
          <w:color w:val="000000"/>
          <w:szCs w:val="26"/>
        </w:rPr>
        <w:t xml:space="preserve"> 80 FERC ¶ 61,128 at 61,429-30 (1997).</w:t>
      </w:r>
    </w:p>
    <w:p w14:paraId="077E6400" w14:textId="77777777" w:rsidR="00824130" w:rsidRPr="00D80201" w:rsidRDefault="00824130">
      <w:pPr>
        <w:rPr>
          <w:color w:val="000000"/>
          <w:szCs w:val="26"/>
        </w:rPr>
      </w:pPr>
    </w:p>
    <w:p w14:paraId="16CF02C2" w14:textId="77777777" w:rsidR="00824130" w:rsidRPr="00D80201" w:rsidRDefault="00824130">
      <w:pPr>
        <w:pStyle w:val="BodyText"/>
        <w:rPr>
          <w:color w:val="000000"/>
          <w:sz w:val="26"/>
          <w:szCs w:val="26"/>
        </w:rPr>
      </w:pPr>
      <w:r>
        <w:rPr>
          <w:color w:val="000000"/>
          <w:sz w:val="26"/>
          <w:szCs w:val="26"/>
        </w:rPr>
        <w:t>315.</w:t>
      </w:r>
      <w:r>
        <w:rPr>
          <w:color w:val="000000"/>
          <w:sz w:val="26"/>
          <w:szCs w:val="26"/>
        </w:rPr>
        <w:tab/>
      </w:r>
      <w:r w:rsidRPr="00D80201">
        <w:rPr>
          <w:color w:val="000000"/>
          <w:sz w:val="26"/>
          <w:szCs w:val="26"/>
        </w:rPr>
        <w:t xml:space="preserve">SCE’s position is that the evidence does not support a finding that the ISO rate methodology is unjust, unreasonable, and/or unduly discriminatory.  SCE also counters SWP’s suggestion of the modified Appalachian method as inappropriate here because of differences between the circumstances for which that methodology was developed from the instant case.  SCE also disputes that the 12-CP methodology would be appropriate; it states that the methodology is incompatible with other transmission price components important to the ISO structure.  </w:t>
      </w:r>
    </w:p>
    <w:p w14:paraId="1EA98D24" w14:textId="77777777" w:rsidR="00824130" w:rsidRPr="00D80201" w:rsidRDefault="00824130">
      <w:pPr>
        <w:pStyle w:val="BodyText"/>
        <w:rPr>
          <w:color w:val="000000"/>
          <w:sz w:val="26"/>
          <w:szCs w:val="26"/>
        </w:rPr>
      </w:pPr>
    </w:p>
    <w:p w14:paraId="69986E8D" w14:textId="77777777" w:rsidR="00824130" w:rsidRPr="00D80201" w:rsidRDefault="00824130">
      <w:pPr>
        <w:pStyle w:val="BodyText"/>
        <w:rPr>
          <w:color w:val="000000"/>
          <w:sz w:val="26"/>
          <w:szCs w:val="26"/>
        </w:rPr>
      </w:pPr>
      <w:r>
        <w:rPr>
          <w:color w:val="000000"/>
          <w:sz w:val="26"/>
          <w:szCs w:val="26"/>
        </w:rPr>
        <w:t>316.</w:t>
      </w:r>
      <w:r>
        <w:rPr>
          <w:color w:val="000000"/>
          <w:sz w:val="26"/>
          <w:szCs w:val="26"/>
        </w:rPr>
        <w:tab/>
      </w:r>
      <w:r w:rsidRPr="00D80201">
        <w:rPr>
          <w:color w:val="000000"/>
          <w:sz w:val="26"/>
          <w:szCs w:val="26"/>
        </w:rPr>
        <w:t xml:space="preserve">PG&amp;E argues that the TAC has not been shown to be unjust, unreasonable, or unduly discriminatory due to its allocation methodology, and thus there is no basis for rejecting it in favor of SWP’s and SWC’s proposals.  </w:t>
      </w:r>
    </w:p>
    <w:p w14:paraId="17D5F436" w14:textId="77777777" w:rsidR="00824130" w:rsidRPr="00D80201" w:rsidRDefault="00824130">
      <w:pPr>
        <w:rPr>
          <w:color w:val="000000"/>
          <w:szCs w:val="26"/>
        </w:rPr>
      </w:pPr>
    </w:p>
    <w:p w14:paraId="06067F0E" w14:textId="77777777" w:rsidR="00824130" w:rsidRPr="00D80201" w:rsidRDefault="00824130">
      <w:pPr>
        <w:rPr>
          <w:color w:val="000000"/>
          <w:szCs w:val="26"/>
        </w:rPr>
      </w:pPr>
      <w:r>
        <w:rPr>
          <w:color w:val="000000"/>
          <w:szCs w:val="26"/>
        </w:rPr>
        <w:t>317.</w:t>
      </w:r>
      <w:r>
        <w:rPr>
          <w:color w:val="000000"/>
          <w:szCs w:val="26"/>
        </w:rPr>
        <w:tab/>
      </w:r>
      <w:r w:rsidRPr="00D80201">
        <w:rPr>
          <w:color w:val="000000"/>
          <w:szCs w:val="26"/>
        </w:rPr>
        <w:t>SC’s position is that neither time-of-use nor 12-CP methodology would be just nor reasonable because either proposal would undermine the pricing signals of the ISO’s congestion management system, given that congestion on the ISO controlled grid frequently occurs during off-peak periods.</w:t>
      </w:r>
    </w:p>
    <w:p w14:paraId="424501D8" w14:textId="77777777" w:rsidR="00824130" w:rsidRPr="00D80201" w:rsidRDefault="00824130">
      <w:pPr>
        <w:ind w:firstLine="720"/>
        <w:rPr>
          <w:i/>
          <w:color w:val="000000"/>
          <w:szCs w:val="26"/>
        </w:rPr>
      </w:pPr>
    </w:p>
    <w:p w14:paraId="6C64996D"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Discussion and Findings</w:t>
      </w:r>
    </w:p>
    <w:p w14:paraId="6A5EE242" w14:textId="77777777" w:rsidR="00824130" w:rsidRPr="00D80201" w:rsidRDefault="00824130">
      <w:pPr>
        <w:rPr>
          <w:i/>
          <w:color w:val="000000"/>
          <w:szCs w:val="26"/>
        </w:rPr>
      </w:pPr>
    </w:p>
    <w:p w14:paraId="551ADAF6" w14:textId="77777777" w:rsidR="00824130" w:rsidRPr="00D80201" w:rsidRDefault="00824130">
      <w:pPr>
        <w:rPr>
          <w:color w:val="000000"/>
          <w:szCs w:val="26"/>
        </w:rPr>
      </w:pPr>
      <w:r>
        <w:rPr>
          <w:color w:val="000000"/>
          <w:szCs w:val="26"/>
        </w:rPr>
        <w:t>318.</w:t>
      </w:r>
      <w:r>
        <w:rPr>
          <w:color w:val="000000"/>
          <w:szCs w:val="26"/>
        </w:rPr>
        <w:tab/>
      </w:r>
      <w:r w:rsidRPr="00D80201">
        <w:rPr>
          <w:color w:val="000000"/>
          <w:szCs w:val="26"/>
        </w:rPr>
        <w:t xml:space="preserve">The Commission has already approved the flat </w:t>
      </w:r>
      <w:r>
        <w:rPr>
          <w:color w:val="000000"/>
          <w:szCs w:val="26"/>
        </w:rPr>
        <w:t>MWh</w:t>
      </w:r>
      <w:r w:rsidRPr="00D80201">
        <w:rPr>
          <w:color w:val="000000"/>
          <w:szCs w:val="26"/>
        </w:rPr>
        <w:t>-based rate methodology as just, reasonable, and not unduly discriminatory;</w:t>
      </w:r>
      <w:r w:rsidRPr="00D80201">
        <w:rPr>
          <w:rStyle w:val="FootnoteReference"/>
          <w:color w:val="000000"/>
        </w:rPr>
        <w:footnoteReference w:id="117"/>
      </w:r>
      <w:r w:rsidRPr="00D80201">
        <w:rPr>
          <w:color w:val="000000"/>
          <w:szCs w:val="26"/>
        </w:rPr>
        <w:t xml:space="preserve"> thus, extended discussion of this issue is moot for the purposes of this proceeding at this time.  As previously discussed, SWP and SWC have presented strong arguments in favor of their methodology.  Staff points out that whether or not SWP and SWC might have a more efficient economic analysis, the TAC proposal is the one at issue before the undersigned, it would be inappropriate to consider those arguments at this time in this proceeding given the Commission’s previous determination regarding the ISO’s pricing methodology.  Staff Initial Brief at 67.  The undersigned Presiding Judge concurs.  </w:t>
      </w:r>
    </w:p>
    <w:p w14:paraId="024EF92C" w14:textId="77777777" w:rsidR="00824130" w:rsidRPr="00D80201" w:rsidRDefault="00824130">
      <w:pPr>
        <w:rPr>
          <w:color w:val="000000"/>
          <w:szCs w:val="26"/>
        </w:rPr>
      </w:pPr>
    </w:p>
    <w:p w14:paraId="2AB9AC62" w14:textId="77777777" w:rsidR="00824130" w:rsidRPr="00D80201" w:rsidRDefault="00824130">
      <w:pPr>
        <w:rPr>
          <w:color w:val="000000"/>
          <w:szCs w:val="26"/>
        </w:rPr>
      </w:pPr>
      <w:r>
        <w:rPr>
          <w:color w:val="000000"/>
          <w:szCs w:val="26"/>
        </w:rPr>
        <w:t>319.</w:t>
      </w:r>
      <w:r>
        <w:rPr>
          <w:color w:val="000000"/>
          <w:szCs w:val="26"/>
        </w:rPr>
        <w:tab/>
      </w:r>
      <w:r w:rsidRPr="00D80201">
        <w:rPr>
          <w:color w:val="000000"/>
          <w:szCs w:val="26"/>
        </w:rPr>
        <w:t xml:space="preserve">Furthermore, there is some record evidence in this case indicating that even if the flat </w:t>
      </w:r>
      <w:r>
        <w:rPr>
          <w:color w:val="000000"/>
          <w:szCs w:val="26"/>
        </w:rPr>
        <w:t>MWh</w:t>
      </w:r>
      <w:r w:rsidRPr="00D80201">
        <w:rPr>
          <w:color w:val="000000"/>
          <w:szCs w:val="26"/>
        </w:rPr>
        <w:t>-based rate methodology were unjust, unreasonable, or unduly discriminatory, time-of-use or coincident peak pricing might be incompatible with the ISO’s current congestion management system, or even with locational marginal pricing.</w:t>
      </w:r>
      <w:r w:rsidRPr="00D80201">
        <w:rPr>
          <w:rStyle w:val="FootnoteReference"/>
          <w:color w:val="000000"/>
        </w:rPr>
        <w:footnoteReference w:id="118"/>
      </w:r>
      <w:r w:rsidRPr="00D80201">
        <w:rPr>
          <w:color w:val="000000"/>
          <w:szCs w:val="26"/>
        </w:rPr>
        <w:t xml:space="preserve">  Some parties contend that the alternative pricing methodologies would not be compatible with the ISO’s congestion management system,</w:t>
      </w:r>
      <w:r w:rsidRPr="00D80201">
        <w:rPr>
          <w:rStyle w:val="FootnoteReference"/>
          <w:color w:val="000000"/>
        </w:rPr>
        <w:footnoteReference w:id="119"/>
      </w:r>
      <w:r w:rsidRPr="00D80201">
        <w:rPr>
          <w:color w:val="000000"/>
          <w:szCs w:val="26"/>
        </w:rPr>
        <w:t xml:space="preserve"> and that neither SWP nor SWC conducted or cited any studies demonstrating that usage patterns on the ISO-controlled grid would conform to the theories upon which SWP and SWC base their proposed suggestions.</w:t>
      </w:r>
      <w:r w:rsidRPr="00D80201">
        <w:rPr>
          <w:rStyle w:val="FootnoteReference"/>
          <w:color w:val="000000"/>
        </w:rPr>
        <w:footnoteReference w:id="120"/>
      </w:r>
      <w:r w:rsidRPr="00D80201">
        <w:rPr>
          <w:color w:val="000000"/>
          <w:szCs w:val="26"/>
        </w:rPr>
        <w:t xml:space="preserve">  </w:t>
      </w:r>
    </w:p>
    <w:p w14:paraId="3016E334" w14:textId="77777777" w:rsidR="00824130" w:rsidRPr="00D80201" w:rsidRDefault="00824130">
      <w:pPr>
        <w:rPr>
          <w:color w:val="000000"/>
          <w:szCs w:val="26"/>
        </w:rPr>
      </w:pPr>
    </w:p>
    <w:p w14:paraId="791703D3" w14:textId="77777777" w:rsidR="00824130" w:rsidRPr="00D80201" w:rsidRDefault="00824130">
      <w:pPr>
        <w:rPr>
          <w:color w:val="000000"/>
          <w:szCs w:val="26"/>
        </w:rPr>
      </w:pPr>
      <w:r>
        <w:rPr>
          <w:color w:val="000000"/>
          <w:szCs w:val="26"/>
        </w:rPr>
        <w:t>320.</w:t>
      </w:r>
      <w:r>
        <w:rPr>
          <w:color w:val="000000"/>
          <w:szCs w:val="26"/>
        </w:rPr>
        <w:tab/>
      </w:r>
      <w:r w:rsidRPr="00D80201">
        <w:rPr>
          <w:color w:val="000000"/>
          <w:szCs w:val="26"/>
        </w:rPr>
        <w:t xml:space="preserve">Without expressing an opinion on the merits of these contentions, the undersigned Presiding Judge reiterates that whether or not the Commission determines it appropriate to consider the time-of-use or coincident peak pricing arguments in </w:t>
      </w:r>
      <w:r>
        <w:rPr>
          <w:color w:val="000000"/>
          <w:szCs w:val="26"/>
        </w:rPr>
        <w:t>MD02</w:t>
      </w:r>
      <w:r w:rsidRPr="00D80201">
        <w:rPr>
          <w:color w:val="000000"/>
          <w:szCs w:val="26"/>
        </w:rPr>
        <w:t xml:space="preserve"> docket or a related proceeding, it is not appropriate to do so here.  </w:t>
      </w:r>
    </w:p>
    <w:p w14:paraId="02FAAFDD" w14:textId="77777777" w:rsidR="00824130" w:rsidRPr="00D80201" w:rsidRDefault="00824130">
      <w:pPr>
        <w:rPr>
          <w:color w:val="000000"/>
          <w:szCs w:val="26"/>
        </w:rPr>
      </w:pPr>
    </w:p>
    <w:p w14:paraId="66396EA6" w14:textId="77777777" w:rsidR="00824130" w:rsidRPr="00D80201" w:rsidRDefault="00824130">
      <w:pPr>
        <w:numPr>
          <w:ilvl w:val="0"/>
          <w:numId w:val="27"/>
        </w:numPr>
        <w:rPr>
          <w:rFonts w:ascii="Times New Roman Bold" w:hAnsi="Times New Roman Bold"/>
          <w:b/>
          <w:color w:val="000000"/>
          <w:szCs w:val="26"/>
        </w:rPr>
      </w:pPr>
      <w:r w:rsidRPr="00D80201">
        <w:rPr>
          <w:rFonts w:ascii="Times New Roman Bold" w:hAnsi="Times New Roman Bold"/>
          <w:b/>
          <w:color w:val="000000"/>
          <w:szCs w:val="26"/>
        </w:rPr>
        <w:t>Guidelines for Economic Benefit Analysis: Is Amendment No. 49 unjust, unreasonable and unduly discriminatory because it failed to provide guidelines filed with the Commission for the analysis of the economic benefits of proposed transmission expansions.</w:t>
      </w:r>
    </w:p>
    <w:p w14:paraId="4456CD71" w14:textId="77777777" w:rsidR="00824130" w:rsidRPr="00D80201" w:rsidRDefault="00824130">
      <w:pPr>
        <w:rPr>
          <w:rFonts w:ascii="Times New Roman Bold" w:hAnsi="Times New Roman Bold"/>
          <w:b/>
          <w:color w:val="000000"/>
          <w:szCs w:val="26"/>
        </w:rPr>
      </w:pPr>
    </w:p>
    <w:p w14:paraId="5114518D"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13895E79" w14:textId="77777777" w:rsidR="00824130" w:rsidRPr="00D80201" w:rsidRDefault="00824130">
      <w:pPr>
        <w:ind w:firstLine="720"/>
        <w:rPr>
          <w:rFonts w:ascii="Times New Roman Bold" w:hAnsi="Times New Roman Bold"/>
          <w:b/>
          <w:color w:val="000000"/>
          <w:szCs w:val="26"/>
        </w:rPr>
      </w:pPr>
    </w:p>
    <w:p w14:paraId="17FA100A" w14:textId="77777777" w:rsidR="00824130" w:rsidRPr="00D80201" w:rsidRDefault="00824130">
      <w:pPr>
        <w:pStyle w:val="BodyText"/>
        <w:rPr>
          <w:color w:val="000000"/>
          <w:sz w:val="26"/>
          <w:szCs w:val="26"/>
        </w:rPr>
      </w:pPr>
      <w:r>
        <w:rPr>
          <w:color w:val="000000"/>
          <w:sz w:val="26"/>
          <w:szCs w:val="26"/>
        </w:rPr>
        <w:t>321.</w:t>
      </w:r>
      <w:r>
        <w:rPr>
          <w:color w:val="000000"/>
          <w:sz w:val="26"/>
          <w:szCs w:val="26"/>
        </w:rPr>
        <w:tab/>
      </w:r>
      <w:r w:rsidRPr="00D80201">
        <w:rPr>
          <w:color w:val="000000"/>
          <w:sz w:val="26"/>
          <w:szCs w:val="26"/>
        </w:rPr>
        <w:t xml:space="preserve">PG&amp;E advocates inclusion in the ISO Tariff of guidelines or criteria for determining the need for economically driven projects.  According to PG&amp;E, these criteria will be used to judge whether the forecasted level of economic congestion is reasonable or whether new electric facilities should be built to mitigate the congestion.  Ex. PGE-3 at </w:t>
      </w:r>
      <w:smartTag w:uri="urn:schemas-microsoft-com:office:smarttags" w:element="time">
        <w:smartTagPr>
          <w:attr w:name="Hour" w:val="18"/>
          <w:attr w:name="Minute" w:val="25"/>
        </w:smartTagPr>
        <w:r w:rsidRPr="00D80201">
          <w:rPr>
            <w:color w:val="000000"/>
            <w:sz w:val="26"/>
            <w:szCs w:val="26"/>
          </w:rPr>
          <w:t>6:25</w:t>
        </w:r>
      </w:smartTag>
      <w:r w:rsidRPr="00D80201">
        <w:rPr>
          <w:color w:val="000000"/>
          <w:sz w:val="26"/>
          <w:szCs w:val="26"/>
        </w:rPr>
        <w:t xml:space="preserve"> – 31.  Thus, PG&amp;E argues, they are essentially market rules that should be filed with the Commission and made part of the ISO Tariff.  </w:t>
      </w:r>
    </w:p>
    <w:p w14:paraId="6F461F6E" w14:textId="77777777" w:rsidR="00824130" w:rsidRPr="00D80201" w:rsidRDefault="00824130">
      <w:pPr>
        <w:pStyle w:val="BodyText"/>
        <w:ind w:firstLine="780"/>
        <w:rPr>
          <w:color w:val="000000"/>
          <w:sz w:val="26"/>
          <w:szCs w:val="26"/>
        </w:rPr>
      </w:pPr>
    </w:p>
    <w:p w14:paraId="7030A9F5" w14:textId="77777777" w:rsidR="00824130" w:rsidRPr="00D80201" w:rsidRDefault="00824130">
      <w:pPr>
        <w:pStyle w:val="BodyText"/>
        <w:rPr>
          <w:color w:val="000000"/>
          <w:sz w:val="26"/>
          <w:szCs w:val="26"/>
        </w:rPr>
      </w:pPr>
      <w:r>
        <w:rPr>
          <w:color w:val="000000"/>
          <w:sz w:val="26"/>
          <w:szCs w:val="26"/>
        </w:rPr>
        <w:t>322.</w:t>
      </w:r>
      <w:r>
        <w:rPr>
          <w:color w:val="000000"/>
          <w:sz w:val="26"/>
          <w:szCs w:val="26"/>
        </w:rPr>
        <w:tab/>
      </w:r>
      <w:r w:rsidRPr="00D80201">
        <w:rPr>
          <w:color w:val="000000"/>
          <w:sz w:val="26"/>
          <w:szCs w:val="26"/>
        </w:rPr>
        <w:t xml:space="preserve">TANC essentially agrees with PG&amp;E on this issue.  </w:t>
      </w:r>
    </w:p>
    <w:p w14:paraId="15F50488" w14:textId="77777777" w:rsidR="00824130" w:rsidRPr="00D80201" w:rsidRDefault="00824130">
      <w:pPr>
        <w:rPr>
          <w:rFonts w:ascii="Times New Roman Bold" w:hAnsi="Times New Roman Bold"/>
          <w:b/>
          <w:color w:val="000000"/>
          <w:szCs w:val="26"/>
        </w:rPr>
      </w:pPr>
    </w:p>
    <w:p w14:paraId="73BB97DD" w14:textId="77777777" w:rsidR="00824130" w:rsidRPr="00D80201" w:rsidRDefault="00824130">
      <w:pPr>
        <w:rPr>
          <w:color w:val="000000"/>
          <w:szCs w:val="26"/>
        </w:rPr>
      </w:pPr>
      <w:r>
        <w:rPr>
          <w:color w:val="000000"/>
          <w:szCs w:val="26"/>
        </w:rPr>
        <w:t>323.</w:t>
      </w:r>
      <w:r>
        <w:rPr>
          <w:color w:val="000000"/>
          <w:szCs w:val="26"/>
        </w:rPr>
        <w:tab/>
      </w:r>
      <w:r w:rsidRPr="00D80201">
        <w:rPr>
          <w:color w:val="000000"/>
          <w:szCs w:val="26"/>
        </w:rPr>
        <w:t>The ISO states that it does not object to an Order directing the filing of the guidelines after they are finalized.  The ISO provides a web site where its draft guidance may be found,</w:t>
      </w:r>
      <w:r w:rsidRPr="00D80201">
        <w:rPr>
          <w:rStyle w:val="FootnoteReference"/>
          <w:color w:val="000000"/>
        </w:rPr>
        <w:footnoteReference w:id="121"/>
      </w:r>
      <w:r w:rsidRPr="00D80201">
        <w:rPr>
          <w:color w:val="000000"/>
          <w:szCs w:val="26"/>
        </w:rPr>
        <w:t xml:space="preserve"> and requests the undersigned to mandate publication of the draft as opposed to filing, to provide the ISO with greater flexibility.    </w:t>
      </w:r>
    </w:p>
    <w:p w14:paraId="7EBDFDE8" w14:textId="77777777" w:rsidR="00824130" w:rsidRPr="00D80201" w:rsidRDefault="00824130">
      <w:pPr>
        <w:ind w:firstLine="780"/>
        <w:rPr>
          <w:color w:val="000000"/>
          <w:szCs w:val="26"/>
        </w:rPr>
      </w:pPr>
    </w:p>
    <w:p w14:paraId="59C29A9A" w14:textId="77777777" w:rsidR="00824130" w:rsidRPr="00D80201" w:rsidRDefault="00824130">
      <w:pPr>
        <w:rPr>
          <w:color w:val="000000"/>
          <w:szCs w:val="26"/>
        </w:rPr>
      </w:pPr>
      <w:r>
        <w:rPr>
          <w:color w:val="000000"/>
          <w:szCs w:val="26"/>
        </w:rPr>
        <w:t>324.</w:t>
      </w:r>
      <w:r>
        <w:rPr>
          <w:color w:val="000000"/>
          <w:szCs w:val="26"/>
        </w:rPr>
        <w:tab/>
      </w:r>
      <w:r w:rsidRPr="00D80201">
        <w:rPr>
          <w:color w:val="000000"/>
          <w:szCs w:val="26"/>
        </w:rPr>
        <w:t xml:space="preserve">Staff states that PG&amp;E has raised the issue, and ISO witness Le Vine’s testimony leads Staff to conclude that the ISO agrees with PG&amp;E that it should develop guidelines, but that it just hasn’t finished doing so.  Staff Initial Brief at 69-70, </w:t>
      </w:r>
      <w:r w:rsidRPr="00D80201">
        <w:rPr>
          <w:color w:val="000000"/>
          <w:szCs w:val="26"/>
          <w:u w:val="single"/>
        </w:rPr>
        <w:t>citing</w:t>
      </w:r>
      <w:r w:rsidRPr="00D80201">
        <w:rPr>
          <w:color w:val="000000"/>
          <w:szCs w:val="26"/>
        </w:rPr>
        <w:t xml:space="preserve"> Tr. 387:18 – 389:16.  Staff’s position is that the ISO should be directed to make an informational filing of proposed or tentative guidelines within 90 days to provide the other parties guidance on the ISO’s direction, and that the ISO should be directed to file the guidelines as an amendment to its tariff once they are final.  Staff Reply Brief at 50.  </w:t>
      </w:r>
    </w:p>
    <w:p w14:paraId="19B1E063" w14:textId="77777777" w:rsidR="00824130" w:rsidRPr="00D80201" w:rsidRDefault="00824130">
      <w:pPr>
        <w:pStyle w:val="BodyText"/>
        <w:rPr>
          <w:color w:val="000000"/>
          <w:sz w:val="26"/>
          <w:szCs w:val="26"/>
        </w:rPr>
      </w:pPr>
    </w:p>
    <w:p w14:paraId="57F9F2A8" w14:textId="77777777" w:rsidR="00824130" w:rsidRPr="00D80201" w:rsidRDefault="00824130">
      <w:pPr>
        <w:pStyle w:val="BodyText"/>
        <w:rPr>
          <w:color w:val="000000"/>
          <w:sz w:val="26"/>
          <w:szCs w:val="26"/>
        </w:rPr>
      </w:pPr>
      <w:r>
        <w:rPr>
          <w:color w:val="000000"/>
          <w:sz w:val="26"/>
          <w:szCs w:val="26"/>
        </w:rPr>
        <w:t>325.</w:t>
      </w:r>
      <w:r>
        <w:rPr>
          <w:color w:val="000000"/>
          <w:sz w:val="26"/>
          <w:szCs w:val="26"/>
        </w:rPr>
        <w:tab/>
      </w:r>
      <w:r w:rsidRPr="00D80201">
        <w:rPr>
          <w:color w:val="000000"/>
          <w:sz w:val="26"/>
          <w:szCs w:val="26"/>
        </w:rPr>
        <w:t>The EOB states that although the ISO has agreed to file with the Commission both the guidelines and tools developed for implementing the guidelines, this agreement does not moot the dispute.  ISO witness Le Vine suggested that the guidelines would not be filed until the guidelines are successfully tested by completing the evaluation process on a proposed transmission project.  Tr. 396:24 – 397:25.  No transmission project is presently subject to ISO review and, accordingly, it is unknown approximately when the guidelines and implementation tools will be completed and filed.  Tr. at 396:13 – 397:25.  The EOB thus recommends that the guidelines need not be filed as part of the ISO Tariff, because subjecting the guidelines to a lengthy review proceeding could discourage project applications pending the review.  The EOB maintains that if a party subsequently believes that the criteria facially, or as applied, are unjust and unreasonable, that party retains the right to commence a section 206 proceeding.</w:t>
      </w:r>
      <w:r w:rsidRPr="00D80201">
        <w:rPr>
          <w:rStyle w:val="FootnoteReference"/>
          <w:color w:val="000000"/>
        </w:rPr>
        <w:footnoteReference w:id="122"/>
      </w:r>
    </w:p>
    <w:p w14:paraId="2ADEF5D1" w14:textId="77777777" w:rsidR="00824130" w:rsidRPr="00D80201" w:rsidRDefault="00824130">
      <w:pPr>
        <w:pStyle w:val="BodyText"/>
        <w:ind w:firstLine="780"/>
        <w:rPr>
          <w:color w:val="000000"/>
          <w:sz w:val="26"/>
          <w:szCs w:val="26"/>
        </w:rPr>
      </w:pPr>
    </w:p>
    <w:p w14:paraId="46892426" w14:textId="77777777" w:rsidR="00824130" w:rsidRPr="00D80201" w:rsidRDefault="00824130">
      <w:pPr>
        <w:pStyle w:val="BodyText"/>
        <w:ind w:firstLine="360"/>
        <w:rPr>
          <w:b/>
          <w:color w:val="000000"/>
          <w:sz w:val="26"/>
          <w:szCs w:val="26"/>
        </w:rPr>
      </w:pPr>
      <w:r w:rsidRPr="00D80201">
        <w:rPr>
          <w:b/>
          <w:color w:val="000000"/>
          <w:sz w:val="26"/>
          <w:szCs w:val="26"/>
        </w:rPr>
        <w:t>Discussion and Findings</w:t>
      </w:r>
    </w:p>
    <w:p w14:paraId="163C9BC0" w14:textId="77777777" w:rsidR="00824130" w:rsidRPr="00D80201" w:rsidRDefault="00824130">
      <w:pPr>
        <w:pStyle w:val="BodyText"/>
        <w:ind w:firstLine="780"/>
        <w:rPr>
          <w:b/>
          <w:color w:val="000000"/>
          <w:sz w:val="26"/>
          <w:szCs w:val="26"/>
        </w:rPr>
      </w:pPr>
    </w:p>
    <w:p w14:paraId="2E2FD557" w14:textId="77777777" w:rsidR="00824130" w:rsidRPr="00D80201" w:rsidRDefault="00824130">
      <w:pPr>
        <w:pStyle w:val="BodyText"/>
        <w:rPr>
          <w:b/>
          <w:color w:val="000000"/>
          <w:sz w:val="26"/>
          <w:szCs w:val="26"/>
        </w:rPr>
      </w:pPr>
      <w:r>
        <w:rPr>
          <w:color w:val="000000"/>
          <w:sz w:val="26"/>
          <w:szCs w:val="26"/>
        </w:rPr>
        <w:t>326.</w:t>
      </w:r>
      <w:r>
        <w:rPr>
          <w:color w:val="000000"/>
          <w:sz w:val="26"/>
          <w:szCs w:val="26"/>
        </w:rPr>
        <w:tab/>
      </w:r>
      <w:r w:rsidRPr="00D80201">
        <w:rPr>
          <w:color w:val="000000"/>
          <w:sz w:val="26"/>
          <w:szCs w:val="26"/>
        </w:rPr>
        <w:t>Although it appears that the ISO does not object to filing with the Commission both the guidelines for determining the need for economically driven projects and tools developed for implementing the guidelines, ISO witness Le Vine suggested that the guidelines would not be filed until the guidelines are successfully tested by completing the evaluation process on a proposed transmission project.  Tr. 396:24 – 397:25.  Because no transmission project is presently subject to ISO review, it is unknown approximately when the guidelines and implementation tools will be completed and filed.  Tr. at 396:13 – 397:25.  For the most part, the undersigned Presiding Judge concurs with Staff’s position on this issue.</w:t>
      </w:r>
      <w:r w:rsidRPr="00D80201">
        <w:rPr>
          <w:rStyle w:val="FootnoteReference"/>
          <w:color w:val="000000"/>
        </w:rPr>
        <w:footnoteReference w:id="123"/>
      </w:r>
      <w:r w:rsidRPr="00D80201">
        <w:rPr>
          <w:color w:val="000000"/>
          <w:sz w:val="26"/>
          <w:szCs w:val="26"/>
        </w:rPr>
        <w:t xml:space="preserve">  The ISO is hereby directed to make an informational filing of proposed or tentative guidelines within 180 days, or within 30 days of determining that a transmission project has become subject to ISO review if that date is triggered first. Further, the ISO is hereby directed to file the guidelines as an amendment to its tariff once they are final.  </w:t>
      </w:r>
    </w:p>
    <w:p w14:paraId="7C18341B" w14:textId="77777777" w:rsidR="00824130" w:rsidRPr="00D80201" w:rsidRDefault="00824130">
      <w:pPr>
        <w:ind w:left="360"/>
        <w:rPr>
          <w:color w:val="000000"/>
          <w:szCs w:val="26"/>
        </w:rPr>
      </w:pPr>
    </w:p>
    <w:p w14:paraId="4793F747" w14:textId="77777777" w:rsidR="00824130" w:rsidRPr="00D80201" w:rsidRDefault="00824130">
      <w:pPr>
        <w:ind w:left="360"/>
        <w:rPr>
          <w:rFonts w:ascii="Times New Roman Bold" w:hAnsi="Times New Roman Bold"/>
          <w:b/>
          <w:color w:val="000000"/>
          <w:szCs w:val="26"/>
        </w:rPr>
      </w:pPr>
      <w:r w:rsidRPr="00D80201">
        <w:rPr>
          <w:rFonts w:ascii="Times New Roman Bold" w:hAnsi="Times New Roman Bold"/>
          <w:b/>
          <w:color w:val="000000"/>
          <w:szCs w:val="26"/>
        </w:rPr>
        <w:t>X.</w:t>
      </w:r>
      <w:r w:rsidRPr="00D80201">
        <w:rPr>
          <w:rFonts w:ascii="Times New Roman Bold" w:hAnsi="Times New Roman Bold"/>
          <w:b/>
          <w:color w:val="000000"/>
          <w:szCs w:val="26"/>
        </w:rPr>
        <w:tab/>
        <w:t>Definitions</w:t>
      </w:r>
    </w:p>
    <w:p w14:paraId="12824838" w14:textId="77777777" w:rsidR="00824130" w:rsidRPr="00D80201" w:rsidRDefault="00824130">
      <w:pPr>
        <w:rPr>
          <w:rFonts w:ascii="Times New Roman Bold" w:hAnsi="Times New Roman Bold"/>
          <w:b/>
          <w:color w:val="000000"/>
          <w:szCs w:val="26"/>
        </w:rPr>
      </w:pPr>
    </w:p>
    <w:p w14:paraId="2B1955A0" w14:textId="77777777" w:rsidR="00824130" w:rsidRPr="00D80201" w:rsidRDefault="00824130">
      <w:pPr>
        <w:numPr>
          <w:ilvl w:val="1"/>
          <w:numId w:val="18"/>
        </w:numPr>
        <w:rPr>
          <w:rFonts w:ascii="Times New Roman Bold" w:hAnsi="Times New Roman Bold"/>
          <w:b/>
          <w:color w:val="000000"/>
          <w:szCs w:val="26"/>
        </w:rPr>
      </w:pPr>
      <w:r w:rsidRPr="00D80201">
        <w:rPr>
          <w:rFonts w:ascii="Times New Roman Bold" w:hAnsi="Times New Roman Bold"/>
          <w:b/>
          <w:color w:val="000000"/>
          <w:szCs w:val="26"/>
        </w:rPr>
        <w:t>Whether the definition of PTO Service Area is just, reasonable and not unduly discriminatory.</w:t>
      </w:r>
    </w:p>
    <w:p w14:paraId="05F6A755" w14:textId="77777777" w:rsidR="00824130" w:rsidRPr="00D80201" w:rsidRDefault="00824130">
      <w:pPr>
        <w:rPr>
          <w:rFonts w:ascii="Times New Roman Bold" w:hAnsi="Times New Roman Bold"/>
          <w:b/>
          <w:color w:val="000000"/>
          <w:szCs w:val="26"/>
        </w:rPr>
      </w:pPr>
    </w:p>
    <w:p w14:paraId="627E10F0" w14:textId="77777777" w:rsidR="00824130" w:rsidRPr="00D80201" w:rsidRDefault="00824130">
      <w:pPr>
        <w:rPr>
          <w:color w:val="000000"/>
          <w:szCs w:val="26"/>
        </w:rPr>
      </w:pPr>
      <w:r>
        <w:rPr>
          <w:color w:val="000000"/>
          <w:szCs w:val="26"/>
        </w:rPr>
        <w:t>327.</w:t>
      </w:r>
      <w:r>
        <w:rPr>
          <w:color w:val="000000"/>
          <w:szCs w:val="26"/>
        </w:rPr>
        <w:tab/>
      </w:r>
      <w:r w:rsidRPr="00D80201">
        <w:rPr>
          <w:color w:val="000000"/>
          <w:szCs w:val="26"/>
        </w:rPr>
        <w:t xml:space="preserve">All parties that have addressed this issue agree that it has been resolved by stipulation, which led to withdrawal of SCE’s testimony on the subject.  Tr. 2252:18 – 2254:21; Tr. 2344: 6 – 12.  </w:t>
      </w:r>
    </w:p>
    <w:p w14:paraId="195CB5B6" w14:textId="77777777" w:rsidR="00824130" w:rsidRPr="00D80201" w:rsidRDefault="00824130">
      <w:pPr>
        <w:rPr>
          <w:rFonts w:ascii="Times New Roman Bold" w:hAnsi="Times New Roman Bold"/>
          <w:b/>
          <w:color w:val="000000"/>
          <w:szCs w:val="26"/>
        </w:rPr>
      </w:pPr>
    </w:p>
    <w:p w14:paraId="14B3B786" w14:textId="77777777" w:rsidR="00824130" w:rsidRPr="00D80201" w:rsidRDefault="00824130">
      <w:pPr>
        <w:numPr>
          <w:ilvl w:val="1"/>
          <w:numId w:val="18"/>
        </w:numPr>
        <w:rPr>
          <w:rFonts w:ascii="Times New Roman Bold" w:hAnsi="Times New Roman Bold"/>
          <w:b/>
          <w:color w:val="000000"/>
          <w:szCs w:val="26"/>
        </w:rPr>
      </w:pPr>
      <w:r w:rsidRPr="00D80201">
        <w:rPr>
          <w:rFonts w:ascii="Times New Roman Bold" w:hAnsi="Times New Roman Bold"/>
          <w:b/>
          <w:color w:val="000000"/>
          <w:szCs w:val="26"/>
        </w:rPr>
        <w:t xml:space="preserve">Whether or not the definition of Transmission Revenue Credit must be revised to be consistent with Opinion No. 458.  </w:t>
      </w:r>
    </w:p>
    <w:p w14:paraId="4D945031" w14:textId="77777777" w:rsidR="00824130" w:rsidRDefault="00824130">
      <w:pPr>
        <w:rPr>
          <w:color w:val="000000"/>
          <w:szCs w:val="26"/>
        </w:rPr>
      </w:pPr>
    </w:p>
    <w:p w14:paraId="4DD550B3" w14:textId="77777777" w:rsidR="00824130" w:rsidRPr="00D80201" w:rsidRDefault="00824130">
      <w:pPr>
        <w:rPr>
          <w:color w:val="000000"/>
          <w:szCs w:val="26"/>
        </w:rPr>
      </w:pPr>
    </w:p>
    <w:p w14:paraId="0B85C842" w14:textId="77777777" w:rsidR="00824130" w:rsidRPr="00D80201" w:rsidRDefault="00824130">
      <w:pPr>
        <w:ind w:firstLine="720"/>
        <w:rPr>
          <w:rFonts w:ascii="Times New Roman Bold" w:hAnsi="Times New Roman Bold"/>
          <w:b/>
          <w:color w:val="000000"/>
          <w:szCs w:val="26"/>
        </w:rPr>
      </w:pPr>
      <w:r w:rsidRPr="00D80201">
        <w:rPr>
          <w:rFonts w:ascii="Times New Roman Bold" w:hAnsi="Times New Roman Bold"/>
          <w:b/>
          <w:color w:val="000000"/>
          <w:szCs w:val="26"/>
        </w:rPr>
        <w:t>Position of the Parties</w:t>
      </w:r>
    </w:p>
    <w:p w14:paraId="26604EAA" w14:textId="77777777" w:rsidR="00824130" w:rsidRDefault="00824130">
      <w:pPr>
        <w:rPr>
          <w:color w:val="000000"/>
          <w:szCs w:val="26"/>
        </w:rPr>
      </w:pPr>
    </w:p>
    <w:p w14:paraId="57B69C8F" w14:textId="77777777" w:rsidR="00824130" w:rsidRPr="00D80201" w:rsidRDefault="00824130">
      <w:pPr>
        <w:rPr>
          <w:color w:val="000000"/>
          <w:szCs w:val="26"/>
        </w:rPr>
      </w:pPr>
      <w:r>
        <w:rPr>
          <w:color w:val="000000"/>
          <w:szCs w:val="26"/>
        </w:rPr>
        <w:t>328.</w:t>
      </w:r>
      <w:r>
        <w:rPr>
          <w:color w:val="000000"/>
          <w:szCs w:val="26"/>
        </w:rPr>
        <w:tab/>
      </w:r>
      <w:r w:rsidRPr="00D80201">
        <w:rPr>
          <w:color w:val="000000"/>
          <w:szCs w:val="26"/>
        </w:rPr>
        <w:t xml:space="preserve">Staff witness Patterson explains that since the Commission’s Opinion in </w:t>
      </w:r>
      <w:r w:rsidRPr="00D80201">
        <w:rPr>
          <w:color w:val="000000"/>
          <w:szCs w:val="26"/>
          <w:u w:val="single"/>
        </w:rPr>
        <w:t>Pacific Gas and Elec. Co., et al.</w:t>
      </w:r>
      <w:r w:rsidRPr="00D80201">
        <w:rPr>
          <w:color w:val="000000"/>
          <w:szCs w:val="26"/>
        </w:rPr>
        <w:t>, Opinion No. 458, 100 FERC ¶ 61,156 (2002)(“</w:t>
      </w:r>
      <w:r w:rsidRPr="00D80201">
        <w:rPr>
          <w:color w:val="000000"/>
          <w:szCs w:val="26"/>
          <w:u w:val="single"/>
        </w:rPr>
        <w:t>Opinion No. 458</w:t>
      </w:r>
      <w:r w:rsidRPr="00D80201">
        <w:rPr>
          <w:color w:val="000000"/>
          <w:szCs w:val="26"/>
        </w:rPr>
        <w:t xml:space="preserve">”), </w:t>
      </w:r>
      <w:r>
        <w:rPr>
          <w:color w:val="000000"/>
          <w:szCs w:val="26"/>
          <w:u w:val="single"/>
        </w:rPr>
        <w:t>reh’g</w:t>
      </w:r>
      <w:r w:rsidRPr="00D80201">
        <w:rPr>
          <w:color w:val="000000"/>
          <w:szCs w:val="26"/>
          <w:u w:val="single"/>
        </w:rPr>
        <w:t xml:space="preserve"> denied</w:t>
      </w:r>
      <w:r w:rsidRPr="00D80201">
        <w:rPr>
          <w:color w:val="000000"/>
          <w:szCs w:val="26"/>
        </w:rPr>
        <w:t>, Opinion 458-A, 101 FERC ¶ 61,151 (2002)(“</w:t>
      </w:r>
      <w:r w:rsidRPr="00D80201">
        <w:rPr>
          <w:color w:val="000000"/>
          <w:szCs w:val="26"/>
          <w:u w:val="single"/>
        </w:rPr>
        <w:t>Opinion No. 458-A</w:t>
      </w:r>
      <w:r w:rsidRPr="00D80201">
        <w:rPr>
          <w:color w:val="000000"/>
          <w:szCs w:val="26"/>
        </w:rPr>
        <w:t xml:space="preserve">”), the language that Staff suggests changing is no longer in accord with Commission precedent.  Ex. S-5 at 41:22 - 42:7, </w:t>
      </w:r>
      <w:r w:rsidRPr="00D80201">
        <w:rPr>
          <w:color w:val="000000"/>
          <w:szCs w:val="26"/>
          <w:u w:val="single"/>
        </w:rPr>
        <w:t>citing</w:t>
      </w:r>
      <w:r w:rsidRPr="00D80201">
        <w:rPr>
          <w:color w:val="000000"/>
          <w:szCs w:val="26"/>
        </w:rPr>
        <w:t xml:space="preserve"> </w:t>
      </w:r>
      <w:r w:rsidRPr="00D80201">
        <w:rPr>
          <w:color w:val="000000"/>
          <w:szCs w:val="26"/>
          <w:u w:val="single"/>
        </w:rPr>
        <w:t>Opinion No. 458</w:t>
      </w:r>
      <w:r w:rsidRPr="00D80201">
        <w:rPr>
          <w:color w:val="000000"/>
          <w:szCs w:val="26"/>
        </w:rPr>
        <w:t>, 100 FERC ¶ 61,156 at P 32.  Staff states that the ISO responded that: Opinion 458 is before the U.S. Court of Appeals for the District of Columbia on a Petition for Review and the ISO has intervened on behalf of the petitioners; the ISO has not proposed anything in Amendment Nos. 27 or 49 that would modify that aspect of the definition of Transmission Revenue Credit; and the Commission has not ordered the ISO to modify the definition or begun a proceeding under Section 206 of the Federal Power Act to modify it.  Ex. ISO-33 at 30:3-10.  Staff further explains that the</w:t>
      </w:r>
      <w:r>
        <w:rPr>
          <w:color w:val="000000"/>
          <w:szCs w:val="26"/>
        </w:rPr>
        <w:t xml:space="preserve"> ISO changed the definition of Transmission Revenue Credit</w:t>
      </w:r>
      <w:r w:rsidRPr="00D80201">
        <w:rPr>
          <w:color w:val="000000"/>
          <w:szCs w:val="26"/>
        </w:rPr>
        <w:t xml:space="preserve"> in Amendment No. 49, and that the ISO accepted a further change that SCE proposed.  Staff Initial Brief at 72, </w:t>
      </w:r>
      <w:r w:rsidRPr="00D80201">
        <w:rPr>
          <w:color w:val="000000"/>
          <w:szCs w:val="26"/>
          <w:u w:val="single"/>
        </w:rPr>
        <w:t>citing</w:t>
      </w:r>
      <w:r w:rsidRPr="00D80201">
        <w:rPr>
          <w:color w:val="000000"/>
          <w:szCs w:val="26"/>
        </w:rPr>
        <w:t xml:space="preserve"> Ex. ISO-1 at </w:t>
      </w:r>
      <w:r>
        <w:rPr>
          <w:color w:val="000000"/>
          <w:szCs w:val="26"/>
        </w:rPr>
        <w:t>82:1 - 83:1; Ex. SCE-1 at 31:8 – 12; Ex. ISO-33 at 22:9 – 1</w:t>
      </w:r>
      <w:r w:rsidRPr="00D80201">
        <w:rPr>
          <w:color w:val="000000"/>
          <w:szCs w:val="26"/>
        </w:rPr>
        <w:t xml:space="preserve">1.  </w:t>
      </w:r>
    </w:p>
    <w:p w14:paraId="13A0FAC2" w14:textId="77777777" w:rsidR="00824130" w:rsidRPr="00D80201" w:rsidRDefault="00824130">
      <w:pPr>
        <w:rPr>
          <w:color w:val="000000"/>
          <w:szCs w:val="26"/>
        </w:rPr>
      </w:pPr>
      <w:r w:rsidRPr="00D80201">
        <w:rPr>
          <w:color w:val="000000"/>
          <w:szCs w:val="26"/>
        </w:rPr>
        <w:t xml:space="preserve"> </w:t>
      </w:r>
    </w:p>
    <w:p w14:paraId="21C0B208" w14:textId="77777777" w:rsidR="00824130" w:rsidRPr="00D80201" w:rsidRDefault="00824130">
      <w:pPr>
        <w:rPr>
          <w:color w:val="000000"/>
          <w:szCs w:val="26"/>
        </w:rPr>
      </w:pPr>
      <w:r>
        <w:rPr>
          <w:color w:val="000000"/>
          <w:szCs w:val="26"/>
        </w:rPr>
        <w:t>329.</w:t>
      </w:r>
      <w:r>
        <w:rPr>
          <w:color w:val="000000"/>
          <w:szCs w:val="26"/>
        </w:rPr>
        <w:tab/>
      </w:r>
      <w:r w:rsidRPr="00D80201">
        <w:rPr>
          <w:color w:val="000000"/>
          <w:szCs w:val="26"/>
        </w:rPr>
        <w:t xml:space="preserve">Staff also states that ISO’s witness Le Vine did not believe that the ISO Tariff is in accord with Order No. 458.  Tr. 699:10 – 22.  </w:t>
      </w:r>
    </w:p>
    <w:p w14:paraId="787A904E" w14:textId="77777777" w:rsidR="00824130" w:rsidRPr="00D80201" w:rsidRDefault="00824130">
      <w:pPr>
        <w:rPr>
          <w:color w:val="000000"/>
          <w:szCs w:val="26"/>
        </w:rPr>
      </w:pPr>
    </w:p>
    <w:p w14:paraId="10FEF168" w14:textId="77777777" w:rsidR="00824130" w:rsidRPr="00D80201" w:rsidRDefault="00824130">
      <w:pPr>
        <w:rPr>
          <w:color w:val="000000"/>
          <w:szCs w:val="26"/>
        </w:rPr>
      </w:pPr>
      <w:r>
        <w:rPr>
          <w:color w:val="000000"/>
          <w:szCs w:val="26"/>
        </w:rPr>
        <w:t>330.</w:t>
      </w:r>
      <w:r>
        <w:rPr>
          <w:color w:val="000000"/>
          <w:szCs w:val="26"/>
        </w:rPr>
        <w:tab/>
      </w:r>
      <w:r w:rsidRPr="00D80201">
        <w:rPr>
          <w:color w:val="000000"/>
          <w:szCs w:val="26"/>
        </w:rPr>
        <w:t>SWP supports Staff view.  In response to the OPTOs’ argument in favor of retaining this portion of the definition in the ISO’s Tariff to provide protection against mismatches between ETC and ISO rules,</w:t>
      </w:r>
      <w:r w:rsidRPr="00D80201">
        <w:rPr>
          <w:rStyle w:val="FootnoteReference"/>
          <w:color w:val="000000"/>
        </w:rPr>
        <w:footnoteReference w:id="124"/>
      </w:r>
      <w:r w:rsidRPr="00D80201">
        <w:rPr>
          <w:color w:val="000000"/>
          <w:szCs w:val="26"/>
        </w:rPr>
        <w:t xml:space="preserve"> SWP contends that it would be unduly discriminatory to grant the OPTOs relief from mismatches between ETCs and the ISO Tariff without granting like relief to ETC rightsholders.  </w:t>
      </w:r>
    </w:p>
    <w:p w14:paraId="1F7FDA01" w14:textId="77777777" w:rsidR="00824130" w:rsidRPr="00D80201" w:rsidRDefault="00824130">
      <w:pPr>
        <w:ind w:firstLine="720"/>
        <w:rPr>
          <w:color w:val="000000"/>
          <w:szCs w:val="26"/>
        </w:rPr>
      </w:pPr>
    </w:p>
    <w:p w14:paraId="06DB2D30" w14:textId="77777777" w:rsidR="00824130" w:rsidRPr="00D80201" w:rsidRDefault="00824130">
      <w:pPr>
        <w:rPr>
          <w:color w:val="000000"/>
          <w:szCs w:val="26"/>
        </w:rPr>
      </w:pPr>
      <w:r>
        <w:rPr>
          <w:color w:val="000000"/>
          <w:szCs w:val="26"/>
        </w:rPr>
        <w:t>331.</w:t>
      </w:r>
      <w:r>
        <w:rPr>
          <w:color w:val="000000"/>
          <w:szCs w:val="26"/>
        </w:rPr>
        <w:tab/>
      </w:r>
      <w:r w:rsidRPr="00D80201">
        <w:rPr>
          <w:color w:val="000000"/>
          <w:szCs w:val="26"/>
        </w:rPr>
        <w:t>The EOB also agrees with Staff.</w:t>
      </w:r>
    </w:p>
    <w:p w14:paraId="21612F3B" w14:textId="77777777" w:rsidR="00824130" w:rsidRPr="00D80201" w:rsidRDefault="00824130">
      <w:pPr>
        <w:rPr>
          <w:color w:val="000000"/>
          <w:szCs w:val="26"/>
        </w:rPr>
      </w:pPr>
    </w:p>
    <w:p w14:paraId="285DA507" w14:textId="77777777" w:rsidR="00824130" w:rsidRPr="00D80201" w:rsidRDefault="00824130">
      <w:pPr>
        <w:rPr>
          <w:color w:val="000000"/>
          <w:szCs w:val="26"/>
        </w:rPr>
      </w:pPr>
      <w:r>
        <w:rPr>
          <w:color w:val="000000"/>
          <w:szCs w:val="26"/>
        </w:rPr>
        <w:t>332.</w:t>
      </w:r>
      <w:r>
        <w:rPr>
          <w:color w:val="000000"/>
          <w:szCs w:val="26"/>
        </w:rPr>
        <w:tab/>
      </w:r>
      <w:r w:rsidRPr="00D80201">
        <w:rPr>
          <w:color w:val="000000"/>
          <w:szCs w:val="26"/>
        </w:rPr>
        <w:t xml:space="preserve">The ISO mainly argues that Staff’s recommendation to revise the definition of transmission revenue credit is beyond the scope of this proceeding and that Staff’s reliance on Opinion No. 458 is inappropriate because Amendment No. 27 has eliminated the basis for the Commission’s Opinion.  In its reply brief, the ISO adds that on </w:t>
      </w:r>
      <w:smartTag w:uri="urn:schemas-microsoft-com:office:smarttags" w:element="date">
        <w:smartTagPr>
          <w:attr w:name="Month" w:val="1"/>
          <w:attr w:name="Day" w:val="12"/>
          <w:attr w:name="Year" w:val="2004"/>
        </w:smartTagPr>
        <w:r w:rsidRPr="00D80201">
          <w:rPr>
            <w:color w:val="000000"/>
            <w:szCs w:val="26"/>
          </w:rPr>
          <w:t>January 12, 2004</w:t>
        </w:r>
      </w:smartTag>
      <w:r w:rsidRPr="00D80201">
        <w:rPr>
          <w:color w:val="000000"/>
          <w:szCs w:val="26"/>
        </w:rPr>
        <w:t xml:space="preserve">, it filed a motion with the D.C. Court of Appeals to remand Opinion No. 458 to the Commission for further consideration.  </w:t>
      </w:r>
    </w:p>
    <w:p w14:paraId="2B90D908" w14:textId="77777777" w:rsidR="00824130" w:rsidRPr="00D80201" w:rsidRDefault="00824130">
      <w:pPr>
        <w:rPr>
          <w:color w:val="000000"/>
          <w:szCs w:val="26"/>
        </w:rPr>
      </w:pPr>
    </w:p>
    <w:p w14:paraId="6EE2D96D" w14:textId="77777777" w:rsidR="00824130" w:rsidRPr="00D80201" w:rsidRDefault="00824130">
      <w:pPr>
        <w:pStyle w:val="BodyText"/>
        <w:rPr>
          <w:color w:val="000000"/>
          <w:sz w:val="26"/>
          <w:szCs w:val="26"/>
        </w:rPr>
      </w:pPr>
      <w:r>
        <w:rPr>
          <w:color w:val="000000"/>
          <w:sz w:val="26"/>
          <w:szCs w:val="26"/>
        </w:rPr>
        <w:t>333.</w:t>
      </w:r>
      <w:r>
        <w:rPr>
          <w:color w:val="000000"/>
          <w:sz w:val="26"/>
          <w:szCs w:val="26"/>
        </w:rPr>
        <w:tab/>
      </w:r>
      <w:r w:rsidRPr="00D80201">
        <w:rPr>
          <w:color w:val="000000"/>
          <w:sz w:val="26"/>
          <w:szCs w:val="26"/>
        </w:rPr>
        <w:t>SCE posits that Staff apparently is seeking to accomplish indirectly what the Commission could not accomplish directly in Opinion No. 458 -- changing an approved ISO Tariff provision without opening a new ISO Tariff case.  SCE states that in Opinion No. 458, the Commission d</w:t>
      </w:r>
      <w:r>
        <w:rPr>
          <w:color w:val="000000"/>
          <w:sz w:val="26"/>
          <w:szCs w:val="26"/>
        </w:rPr>
        <w:t>id not order the definition of Transmission Revenue Credit</w:t>
      </w:r>
      <w:r w:rsidRPr="00D80201">
        <w:rPr>
          <w:color w:val="000000"/>
          <w:sz w:val="26"/>
          <w:szCs w:val="26"/>
        </w:rPr>
        <w:t xml:space="preserve"> in the ISO Tariff to be revised.  Rather, SCE contends, the Commission ordered the OPTOs to alter </w:t>
      </w:r>
      <w:r>
        <w:rPr>
          <w:color w:val="000000"/>
          <w:sz w:val="26"/>
          <w:szCs w:val="26"/>
        </w:rPr>
        <w:t>their TO Tariff definitions of Transmission Revenue Credit</w:t>
      </w:r>
      <w:r w:rsidRPr="00D80201">
        <w:rPr>
          <w:color w:val="000000"/>
          <w:sz w:val="26"/>
          <w:szCs w:val="26"/>
        </w:rPr>
        <w:t xml:space="preserve"> in a way that would render those definitions inconsistent with the ISO Tariff.  The OPTOs have appealed this Commission decision on the grounds that such inconsistency would result in a violation of the filed rate doctrine.  </w:t>
      </w:r>
    </w:p>
    <w:p w14:paraId="0FBC1C6B" w14:textId="77777777" w:rsidR="00824130" w:rsidRPr="00D80201" w:rsidRDefault="00824130">
      <w:pPr>
        <w:pStyle w:val="BodyText"/>
        <w:ind w:firstLine="720"/>
        <w:rPr>
          <w:color w:val="000000"/>
          <w:sz w:val="26"/>
          <w:szCs w:val="26"/>
        </w:rPr>
      </w:pPr>
    </w:p>
    <w:p w14:paraId="3E9AE50D" w14:textId="77777777" w:rsidR="00824130" w:rsidRPr="00D80201" w:rsidRDefault="00824130">
      <w:pPr>
        <w:rPr>
          <w:color w:val="000000"/>
          <w:szCs w:val="26"/>
        </w:rPr>
      </w:pPr>
      <w:r>
        <w:rPr>
          <w:color w:val="000000"/>
          <w:szCs w:val="26"/>
        </w:rPr>
        <w:t>334.</w:t>
      </w:r>
      <w:r>
        <w:rPr>
          <w:color w:val="000000"/>
          <w:szCs w:val="26"/>
        </w:rPr>
        <w:tab/>
      </w:r>
      <w:r w:rsidRPr="00D80201">
        <w:rPr>
          <w:color w:val="000000"/>
          <w:szCs w:val="26"/>
        </w:rPr>
        <w:t>According to SCE, Staff now seeks to make the ISO Tariff definition “conform” with the definition in the revised TO Tariffs.  However, the Commission in Order No. 458 directed that ISO Tariff definition be inconsistent with the TO Tariffs’ definition.  The Commission’s decision that the definitions be inconsistent is the very basis of the OPTOs’ appeal.  SCE contends that Staff’s current position -- that the definitions now should be conforming -- after arguing in the Opinion No. 458 case that the OPTOs should not conform their TO Tariffs to the ISO Tariff definition</w:t>
      </w:r>
      <w:r w:rsidRPr="00D80201">
        <w:rPr>
          <w:rStyle w:val="FootnoteReference"/>
          <w:color w:val="000000"/>
        </w:rPr>
        <w:footnoteReference w:id="125"/>
      </w:r>
      <w:r w:rsidRPr="00D80201">
        <w:rPr>
          <w:color w:val="000000"/>
          <w:szCs w:val="26"/>
        </w:rPr>
        <w:t xml:space="preserve"> -- is a weak one.  SCE posits that if the definitions should be conforming, then Opinion No. 458 was decided erroneously, just as the OPTOs have argued before the Commission</w:t>
      </w:r>
      <w:r w:rsidRPr="00D80201">
        <w:rPr>
          <w:rStyle w:val="FootnoteReference"/>
          <w:color w:val="000000"/>
        </w:rPr>
        <w:footnoteReference w:id="126"/>
      </w:r>
      <w:r w:rsidRPr="00D80201">
        <w:rPr>
          <w:color w:val="000000"/>
          <w:szCs w:val="26"/>
        </w:rPr>
        <w:t xml:space="preserve"> and on appeal.  </w:t>
      </w:r>
    </w:p>
    <w:p w14:paraId="5751F5B1" w14:textId="77777777" w:rsidR="00824130" w:rsidRPr="00D80201" w:rsidRDefault="00824130">
      <w:pPr>
        <w:ind w:firstLine="720"/>
        <w:rPr>
          <w:color w:val="000000"/>
          <w:szCs w:val="26"/>
        </w:rPr>
      </w:pPr>
    </w:p>
    <w:p w14:paraId="7E4B7C8F" w14:textId="77777777" w:rsidR="00824130" w:rsidRPr="00D80201" w:rsidRDefault="00824130">
      <w:pPr>
        <w:rPr>
          <w:color w:val="000000"/>
          <w:szCs w:val="26"/>
        </w:rPr>
      </w:pPr>
      <w:r>
        <w:rPr>
          <w:color w:val="000000"/>
          <w:szCs w:val="26"/>
        </w:rPr>
        <w:t>335.</w:t>
      </w:r>
      <w:r>
        <w:rPr>
          <w:color w:val="000000"/>
          <w:szCs w:val="26"/>
        </w:rPr>
        <w:tab/>
      </w:r>
      <w:r w:rsidRPr="00D80201">
        <w:rPr>
          <w:color w:val="000000"/>
          <w:szCs w:val="26"/>
        </w:rPr>
        <w:t xml:space="preserve">SCE further counters that Staff’s contention that the portion of the definition it seeks to remove is no longer relevant.  SCE maintains that the contention is contrary to the Commission’s opinion, which held that the ISO Tariff definition “provided that the ISO will assess these costs to the Companies, but says nothing about what the Companies can do to recover these costs.”  </w:t>
      </w:r>
      <w:r w:rsidRPr="00D80201">
        <w:rPr>
          <w:color w:val="000000"/>
          <w:szCs w:val="26"/>
          <w:u w:val="single"/>
        </w:rPr>
        <w:t>Opinion No. 458-A</w:t>
      </w:r>
      <w:r w:rsidRPr="00D80201">
        <w:rPr>
          <w:color w:val="000000"/>
          <w:szCs w:val="26"/>
        </w:rPr>
        <w:t xml:space="preserve">, 101 FERC ¶ 61,151 at P 7.  SCE contends based on this holding that if it is correct, then there is no reason to alter the definition because it does not address cost recovery.  </w:t>
      </w:r>
    </w:p>
    <w:p w14:paraId="30F6846B" w14:textId="77777777" w:rsidR="00824130" w:rsidRPr="00D80201" w:rsidRDefault="00824130">
      <w:pPr>
        <w:rPr>
          <w:color w:val="000000"/>
          <w:szCs w:val="26"/>
        </w:rPr>
      </w:pPr>
    </w:p>
    <w:p w14:paraId="7C42CA1E" w14:textId="77777777" w:rsidR="00824130" w:rsidRPr="00D80201" w:rsidRDefault="00824130">
      <w:pPr>
        <w:rPr>
          <w:color w:val="000000"/>
          <w:szCs w:val="26"/>
        </w:rPr>
      </w:pPr>
      <w:r>
        <w:rPr>
          <w:color w:val="000000"/>
          <w:szCs w:val="26"/>
        </w:rPr>
        <w:t>336.</w:t>
      </w:r>
      <w:r>
        <w:rPr>
          <w:color w:val="000000"/>
          <w:szCs w:val="26"/>
        </w:rPr>
        <w:tab/>
      </w:r>
      <w:r w:rsidRPr="00D80201">
        <w:rPr>
          <w:color w:val="000000"/>
          <w:szCs w:val="26"/>
        </w:rPr>
        <w:t>PG&amp;E argues that this issue is both outside the scope of this proceeding and that to address it here would be premature.  PG&amp;E argues that the proper place for this issue to be addressed was in Docket No. ER97-2358.  PG&amp;E contends that in Order No. 458, the Commission did not require the ISO to revise the definition of Transmission Revenue Credit, and thus, Staff could have addressed that result in Docket No. ER97-2358 if it did not agree with the Commission’s result.  Like SCE, PG&amp;E also states that the issue is currently on appeal</w:t>
      </w:r>
      <w:r w:rsidRPr="00D80201">
        <w:rPr>
          <w:rStyle w:val="FootnoteReference"/>
          <w:color w:val="000000"/>
        </w:rPr>
        <w:footnoteReference w:id="127"/>
      </w:r>
      <w:r w:rsidRPr="00D80201">
        <w:rPr>
          <w:color w:val="000000"/>
          <w:szCs w:val="26"/>
        </w:rPr>
        <w:t xml:space="preserve"> and argues that requiring a definition change in this docket before the appellate court’s decision could create confusion.  </w:t>
      </w:r>
    </w:p>
    <w:p w14:paraId="2950EB84" w14:textId="77777777" w:rsidR="00824130" w:rsidRPr="00D80201" w:rsidRDefault="00824130">
      <w:pPr>
        <w:ind w:firstLine="720"/>
        <w:rPr>
          <w:color w:val="000000"/>
          <w:szCs w:val="26"/>
        </w:rPr>
      </w:pPr>
    </w:p>
    <w:p w14:paraId="2068024B" w14:textId="77777777" w:rsidR="00824130" w:rsidRDefault="00824130">
      <w:pPr>
        <w:pStyle w:val="BodyText"/>
        <w:ind w:firstLine="720"/>
        <w:rPr>
          <w:b/>
          <w:color w:val="000000"/>
          <w:sz w:val="26"/>
          <w:szCs w:val="26"/>
        </w:rPr>
      </w:pPr>
    </w:p>
    <w:p w14:paraId="512CBAD5" w14:textId="77777777" w:rsidR="00824130" w:rsidRDefault="00824130">
      <w:pPr>
        <w:pStyle w:val="BodyText"/>
        <w:ind w:firstLine="720"/>
        <w:rPr>
          <w:b/>
          <w:color w:val="000000"/>
          <w:sz w:val="26"/>
          <w:szCs w:val="26"/>
        </w:rPr>
      </w:pPr>
    </w:p>
    <w:p w14:paraId="3C085113" w14:textId="77777777" w:rsidR="00824130" w:rsidRPr="00D80201" w:rsidRDefault="00824130">
      <w:pPr>
        <w:pStyle w:val="BodyText"/>
        <w:ind w:firstLine="720"/>
        <w:rPr>
          <w:b/>
          <w:color w:val="000000"/>
          <w:sz w:val="26"/>
          <w:szCs w:val="26"/>
        </w:rPr>
      </w:pPr>
      <w:r w:rsidRPr="00D80201">
        <w:rPr>
          <w:b/>
          <w:color w:val="000000"/>
          <w:sz w:val="26"/>
          <w:szCs w:val="26"/>
        </w:rPr>
        <w:t>Discussion and Findings</w:t>
      </w:r>
    </w:p>
    <w:p w14:paraId="261B1B9F" w14:textId="77777777" w:rsidR="00824130" w:rsidRPr="00D80201" w:rsidRDefault="00824130">
      <w:pPr>
        <w:pStyle w:val="BodyText"/>
        <w:ind w:firstLine="780"/>
        <w:rPr>
          <w:b/>
          <w:color w:val="000000"/>
          <w:sz w:val="26"/>
          <w:szCs w:val="26"/>
        </w:rPr>
      </w:pPr>
    </w:p>
    <w:p w14:paraId="78FF74CE" w14:textId="77777777" w:rsidR="00824130" w:rsidRPr="00D80201" w:rsidRDefault="00824130">
      <w:pPr>
        <w:rPr>
          <w:color w:val="000000"/>
          <w:szCs w:val="26"/>
        </w:rPr>
      </w:pPr>
      <w:r>
        <w:rPr>
          <w:color w:val="000000"/>
          <w:szCs w:val="26"/>
        </w:rPr>
        <w:t>337.</w:t>
      </w:r>
      <w:r>
        <w:rPr>
          <w:color w:val="000000"/>
          <w:szCs w:val="26"/>
        </w:rPr>
        <w:tab/>
      </w:r>
      <w:r w:rsidRPr="00D80201">
        <w:rPr>
          <w:color w:val="000000"/>
          <w:szCs w:val="26"/>
        </w:rPr>
        <w:t>The undersigned Presiding Judge concurs with the position of the ISO, SCE and PG&amp;E th</w:t>
      </w:r>
      <w:r>
        <w:rPr>
          <w:color w:val="000000"/>
          <w:szCs w:val="26"/>
        </w:rPr>
        <w:t>at requiring the definition of Transmission Revenue Credit</w:t>
      </w:r>
      <w:r w:rsidRPr="00D80201">
        <w:rPr>
          <w:color w:val="000000"/>
          <w:szCs w:val="26"/>
        </w:rPr>
        <w:t xml:space="preserve"> in the ISO Tariff to be revised in this docket, before the Commission has had the benefit of the appellate court’s decision on Opinion No. 458, could create confusion and would be premature.  </w:t>
      </w:r>
    </w:p>
    <w:p w14:paraId="7B30FF10" w14:textId="77777777" w:rsidR="00824130" w:rsidRPr="00D80201" w:rsidRDefault="00824130">
      <w:pPr>
        <w:ind w:firstLine="720"/>
        <w:rPr>
          <w:color w:val="000000"/>
          <w:szCs w:val="26"/>
        </w:rPr>
      </w:pPr>
    </w:p>
    <w:p w14:paraId="21B60F50" w14:textId="77777777" w:rsidR="00824130" w:rsidRPr="00D80201" w:rsidRDefault="00824130">
      <w:pPr>
        <w:numPr>
          <w:ilvl w:val="0"/>
          <w:numId w:val="28"/>
        </w:numPr>
        <w:rPr>
          <w:rFonts w:ascii="Times New Roman Bold" w:hAnsi="Times New Roman Bold"/>
          <w:b/>
          <w:szCs w:val="26"/>
        </w:rPr>
      </w:pPr>
      <w:r w:rsidRPr="00D80201">
        <w:rPr>
          <w:rFonts w:ascii="Times New Roman Bold" w:hAnsi="Times New Roman Bold"/>
          <w:b/>
          <w:szCs w:val="26"/>
        </w:rPr>
        <w:t>Issues Resolved by Stipulation</w:t>
      </w:r>
    </w:p>
    <w:p w14:paraId="60762556" w14:textId="77777777" w:rsidR="00824130" w:rsidRPr="00D80201" w:rsidRDefault="00824130">
      <w:pPr>
        <w:rPr>
          <w:rFonts w:ascii="Times New Roman Bold" w:hAnsi="Times New Roman Bold"/>
          <w:b/>
          <w:szCs w:val="26"/>
        </w:rPr>
      </w:pPr>
    </w:p>
    <w:p w14:paraId="2F8333B4" w14:textId="77777777" w:rsidR="00824130" w:rsidRPr="00D80201" w:rsidRDefault="00824130">
      <w:pPr>
        <w:numPr>
          <w:ilvl w:val="0"/>
          <w:numId w:val="29"/>
        </w:numPr>
        <w:rPr>
          <w:rFonts w:ascii="Times New Roman Bold" w:hAnsi="Times New Roman Bold"/>
          <w:b/>
          <w:szCs w:val="26"/>
        </w:rPr>
      </w:pPr>
      <w:r w:rsidRPr="00D80201">
        <w:rPr>
          <w:rFonts w:ascii="Times New Roman Bold" w:hAnsi="Times New Roman Bold"/>
          <w:b/>
          <w:szCs w:val="26"/>
        </w:rPr>
        <w:t>Whether the definition of Gross Load is just, reasonable and not unduly discriminatory.</w:t>
      </w:r>
    </w:p>
    <w:p w14:paraId="5763439A" w14:textId="77777777" w:rsidR="00824130" w:rsidRPr="00D80201" w:rsidRDefault="00824130">
      <w:pPr>
        <w:rPr>
          <w:rFonts w:ascii="Times New Roman Bold" w:hAnsi="Times New Roman Bold"/>
          <w:b/>
          <w:szCs w:val="26"/>
        </w:rPr>
      </w:pPr>
    </w:p>
    <w:p w14:paraId="1625422A" w14:textId="77777777" w:rsidR="00824130" w:rsidRPr="00D80201" w:rsidRDefault="00824130">
      <w:pPr>
        <w:ind w:firstLine="720"/>
        <w:rPr>
          <w:rFonts w:ascii="Times New Roman Bold" w:hAnsi="Times New Roman Bold"/>
          <w:b/>
          <w:szCs w:val="26"/>
        </w:rPr>
      </w:pPr>
      <w:r w:rsidRPr="00D80201">
        <w:rPr>
          <w:rFonts w:ascii="Times New Roman Bold" w:hAnsi="Times New Roman Bold"/>
          <w:b/>
          <w:szCs w:val="26"/>
        </w:rPr>
        <w:t>Position of the Parties</w:t>
      </w:r>
    </w:p>
    <w:p w14:paraId="2E680938" w14:textId="77777777" w:rsidR="00824130" w:rsidRDefault="00824130">
      <w:pPr>
        <w:rPr>
          <w:szCs w:val="26"/>
        </w:rPr>
      </w:pPr>
    </w:p>
    <w:p w14:paraId="68367984" w14:textId="77777777" w:rsidR="00824130" w:rsidRPr="00D80201" w:rsidRDefault="00824130">
      <w:pPr>
        <w:rPr>
          <w:szCs w:val="26"/>
        </w:rPr>
      </w:pPr>
      <w:r>
        <w:rPr>
          <w:szCs w:val="26"/>
        </w:rPr>
        <w:t>338.</w:t>
      </w:r>
      <w:r>
        <w:rPr>
          <w:szCs w:val="26"/>
        </w:rPr>
        <w:tab/>
      </w:r>
      <w:r w:rsidRPr="00D80201">
        <w:rPr>
          <w:szCs w:val="26"/>
        </w:rPr>
        <w:t xml:space="preserve">This issue has been resolved by stipulation between the Energy Producers and Users Coalition and the Cogeneration Association of California (EPUC/CAC), the ISO, and SCE.  The EPUC/CAC and ISO both urge the undersigned Presiding Judge to direct the ISO to modify the ISO Tariff in accordance with the stipulation, and SCE refrains from briefing the issue.  </w:t>
      </w:r>
    </w:p>
    <w:p w14:paraId="0CE0A46F" w14:textId="77777777" w:rsidR="00824130" w:rsidRPr="00D80201" w:rsidRDefault="00824130">
      <w:pPr>
        <w:rPr>
          <w:szCs w:val="26"/>
        </w:rPr>
      </w:pPr>
    </w:p>
    <w:p w14:paraId="2110E3E2" w14:textId="77777777" w:rsidR="00824130" w:rsidRPr="00D80201" w:rsidRDefault="00824130">
      <w:pPr>
        <w:rPr>
          <w:rFonts w:ascii="Times New Roman Bold" w:hAnsi="Times New Roman Bold"/>
          <w:b/>
          <w:szCs w:val="26"/>
        </w:rPr>
      </w:pPr>
      <w:r w:rsidRPr="00D80201">
        <w:rPr>
          <w:szCs w:val="26"/>
        </w:rPr>
        <w:tab/>
      </w:r>
      <w:r w:rsidRPr="00D80201">
        <w:rPr>
          <w:rFonts w:ascii="Times New Roman Bold" w:hAnsi="Times New Roman Bold"/>
          <w:b/>
          <w:szCs w:val="26"/>
        </w:rPr>
        <w:t>Discussion and Findings</w:t>
      </w:r>
    </w:p>
    <w:p w14:paraId="2003195D" w14:textId="77777777" w:rsidR="00824130" w:rsidRDefault="00824130">
      <w:pPr>
        <w:rPr>
          <w:szCs w:val="26"/>
        </w:rPr>
      </w:pPr>
    </w:p>
    <w:p w14:paraId="31F0CA78" w14:textId="77777777" w:rsidR="00824130" w:rsidRPr="00D80201" w:rsidRDefault="00824130">
      <w:pPr>
        <w:rPr>
          <w:szCs w:val="26"/>
        </w:rPr>
      </w:pPr>
      <w:r>
        <w:rPr>
          <w:szCs w:val="26"/>
        </w:rPr>
        <w:t>339.</w:t>
      </w:r>
      <w:r>
        <w:rPr>
          <w:szCs w:val="26"/>
        </w:rPr>
        <w:tab/>
        <w:t xml:space="preserve">As discussed in the “Order Confirming Rulings,” issued by the undersigned Presiding Judge in this proceeding </w:t>
      </w:r>
      <w:r w:rsidRPr="00D80201">
        <w:rPr>
          <w:szCs w:val="26"/>
        </w:rPr>
        <w:t xml:space="preserve">on </w:t>
      </w:r>
      <w:smartTag w:uri="urn:schemas-microsoft-com:office:smarttags" w:element="date">
        <w:smartTagPr>
          <w:attr w:name="Month" w:val="10"/>
          <w:attr w:name="Day" w:val="9"/>
          <w:attr w:name="Year" w:val="2003"/>
        </w:smartTagPr>
        <w:r w:rsidRPr="00D80201">
          <w:rPr>
            <w:szCs w:val="26"/>
          </w:rPr>
          <w:t>October 9, 2003</w:t>
        </w:r>
      </w:smartTag>
      <w:r>
        <w:rPr>
          <w:szCs w:val="26"/>
        </w:rPr>
        <w:t xml:space="preserve"> (“October 9 Order”), </w:t>
      </w:r>
      <w:r w:rsidRPr="00D80201">
        <w:rPr>
          <w:szCs w:val="26"/>
        </w:rPr>
        <w:t>the CAC/EPUC, the ISO, and SCE submitted a Motion to Adopt a Joint Stipulation.  The joint stipulation</w:t>
      </w:r>
      <w:r>
        <w:rPr>
          <w:szCs w:val="26"/>
        </w:rPr>
        <w:t xml:space="preserve">, which is discussed in greater detail in the Joint Statement of Procedural History, </w:t>
      </w:r>
      <w:r w:rsidRPr="000D3507">
        <w:rPr>
          <w:szCs w:val="26"/>
          <w:u w:val="single"/>
        </w:rPr>
        <w:t>supra</w:t>
      </w:r>
      <w:r>
        <w:rPr>
          <w:szCs w:val="26"/>
        </w:rPr>
        <w:t>,</w:t>
      </w:r>
      <w:r w:rsidRPr="00D80201">
        <w:rPr>
          <w:szCs w:val="26"/>
        </w:rPr>
        <w:t xml:space="preserve"> pertains to issues related to the definition of Gross Load as that definition pertains to retail customer load served by generation that is located on the customer’s site or provides service to the customer’s site through arrangements as authorized by Section 218 of the California Public Utilities Code.  The new definition, to be reflected on ISO Tariff Sheet No. 319, is: </w:t>
      </w:r>
    </w:p>
    <w:p w14:paraId="7D943495" w14:textId="77777777" w:rsidR="00824130" w:rsidRPr="00D80201" w:rsidRDefault="00824130">
      <w:pPr>
        <w:rPr>
          <w:szCs w:val="26"/>
        </w:rPr>
      </w:pPr>
    </w:p>
    <w:p w14:paraId="39B233E9" w14:textId="77777777" w:rsidR="00824130" w:rsidRPr="00D80201" w:rsidRDefault="00824130">
      <w:pPr>
        <w:ind w:left="780"/>
        <w:rPr>
          <w:szCs w:val="26"/>
        </w:rPr>
      </w:pPr>
      <w:r w:rsidRPr="00D80201">
        <w:rPr>
          <w:szCs w:val="26"/>
          <w:u w:val="single"/>
        </w:rPr>
        <w:t xml:space="preserve">Gross Load: </w:t>
      </w:r>
      <w:r w:rsidRPr="00D80201">
        <w:rPr>
          <w:szCs w:val="26"/>
        </w:rPr>
        <w:tab/>
        <w:t>For the purposes of calculating the transmission Access Charge, Gross Load is all Energy (adjusted for distribution losses) delivered for the supply of Loads directly connected to the transmission facilities or Distribution System of a UDC or MSS, and all Energy provided by a Scheduling Coordinator for the supply of Loads not directly connected to the transmission facilities or Distribution System of a UDC or MSS.  Gross Load shall exclude Load with respect to which the Wheeling Access Charge is payable and the portion of the Load of an individual retail customer of a UDC, MSS, or Scheduling Coordinator that is served by a Generating Unit that:  (a) is located on the customer’s site or provides service to the customer’s site through arrangements as authorized by Section 218 of the California Public Utilities Code; and (b) secures Standby Service from a Participating TO under terms approved by a Local Regulatory Authority or FERC, as applicable, or can be curtailed concurrently with an outage of the Generating Unit serving the Load.  Gross Load forecasts consistent with filed TRR will be provided by each Participating TO to the ISO.</w:t>
      </w:r>
    </w:p>
    <w:p w14:paraId="047E4E2F" w14:textId="77777777" w:rsidR="00824130" w:rsidRDefault="00824130">
      <w:pPr>
        <w:widowControl/>
        <w:rPr>
          <w:szCs w:val="26"/>
        </w:rPr>
      </w:pPr>
    </w:p>
    <w:p w14:paraId="7C8A210F" w14:textId="77777777" w:rsidR="00824130" w:rsidRPr="00D80201" w:rsidRDefault="00824130">
      <w:pPr>
        <w:widowControl/>
        <w:rPr>
          <w:szCs w:val="26"/>
        </w:rPr>
      </w:pPr>
      <w:r w:rsidRPr="00D80201">
        <w:rPr>
          <w:szCs w:val="26"/>
        </w:rPr>
        <w:t>The Joint Stipulation is unopposed.  The undersigned Presiding Judge approved and adopted the stipulation in the October 9 Order.  The ISO is hereby directed to modify the ISO Tariff accordingly.</w:t>
      </w:r>
    </w:p>
    <w:p w14:paraId="5A23414C" w14:textId="77777777" w:rsidR="00824130" w:rsidRPr="00D80201" w:rsidRDefault="00824130">
      <w:pPr>
        <w:widowControl/>
        <w:rPr>
          <w:szCs w:val="26"/>
        </w:rPr>
      </w:pPr>
    </w:p>
    <w:p w14:paraId="158CDC66" w14:textId="77777777" w:rsidR="00824130" w:rsidRPr="00D80201" w:rsidRDefault="00824130">
      <w:pPr>
        <w:numPr>
          <w:ilvl w:val="0"/>
          <w:numId w:val="29"/>
        </w:numPr>
        <w:rPr>
          <w:rFonts w:ascii="Times New Roman Bold" w:hAnsi="Times New Roman Bold"/>
          <w:b/>
          <w:szCs w:val="26"/>
        </w:rPr>
      </w:pPr>
      <w:r w:rsidRPr="00D80201">
        <w:rPr>
          <w:rFonts w:ascii="Times New Roman Bold" w:hAnsi="Times New Roman Bold"/>
          <w:b/>
          <w:szCs w:val="26"/>
        </w:rPr>
        <w:t>Whether the ISO’s treatment of Metered Subsystems is just, reasonable and not unduly discriminatory.</w:t>
      </w:r>
    </w:p>
    <w:p w14:paraId="57EFFC16" w14:textId="77777777" w:rsidR="00824130" w:rsidRPr="00D80201" w:rsidRDefault="00824130">
      <w:pPr>
        <w:rPr>
          <w:szCs w:val="26"/>
        </w:rPr>
      </w:pPr>
    </w:p>
    <w:p w14:paraId="2CA6B953" w14:textId="77777777" w:rsidR="00824130" w:rsidRPr="00D80201" w:rsidRDefault="00824130">
      <w:pPr>
        <w:ind w:left="720"/>
        <w:rPr>
          <w:rFonts w:ascii="Times New Roman Bold" w:hAnsi="Times New Roman Bold"/>
          <w:b/>
          <w:szCs w:val="26"/>
        </w:rPr>
      </w:pPr>
      <w:r w:rsidRPr="00D80201">
        <w:rPr>
          <w:rFonts w:ascii="Times New Roman Bold" w:hAnsi="Times New Roman Bold"/>
          <w:b/>
          <w:szCs w:val="26"/>
        </w:rPr>
        <w:t>Position of the Parties</w:t>
      </w:r>
    </w:p>
    <w:p w14:paraId="13207D1F" w14:textId="77777777" w:rsidR="00824130" w:rsidRPr="00D80201" w:rsidRDefault="00824130">
      <w:pPr>
        <w:rPr>
          <w:szCs w:val="26"/>
        </w:rPr>
      </w:pPr>
    </w:p>
    <w:p w14:paraId="606CCB2D" w14:textId="77777777" w:rsidR="00824130" w:rsidRPr="00D80201" w:rsidRDefault="00824130">
      <w:pPr>
        <w:rPr>
          <w:szCs w:val="26"/>
        </w:rPr>
      </w:pPr>
      <w:r>
        <w:rPr>
          <w:szCs w:val="26"/>
        </w:rPr>
        <w:t>340.</w:t>
      </w:r>
      <w:r>
        <w:rPr>
          <w:szCs w:val="26"/>
        </w:rPr>
        <w:tab/>
      </w:r>
      <w:r w:rsidRPr="00D80201">
        <w:rPr>
          <w:szCs w:val="26"/>
        </w:rPr>
        <w:t>The ISO represents in its Initial Brief and MID represents in its Reply Brief that the parties have agreed upon a stipulation, which provided generally that issues concerning the treatment of Metered Subsystems were not at issue, and would not be determined, in this proceeding.  ISO Initial Brief at 89; MID Reply Brief at 28.  No p</w:t>
      </w:r>
      <w:r>
        <w:rPr>
          <w:szCs w:val="26"/>
        </w:rPr>
        <w:t>arty opposes this stipulation</w:t>
      </w:r>
      <w:r w:rsidRPr="00D80201">
        <w:rPr>
          <w:szCs w:val="26"/>
        </w:rPr>
        <w:t xml:space="preserve">.  </w:t>
      </w:r>
    </w:p>
    <w:p w14:paraId="48BB7109" w14:textId="77777777" w:rsidR="00824130" w:rsidRPr="00D80201" w:rsidRDefault="00824130">
      <w:pPr>
        <w:ind w:left="720"/>
        <w:rPr>
          <w:szCs w:val="26"/>
        </w:rPr>
      </w:pPr>
    </w:p>
    <w:p w14:paraId="59EC517E" w14:textId="77777777" w:rsidR="00824130" w:rsidRPr="00D80201" w:rsidRDefault="00824130">
      <w:pPr>
        <w:ind w:left="720"/>
        <w:rPr>
          <w:rFonts w:ascii="Times New Roman Bold" w:hAnsi="Times New Roman Bold"/>
          <w:b/>
          <w:szCs w:val="26"/>
        </w:rPr>
      </w:pPr>
      <w:r w:rsidRPr="00D80201">
        <w:rPr>
          <w:rFonts w:ascii="Times New Roman Bold" w:hAnsi="Times New Roman Bold"/>
          <w:b/>
          <w:szCs w:val="26"/>
        </w:rPr>
        <w:t>Discussion and Findings</w:t>
      </w:r>
    </w:p>
    <w:p w14:paraId="59FF25D7" w14:textId="77777777" w:rsidR="00824130" w:rsidRPr="00D80201" w:rsidRDefault="00824130">
      <w:pPr>
        <w:ind w:left="720"/>
        <w:rPr>
          <w:szCs w:val="26"/>
        </w:rPr>
      </w:pPr>
    </w:p>
    <w:p w14:paraId="2C5B857E" w14:textId="77777777" w:rsidR="00824130" w:rsidRPr="00D80201" w:rsidRDefault="00824130">
      <w:pPr>
        <w:rPr>
          <w:szCs w:val="26"/>
        </w:rPr>
      </w:pPr>
      <w:r>
        <w:rPr>
          <w:szCs w:val="26"/>
        </w:rPr>
        <w:t>341.</w:t>
      </w:r>
      <w:r>
        <w:rPr>
          <w:szCs w:val="26"/>
        </w:rPr>
        <w:tab/>
      </w:r>
      <w:r w:rsidRPr="00D80201">
        <w:rPr>
          <w:szCs w:val="26"/>
        </w:rPr>
        <w:t>The undersigned Presiding Judge hereby approves and adopts the stipulation, attached to this Initial Decision as Exhibit J-1.</w:t>
      </w:r>
    </w:p>
    <w:p w14:paraId="4E1D0B30" w14:textId="77777777" w:rsidR="00824130" w:rsidRDefault="00824130">
      <w:pPr>
        <w:pStyle w:val="BodyTextFirstIndent"/>
        <w:widowControl/>
        <w:spacing w:after="0"/>
        <w:ind w:firstLine="0"/>
        <w:rPr>
          <w:color w:val="000000"/>
          <w:szCs w:val="26"/>
        </w:rPr>
      </w:pPr>
    </w:p>
    <w:p w14:paraId="4B43172A" w14:textId="77777777" w:rsidR="00824130" w:rsidRPr="005709CC" w:rsidRDefault="00824130">
      <w:pPr>
        <w:pStyle w:val="Title"/>
        <w:ind w:firstLine="0"/>
        <w:jc w:val="left"/>
        <w:rPr>
          <w:rFonts w:ascii="Times New Roman Bold" w:hAnsi="Times New Roman Bold"/>
        </w:rPr>
      </w:pPr>
      <w:r>
        <w:rPr>
          <w:rFonts w:ascii="Times New Roman Bold" w:hAnsi="Times New Roman Bold"/>
        </w:rPr>
        <w:t xml:space="preserve">    XII.</w:t>
      </w:r>
      <w:r>
        <w:rPr>
          <w:rFonts w:ascii="Times New Roman Bold" w:hAnsi="Times New Roman Bold"/>
        </w:rPr>
        <w:tab/>
        <w:t xml:space="preserve">    </w:t>
      </w:r>
      <w:r w:rsidRPr="005709CC">
        <w:rPr>
          <w:rFonts w:ascii="Times New Roman Bold" w:hAnsi="Times New Roman Bold"/>
        </w:rPr>
        <w:t>Summary and Conclusion</w:t>
      </w:r>
    </w:p>
    <w:p w14:paraId="67DC8138" w14:textId="77777777" w:rsidR="00824130" w:rsidRPr="006C6550" w:rsidRDefault="00824130">
      <w:pPr>
        <w:pStyle w:val="Title"/>
        <w:ind w:firstLine="0"/>
        <w:jc w:val="left"/>
      </w:pPr>
    </w:p>
    <w:p w14:paraId="11562ED1" w14:textId="77777777" w:rsidR="00824130" w:rsidRPr="006C6550" w:rsidRDefault="00824130">
      <w:r>
        <w:t>342.</w:t>
      </w:r>
      <w:r>
        <w:tab/>
      </w:r>
      <w:r w:rsidRPr="006C6550">
        <w:t xml:space="preserve">The goal of this proceeding is to develop just and reasonable tariff provisions for transmission access charges for the transmission grid controlled by the California Independent Service Operator Corporation (“ISO”).  In Amendment Nos. 27, 34, and 49 to its Tariff, the ISO has proposed tariff provisions which develop a single </w:t>
      </w:r>
      <w:r>
        <w:t>grid wide</w:t>
      </w:r>
      <w:r w:rsidRPr="006C6550">
        <w:t xml:space="preserve"> high voltage Transmission Access Charge (“TAC”).  This is the tariff which is the subject of this proceeding, and the tariff which the Commission must determine is just and reasonable pursuant to Sections 205 and 206 of the Federal Power Act.  This proceeding will not decide the issues in the ISO’s Comprehensive Market Redesign Proposal 2002, known as MD02, now pending in Docket No. ER02-1656-000 and its various subdockets.  </w:t>
      </w:r>
    </w:p>
    <w:p w14:paraId="324EC9DD" w14:textId="77777777" w:rsidR="00824130" w:rsidRPr="006C6550" w:rsidRDefault="00824130"/>
    <w:p w14:paraId="13A2F722" w14:textId="77777777" w:rsidR="00824130" w:rsidRPr="006C6550" w:rsidRDefault="00824130">
      <w:pPr>
        <w:pStyle w:val="Heading1"/>
        <w:widowControl w:val="0"/>
        <w:numPr>
          <w:ilvl w:val="0"/>
          <w:numId w:val="32"/>
        </w:numPr>
        <w:autoSpaceDE w:val="0"/>
        <w:autoSpaceDN w:val="0"/>
        <w:adjustRightInd w:val="0"/>
        <w:spacing w:after="0"/>
      </w:pPr>
      <w:r w:rsidRPr="006C6550">
        <w:t>Relevant Factors</w:t>
      </w:r>
    </w:p>
    <w:p w14:paraId="6DEF90A4" w14:textId="77777777" w:rsidR="00824130" w:rsidRPr="006C6550" w:rsidRDefault="00824130"/>
    <w:p w14:paraId="1A8CD3C0" w14:textId="77777777" w:rsidR="00824130" w:rsidRPr="006C6550" w:rsidRDefault="00824130">
      <w:r>
        <w:t>343.</w:t>
      </w:r>
      <w:r>
        <w:tab/>
      </w:r>
      <w:r w:rsidRPr="006C6550">
        <w:t xml:space="preserve">Proposed Amendments 27, 34, and 49 to the ISO Tariff establish a single </w:t>
      </w:r>
      <w:r>
        <w:t>grid wide</w:t>
      </w:r>
      <w:r w:rsidRPr="006C6550">
        <w:t xml:space="preserve"> high voltage TAC which is a formula rate design for the recovery of the PTOs’ TRR.  In order to get a complete picture of the effect of the TAC, an analysis of benefits and burdens should include all the benefits and burdens which accrue to all the parties affected by the TAC, not just those defined as part of the “cost shift” and used to calculate the cost shift cap. </w:t>
      </w:r>
    </w:p>
    <w:p w14:paraId="27A41D15" w14:textId="77777777" w:rsidR="00824130" w:rsidRPr="006C6550" w:rsidRDefault="00824130"/>
    <w:p w14:paraId="5DFC682C" w14:textId="77777777" w:rsidR="00824130" w:rsidRPr="006C6550" w:rsidRDefault="00824130">
      <w:r>
        <w:t>344.</w:t>
      </w:r>
      <w:r>
        <w:tab/>
      </w:r>
      <w:r w:rsidRPr="006C6550">
        <w:t>In determining the justness and reasonableness of the ISO’s TAC, the undersigned Presiding Judge must, of course, be guided by Commission policy and precedent, including where relevant, the Commission’s Principles of Transmission Pricing, the Commission’s principles of cost causation requiring that costs be assigned to those using and benefiting from the facilities in question,</w:t>
      </w:r>
      <w:r w:rsidRPr="006C6550">
        <w:rPr>
          <w:vertAlign w:val="superscript"/>
        </w:rPr>
        <w:footnoteReference w:id="128"/>
      </w:r>
      <w:r w:rsidRPr="006C6550">
        <w:t xml:space="preserve"> and the Commission’s Order setting this matter for hearing.  </w:t>
      </w:r>
    </w:p>
    <w:p w14:paraId="37354D02" w14:textId="77777777" w:rsidR="00824130" w:rsidRPr="006C6550" w:rsidRDefault="00824130"/>
    <w:p w14:paraId="12D80438" w14:textId="77777777" w:rsidR="00824130" w:rsidRPr="006C6550" w:rsidRDefault="00824130">
      <w:pPr>
        <w:pStyle w:val="Heading1"/>
        <w:widowControl w:val="0"/>
        <w:numPr>
          <w:ilvl w:val="0"/>
          <w:numId w:val="32"/>
        </w:numPr>
        <w:autoSpaceDE w:val="0"/>
        <w:autoSpaceDN w:val="0"/>
        <w:adjustRightInd w:val="0"/>
        <w:spacing w:after="0"/>
      </w:pPr>
      <w:r w:rsidRPr="006C6550">
        <w:t>Burden of Proof</w:t>
      </w:r>
    </w:p>
    <w:p w14:paraId="04269E8E" w14:textId="77777777" w:rsidR="00824130" w:rsidRPr="006C6550" w:rsidRDefault="00824130"/>
    <w:p w14:paraId="589D68A1" w14:textId="77777777" w:rsidR="00824130" w:rsidRPr="006C6550" w:rsidRDefault="00824130">
      <w:pPr>
        <w:pStyle w:val="FootnoteText"/>
        <w:ind w:firstLine="0"/>
      </w:pPr>
      <w:r>
        <w:t>345.</w:t>
      </w:r>
      <w:r>
        <w:tab/>
      </w:r>
      <w:r w:rsidRPr="006C6550">
        <w:t xml:space="preserve">The Commission set this proceeding for hearing under Section 205 and 206 of the Federal Power Act. Under Section 205, the proponent of the rate, charge or classification bears the burden of proof.  In a Section 206 matter, the party seeking to change the rate, charge or classification has a dual burden -- it must first provide substantial evidence that the existing rate is unjust, unreasonable or unduly discriminatory, and then demonstrate through substantial evidence that the new rate is just, reasonable and not unduly discriminatory.  </w:t>
      </w:r>
      <w:r w:rsidRPr="006C6550">
        <w:rPr>
          <w:u w:val="single"/>
        </w:rPr>
        <w:t>FPC v. Sierra Pacific Power Co.</w:t>
      </w:r>
      <w:r w:rsidRPr="006C6550">
        <w:t xml:space="preserve">, 350 </w:t>
      </w:r>
      <w:smartTag w:uri="urn:schemas-microsoft-com:office:smarttags" w:element="place">
        <w:smartTag w:uri="urn:schemas-microsoft-com:office:smarttags" w:element="country-region">
          <w:r w:rsidRPr="006C6550">
            <w:t>U.S.</w:t>
          </w:r>
        </w:smartTag>
      </w:smartTag>
      <w:r w:rsidRPr="006C6550">
        <w:t xml:space="preserve"> 348 (1956).</w:t>
      </w:r>
    </w:p>
    <w:p w14:paraId="29C3C76D" w14:textId="77777777" w:rsidR="00824130" w:rsidRPr="006C6550" w:rsidRDefault="00824130">
      <w:pPr>
        <w:pStyle w:val="FootnoteText"/>
      </w:pPr>
    </w:p>
    <w:p w14:paraId="56C65964" w14:textId="77777777" w:rsidR="00824130" w:rsidRPr="006C6550" w:rsidRDefault="00824130">
      <w:r>
        <w:t>346.</w:t>
      </w:r>
      <w:r>
        <w:tab/>
      </w:r>
      <w:r w:rsidRPr="006C6550">
        <w:t>For the rate design proposal to be acceptable</w:t>
      </w:r>
      <w:r>
        <w:t>,</w:t>
      </w:r>
      <w:r w:rsidRPr="006C6550">
        <w:t xml:space="preserve"> it need be neither perfect nor even the most “desirable”; it need only be reasonable.  </w:t>
      </w:r>
      <w:r w:rsidRPr="006C6550">
        <w:rPr>
          <w:u w:val="single"/>
        </w:rPr>
        <w:t>See</w:t>
      </w:r>
      <w:r w:rsidRPr="006C6550">
        <w:t xml:space="preserve"> </w:t>
      </w:r>
      <w:r w:rsidRPr="006C6550">
        <w:rPr>
          <w:u w:val="single"/>
        </w:rPr>
        <w:t>New England Power Co.,</w:t>
      </w:r>
      <w:r w:rsidRPr="006C6550">
        <w:t xml:space="preserve"> 52 FERC  ¶ 61,090 at 61,336 (1990), </w:t>
      </w:r>
      <w:r w:rsidRPr="006C6550">
        <w:rPr>
          <w:u w:val="single"/>
        </w:rPr>
        <w:t>reh’g denied</w:t>
      </w:r>
      <w:r w:rsidRPr="006C6550">
        <w:t xml:space="preserve">, 54 FERC  ¶ 61,055, </w:t>
      </w:r>
      <w:r w:rsidRPr="006C6550">
        <w:rPr>
          <w:u w:val="single"/>
        </w:rPr>
        <w:t>aff’d</w:t>
      </w:r>
      <w:r w:rsidRPr="00BF78A5">
        <w:t xml:space="preserve">, </w:t>
      </w:r>
      <w:r w:rsidRPr="006C6550">
        <w:rPr>
          <w:u w:val="single"/>
        </w:rPr>
        <w:t>Town of Norwood v. FERC</w:t>
      </w:r>
      <w:r w:rsidRPr="006C6550">
        <w:t xml:space="preserve">, 962 F.2d 20 (D.C.Cir. 1992); </w:t>
      </w:r>
      <w:r w:rsidRPr="006C6550">
        <w:rPr>
          <w:u w:val="single"/>
        </w:rPr>
        <w:t>City of Bethany v. FERC</w:t>
      </w:r>
      <w:r w:rsidRPr="006C6550">
        <w:t xml:space="preserve">, 727 F.2d 1131, 1136 (D.C.Cir. 1984), </w:t>
      </w:r>
      <w:r w:rsidRPr="006C6550">
        <w:rPr>
          <w:u w:val="single"/>
        </w:rPr>
        <w:t>cert. denied</w:t>
      </w:r>
      <w:r w:rsidRPr="006C6550">
        <w:t xml:space="preserve">, 469 U.S. 917 (1984)(utility need establish that its proposed rate design is reasonable, not that it is superior to alternatives); </w:t>
      </w:r>
      <w:r w:rsidRPr="00BF78A5">
        <w:rPr>
          <w:u w:val="single"/>
        </w:rPr>
        <w:t>OXY USA, Inc. v. FERC</w:t>
      </w:r>
      <w:r w:rsidRPr="006C6550">
        <w:t xml:space="preserve">, 64 F.3d 679, 692 (D.C.Cir. 1995). </w:t>
      </w:r>
    </w:p>
    <w:p w14:paraId="12604565" w14:textId="77777777" w:rsidR="00824130" w:rsidRPr="006C6550" w:rsidRDefault="00824130"/>
    <w:p w14:paraId="1252F508" w14:textId="77777777" w:rsidR="00824130" w:rsidRPr="006C6550" w:rsidRDefault="00824130">
      <w:r>
        <w:t>347.</w:t>
      </w:r>
      <w:r>
        <w:tab/>
      </w:r>
      <w:r w:rsidRPr="006C6550">
        <w:t xml:space="preserve">Absent agreement by the filing utility, Commission precedent provides that the ISO’s proposal must first be found to be unjust, unreasonable, or unduly discriminatory before alternative proposals are ripe for consideration. In the instant proceeding, the “volumetric” </w:t>
      </w:r>
      <w:r>
        <w:t>MWh</w:t>
      </w:r>
      <w:r w:rsidRPr="006C6550">
        <w:t xml:space="preserve"> rate is an aspect of the ISO’s rate design that is unchanged by Amendments No. 27 and No. 49; accordingly, SWP bears the burden of coming forward with evidence sufficient to establish that this feature of the TAC is unjust or unreasonable before it may press its “time of use” rate alternative to the Commission.  </w:t>
      </w:r>
      <w:r w:rsidRPr="006C6550">
        <w:rPr>
          <w:u w:val="single"/>
        </w:rPr>
        <w:t>See</w:t>
      </w:r>
      <w:r w:rsidRPr="006C6550">
        <w:t xml:space="preserve"> </w:t>
      </w:r>
      <w:r>
        <w:rPr>
          <w:u w:val="single"/>
        </w:rPr>
        <w:t>Public Serv.</w:t>
      </w:r>
      <w:r w:rsidRPr="006C6550">
        <w:rPr>
          <w:u w:val="single"/>
        </w:rPr>
        <w:t xml:space="preserve"> Comm’n of NY v. FERC</w:t>
      </w:r>
      <w:r w:rsidRPr="006C6550">
        <w:t>, 642 F.2d 1335, 1345 (D</w:t>
      </w:r>
      <w:r>
        <w:t>.C. Cir. 1980).  SWP has not me</w:t>
      </w:r>
      <w:r w:rsidRPr="006C6550">
        <w:t xml:space="preserve">t this burden with regard to the “volumetric” </w:t>
      </w:r>
      <w:r>
        <w:t>MWh</w:t>
      </w:r>
      <w:r w:rsidRPr="006C6550">
        <w:t xml:space="preserve"> rate aspect of the ISO’s rate design.</w:t>
      </w:r>
    </w:p>
    <w:p w14:paraId="138EF65F" w14:textId="77777777" w:rsidR="00824130" w:rsidRDefault="00824130"/>
    <w:p w14:paraId="6E8E5268" w14:textId="77777777" w:rsidR="00824130" w:rsidRPr="006C6550" w:rsidRDefault="00824130"/>
    <w:p w14:paraId="64FC4CF3" w14:textId="77777777" w:rsidR="00824130" w:rsidRPr="006C6550" w:rsidRDefault="00824130">
      <w:pPr>
        <w:pStyle w:val="Heading1"/>
        <w:widowControl w:val="0"/>
        <w:numPr>
          <w:ilvl w:val="0"/>
          <w:numId w:val="32"/>
        </w:numPr>
        <w:autoSpaceDE w:val="0"/>
        <w:autoSpaceDN w:val="0"/>
        <w:adjustRightInd w:val="0"/>
        <w:spacing w:after="0"/>
      </w:pPr>
      <w:r w:rsidRPr="006C6550">
        <w:t>Phantom Congestion</w:t>
      </w:r>
    </w:p>
    <w:p w14:paraId="3E20F925" w14:textId="77777777" w:rsidR="00824130" w:rsidRPr="006C6550" w:rsidRDefault="00824130"/>
    <w:p w14:paraId="1202C561" w14:textId="77777777" w:rsidR="00824130" w:rsidRPr="006C6550" w:rsidRDefault="00824130">
      <w:r>
        <w:t>348.</w:t>
      </w:r>
      <w:r>
        <w:tab/>
      </w:r>
      <w:r w:rsidRPr="006C6550">
        <w:t>The ISO states that one of the benefits (in terms of cos</w:t>
      </w:r>
      <w:r>
        <w:t>t savings) of new P</w:t>
      </w:r>
      <w:r w:rsidRPr="006C6550">
        <w:t xml:space="preserve">TOs is the reduction of what it terms "Phantom Congestion." </w:t>
      </w:r>
      <w:r>
        <w:t xml:space="preserve"> </w:t>
      </w:r>
      <w:r w:rsidRPr="006C6550">
        <w:t>This term, as explained by the ISO, relates to the scheduling timelines afforded to current GEs under Existing Rights contracts which are different and not entirely compatible with the day-ahead and hour-ahead schedules that the ISO operates under.</w:t>
      </w:r>
      <w:r>
        <w:t xml:space="preserve"> </w:t>
      </w:r>
      <w:r w:rsidRPr="006C6550">
        <w:t xml:space="preserve"> Because the Existing Rights contracts allow scheduling changes after the ISO scheduling deadlines, available transmission capacity remains unutilized.</w:t>
      </w:r>
    </w:p>
    <w:p w14:paraId="0F5AD1EA" w14:textId="77777777" w:rsidR="00824130" w:rsidRPr="006C6550" w:rsidRDefault="00824130"/>
    <w:p w14:paraId="2A33AFE9" w14:textId="77777777" w:rsidR="00824130" w:rsidRPr="006C6550" w:rsidRDefault="00824130">
      <w:pPr>
        <w:pStyle w:val="BodyTextFirstIndentD"/>
        <w:spacing w:line="240" w:lineRule="auto"/>
        <w:ind w:firstLine="0"/>
      </w:pPr>
      <w:r>
        <w:t>349.</w:t>
      </w:r>
      <w:r>
        <w:tab/>
      </w:r>
      <w:r w:rsidRPr="006C6550">
        <w:t xml:space="preserve">It is axiomatic that phantom congestion exists.  </w:t>
      </w:r>
      <w:r w:rsidRPr="006C6550">
        <w:rPr>
          <w:u w:val="single"/>
        </w:rPr>
        <w:t>Cal Indep. Sys. Operator Corp.</w:t>
      </w:r>
      <w:r w:rsidRPr="006C6550">
        <w:t>, 91 FERC ¶ 61,205 at 61,727 (2000).  The Commission reco</w:t>
      </w:r>
      <w:r>
        <w:t>gnized phantom congestion as a “</w:t>
      </w:r>
      <w:r w:rsidRPr="006C6550">
        <w:t xml:space="preserve">market inefficiency that must be addressed and rectified as quickly as possible.”  </w:t>
      </w:r>
      <w:smartTag w:uri="urn:schemas-microsoft-com:office:smarttags" w:element="place">
        <w:smartTag w:uri="urn:schemas-microsoft-com:office:smarttags" w:element="State">
          <w:r w:rsidRPr="006C6550">
            <w:rPr>
              <w:u w:val="single"/>
            </w:rPr>
            <w:t>Id.</w:t>
          </w:r>
        </w:smartTag>
      </w:smartTag>
      <w:r w:rsidRPr="006C6550">
        <w:t xml:space="preserve"> </w:t>
      </w:r>
      <w:r>
        <w:t xml:space="preserve"> </w:t>
      </w:r>
      <w:r w:rsidRPr="006C6550">
        <w:rPr>
          <w:color w:val="000000"/>
        </w:rPr>
        <w:t>Phantom congestion is caused by a disparity between the ISO’s scheduling timelines in the day-ahead and hour-ahead markets and the scheduling timelines accorded existing rights holders in their existing con</w:t>
      </w:r>
      <w:r>
        <w:rPr>
          <w:color w:val="000000"/>
        </w:rPr>
        <w:t>tracts.  ISO Initial Brief at 16</w:t>
      </w:r>
      <w:r w:rsidRPr="006C6550">
        <w:rPr>
          <w:color w:val="000000"/>
        </w:rPr>
        <w:t xml:space="preserve">. </w:t>
      </w:r>
      <w:r w:rsidRPr="006C6550">
        <w:t xml:space="preserve"> As Staff has pointed out, the Commission has accepted the ISO’s view of the cause of phantom congestion.  In </w:t>
      </w:r>
      <w:r w:rsidRPr="006C6550">
        <w:rPr>
          <w:u w:val="single"/>
        </w:rPr>
        <w:t>California Independent System Operator Corp.</w:t>
      </w:r>
      <w:r w:rsidRPr="006C6550">
        <w:t>, 91 FERC ¶ 61,205 at 61,727 (2000).</w:t>
      </w:r>
    </w:p>
    <w:p w14:paraId="1BF05670" w14:textId="77777777" w:rsidR="00824130" w:rsidRPr="006C6550" w:rsidRDefault="00824130">
      <w:pPr>
        <w:pStyle w:val="BodyTextFirstIndentD"/>
        <w:spacing w:line="240" w:lineRule="auto"/>
      </w:pPr>
    </w:p>
    <w:p w14:paraId="6E30C387" w14:textId="77777777" w:rsidR="00824130" w:rsidRPr="006C6550" w:rsidRDefault="00824130">
      <w:pPr>
        <w:pStyle w:val="BodyTextFirstIndentD"/>
        <w:spacing w:line="240" w:lineRule="auto"/>
        <w:ind w:firstLine="0"/>
        <w:rPr>
          <w:bCs/>
          <w:color w:val="000000"/>
        </w:rPr>
      </w:pPr>
      <w:r>
        <w:rPr>
          <w:bCs/>
          <w:color w:val="000000"/>
        </w:rPr>
        <w:t>350.</w:t>
      </w:r>
      <w:r>
        <w:rPr>
          <w:bCs/>
          <w:color w:val="000000"/>
        </w:rPr>
        <w:tab/>
      </w:r>
      <w:r w:rsidRPr="006C6550">
        <w:rPr>
          <w:bCs/>
          <w:color w:val="000000"/>
        </w:rPr>
        <w:t xml:space="preserve">Further, the Commission has rejected arguments that the ISO should resolve phantom congestion through modifying its software, or that it should continue to let the market inefficiency result because the existing contract holders valued the scheduling flexibility accorded them by virtue of their contracts.  </w:t>
      </w:r>
      <w:smartTag w:uri="urn:schemas-microsoft-com:office:smarttags" w:element="place">
        <w:smartTag w:uri="urn:schemas-microsoft-com:office:smarttags" w:element="State">
          <w:r w:rsidRPr="006C6550">
            <w:rPr>
              <w:bCs/>
              <w:color w:val="000000"/>
              <w:u w:val="single"/>
            </w:rPr>
            <w:t>Id.</w:t>
          </w:r>
        </w:smartTag>
      </w:smartTag>
      <w:r w:rsidRPr="006C6550">
        <w:rPr>
          <w:bCs/>
          <w:color w:val="000000"/>
        </w:rPr>
        <w:t xml:space="preserve">  </w:t>
      </w:r>
    </w:p>
    <w:p w14:paraId="5FC9FEC3" w14:textId="77777777" w:rsidR="00824130" w:rsidRPr="006C6550" w:rsidRDefault="00824130">
      <w:pPr>
        <w:pStyle w:val="BodyTextFirstIndentD"/>
        <w:spacing w:line="240" w:lineRule="auto"/>
        <w:rPr>
          <w:b/>
          <w:color w:val="000000"/>
        </w:rPr>
      </w:pPr>
    </w:p>
    <w:p w14:paraId="633F6E42" w14:textId="77777777" w:rsidR="00824130" w:rsidRPr="006C6550" w:rsidRDefault="00824130">
      <w:pPr>
        <w:pStyle w:val="BodyTextFirstIndentD"/>
        <w:spacing w:line="240" w:lineRule="auto"/>
        <w:ind w:firstLine="0"/>
        <w:rPr>
          <w:color w:val="000000"/>
        </w:rPr>
      </w:pPr>
      <w:r>
        <w:rPr>
          <w:color w:val="000000"/>
        </w:rPr>
        <w:t>351.</w:t>
      </w:r>
      <w:r>
        <w:rPr>
          <w:b/>
          <w:color w:val="000000"/>
        </w:rPr>
        <w:tab/>
      </w:r>
      <w:r w:rsidRPr="006C6550">
        <w:rPr>
          <w:color w:val="000000"/>
        </w:rPr>
        <w:t xml:space="preserve">Phantom congestion </w:t>
      </w:r>
      <w:r w:rsidRPr="006C6550">
        <w:rPr>
          <w:bCs/>
          <w:color w:val="000000"/>
        </w:rPr>
        <w:t>impacts energy prices</w:t>
      </w:r>
      <w:r w:rsidRPr="006C6550">
        <w:rPr>
          <w:color w:val="000000"/>
        </w:rPr>
        <w:t xml:space="preserve"> </w:t>
      </w:r>
      <w:r w:rsidRPr="006C6550">
        <w:rPr>
          <w:bCs/>
          <w:color w:val="000000"/>
        </w:rPr>
        <w:t xml:space="preserve">(1) by requiring the redispatch of generating units to relieve the phantom constraint and (2) by reducing market competition by preventing imports into a congested zone from competing with supply internal to the constraint.  Ex. ISO-23 at </w:t>
      </w:r>
      <w:smartTag w:uri="urn:schemas-microsoft-com:office:smarttags" w:element="time">
        <w:smartTagPr>
          <w:attr w:name="Hour" w:val="19"/>
          <w:attr w:name="Minute" w:val="18"/>
        </w:smartTagPr>
        <w:r w:rsidRPr="006C6550">
          <w:rPr>
            <w:bCs/>
            <w:color w:val="000000"/>
          </w:rPr>
          <w:t>7:18 – 8:13</w:t>
        </w:r>
      </w:smartTag>
      <w:r w:rsidRPr="006C6550">
        <w:rPr>
          <w:bCs/>
          <w:color w:val="000000"/>
        </w:rPr>
        <w:t xml:space="preserve">.  </w:t>
      </w:r>
      <w:r w:rsidRPr="006C6550">
        <w:rPr>
          <w:color w:val="000000"/>
        </w:rPr>
        <w:t xml:space="preserve">However, the record is inconclusive on the exact costs of phantom congestion or the economic “benefits” of </w:t>
      </w:r>
      <w:r>
        <w:rPr>
          <w:color w:val="000000"/>
        </w:rPr>
        <w:t xml:space="preserve">mitigating or eliminating it.  </w:t>
      </w:r>
      <w:r w:rsidRPr="006C6550">
        <w:rPr>
          <w:color w:val="000000"/>
        </w:rPr>
        <w:t xml:space="preserve">In any event, given the contentious nature of this proceeding and the changes in both the TAC and the </w:t>
      </w:r>
      <w:smartTag w:uri="urn:schemas-microsoft-com:office:smarttags" w:element="place">
        <w:smartTag w:uri="urn:schemas-microsoft-com:office:smarttags" w:element="State">
          <w:r w:rsidRPr="006C6550">
            <w:rPr>
              <w:color w:val="000000"/>
            </w:rPr>
            <w:t>California</w:t>
          </w:r>
        </w:smartTag>
      </w:smartTag>
      <w:r w:rsidRPr="006C6550">
        <w:rPr>
          <w:color w:val="000000"/>
        </w:rPr>
        <w:t xml:space="preserve"> energy market since the ISO first proposed the TAC, it is highly unlikely that the TAC by itself will have an appreciable impact on the mitigation or elimination of phantom congestion. </w:t>
      </w:r>
      <w:r>
        <w:rPr>
          <w:color w:val="000000"/>
        </w:rPr>
        <w:t xml:space="preserve"> </w:t>
      </w:r>
      <w:r w:rsidRPr="006C6550">
        <w:rPr>
          <w:color w:val="000000"/>
        </w:rPr>
        <w:t xml:space="preserve">As of the writing of this decision, the transition period as the ISO proposed it is almost half over, and several existing contracts which the ISO had hoped to induce to ISO participation through conversion are approaching expiration. </w:t>
      </w:r>
    </w:p>
    <w:p w14:paraId="1375B7A4" w14:textId="77777777" w:rsidR="00824130" w:rsidRPr="006C6550" w:rsidRDefault="00824130">
      <w:pPr>
        <w:pStyle w:val="BodyTextFirstIndentD"/>
        <w:spacing w:line="240" w:lineRule="auto"/>
        <w:ind w:firstLine="0"/>
        <w:rPr>
          <w:color w:val="000000"/>
        </w:rPr>
      </w:pPr>
    </w:p>
    <w:p w14:paraId="2612C401" w14:textId="77777777" w:rsidR="00824130" w:rsidRPr="006C6550" w:rsidRDefault="00824130">
      <w:pPr>
        <w:pStyle w:val="BodyTextFirstIndentD"/>
        <w:spacing w:line="240" w:lineRule="auto"/>
        <w:ind w:firstLine="0"/>
      </w:pPr>
      <w:r>
        <w:t>352.</w:t>
      </w:r>
      <w:r>
        <w:tab/>
      </w:r>
      <w:r w:rsidRPr="006C6550">
        <w:t>Several parties, and Staff, have pointed out that phantom congestion has decreased and will continue to decrease as these existing contracts expire.</w:t>
      </w:r>
      <w:r w:rsidRPr="006C6550">
        <w:rPr>
          <w:vertAlign w:val="superscript"/>
        </w:rPr>
        <w:footnoteReference w:id="129"/>
      </w:r>
      <w:r w:rsidRPr="006C6550">
        <w:t xml:space="preserve">  The ISO’s 2002 annual report shows that tot</w:t>
      </w:r>
      <w:r>
        <w:t>al congestion costs in the ISO control a</w:t>
      </w:r>
      <w:r w:rsidRPr="006C6550">
        <w:t>rea have consistently declined from their peak of $400 million in 2000 to $42 m</w:t>
      </w:r>
      <w:r>
        <w:t xml:space="preserve">illion in 2002 and, of course, </w:t>
      </w:r>
      <w:r w:rsidRPr="006C6550">
        <w:t>phantom congestion costs are a</w:t>
      </w:r>
      <w:r>
        <w:t xml:space="preserve"> </w:t>
      </w:r>
      <w:r w:rsidRPr="006C6550">
        <w:t>smaller subset of those total congestion costs.</w:t>
      </w:r>
      <w:r w:rsidRPr="006C6550">
        <w:rPr>
          <w:rStyle w:val="FootnoteReference"/>
          <w:color w:val="000000"/>
        </w:rPr>
        <w:footnoteReference w:id="130"/>
      </w:r>
      <w:r w:rsidRPr="006C6550">
        <w:t xml:space="preserve">  Furthermore, better solutions for the phantom congestion problem may be forth coming in the ISO’s MD02 market redesign proposal currently before the Commission. </w:t>
      </w:r>
      <w:r>
        <w:t xml:space="preserve"> </w:t>
      </w:r>
      <w:r w:rsidRPr="006C6550">
        <w:t xml:space="preserve">For example, as part of the MD02 proposal, the ISO has proposed to only reserve capacity for existing rights holders through the close of </w:t>
      </w:r>
      <w:r>
        <w:t xml:space="preserve">the day-ahead market.  </w:t>
      </w:r>
      <w:r w:rsidRPr="006C6550">
        <w:t>Given these facts, it may be of limited value to consider possible mitigation or elimination of phantom congestion as support for the continuation of special incentives intended to induce expanded ISO participation, such as the cost shift cap, which are included in the ISO’s current TAC proposal.</w:t>
      </w:r>
    </w:p>
    <w:p w14:paraId="38F62165" w14:textId="77777777" w:rsidR="00824130" w:rsidRPr="006C6550" w:rsidRDefault="00824130">
      <w:pPr>
        <w:pStyle w:val="BodyTextFirstIndentD"/>
        <w:spacing w:line="240" w:lineRule="auto"/>
        <w:ind w:firstLine="0"/>
      </w:pPr>
    </w:p>
    <w:p w14:paraId="556C0106" w14:textId="77777777" w:rsidR="00824130" w:rsidRDefault="00824130">
      <w:pPr>
        <w:pStyle w:val="Heading2"/>
        <w:numPr>
          <w:ilvl w:val="0"/>
          <w:numId w:val="32"/>
        </w:numPr>
      </w:pPr>
      <w:r w:rsidRPr="006C6550">
        <w:t xml:space="preserve">Cost Shift </w:t>
      </w:r>
    </w:p>
    <w:p w14:paraId="2B701B26" w14:textId="77777777" w:rsidR="00824130" w:rsidRPr="006C6550" w:rsidRDefault="00824130"/>
    <w:p w14:paraId="06CE3DBA" w14:textId="77777777" w:rsidR="00824130" w:rsidRDefault="00824130">
      <w:pPr>
        <w:numPr>
          <w:ilvl w:val="0"/>
          <w:numId w:val="33"/>
        </w:numPr>
        <w:rPr>
          <w:rFonts w:ascii="Times New Roman Bold" w:hAnsi="Times New Roman Bold"/>
          <w:b/>
        </w:rPr>
      </w:pPr>
      <w:r w:rsidRPr="009053EE">
        <w:rPr>
          <w:rFonts w:ascii="Times New Roman Bold" w:hAnsi="Times New Roman Bold"/>
          <w:b/>
        </w:rPr>
        <w:t>Cost Shift Caps</w:t>
      </w:r>
    </w:p>
    <w:p w14:paraId="3122AF89" w14:textId="77777777" w:rsidR="00824130" w:rsidRPr="006C6550" w:rsidRDefault="00824130"/>
    <w:p w14:paraId="1AB4DFA2" w14:textId="77777777" w:rsidR="00824130" w:rsidRDefault="00824130">
      <w:pPr>
        <w:pStyle w:val="BodyText"/>
        <w:rPr>
          <w:color w:val="000000"/>
          <w:sz w:val="26"/>
          <w:szCs w:val="26"/>
        </w:rPr>
      </w:pPr>
      <w:r>
        <w:rPr>
          <w:color w:val="000000"/>
          <w:sz w:val="26"/>
          <w:szCs w:val="26"/>
        </w:rPr>
        <w:t>353.</w:t>
      </w:r>
      <w:r>
        <w:rPr>
          <w:color w:val="000000"/>
          <w:sz w:val="26"/>
          <w:szCs w:val="26"/>
        </w:rPr>
        <w:tab/>
        <w:t>ISO witness Le Vine succinctly described the cost shift caps in her Direct Testimony:</w:t>
      </w:r>
    </w:p>
    <w:p w14:paraId="27F3FA8F" w14:textId="77777777" w:rsidR="00824130" w:rsidRDefault="00824130">
      <w:pPr>
        <w:pStyle w:val="BodyText"/>
        <w:rPr>
          <w:color w:val="000000"/>
          <w:sz w:val="26"/>
          <w:szCs w:val="26"/>
        </w:rPr>
      </w:pPr>
    </w:p>
    <w:p w14:paraId="55DFF5F9" w14:textId="77777777" w:rsidR="00824130" w:rsidRDefault="00824130">
      <w:pPr>
        <w:pStyle w:val="BodyText"/>
        <w:ind w:left="778" w:hanging="778"/>
        <w:rPr>
          <w:color w:val="000000"/>
          <w:sz w:val="26"/>
          <w:szCs w:val="26"/>
        </w:rPr>
      </w:pPr>
      <w:r>
        <w:rPr>
          <w:color w:val="000000"/>
          <w:sz w:val="26"/>
          <w:szCs w:val="26"/>
        </w:rPr>
        <w:tab/>
        <w:t>Amendment No. 27 provides for cost shift caps that represent a maximum increase in transmission Access Charges to Loads in the Service Areas of Original Participating TOs of approximately 0.4 mills/kWh.  (This increase is averaged over all Original Participating TO Load and does not address any questions associated with retail cost allocation and rate design.)  The individual caps provide for up to a total of $72 million of cost shifts during each year, though the amount that will actually be shifted will depend on how many entities, and which entities, decide to become Participating TOs.</w:t>
      </w:r>
      <w:r>
        <w:rPr>
          <w:rStyle w:val="FootnoteReference"/>
          <w:color w:val="000000"/>
          <w:sz w:val="28"/>
        </w:rPr>
        <w:footnoteReference w:id="131"/>
      </w:r>
      <w:r>
        <w:rPr>
          <w:color w:val="000000"/>
          <w:sz w:val="26"/>
          <w:szCs w:val="26"/>
        </w:rPr>
        <w:t xml:space="preserve">  </w:t>
      </w:r>
    </w:p>
    <w:p w14:paraId="0BEC29E0" w14:textId="77777777" w:rsidR="00824130" w:rsidRDefault="00824130">
      <w:pPr>
        <w:pStyle w:val="BodyText"/>
        <w:rPr>
          <w:color w:val="000000"/>
          <w:sz w:val="26"/>
          <w:szCs w:val="26"/>
        </w:rPr>
      </w:pPr>
    </w:p>
    <w:p w14:paraId="7E0F36BC" w14:textId="77777777" w:rsidR="00824130" w:rsidRDefault="00824130">
      <w:pPr>
        <w:pStyle w:val="BodyText"/>
        <w:ind w:left="778" w:hanging="778"/>
        <w:rPr>
          <w:color w:val="000000"/>
          <w:sz w:val="26"/>
          <w:szCs w:val="26"/>
        </w:rPr>
      </w:pPr>
      <w:r>
        <w:rPr>
          <w:color w:val="000000"/>
          <w:sz w:val="26"/>
          <w:szCs w:val="26"/>
        </w:rPr>
        <w:tab/>
        <w:t>She then also explained that:</w:t>
      </w:r>
    </w:p>
    <w:p w14:paraId="28B3CBA0" w14:textId="77777777" w:rsidR="00824130" w:rsidRDefault="00824130">
      <w:pPr>
        <w:pStyle w:val="BodyText"/>
        <w:ind w:left="778" w:hanging="778"/>
        <w:rPr>
          <w:color w:val="000000"/>
          <w:sz w:val="26"/>
          <w:szCs w:val="26"/>
        </w:rPr>
      </w:pPr>
    </w:p>
    <w:p w14:paraId="14978063" w14:textId="77777777" w:rsidR="00824130" w:rsidRDefault="00824130">
      <w:pPr>
        <w:pStyle w:val="BodyText"/>
        <w:ind w:left="778" w:hanging="778"/>
        <w:rPr>
          <w:color w:val="000000"/>
          <w:sz w:val="26"/>
          <w:szCs w:val="26"/>
        </w:rPr>
      </w:pPr>
      <w:r>
        <w:rPr>
          <w:color w:val="000000"/>
          <w:sz w:val="26"/>
          <w:szCs w:val="26"/>
        </w:rPr>
        <w:tab/>
        <w:t>If the total cost shift exceeds this cap, the customers of the New Participating TOs with net benefits would contribute part of their net benefit in order to limit cost shifts to this level.  Again, this mitigation measure would be implemented through the Transition Charge.</w:t>
      </w:r>
      <w:r>
        <w:rPr>
          <w:rStyle w:val="FootnoteReference"/>
          <w:color w:val="000000"/>
          <w:sz w:val="28"/>
        </w:rPr>
        <w:footnoteReference w:id="132"/>
      </w:r>
      <w:r>
        <w:rPr>
          <w:color w:val="000000"/>
          <w:sz w:val="26"/>
          <w:szCs w:val="26"/>
        </w:rPr>
        <w:t xml:space="preserve">  </w:t>
      </w:r>
    </w:p>
    <w:p w14:paraId="1324FF7A" w14:textId="77777777" w:rsidR="00824130" w:rsidRDefault="00824130">
      <w:pPr>
        <w:pStyle w:val="BodyText"/>
        <w:rPr>
          <w:sz w:val="26"/>
          <w:szCs w:val="26"/>
        </w:rPr>
      </w:pPr>
    </w:p>
    <w:p w14:paraId="0D69B6ED" w14:textId="77777777" w:rsidR="00824130" w:rsidRPr="00B74326" w:rsidRDefault="00824130">
      <w:pPr>
        <w:pStyle w:val="BodyText"/>
        <w:rPr>
          <w:color w:val="000000"/>
          <w:szCs w:val="26"/>
        </w:rPr>
      </w:pPr>
      <w:r>
        <w:rPr>
          <w:sz w:val="26"/>
          <w:szCs w:val="26"/>
        </w:rPr>
        <w:t>354.</w:t>
      </w:r>
      <w:r>
        <w:rPr>
          <w:sz w:val="26"/>
          <w:szCs w:val="26"/>
        </w:rPr>
        <w:tab/>
        <w:t xml:space="preserve">During negotiations over the TAC, the end-user representatives stated that they would not contest a rate increase for the OPTOs of $32 million each for PG&amp;E and SCE and $8 million to SDG&amp;E, thus arriving at the cost shift cap of $72 million.  Staff points out that none of those end-user representatives filed testimony in this case, and the record contains no evidence of why they picked these particular numbers.  Staff Initial Brief at 28; Ex. S-5 at </w:t>
      </w:r>
      <w:smartTag w:uri="urn:schemas-microsoft-com:office:smarttags" w:element="time">
        <w:smartTagPr>
          <w:attr w:name="Hour" w:val="18"/>
          <w:attr w:name="Minute" w:val="11"/>
        </w:smartTagPr>
        <w:r>
          <w:rPr>
            <w:sz w:val="26"/>
            <w:szCs w:val="26"/>
          </w:rPr>
          <w:t>18:11</w:t>
        </w:r>
      </w:smartTag>
      <w:r>
        <w:rPr>
          <w:sz w:val="26"/>
          <w:szCs w:val="26"/>
        </w:rPr>
        <w:t xml:space="preserve"> – 14. </w:t>
      </w:r>
      <w:r w:rsidRPr="006C6550">
        <w:rPr>
          <w:szCs w:val="26"/>
        </w:rPr>
        <w:t xml:space="preserve"> </w:t>
      </w:r>
    </w:p>
    <w:p w14:paraId="2B9B6024" w14:textId="77777777" w:rsidR="00824130" w:rsidRPr="006C6550" w:rsidRDefault="00824130">
      <w:pPr>
        <w:pStyle w:val="BodyText"/>
        <w:ind w:firstLine="648"/>
        <w:rPr>
          <w:szCs w:val="26"/>
        </w:rPr>
      </w:pPr>
    </w:p>
    <w:p w14:paraId="02C407D8" w14:textId="77777777" w:rsidR="00824130" w:rsidRDefault="00824130">
      <w:r>
        <w:t>355.</w:t>
      </w:r>
      <w:r>
        <w:tab/>
      </w:r>
      <w:r w:rsidRPr="006C6550">
        <w:t xml:space="preserve">Primarily citing Ex. SC-7, the ISO’s worksheet which was filed with the Commission for the rates to be effective on </w:t>
      </w:r>
      <w:smartTag w:uri="urn:schemas-microsoft-com:office:smarttags" w:element="date">
        <w:smartTagPr>
          <w:attr w:name="Month" w:val="10"/>
          <w:attr w:name="Day" w:val="1"/>
          <w:attr w:name="Year" w:val="2003"/>
        </w:smartTagPr>
        <w:r w:rsidRPr="006C6550">
          <w:t>October 1, 2003</w:t>
        </w:r>
      </w:smartTag>
      <w:r w:rsidRPr="006C6550">
        <w:t>, Staff generally describes the cost shifts (without accounting for the transition charge which apportions payments among OPTOs) as follows.</w:t>
      </w:r>
      <w:r w:rsidRPr="006C6550">
        <w:rPr>
          <w:rStyle w:val="FootnoteReference"/>
        </w:rPr>
        <w:footnoteReference w:id="133"/>
      </w:r>
      <w:r>
        <w:t xml:space="preserve">  </w:t>
      </w:r>
      <w:r w:rsidRPr="006C6550">
        <w:t xml:space="preserve">The new PTOs have shifted the costs of their more expensive existing high voltage transmission facilities to SCE and, at the rate of 10% per year, to the other OPTOs.  Staff Initial Brief at 20-21, </w:t>
      </w:r>
      <w:r w:rsidRPr="006C6550">
        <w:rPr>
          <w:u w:val="single"/>
        </w:rPr>
        <w:t>citing</w:t>
      </w:r>
      <w:r w:rsidRPr="006C6550">
        <w:t xml:space="preserve"> Ex. SC-7, column 1 (described cost shift from New PTOs to SCE), column 6 (described cost shift from New PTOs to SCE and other PTOs).  SCE and SDG&amp;E are transferring (at the rate of 10% per year) the costs of their more expensive existing high voltage transmission facilities to PG&amp;E.  Staff Initial Brief at 21, </w:t>
      </w:r>
      <w:r w:rsidRPr="006C6550">
        <w:rPr>
          <w:u w:val="single"/>
        </w:rPr>
        <w:t>citing</w:t>
      </w:r>
      <w:r w:rsidRPr="006C6550">
        <w:t xml:space="preserve"> SC-7, column 6 (described cost shift of SCE and SDG&amp;E to PG&amp;E).  The OPTOs have immediately transferred portions of the cost of their new high voltage facilities to everyone else on the grid.  Staff Initial Brief at 22.  In 2003, PG&amp;E has filed for the greatest TRR associated with new high voltage facilities, and has received a benefit greater than any single new PTO.  </w:t>
      </w:r>
      <w:smartTag w:uri="urn:schemas-microsoft-com:office:smarttags" w:element="place">
        <w:smartTag w:uri="urn:schemas-microsoft-com:office:smarttags" w:element="State">
          <w:r w:rsidRPr="006C6550">
            <w:rPr>
              <w:u w:val="single"/>
            </w:rPr>
            <w:t>Id.</w:t>
          </w:r>
        </w:smartTag>
      </w:smartTag>
      <w:r w:rsidRPr="006C6550">
        <w:t xml:space="preserve">, </w:t>
      </w:r>
      <w:r w:rsidRPr="006C6550">
        <w:rPr>
          <w:u w:val="single"/>
        </w:rPr>
        <w:t xml:space="preserve">citing </w:t>
      </w:r>
      <w:r w:rsidRPr="006C6550">
        <w:t>Ex. SC-7, column 2 (de</w:t>
      </w:r>
      <w:r>
        <w:t>scribed</w:t>
      </w:r>
      <w:r w:rsidRPr="006C6550">
        <w:t xml:space="preserve"> the TRR associated with new high voltage facilities filed by each OPTO).  SCE also plans $150 million in new high voltage facility investments which will be charged to the entire grid.  Staff Initial Brief at 23, </w:t>
      </w:r>
      <w:r w:rsidRPr="006C6550">
        <w:rPr>
          <w:u w:val="single"/>
        </w:rPr>
        <w:t>citing</w:t>
      </w:r>
      <w:r w:rsidRPr="006C6550">
        <w:t xml:space="preserve"> Ex. SC-1 at 21:1-10 (contained SCE’s response to data request SC-SCE-2-11).  Based on these statistics, Staff concludes that the balance of benefits and burdens is not static, and is not stacked against the OPTOs. </w:t>
      </w:r>
    </w:p>
    <w:p w14:paraId="356D96E0" w14:textId="77777777" w:rsidR="00824130" w:rsidRDefault="00824130"/>
    <w:p w14:paraId="4841EC10" w14:textId="77777777" w:rsidR="00824130" w:rsidRDefault="00824130">
      <w:r>
        <w:t>356.</w:t>
      </w:r>
      <w:r>
        <w:tab/>
      </w:r>
      <w:r w:rsidRPr="006C6550">
        <w:t>In the hearing order on Amendment No. 27, the Commission recognized that “some transition period may be appropriate to mitigate cost shifts”</w:t>
      </w:r>
      <w:r w:rsidRPr="006C6550">
        <w:rPr>
          <w:rStyle w:val="FootnoteReference"/>
        </w:rPr>
        <w:footnoteReference w:id="134"/>
      </w:r>
      <w:r w:rsidRPr="006C6550">
        <w:t xml:space="preserve"> but noted that “the current record in this proceeding has not demonstrated that a ten-year transition period and the proposed limits on the amount of cost shifts are the proper ones necessary to mitigate abrupt cost shifts.”</w:t>
      </w:r>
      <w:r w:rsidRPr="006C6550">
        <w:rPr>
          <w:rStyle w:val="FootnoteReference"/>
        </w:rPr>
        <w:footnoteReference w:id="135"/>
      </w:r>
      <w:r w:rsidRPr="006C6550">
        <w:t xml:space="preserve"> </w:t>
      </w:r>
      <w:r>
        <w:t xml:space="preserve"> </w:t>
      </w:r>
      <w:r w:rsidRPr="006C6550">
        <w:t>Because “the use of transition periods are to mitigate large cost shifts and rate effects”</w:t>
      </w:r>
      <w:r w:rsidRPr="006C6550">
        <w:rPr>
          <w:rStyle w:val="FootnoteReference"/>
        </w:rPr>
        <w:footnoteReference w:id="136"/>
      </w:r>
      <w:r w:rsidRPr="006C6550">
        <w:t xml:space="preserve"> the Commission mandated that the record should include “information on the overall impact of changes in transmission costs on the overall cost of electricity,”</w:t>
      </w:r>
      <w:r w:rsidRPr="006C6550">
        <w:rPr>
          <w:rStyle w:val="FootnoteReference"/>
        </w:rPr>
        <w:footnoteReference w:id="137"/>
      </w:r>
      <w:r w:rsidRPr="006C6550">
        <w:t xml:space="preserve"> including “the context of transmission costs relative to the total cost of electricity.”</w:t>
      </w:r>
      <w:r w:rsidRPr="006C6550">
        <w:rPr>
          <w:rStyle w:val="FootnoteReference"/>
        </w:rPr>
        <w:footnoteReference w:id="138"/>
      </w:r>
      <w:r w:rsidRPr="006C6550">
        <w:t xml:space="preserve">  </w:t>
      </w:r>
    </w:p>
    <w:p w14:paraId="240A06BE" w14:textId="77777777" w:rsidR="00824130" w:rsidRDefault="00824130"/>
    <w:p w14:paraId="2FB17433" w14:textId="77777777" w:rsidR="00824130" w:rsidRDefault="00824130">
      <w:r>
        <w:t>357.</w:t>
      </w:r>
      <w:r>
        <w:tab/>
      </w:r>
      <w:r w:rsidRPr="006C6550">
        <w:t xml:space="preserve">This directive elicited some estimates at hearing regarding the amount of rate shock to be expected from the proposed cost shift caps.  For example, SDG&amp;E witness Lucero pointed out in his testimony that if LADWP and other GEs do not join, the overall impact per MWh over a four-year period ranges from 0.40% to 0.52%.  Ex. SDGE-2 at </w:t>
      </w:r>
      <w:smartTag w:uri="urn:schemas-microsoft-com:office:smarttags" w:element="time">
        <w:smartTagPr>
          <w:attr w:name="Hour" w:val="12"/>
          <w:attr w:name="Minute" w:val="16"/>
        </w:smartTagPr>
        <w:r w:rsidRPr="006C6550">
          <w:t>12:16</w:t>
        </w:r>
      </w:smartTag>
      <w:r w:rsidRPr="006C6550">
        <w:t xml:space="preserve">.  Staff witness Patterson similarly determined that, given the unlikely scenario that all non-jurisdictional entities in </w:t>
      </w:r>
      <w:smartTag w:uri="urn:schemas-microsoft-com:office:smarttags" w:element="place">
        <w:smartTag w:uri="urn:schemas-microsoft-com:office:smarttags" w:element="State">
          <w:r w:rsidRPr="006C6550">
            <w:t>California</w:t>
          </w:r>
        </w:smartTag>
      </w:smartTag>
      <w:r w:rsidRPr="006C6550">
        <w:t xml:space="preserve"> would elect to join the ISO, the estimated average increase per MWh to the OPTOs’ retail customers would be approximately 0.40%.  S-5 at 28:25-29:3.  Even given full participation, the estimated cost shifts would be 1% at most.  </w:t>
      </w:r>
      <w:smartTag w:uri="urn:schemas-microsoft-com:office:smarttags" w:element="place">
        <w:smartTag w:uri="urn:schemas-microsoft-com:office:smarttags" w:element="State">
          <w:r w:rsidRPr="006C6550">
            <w:rPr>
              <w:u w:val="single"/>
            </w:rPr>
            <w:t>Id.</w:t>
          </w:r>
        </w:smartTag>
      </w:smartTag>
      <w:r w:rsidRPr="006C6550">
        <w:t xml:space="preserve">  </w:t>
      </w:r>
    </w:p>
    <w:p w14:paraId="45C3A5D0" w14:textId="77777777" w:rsidR="00824130" w:rsidRDefault="00824130"/>
    <w:p w14:paraId="7DBCFBDE" w14:textId="77777777" w:rsidR="00824130" w:rsidRPr="006C6550" w:rsidRDefault="00824130">
      <w:r>
        <w:t>358.</w:t>
      </w:r>
      <w:r>
        <w:tab/>
      </w:r>
      <w:r w:rsidRPr="006C6550">
        <w:t xml:space="preserve">Staff’s witness Patterson testified that cost shifts equal a small percent of the overall cost of electricity, that cost shift caps are not effective, and recommended that cost shift caps be eliminated on a prospective basis.  Ex. S-5 at 28:25 – 29:3 – 5, 29:10 – 30:2 (described Staff witness Patterson’s conclusions); Ex. S-8 at Table 3; Ex S-9 at Table 3 (showed data on which Staff witness Patterson based her conclusions).  </w:t>
      </w:r>
    </w:p>
    <w:p w14:paraId="561775A6" w14:textId="77777777" w:rsidR="00824130" w:rsidRPr="006C6550" w:rsidRDefault="00824130"/>
    <w:p w14:paraId="5D0940D6" w14:textId="77777777" w:rsidR="00824130" w:rsidRPr="006C6550" w:rsidRDefault="00824130">
      <w:r>
        <w:t>359.</w:t>
      </w:r>
      <w:r>
        <w:tab/>
      </w:r>
      <w:r w:rsidRPr="006C6550">
        <w:t xml:space="preserve">Staff’s analysis on this issue is sound and </w:t>
      </w:r>
      <w:r>
        <w:t>consistent with the record</w:t>
      </w:r>
      <w:r w:rsidRPr="006C6550">
        <w:t>.  Other witnesses also testified that the impact on delivered energy costs to OPTO retail customers, if cost shift caps were removed, would be less than one percent.</w:t>
      </w:r>
      <w:r w:rsidRPr="006C6550">
        <w:rPr>
          <w:rStyle w:val="FootnoteReference"/>
        </w:rPr>
        <w:footnoteReference w:id="139"/>
      </w:r>
      <w:r w:rsidRPr="006C6550">
        <w:t xml:space="preserve"> </w:t>
      </w:r>
      <w:r>
        <w:t xml:space="preserve"> </w:t>
      </w:r>
      <w:r w:rsidRPr="006C6550">
        <w:t>Such amounts are not significant enough when compared to the total cost of energy delivery to qualify as rate shock that would require mitigation.</w:t>
      </w:r>
      <w:r w:rsidRPr="006C6550">
        <w:rPr>
          <w:rStyle w:val="FootnoteReference"/>
        </w:rPr>
        <w:footnoteReference w:id="140"/>
      </w:r>
      <w:r>
        <w:t xml:space="preserve">  </w:t>
      </w:r>
      <w:r w:rsidRPr="006C6550">
        <w:t>Because the record evidence reflects that while some cost shift will occur it should not result in an abrupt increase in the overall cost of electricity to customers over the term of the ten-year transition period,</w:t>
      </w:r>
      <w:r w:rsidRPr="006C6550">
        <w:rPr>
          <w:rStyle w:val="FootnoteReference"/>
        </w:rPr>
        <w:footnoteReference w:id="141"/>
      </w:r>
      <w:r>
        <w:t xml:space="preserve"> </w:t>
      </w:r>
      <w:r w:rsidRPr="006C6550">
        <w:t>it is the determination of the undersigned Presiding Judge that the cost shift caps are unjustified and should be eliminated.  The cost shift caps have not yet been exceeded to date.  Ex. S-5 at 24:10 – 25:1.  Thus, it makes sense to eliminate the cost shift caps on a prospective basis, while maintaining the ten-year transition period to ensure that there will be no abrupt rate increases to customers.</w:t>
      </w:r>
    </w:p>
    <w:p w14:paraId="47094249" w14:textId="77777777" w:rsidR="00824130" w:rsidRPr="006C6550" w:rsidRDefault="00824130"/>
    <w:p w14:paraId="4940BD9D" w14:textId="77777777" w:rsidR="00824130" w:rsidRDefault="00824130">
      <w:pPr>
        <w:numPr>
          <w:ilvl w:val="0"/>
          <w:numId w:val="33"/>
        </w:numPr>
        <w:rPr>
          <w:rFonts w:ascii="Times New Roman Bold" w:hAnsi="Times New Roman Bold"/>
          <w:b/>
        </w:rPr>
      </w:pPr>
      <w:r w:rsidRPr="00B74326">
        <w:rPr>
          <w:rFonts w:ascii="Times New Roman Bold" w:hAnsi="Times New Roman Bold"/>
          <w:b/>
        </w:rPr>
        <w:t>“Hold Harmless” Provision</w:t>
      </w:r>
    </w:p>
    <w:p w14:paraId="53B71ABB" w14:textId="77777777" w:rsidR="00824130" w:rsidRPr="006C6550" w:rsidRDefault="00824130"/>
    <w:p w14:paraId="32896AF3" w14:textId="77777777" w:rsidR="00824130" w:rsidRDefault="00824130">
      <w:pPr>
        <w:pStyle w:val="BodyText"/>
        <w:rPr>
          <w:sz w:val="26"/>
          <w:szCs w:val="26"/>
        </w:rPr>
      </w:pPr>
      <w:r>
        <w:rPr>
          <w:sz w:val="26"/>
          <w:szCs w:val="26"/>
        </w:rPr>
        <w:t>360.</w:t>
      </w:r>
      <w:r>
        <w:rPr>
          <w:sz w:val="26"/>
          <w:szCs w:val="26"/>
        </w:rPr>
        <w:tab/>
        <w:t xml:space="preserve">The undersigned Presiding Judge concurs with the position advocated by PG&amp;E that removing the cost shift caps while retaining the “hold harmless” provision would essentially protect new PTOs’ customers from a cost shift and not provide the same for the OPTOs’ customers, who would then pay increased rates to compensate any new PTO whose transmission rates are greater than the TAC rate as a result of joining the ISO.  PG&amp;E Initial Brief at 6, 21.  Other parties seem to concur that there is little reason for the “hold harmless” provision to exist because its applicability is so limited.  </w:t>
      </w:r>
      <w:r>
        <w:rPr>
          <w:sz w:val="26"/>
          <w:szCs w:val="26"/>
          <w:u w:val="single"/>
        </w:rPr>
        <w:t>See</w:t>
      </w:r>
      <w:r>
        <w:rPr>
          <w:sz w:val="26"/>
          <w:szCs w:val="26"/>
        </w:rPr>
        <w:t xml:space="preserve">, </w:t>
      </w:r>
      <w:r>
        <w:rPr>
          <w:sz w:val="26"/>
          <w:szCs w:val="26"/>
          <w:u w:val="single"/>
        </w:rPr>
        <w:t>e.g.</w:t>
      </w:r>
      <w:r>
        <w:rPr>
          <w:sz w:val="26"/>
          <w:szCs w:val="26"/>
        </w:rPr>
        <w:t xml:space="preserve">, SDG&amp;E Initial Brief at 8; Vernon Initial Brief at 32, </w:t>
      </w:r>
      <w:r>
        <w:rPr>
          <w:sz w:val="26"/>
          <w:szCs w:val="26"/>
          <w:u w:val="single"/>
        </w:rPr>
        <w:t>citing</w:t>
      </w:r>
      <w:r>
        <w:rPr>
          <w:sz w:val="26"/>
          <w:szCs w:val="26"/>
        </w:rPr>
        <w:t xml:space="preserve"> Tr. 2611-18.  A finding that the cost shift caps are unjustified and should be rejected also supports a finding that the “hold harmless” provision should be similarly rejected.  </w:t>
      </w:r>
    </w:p>
    <w:p w14:paraId="5CD8BF26" w14:textId="77777777" w:rsidR="00824130" w:rsidRPr="006C6550" w:rsidRDefault="00824130">
      <w:pPr>
        <w:pStyle w:val="BodyText"/>
        <w:ind w:firstLine="648"/>
        <w:rPr>
          <w:szCs w:val="26"/>
        </w:rPr>
      </w:pPr>
    </w:p>
    <w:p w14:paraId="0229EA9A" w14:textId="77777777" w:rsidR="00824130" w:rsidRDefault="00824130">
      <w:pPr>
        <w:pStyle w:val="BodyText"/>
        <w:widowControl w:val="0"/>
        <w:numPr>
          <w:ilvl w:val="0"/>
          <w:numId w:val="33"/>
        </w:numPr>
        <w:autoSpaceDE w:val="0"/>
        <w:autoSpaceDN w:val="0"/>
        <w:adjustRightInd w:val="0"/>
        <w:ind w:left="1008"/>
        <w:rPr>
          <w:b/>
          <w:sz w:val="26"/>
          <w:szCs w:val="26"/>
        </w:rPr>
      </w:pPr>
      <w:r>
        <w:rPr>
          <w:b/>
          <w:sz w:val="26"/>
          <w:szCs w:val="26"/>
        </w:rPr>
        <w:t>Exclusion of New High Voltage Facilities from Transition Charge</w:t>
      </w:r>
    </w:p>
    <w:p w14:paraId="1D19C899" w14:textId="77777777" w:rsidR="00824130" w:rsidRDefault="00824130">
      <w:pPr>
        <w:pStyle w:val="BodyText"/>
        <w:rPr>
          <w:sz w:val="26"/>
          <w:szCs w:val="26"/>
        </w:rPr>
      </w:pPr>
    </w:p>
    <w:p w14:paraId="01316756" w14:textId="77777777" w:rsidR="00824130" w:rsidRPr="006C6550" w:rsidRDefault="00824130">
      <w:r>
        <w:t>361.</w:t>
      </w:r>
      <w:r>
        <w:tab/>
      </w:r>
      <w:r w:rsidRPr="006C6550">
        <w:t>As previously discussed, the transition charge mechanism will not include new high voltage facili</w:t>
      </w:r>
      <w:r>
        <w:t>ties.  New high voltage f</w:t>
      </w:r>
      <w:r w:rsidRPr="006C6550">
        <w:t>acility addi</w:t>
      </w:r>
      <w:r>
        <w:t>tions and capital additions to existing high voltage f</w:t>
      </w:r>
      <w:r w:rsidRPr="006C6550">
        <w:t>acilities will be i</w:t>
      </w:r>
      <w:r>
        <w:t>mmediately included in the ISO grid wide</w:t>
      </w:r>
      <w:r w:rsidRPr="006C6550">
        <w:t xml:space="preserve"> component of the HVAC.  The </w:t>
      </w:r>
      <w:r>
        <w:t>TRR for new high voltage f</w:t>
      </w:r>
      <w:r w:rsidRPr="006C6550">
        <w:t>acilities will not be incl</w:t>
      </w:r>
      <w:r>
        <w:t>uded in the calculation of the transition c</w:t>
      </w:r>
      <w:r w:rsidRPr="006C6550">
        <w:t>harge.  Some parties oppose this provision, contending that this treatment places at a disadvantage – and thus discriminates against - their relatively new existing facilities, which would have been subject to a cost shift cap un</w:t>
      </w:r>
      <w:r>
        <w:t>der the TAC</w:t>
      </w:r>
      <w:r w:rsidRPr="006C6550">
        <w:t xml:space="preserve">.  </w:t>
      </w:r>
      <w:r w:rsidRPr="006C6550">
        <w:rPr>
          <w:u w:val="single"/>
        </w:rPr>
        <w:t>See</w:t>
      </w:r>
      <w:r w:rsidRPr="006C6550">
        <w:t xml:space="preserve">, </w:t>
      </w:r>
      <w:r w:rsidRPr="006C6550">
        <w:rPr>
          <w:u w:val="single"/>
        </w:rPr>
        <w:t>e.g.</w:t>
      </w:r>
      <w:r w:rsidRPr="006C6550">
        <w:t xml:space="preserve">, SC Initial Brief at 43; TANC Initial Brief at 55; Vernon Initial Brief at 33; MID Initial Brief at 38.  </w:t>
      </w:r>
    </w:p>
    <w:p w14:paraId="5F55F8E0" w14:textId="77777777" w:rsidR="00824130" w:rsidRPr="006C6550" w:rsidRDefault="00824130"/>
    <w:p w14:paraId="003990C8" w14:textId="77777777" w:rsidR="00824130" w:rsidRPr="006C6550" w:rsidRDefault="00824130">
      <w:pPr>
        <w:pStyle w:val="BodyTextFirstIndent"/>
        <w:spacing w:after="0"/>
        <w:ind w:firstLine="0"/>
        <w:rPr>
          <w:color w:val="000000"/>
          <w:szCs w:val="26"/>
        </w:rPr>
      </w:pPr>
      <w:r>
        <w:rPr>
          <w:color w:val="000000"/>
          <w:szCs w:val="26"/>
        </w:rPr>
        <w:t>362.</w:t>
      </w:r>
      <w:r>
        <w:rPr>
          <w:color w:val="000000"/>
          <w:szCs w:val="26"/>
        </w:rPr>
        <w:tab/>
      </w:r>
      <w:r w:rsidRPr="006C6550">
        <w:rPr>
          <w:color w:val="000000"/>
          <w:szCs w:val="26"/>
        </w:rPr>
        <w:t>The undersigned Presiding Judge affirms and adopts Staff’s position on this issue.  The claim by certain parties that the proposed change would discriminate against new PTOs fails because, if the new PTOs build new facilities, those new facilities will be treated in the same manner as OPTOs’ new facilities and their costs will be rolled-in grid wide.</w:t>
      </w:r>
      <w:r w:rsidRPr="006C6550">
        <w:rPr>
          <w:rStyle w:val="FootnoteReference"/>
          <w:color w:val="000000"/>
        </w:rPr>
        <w:footnoteReference w:id="142"/>
      </w:r>
      <w:r w:rsidRPr="006C6550">
        <w:rPr>
          <w:color w:val="000000"/>
          <w:szCs w:val="26"/>
        </w:rPr>
        <w:t xml:space="preserve">  Staff also correctly observes that elimination of the cost shift caps effectively addresses most of the interveners’ opposition to the exclusion of new HV facilities from the calculation of the transition charge.  Even if the OPTOs should choose to upgrade their facilities at greater cost than the new PTOs could, the entire grid will benefit from the upgrade of the facilities and will thus shoulder the costs, just as they would with new PTOs’ facilities.  With the removal of the cost shift cap, there is no longer a limit on how much the OPTOs would pay for such costs as new transmission facilities for the new PTOs.  Due to the non-discriminatory nature of the provision and the removal of a cap on how much the new PTOs can spend to upgrade or add new facilities, the claims opposing this provision of the TAC are unpersuasive. </w:t>
      </w:r>
    </w:p>
    <w:p w14:paraId="3B73FAB5" w14:textId="77777777" w:rsidR="00824130" w:rsidRDefault="00824130">
      <w:pPr>
        <w:pStyle w:val="BodyTextFirstIndent"/>
        <w:spacing w:after="0"/>
        <w:ind w:firstLine="0"/>
        <w:rPr>
          <w:color w:val="000000"/>
          <w:szCs w:val="26"/>
        </w:rPr>
      </w:pPr>
      <w:r w:rsidRPr="006C6550">
        <w:rPr>
          <w:color w:val="000000"/>
          <w:szCs w:val="26"/>
        </w:rPr>
        <w:t xml:space="preserve"> </w:t>
      </w:r>
    </w:p>
    <w:p w14:paraId="6B65D87B" w14:textId="77777777" w:rsidR="00824130" w:rsidRPr="00302CF7" w:rsidRDefault="00824130">
      <w:pPr>
        <w:pStyle w:val="Heading2"/>
      </w:pPr>
      <w:r>
        <w:t>E.</w:t>
      </w:r>
      <w:r>
        <w:tab/>
        <w:t>Inclusion of New High Voltage Facilities in High Voltage Access Charge</w:t>
      </w:r>
    </w:p>
    <w:p w14:paraId="3D2ED009" w14:textId="77777777" w:rsidR="00824130" w:rsidRPr="006C6550" w:rsidRDefault="00824130"/>
    <w:p w14:paraId="47EFABBB" w14:textId="77777777" w:rsidR="00824130" w:rsidRPr="006C6550" w:rsidRDefault="00824130">
      <w:r>
        <w:t>363.</w:t>
      </w:r>
      <w:r>
        <w:tab/>
      </w:r>
      <w:r w:rsidRPr="006C6550">
        <w:t>As Staff correctly observes, the ISO, SDG&amp;E, PG&amp;E, SCE and the EOB all supp</w:t>
      </w:r>
      <w:r>
        <w:t>ort the immediate inclusion of new high voltage f</w:t>
      </w:r>
      <w:r w:rsidRPr="006C6550">
        <w:t xml:space="preserve">acilities in </w:t>
      </w:r>
      <w:r>
        <w:t>the grid wide component of the high voltage access c</w:t>
      </w:r>
      <w:r w:rsidRPr="006C6550">
        <w:t xml:space="preserve">harge. TANC, MID, SC and NCPA object to the way this provision would interact with the cost shift caps, but do not object if cost shift caps are eliminated. Likewise, with the elimination of the cost shift caps, </w:t>
      </w:r>
      <w:smartTag w:uri="urn:schemas-microsoft-com:office:smarttags" w:element="place">
        <w:smartTag w:uri="urn:schemas-microsoft-com:office:smarttags" w:element="City">
          <w:r w:rsidRPr="006C6550">
            <w:t>Vernon</w:t>
          </w:r>
        </w:smartTag>
      </w:smartTag>
      <w:r w:rsidRPr="006C6550">
        <w:t xml:space="preserve"> is willing to withdraw its opposition to the treatment of high voltage facilities </w:t>
      </w:r>
      <w:r>
        <w:t>grid wide</w:t>
      </w:r>
      <w:r w:rsidRPr="006C6550">
        <w:t>.</w:t>
      </w:r>
      <w:r w:rsidRPr="006C6550">
        <w:rPr>
          <w:rStyle w:val="FootnoteReference"/>
        </w:rPr>
        <w:footnoteReference w:id="143"/>
      </w:r>
      <w:r w:rsidRPr="006C6550">
        <w:t xml:space="preserve">   </w:t>
      </w:r>
    </w:p>
    <w:p w14:paraId="509C0331" w14:textId="77777777" w:rsidR="00824130" w:rsidRPr="006C6550" w:rsidRDefault="00824130"/>
    <w:p w14:paraId="0C335BFA" w14:textId="77777777" w:rsidR="00824130" w:rsidRPr="006C6550" w:rsidRDefault="00824130">
      <w:r>
        <w:t>364.</w:t>
      </w:r>
      <w:r>
        <w:tab/>
      </w:r>
      <w:r w:rsidRPr="006C6550">
        <w:t xml:space="preserve">As discussed more fully in Section III, </w:t>
      </w:r>
      <w:r w:rsidRPr="00D72CEF">
        <w:rPr>
          <w:u w:val="single"/>
        </w:rPr>
        <w:t>supra</w:t>
      </w:r>
      <w:r w:rsidRPr="006C6550">
        <w:t>, it is the determination of the undersigned Presiding Judge that even the most aggressive projection of cost shifts under the TAC would equal only a small percent of the overall cost of electricity and would not result in rate shock to ratepayers, that the proposed cost shift caps have been ineffective as an inducement f</w:t>
      </w:r>
      <w:r>
        <w:t>or ETC</w:t>
      </w:r>
      <w:r w:rsidRPr="006C6550">
        <w:t>s to join the ISO, and that the proposed cost shift caps should be eliminated on a prospective basis.  Given these findings, the objections of TANC, MID, SC and NCPA</w:t>
      </w:r>
      <w:r>
        <w:t xml:space="preserve"> to the immediate inclusion of new h</w:t>
      </w:r>
      <w:r w:rsidRPr="006C6550">
        <w:t xml:space="preserve">igh </w:t>
      </w:r>
      <w:r>
        <w:t>voltage f</w:t>
      </w:r>
      <w:r w:rsidRPr="006C6550">
        <w:t xml:space="preserve">acilities in the </w:t>
      </w:r>
      <w:r>
        <w:t xml:space="preserve">grid wide component of the high voltage access charge have been addressed.  </w:t>
      </w:r>
      <w:r w:rsidRPr="006C6550">
        <w:t xml:space="preserve">Accordingly, it is the determination of the undersigned Presiding Judge that the immediate inclusion of new high voltage facilities in the </w:t>
      </w:r>
      <w:r>
        <w:t>grid wide</w:t>
      </w:r>
      <w:r w:rsidRPr="006C6550">
        <w:t xml:space="preserve"> component of the high voltage access charge does not discriminate against any PTO class, serves valid policy purposes, and is hereby adopted as proposed.</w:t>
      </w:r>
    </w:p>
    <w:p w14:paraId="295C2BE3" w14:textId="77777777" w:rsidR="00824130" w:rsidRPr="006C6550" w:rsidRDefault="00824130"/>
    <w:p w14:paraId="500C616E" w14:textId="77777777" w:rsidR="00824130" w:rsidRDefault="00824130">
      <w:pPr>
        <w:pStyle w:val="Heading2"/>
        <w:ind w:left="0" w:firstLine="650"/>
      </w:pPr>
      <w:r>
        <w:t>F.</w:t>
      </w:r>
      <w:r>
        <w:tab/>
      </w:r>
      <w:r w:rsidRPr="006C6550">
        <w:t>FTRs</w:t>
      </w:r>
    </w:p>
    <w:p w14:paraId="06029B1F" w14:textId="77777777" w:rsidR="00824130" w:rsidRPr="00D72CEF" w:rsidRDefault="00824130">
      <w:pPr>
        <w:rPr>
          <w:rFonts w:ascii="Times New Roman Bold" w:hAnsi="Times New Roman Bold"/>
          <w:b/>
        </w:rPr>
      </w:pPr>
    </w:p>
    <w:p w14:paraId="2D05A5CA" w14:textId="77777777" w:rsidR="00824130" w:rsidRPr="00D72CEF" w:rsidRDefault="00824130">
      <w:pPr>
        <w:numPr>
          <w:ilvl w:val="0"/>
          <w:numId w:val="34"/>
        </w:numPr>
        <w:rPr>
          <w:rFonts w:ascii="Times New Roman Bold" w:hAnsi="Times New Roman Bold"/>
          <w:b/>
        </w:rPr>
      </w:pPr>
      <w:r w:rsidRPr="00D72CEF">
        <w:rPr>
          <w:rFonts w:ascii="Times New Roman Bold" w:hAnsi="Times New Roman Bold"/>
          <w:b/>
        </w:rPr>
        <w:t xml:space="preserve">Treatment of Old PTOs and New PTOs in Section 9.4.3 </w:t>
      </w:r>
    </w:p>
    <w:p w14:paraId="4CB612B2" w14:textId="77777777" w:rsidR="00824130" w:rsidRPr="006C6550" w:rsidRDefault="00824130"/>
    <w:p w14:paraId="7FF8081C" w14:textId="77777777" w:rsidR="00824130" w:rsidRPr="006C6550" w:rsidRDefault="00824130">
      <w:r>
        <w:t>365.</w:t>
      </w:r>
      <w:r>
        <w:tab/>
      </w:r>
      <w:r w:rsidRPr="006C6550">
        <w:t xml:space="preserve">Section 9.4.3 of the ISO Tariff, as proposed by Amendment No. 27, provides that, during the ten-year transition period (or a shorter period representing the term of an existing contract), a new PTO that converts existing rights to ISO transmission service will receive FTRs represented by those rights directly, without the necessity of participating in the ISO’s FTR auction.  As Staff witness Patterson has noted, the Commission has already approved this proposal.  Ex. S-5 at 41:7-16.  In the </w:t>
      </w:r>
      <w:smartTag w:uri="urn:schemas-microsoft-com:office:smarttags" w:element="date">
        <w:smartTagPr>
          <w:attr w:name="Year" w:val="2000"/>
          <w:attr w:name="Day" w:val="31"/>
          <w:attr w:name="Month" w:val="5"/>
        </w:smartTagPr>
        <w:r w:rsidRPr="006C6550">
          <w:t>May 31, 2000</w:t>
        </w:r>
      </w:smartTag>
      <w:r w:rsidRPr="006C6550">
        <w:t xml:space="preserve"> order in this proceeding, the Commission stated:</w:t>
      </w:r>
    </w:p>
    <w:p w14:paraId="695C0504" w14:textId="77777777" w:rsidR="00824130" w:rsidRPr="006C6550" w:rsidRDefault="00824130"/>
    <w:p w14:paraId="0A396B8F" w14:textId="77777777" w:rsidR="00824130" w:rsidRPr="006C6550" w:rsidRDefault="00824130">
      <w:pPr>
        <w:pStyle w:val="Quote"/>
        <w:spacing w:after="0"/>
      </w:pPr>
      <w:r w:rsidRPr="006C6550">
        <w:t>Generally, we find that the ISO’s proposed treatment of FTRs is reasonable.  As explained by the ISO, the proposal to exempt new Participating TOs from the auction process during the transition period is a feature that has been offered as an inducement to encourage participation in the ISO.  The proposal will afford new Participating TOs protection against cost increases during the transition period.</w:t>
      </w:r>
    </w:p>
    <w:p w14:paraId="57DFFF26" w14:textId="77777777" w:rsidR="00824130" w:rsidRPr="006C6550" w:rsidRDefault="00824130"/>
    <w:p w14:paraId="474C4978" w14:textId="77777777" w:rsidR="00824130" w:rsidRPr="006C6550" w:rsidRDefault="00824130">
      <w:pPr>
        <w:pStyle w:val="BodyTextD"/>
        <w:spacing w:line="240" w:lineRule="auto"/>
      </w:pPr>
      <w:smartTag w:uri="urn:schemas-microsoft-com:office:smarttags" w:element="place">
        <w:smartTag w:uri="urn:schemas-microsoft-com:office:smarttags" w:element="State">
          <w:r w:rsidRPr="006C6550">
            <w:rPr>
              <w:u w:val="single"/>
            </w:rPr>
            <w:t>Cal.</w:t>
          </w:r>
        </w:smartTag>
      </w:smartTag>
      <w:r w:rsidRPr="006C6550">
        <w:rPr>
          <w:u w:val="single"/>
        </w:rPr>
        <w:t xml:space="preserve"> Indep. Serv. Operator Corp.</w:t>
      </w:r>
      <w:r w:rsidRPr="006C6550">
        <w:t>, 91 FERC ¶ 61,205 at 61,726 (2000).</w:t>
      </w:r>
    </w:p>
    <w:p w14:paraId="54AB5350" w14:textId="77777777" w:rsidR="00824130" w:rsidRPr="006C6550" w:rsidRDefault="00824130">
      <w:pPr>
        <w:pStyle w:val="BodyTextFirstIndentD"/>
        <w:spacing w:line="240" w:lineRule="auto"/>
      </w:pPr>
    </w:p>
    <w:p w14:paraId="4BA81248" w14:textId="77777777" w:rsidR="00824130" w:rsidRPr="006C6550" w:rsidRDefault="00824130">
      <w:pPr>
        <w:pStyle w:val="BodyTextFirstIndentD"/>
        <w:spacing w:line="240" w:lineRule="auto"/>
        <w:ind w:firstLine="0"/>
      </w:pPr>
      <w:r>
        <w:t>366.</w:t>
      </w:r>
      <w:r>
        <w:tab/>
      </w:r>
      <w:r w:rsidRPr="006C6550">
        <w:t>Further, as the ISO noted in Section I of its Reply Brief, the Commission has explicitly rejected arguments that the ISO’s FTR proposal is unduly discriminatory:</w:t>
      </w:r>
    </w:p>
    <w:p w14:paraId="09D2356B" w14:textId="77777777" w:rsidR="00824130" w:rsidRPr="006C6550" w:rsidRDefault="00824130">
      <w:pPr>
        <w:pStyle w:val="BodyTextFirstIndentD"/>
        <w:spacing w:line="240" w:lineRule="auto"/>
        <w:ind w:firstLine="0"/>
      </w:pPr>
    </w:p>
    <w:p w14:paraId="6057F481" w14:textId="77777777" w:rsidR="00824130" w:rsidRDefault="00824130">
      <w:pPr>
        <w:pStyle w:val="Quote"/>
        <w:spacing w:after="0"/>
      </w:pPr>
      <w:r w:rsidRPr="006C6550">
        <w:t>Regarding [SCE’s] and Enron’s rehearing request concerning possible discriminatory treatment, we find that the ISO’s [FTR] proposal is not unduly discriminatory but a balance of incentives intended to encourage other transmission owners to join the ISO.</w:t>
      </w:r>
    </w:p>
    <w:p w14:paraId="294BE044" w14:textId="77777777" w:rsidR="00824130" w:rsidRDefault="00824130"/>
    <w:p w14:paraId="5EE75DA7" w14:textId="77777777" w:rsidR="00824130" w:rsidRPr="006C6550" w:rsidRDefault="00824130">
      <w:pPr>
        <w:pStyle w:val="BodyTextD"/>
        <w:spacing w:line="240" w:lineRule="auto"/>
      </w:pPr>
      <w:smartTag w:uri="urn:schemas-microsoft-com:office:smarttags" w:element="place">
        <w:smartTag w:uri="urn:schemas-microsoft-com:office:smarttags" w:element="State">
          <w:r w:rsidRPr="006C6550">
            <w:rPr>
              <w:u w:val="single"/>
            </w:rPr>
            <w:t>Cal.</w:t>
          </w:r>
        </w:smartTag>
      </w:smartTag>
      <w:r w:rsidRPr="006C6550">
        <w:rPr>
          <w:u w:val="single"/>
        </w:rPr>
        <w:t xml:space="preserve"> Indep. Sys. Operator Corp.</w:t>
      </w:r>
      <w:r w:rsidRPr="006C6550">
        <w:t>, 104 FERC ¶ 61,062 at P 29 (2003)(brackets added by the ISO).</w:t>
      </w:r>
    </w:p>
    <w:p w14:paraId="6D00BE69" w14:textId="77777777" w:rsidR="00824130" w:rsidRPr="006C6550" w:rsidRDefault="00824130">
      <w:pPr>
        <w:pStyle w:val="BodyTextFirstIndentD"/>
        <w:spacing w:line="240" w:lineRule="auto"/>
      </w:pPr>
    </w:p>
    <w:p w14:paraId="5095ADD1" w14:textId="77777777" w:rsidR="00824130" w:rsidRDefault="00824130">
      <w:r>
        <w:t>367.</w:t>
      </w:r>
      <w:r>
        <w:tab/>
      </w:r>
      <w:r w:rsidRPr="006C6550">
        <w:t>The undersigned Presiding Judge therefore finds that, consistent with the Commission’s prior order, the Section 9.4.3 treatment of FTRs for new PTOs is just, reasonable, and not unduly discriminatory.</w:t>
      </w:r>
    </w:p>
    <w:p w14:paraId="193A0584" w14:textId="77777777" w:rsidR="00824130" w:rsidRPr="006C6550" w:rsidRDefault="00824130"/>
    <w:p w14:paraId="61F26394" w14:textId="77777777" w:rsidR="00824130" w:rsidRPr="00D72CEF" w:rsidRDefault="00824130">
      <w:pPr>
        <w:numPr>
          <w:ilvl w:val="0"/>
          <w:numId w:val="34"/>
        </w:numPr>
        <w:rPr>
          <w:rFonts w:ascii="Times New Roman Bold" w:hAnsi="Times New Roman Bold"/>
          <w:b/>
        </w:rPr>
      </w:pPr>
      <w:r w:rsidRPr="00D72CEF">
        <w:rPr>
          <w:rFonts w:ascii="Times New Roman Bold" w:hAnsi="Times New Roman Bold"/>
          <w:b/>
        </w:rPr>
        <w:t>Netting of Usage Charges against Usage Charges revenues associated with FTRs received under Section 9.4.3</w:t>
      </w:r>
    </w:p>
    <w:p w14:paraId="2AE321AC" w14:textId="77777777" w:rsidR="00824130" w:rsidRPr="006C6550" w:rsidRDefault="00824130"/>
    <w:p w14:paraId="668F9574" w14:textId="77777777" w:rsidR="00824130" w:rsidRPr="006C6550" w:rsidRDefault="00824130">
      <w:pPr>
        <w:pStyle w:val="BodyTextFirstIndentD"/>
        <w:spacing w:line="240" w:lineRule="auto"/>
        <w:ind w:firstLine="0"/>
      </w:pPr>
      <w:r>
        <w:t>368.</w:t>
      </w:r>
      <w:r>
        <w:tab/>
      </w:r>
      <w:r w:rsidRPr="006C6550">
        <w:t>The ISO proposes in Amendment No. 49 to revise the definition of Transmission Revenue Credit and Net FTR Revenue such that the recipients of Section 9.4.3 FTRs must credit against their Transmission Revenue Requirement the positive difference between the usage charges paid and the congestion revenue received for each hour.  This revision ensures that the new PTOs receive the full benefit of the hedge against congestion that is provided by Section 9.4.3 FTRs, but not more than that amount.  Challenges that the proposed change is an unreasonable limitation on the ability of new PTOs to credit ISO transmission charges against FTR revenues are simply not consistent with the limited purpose of Section 9.4.3 FTRs and are unpersuasive.</w:t>
      </w:r>
      <w:r w:rsidRPr="006C6550">
        <w:rPr>
          <w:rStyle w:val="FootnoteReference"/>
        </w:rPr>
        <w:footnoteReference w:id="144"/>
      </w:r>
      <w:r w:rsidRPr="006C6550">
        <w:t xml:space="preserve">  </w:t>
      </w:r>
    </w:p>
    <w:p w14:paraId="2D657868" w14:textId="77777777" w:rsidR="00824130" w:rsidRPr="006C6550" w:rsidRDefault="00824130">
      <w:pPr>
        <w:pStyle w:val="BodyTextFirstIndentD"/>
        <w:spacing w:line="240" w:lineRule="auto"/>
        <w:ind w:firstLine="0"/>
      </w:pPr>
    </w:p>
    <w:p w14:paraId="28C8EB86" w14:textId="77777777" w:rsidR="00824130" w:rsidRPr="006C6550" w:rsidRDefault="00824130">
      <w:pPr>
        <w:pStyle w:val="BodyTextFirstIndentD"/>
        <w:spacing w:line="240" w:lineRule="auto"/>
        <w:ind w:firstLine="0"/>
      </w:pPr>
      <w:r>
        <w:t>369.</w:t>
      </w:r>
      <w:r>
        <w:tab/>
      </w:r>
      <w:r w:rsidRPr="006C6550">
        <w:t>Further</w:t>
      </w:r>
      <w:r>
        <w:t>,</w:t>
      </w:r>
      <w:r w:rsidRPr="006C6550">
        <w:t xml:space="preserve"> it is the determination of the undersigned Presiding Judge that it is just, reasonable and not unduly discriminatory that the provision of FTRs to new PTOs under Section 9.4.3 terminate at the earlier of the end of the transition period or termination of an existing contract. This determination is consistent with the Commission’s finding on this issue:</w:t>
      </w:r>
    </w:p>
    <w:p w14:paraId="3F0040EE" w14:textId="77777777" w:rsidR="00824130" w:rsidRPr="006C6550" w:rsidRDefault="00824130">
      <w:pPr>
        <w:pStyle w:val="BodyTextFirstIndentD"/>
        <w:spacing w:line="240" w:lineRule="auto"/>
        <w:ind w:firstLine="0"/>
      </w:pPr>
    </w:p>
    <w:p w14:paraId="07C7CEB8" w14:textId="77777777" w:rsidR="00824130" w:rsidRPr="006C6550" w:rsidRDefault="00824130">
      <w:pPr>
        <w:ind w:left="650"/>
      </w:pPr>
      <w:r w:rsidRPr="006C6550">
        <w:t>With respect to the ISO’s proposal that the FTRs be limited to lesser of the ten-year transition period or the life of the contract if its term is less than ten years, we find that this proposal is also reasonable.  The holders of contract rights that become new Participating TOs must recognize that this election will fundamentally change their current status, and consistent with that change, the new Participating TOs should have to participate in the auction process for the purchase of FTRs in the same manner as the original Participating TOs after the transition period.</w:t>
      </w:r>
      <w:r w:rsidRPr="006C6550">
        <w:rPr>
          <w:rStyle w:val="FootnoteReference"/>
        </w:rPr>
        <w:footnoteReference w:id="145"/>
      </w:r>
    </w:p>
    <w:p w14:paraId="17521DAC" w14:textId="77777777" w:rsidR="00824130" w:rsidRPr="000C119C" w:rsidRDefault="00824130">
      <w:pPr>
        <w:rPr>
          <w:rFonts w:ascii="Times New Roman Bold" w:hAnsi="Times New Roman Bold"/>
          <w:b/>
        </w:rPr>
      </w:pPr>
    </w:p>
    <w:p w14:paraId="44490522" w14:textId="77777777" w:rsidR="00824130" w:rsidRPr="000C119C" w:rsidRDefault="00824130">
      <w:pPr>
        <w:numPr>
          <w:ilvl w:val="0"/>
          <w:numId w:val="34"/>
        </w:numPr>
        <w:rPr>
          <w:rFonts w:ascii="Times New Roman Bold" w:hAnsi="Times New Roman Bold"/>
          <w:b/>
        </w:rPr>
      </w:pPr>
      <w:r w:rsidRPr="000C119C">
        <w:rPr>
          <w:rFonts w:ascii="Times New Roman Bold" w:hAnsi="Times New Roman Bold"/>
          <w:b/>
        </w:rPr>
        <w:t xml:space="preserve">Provision of FTRs to New PTOs under Section 9.4.3 and termination </w:t>
      </w:r>
    </w:p>
    <w:p w14:paraId="4056C54A" w14:textId="77777777" w:rsidR="00824130" w:rsidRPr="006C6550" w:rsidRDefault="00824130">
      <w:pPr>
        <w:ind w:left="650"/>
      </w:pPr>
    </w:p>
    <w:p w14:paraId="5BDB7CDA" w14:textId="77777777" w:rsidR="00824130" w:rsidRPr="006C6550" w:rsidRDefault="00824130">
      <w:r>
        <w:t>370.</w:t>
      </w:r>
      <w:r>
        <w:tab/>
      </w:r>
      <w:r w:rsidRPr="006C6550">
        <w:t>Proposed Section 9.4.3 provides that a new PTO will be provided FTRs commensurate with the transmission capacity that it places under the ISO’s operational control.  Under proposed Section 4.5 of Schedule 3 of Appendix F, in making that determination, the ISO will consider the amount of contracted transmission capacity, the firmness of the contracted transmission capacity, and other characteristics of the contracted transmission capacity to determine the amount of FTRs.  These provisions provide potential new PTOs and other market participants with notice of the factors that the ISO will consider,</w:t>
      </w:r>
      <w:r w:rsidRPr="00CC391A">
        <w:rPr>
          <w:rStyle w:val="StyleBold"/>
          <w:rFonts w:ascii="Times New Roman Bold" w:hAnsi="Times New Roman Bold"/>
          <w:vertAlign w:val="superscript"/>
        </w:rPr>
        <w:footnoteReference w:id="146"/>
      </w:r>
      <w:r w:rsidRPr="006C6550">
        <w:t xml:space="preserve"> while providing the ISO some flexibility in negotiating the number of FTRs with potential new PTOs. </w:t>
      </w:r>
    </w:p>
    <w:p w14:paraId="0E51904A" w14:textId="77777777" w:rsidR="00824130" w:rsidRPr="006C6550" w:rsidRDefault="00824130"/>
    <w:p w14:paraId="6A19193B" w14:textId="77777777" w:rsidR="00824130" w:rsidRPr="006C6550" w:rsidRDefault="00824130">
      <w:r>
        <w:t>371.</w:t>
      </w:r>
      <w:r>
        <w:tab/>
      </w:r>
      <w:r w:rsidRPr="006C6550">
        <w:t xml:space="preserve">The record supports a finding that due to significant differences in individual existing contracts, the ISO requires a degree of flexibility in determining the appropriate number of FTRs to award under Section 9.4.3, and that this degree of flexibility plays a significant role in ensuring the Section 9.4.3 allocation of FTRs fulfills its purpose as an inducement to expanded participation in the ISO. </w:t>
      </w:r>
      <w:r>
        <w:t xml:space="preserve"> </w:t>
      </w:r>
      <w:r w:rsidRPr="006C6550">
        <w:t>However, to ensure that market participants have a full opportunity to litigate the proposed award of FTRs, the ISO’s tariff should be amended to require the ISO to file the proposed award with the Commission simultaneously wi</w:t>
      </w:r>
      <w:r>
        <w:t xml:space="preserve">th an amendment to the Transmission Control Agreement </w:t>
      </w:r>
      <w:r w:rsidRPr="006C6550">
        <w:t>regarding each new PTO.  The ISO has been directed by the undersigned Presiding Judge to file such an amendment, and has stated that it has no objection to doing so.</w:t>
      </w:r>
      <w:r w:rsidRPr="00CC391A">
        <w:rPr>
          <w:rStyle w:val="StyleBold"/>
          <w:rFonts w:ascii="Times New Roman Bold" w:hAnsi="Times New Roman Bold"/>
          <w:vertAlign w:val="superscript"/>
        </w:rPr>
        <w:footnoteReference w:id="147"/>
      </w:r>
      <w:r w:rsidRPr="006C6550">
        <w:t xml:space="preserve">  </w:t>
      </w:r>
      <w:r w:rsidRPr="006C6550">
        <w:tab/>
      </w:r>
    </w:p>
    <w:p w14:paraId="5FE9EF08" w14:textId="77777777" w:rsidR="00824130" w:rsidRPr="000C119C" w:rsidRDefault="00824130">
      <w:pPr>
        <w:rPr>
          <w:rFonts w:ascii="Times New Roman Bold" w:hAnsi="Times New Roman Bold"/>
          <w:b/>
        </w:rPr>
      </w:pPr>
    </w:p>
    <w:p w14:paraId="2C83F6C0" w14:textId="77777777" w:rsidR="00824130" w:rsidRPr="000C119C" w:rsidRDefault="00824130">
      <w:pPr>
        <w:numPr>
          <w:ilvl w:val="0"/>
          <w:numId w:val="34"/>
        </w:numPr>
        <w:rPr>
          <w:rFonts w:ascii="Times New Roman Bold" w:hAnsi="Times New Roman Bold"/>
          <w:b/>
        </w:rPr>
      </w:pPr>
      <w:r w:rsidRPr="000C119C">
        <w:rPr>
          <w:rFonts w:ascii="Times New Roman Bold" w:hAnsi="Times New Roman Bold"/>
          <w:b/>
        </w:rPr>
        <w:t xml:space="preserve">Amendment No. 27 and the methodology for the allocation of FTRs pursuant to Section 9.4.3 </w:t>
      </w:r>
    </w:p>
    <w:p w14:paraId="5D9DEC5B" w14:textId="77777777" w:rsidR="00824130" w:rsidRPr="006C6550" w:rsidRDefault="00824130"/>
    <w:p w14:paraId="0E813947" w14:textId="77777777" w:rsidR="00824130" w:rsidRPr="006C6550" w:rsidRDefault="00824130">
      <w:r>
        <w:t>372.</w:t>
      </w:r>
      <w:r>
        <w:tab/>
      </w:r>
      <w:r w:rsidRPr="006C6550">
        <w:t>As previously explained, Section 9.4.3 FTRs are designed to provide new PTOs a financial hedge against usage charges that they w</w:t>
      </w:r>
      <w:r>
        <w:t>ould not have paid under their existing c</w:t>
      </w:r>
      <w:r w:rsidRPr="006C6550">
        <w:t>ontracts</w:t>
      </w:r>
      <w:r w:rsidRPr="00CC391A">
        <w:rPr>
          <w:rStyle w:val="StyleBold"/>
          <w:rFonts w:ascii="Times New Roman Bold" w:hAnsi="Times New Roman Bold"/>
          <w:vertAlign w:val="superscript"/>
        </w:rPr>
        <w:footnoteReference w:id="148"/>
      </w:r>
      <w:r w:rsidRPr="006C6550">
        <w:t xml:space="preserve"> (as well as a limited scheduling priority), and were never intended to confer a benefit beyond this particular and limited purpose.</w:t>
      </w:r>
      <w:r w:rsidRPr="00CC391A">
        <w:rPr>
          <w:rStyle w:val="StyleBold"/>
          <w:rFonts w:ascii="Times New Roman Bold" w:hAnsi="Times New Roman Bold"/>
          <w:vertAlign w:val="superscript"/>
        </w:rPr>
        <w:footnoteReference w:id="149"/>
      </w:r>
      <w:r w:rsidRPr="006C6550">
        <w:t xml:space="preserve">  Section 9.4.3 serves to emulate the status quo during the transition period.  The ISO has not proposed to award FTRs to new PTOs in connection with new high voltage facilities and has no objection to clarifying Section 9.4.3 to make this clear. </w:t>
      </w:r>
      <w:r>
        <w:t xml:space="preserve"> </w:t>
      </w:r>
      <w:r w:rsidRPr="006C6550">
        <w:t>The ISO is hereby directed to do so.  The Commission’s Order only approved an award to FTRs at the time of the execution of the TCA, and nothing presented in this record supports a different result.  The award of Section 9.4.3 FTRs to new PTOs who construct new high voltage facilities  would be inconsistent with the limited purpose of Section 9.4.3 FTRs—to confer an initial inducement to ISO participation—and may unduly discriminate against the OPTOs.</w:t>
      </w:r>
    </w:p>
    <w:p w14:paraId="0E7F0095" w14:textId="77777777" w:rsidR="00824130" w:rsidRPr="006C6550" w:rsidRDefault="00824130"/>
    <w:p w14:paraId="394618EA" w14:textId="77777777" w:rsidR="00824130" w:rsidRPr="00CC391A" w:rsidRDefault="00824130">
      <w:pPr>
        <w:numPr>
          <w:ilvl w:val="0"/>
          <w:numId w:val="34"/>
        </w:numPr>
        <w:rPr>
          <w:rFonts w:ascii="Times New Roman Bold" w:hAnsi="Times New Roman Bold"/>
          <w:b/>
        </w:rPr>
      </w:pPr>
      <w:r w:rsidRPr="00CC391A">
        <w:rPr>
          <w:rFonts w:ascii="Times New Roman Bold" w:hAnsi="Times New Roman Bold"/>
          <w:b/>
        </w:rPr>
        <w:t>FTRs and allocation pursuant to Section 9.4.3</w:t>
      </w:r>
    </w:p>
    <w:p w14:paraId="5136991B" w14:textId="77777777" w:rsidR="00824130" w:rsidRPr="006C6550" w:rsidRDefault="00824130"/>
    <w:p w14:paraId="369C8151" w14:textId="77777777" w:rsidR="00824130" w:rsidRPr="006C6550" w:rsidRDefault="00824130">
      <w:r>
        <w:t>373.</w:t>
      </w:r>
      <w:r>
        <w:tab/>
      </w:r>
      <w:r w:rsidRPr="006C6550">
        <w:t>SCE witness Cuillier has pointed out that the formula for disbursement of usage charge revenues to FTR holders and PTOs included in ISO Tariff Section 7.3.1.6 fails to account for a situation where a new PTO has been provided Section 9.4.3 FTRs over an interface owned jointly with another PTO not entitled to Section 9.4.3 FTRs (i.e. an OPTO).</w:t>
      </w:r>
      <w:r w:rsidRPr="00CC391A">
        <w:rPr>
          <w:rStyle w:val="StyleBold"/>
          <w:vertAlign w:val="superscript"/>
        </w:rPr>
        <w:footnoteReference w:id="150"/>
      </w:r>
      <w:r w:rsidRPr="006C6550">
        <w:t xml:space="preserve">  Because the new PTO holds Section 9.4.3 FTRs for all of its capacity at the interface, it will be fully compensated in the initial disbursement of usage charges to FTR holders (or by sales revenue if it sells the FTRs).  Consequently, in this circumstance, the new PTO should not participate in the disbursement of usage charges based on capacity for which the ISO has not issued FTRs.</w:t>
      </w:r>
      <w:r w:rsidRPr="00CC391A">
        <w:rPr>
          <w:rStyle w:val="StyleBold"/>
          <w:vertAlign w:val="superscript"/>
        </w:rPr>
        <w:footnoteReference w:id="151"/>
      </w:r>
      <w:r w:rsidRPr="006C6550">
        <w:t xml:space="preserve">  The ISO supports the revisions to ISO Tariff Section 7.3.1.6 proposed by SCE witness Cuillier that appropriately clarify this point</w:t>
      </w:r>
      <w:r>
        <w:t>;</w:t>
      </w:r>
      <w:r w:rsidRPr="00CC391A">
        <w:rPr>
          <w:rStyle w:val="StyleBold"/>
          <w:vertAlign w:val="superscript"/>
        </w:rPr>
        <w:footnoteReference w:id="152"/>
      </w:r>
      <w:r w:rsidRPr="006C6550">
        <w:t xml:space="preserve"> accordingly, the undersigned Presiding Judge has directed the ISO to amend Section 7.3.1.6 consistent with the amendment proposed by SCE witness Cuillier.</w:t>
      </w:r>
    </w:p>
    <w:p w14:paraId="2D19D878" w14:textId="77777777" w:rsidR="00824130" w:rsidRPr="006C6550" w:rsidRDefault="00824130"/>
    <w:p w14:paraId="5392377A" w14:textId="77777777" w:rsidR="00824130" w:rsidRDefault="00824130">
      <w:pPr>
        <w:rPr>
          <w:iCs/>
        </w:rPr>
      </w:pPr>
      <w:r>
        <w:t>374.</w:t>
      </w:r>
      <w:r>
        <w:tab/>
      </w:r>
      <w:r w:rsidRPr="006C6550">
        <w:t xml:space="preserve">In addition to the proposed change to the crediting process for Section 9.4.3 FTRs, discussed </w:t>
      </w:r>
      <w:r w:rsidRPr="006C6550">
        <w:rPr>
          <w:u w:val="single"/>
        </w:rPr>
        <w:t>supra</w:t>
      </w:r>
      <w:r w:rsidRPr="006C6550">
        <w:rPr>
          <w:i/>
        </w:rPr>
        <w:t>,</w:t>
      </w:r>
      <w:r w:rsidRPr="006C6550">
        <w:t xml:space="preserve"> SCE witness Cuillier has proposed to revise the definition of Transmission Revenue Credit in two respects that the ISO agrees are necessary.</w:t>
      </w:r>
      <w:r w:rsidRPr="00CC391A">
        <w:rPr>
          <w:rStyle w:val="StyleBold"/>
          <w:vertAlign w:val="superscript"/>
        </w:rPr>
        <w:footnoteReference w:id="153"/>
      </w:r>
      <w:r w:rsidRPr="006C6550">
        <w:t xml:space="preserve">  The proposed revisions would, consistent with the treatment adopted for new PTOs,</w:t>
      </w:r>
      <w:r w:rsidRPr="00CC391A">
        <w:rPr>
          <w:rStyle w:val="StyleBold"/>
          <w:vertAlign w:val="superscript"/>
        </w:rPr>
        <w:footnoteReference w:id="154"/>
      </w:r>
      <w:r w:rsidRPr="006C6550">
        <w:t xml:space="preserve"> account for the two roles of OPTOs as transmission owners and load serving entities.  In their role as load serving entities, OPTOs may choose to purchase FTRs that earn usage charge revenue that is not appropriately reflected in the Transmission Revenue Credit, as would be the case for usage charge revenues obtained in their role as PTO.</w:t>
      </w:r>
      <w:r w:rsidRPr="00CC391A">
        <w:rPr>
          <w:rStyle w:val="StyleBold"/>
          <w:vertAlign w:val="superscript"/>
        </w:rPr>
        <w:footnoteReference w:id="155"/>
      </w:r>
      <w:r w:rsidRPr="006C6550">
        <w:t xml:space="preserve">  These dual roles can also apply to new PTOs.  The proposed revisions would make this explicit, achieve consistency in the text applicable to original and new PTOs, and thereby avoid confusion.  </w:t>
      </w:r>
      <w:r w:rsidRPr="006C6550">
        <w:rPr>
          <w:iCs/>
        </w:rPr>
        <w:t>The ISO supports such a revision to the definition of Transmission Revenue Credits in order to appropriately clarify the treatment of Section 9.4.3 FTRs in the ISO Tariff.  A</w:t>
      </w:r>
      <w:r w:rsidRPr="006C6550">
        <w:t xml:space="preserve">ccordingly, the undersigned Presiding Judge has directed the ISO to amend the definition of Transmission Revenue Credit consistent with the recommendation of SCE witness Cuillier set forth </w:t>
      </w:r>
      <w:r w:rsidRPr="006C6550">
        <w:rPr>
          <w:iCs/>
          <w:u w:val="single"/>
        </w:rPr>
        <w:t>supra</w:t>
      </w:r>
      <w:r w:rsidRPr="006C6550">
        <w:rPr>
          <w:i/>
          <w:iCs/>
        </w:rPr>
        <w:t xml:space="preserve">.  </w:t>
      </w:r>
    </w:p>
    <w:p w14:paraId="2B6732E4" w14:textId="77777777" w:rsidR="00824130" w:rsidRPr="006C6550" w:rsidRDefault="00824130">
      <w:pPr>
        <w:ind w:left="650"/>
      </w:pPr>
    </w:p>
    <w:p w14:paraId="31181A10" w14:textId="77777777" w:rsidR="00824130" w:rsidRPr="006C6550" w:rsidRDefault="00824130">
      <w:r>
        <w:t>375.</w:t>
      </w:r>
      <w:r>
        <w:tab/>
        <w:t>As previously discussed</w:t>
      </w:r>
      <w:r w:rsidRPr="006C6550">
        <w:t>, the undersigned Presiding Judge has directed the ISO to revise the definition of Transmission Revenue Credit in order to appropriately clarify the treatment of Section 9.4.3 FTRs in the ISO Tariff</w:t>
      </w:r>
      <w:r>
        <w:t xml:space="preserve"> </w:t>
      </w:r>
      <w:r w:rsidRPr="006C6550">
        <w:t>and to recognize the difference between the revenues which flow to the PTO and the FTR holder.  Specifically, the definition of Transmission Re</w:t>
      </w:r>
      <w:r>
        <w:t>venue Credit will be revised to</w:t>
      </w:r>
      <w:r w:rsidRPr="006C6550">
        <w:t xml:space="preserve"> </w:t>
      </w:r>
      <w:r>
        <w:t>(</w:t>
      </w:r>
      <w:r w:rsidRPr="006C6550">
        <w:t>1</w:t>
      </w:r>
      <w:r>
        <w:t>.</w:t>
      </w:r>
      <w:r w:rsidRPr="006C6550">
        <w:t xml:space="preserve">) reflect the fact that Original Participating TOs often have two roles, Transmission Owner and Energy supplier and </w:t>
      </w:r>
      <w:r>
        <w:t>(</w:t>
      </w:r>
      <w:r w:rsidRPr="006C6550">
        <w:t>2</w:t>
      </w:r>
      <w:r>
        <w:t>.</w:t>
      </w:r>
      <w:r w:rsidRPr="006C6550">
        <w:t>) address the subtraction of “any charges attributable to the Participating TO (but not those attributable to the FTR Holder) pursuant to Section 7.3.1.7.</w:t>
      </w:r>
      <w:r>
        <w:t>”</w:t>
      </w:r>
    </w:p>
    <w:p w14:paraId="04ACAB5D" w14:textId="77777777" w:rsidR="00824130" w:rsidRPr="006C6550" w:rsidRDefault="00824130"/>
    <w:p w14:paraId="6F36B033" w14:textId="77777777" w:rsidR="00824130" w:rsidRPr="004F2DC1" w:rsidRDefault="00824130">
      <w:pPr>
        <w:ind w:firstLine="650"/>
        <w:rPr>
          <w:rFonts w:ascii="Times New Roman Bold" w:hAnsi="Times New Roman Bold"/>
          <w:b/>
        </w:rPr>
      </w:pPr>
      <w:r>
        <w:rPr>
          <w:rFonts w:ascii="Times New Roman Bold" w:hAnsi="Times New Roman Bold"/>
          <w:b/>
        </w:rPr>
        <w:t>G</w:t>
      </w:r>
      <w:r w:rsidRPr="004F2DC1">
        <w:rPr>
          <w:rFonts w:ascii="Times New Roman Bold" w:hAnsi="Times New Roman Bold"/>
          <w:b/>
        </w:rPr>
        <w:t>.</w:t>
      </w:r>
      <w:r w:rsidRPr="004F2DC1">
        <w:rPr>
          <w:rFonts w:ascii="Times New Roman Bold" w:hAnsi="Times New Roman Bold"/>
          <w:b/>
        </w:rPr>
        <w:tab/>
        <w:t>Treatment of Existing Contracts</w:t>
      </w:r>
    </w:p>
    <w:p w14:paraId="2012952E" w14:textId="77777777" w:rsidR="00824130" w:rsidRPr="006C6550" w:rsidRDefault="00824130"/>
    <w:p w14:paraId="03F1DAE9" w14:textId="77777777" w:rsidR="00824130" w:rsidRPr="004F2DC1" w:rsidRDefault="00824130">
      <w:pPr>
        <w:ind w:left="650" w:firstLine="75"/>
        <w:rPr>
          <w:rFonts w:ascii="Times New Roman Bold" w:hAnsi="Times New Roman Bold"/>
          <w:b/>
        </w:rPr>
      </w:pPr>
      <w:r w:rsidRPr="004F2DC1">
        <w:rPr>
          <w:rFonts w:ascii="Times New Roman Bold" w:hAnsi="Times New Roman Bold"/>
          <w:b/>
        </w:rPr>
        <w:t xml:space="preserve">1.  The ISO’s Transmission Access Charge and in-kind reliability support provided under Existing Contracts </w:t>
      </w:r>
    </w:p>
    <w:p w14:paraId="7067BDE9" w14:textId="77777777" w:rsidR="00824130" w:rsidRPr="006C6550" w:rsidRDefault="00824130"/>
    <w:p w14:paraId="56ED865C" w14:textId="77777777" w:rsidR="00824130" w:rsidRPr="006C6550" w:rsidRDefault="00824130">
      <w:r>
        <w:t>376.</w:t>
      </w:r>
      <w:r>
        <w:tab/>
      </w:r>
      <w:r w:rsidRPr="006C6550">
        <w:t>Conversion of ETC rights to the ISO applies only to transmission, not other services.  ISO Initial Brief at 57.  Issues pertaining to non-transmission related services and costs associated with a specific PTO/Scheduling Coordinators should be resolved through contr</w:t>
      </w:r>
      <w:r>
        <w:t>act negotiations with that PTO/</w:t>
      </w:r>
      <w:r w:rsidRPr="006C6550">
        <w:t>Scheduling Coordinator or in a separate docket at the Commission.</w:t>
      </w:r>
      <w:r w:rsidRPr="006C6550">
        <w:rPr>
          <w:rStyle w:val="FootnoteReference"/>
        </w:rPr>
        <w:footnoteReference w:id="156"/>
      </w:r>
      <w:r>
        <w:t xml:space="preserve"> </w:t>
      </w:r>
      <w:r w:rsidRPr="006C6550">
        <w:t xml:space="preserve"> As to those non-transmission related services and costs, they are not relevant to the TAC and, therefore, are outside the scope of this proceeding.</w:t>
      </w:r>
    </w:p>
    <w:p w14:paraId="714854DB" w14:textId="77777777" w:rsidR="00824130" w:rsidRPr="006C6550" w:rsidRDefault="00824130"/>
    <w:p w14:paraId="7EEC42CD" w14:textId="77777777" w:rsidR="00824130" w:rsidRPr="004F2DC1" w:rsidRDefault="00824130">
      <w:pPr>
        <w:ind w:left="650"/>
        <w:rPr>
          <w:rFonts w:ascii="Times New Roman Bold" w:hAnsi="Times New Roman Bold"/>
          <w:b/>
        </w:rPr>
      </w:pPr>
      <w:r w:rsidRPr="004F2DC1">
        <w:rPr>
          <w:rFonts w:ascii="Times New Roman Bold" w:hAnsi="Times New Roman Bold"/>
          <w:b/>
        </w:rPr>
        <w:t>2.  The ISO’s Transmission Access Charge proposal and entities who would become New PTOs through conversion of Existing Contracts alone</w:t>
      </w:r>
    </w:p>
    <w:p w14:paraId="48CBAC61" w14:textId="77777777" w:rsidR="00824130" w:rsidRPr="006C6550" w:rsidRDefault="00824130"/>
    <w:p w14:paraId="48A0F375" w14:textId="77777777" w:rsidR="00824130" w:rsidRPr="006C6550" w:rsidRDefault="00824130">
      <w:r>
        <w:t>377.</w:t>
      </w:r>
      <w:r>
        <w:tab/>
      </w:r>
      <w:r w:rsidRPr="006C6550">
        <w:t>There is no basis in Commission precedent to require the ISO to adopt SWP’s proposed changes to the TAC solely to accommodate SWP, including both the proposed tariff amendments and alternate forms of relief that SWP has requested, as discussed more fully in the body of this decision.  While the ISO encourages parties to work together to accommodate a new PTOs’ concerns once the new PTO has joined the ISO, it does not seem reasonable to require the ISO to make such allowances unilaterally in anticipation of a specific entity becoming a PTO.</w:t>
      </w:r>
      <w:r w:rsidRPr="00CC391A">
        <w:rPr>
          <w:rStyle w:val="StyleBold"/>
          <w:vertAlign w:val="superscript"/>
        </w:rPr>
        <w:footnoteReference w:id="157"/>
      </w:r>
      <w:r w:rsidRPr="006C6550">
        <w:t xml:space="preserve">  </w:t>
      </w:r>
      <w:r w:rsidRPr="006C6550">
        <w:rPr>
          <w:iCs/>
          <w:u w:val="single"/>
        </w:rPr>
        <w:t>See</w:t>
      </w:r>
      <w:r w:rsidRPr="006C6550">
        <w:rPr>
          <w:iCs/>
        </w:rPr>
        <w:t xml:space="preserve">, </w:t>
      </w:r>
      <w:r w:rsidRPr="006C6550">
        <w:rPr>
          <w:iCs/>
          <w:u w:val="single"/>
        </w:rPr>
        <w:t>e.g.</w:t>
      </w:r>
      <w:r w:rsidRPr="006C6550">
        <w:rPr>
          <w:iCs/>
        </w:rPr>
        <w:t>,</w:t>
      </w:r>
      <w:r w:rsidRPr="006C6550">
        <w:t xml:space="preserve"> </w:t>
      </w:r>
      <w:smartTag w:uri="urn:schemas-microsoft-com:office:smarttags" w:element="place">
        <w:smartTag w:uri="urn:schemas-microsoft-com:office:smarttags" w:element="State">
          <w:r w:rsidRPr="006C6550">
            <w:rPr>
              <w:iCs/>
              <w:u w:val="single"/>
            </w:rPr>
            <w:t>Cal.</w:t>
          </w:r>
        </w:smartTag>
      </w:smartTag>
      <w:r w:rsidRPr="006C6550">
        <w:rPr>
          <w:iCs/>
          <w:u w:val="single"/>
        </w:rPr>
        <w:t xml:space="preserve"> Indep. Sys. Operator Corp.</w:t>
      </w:r>
      <w:r w:rsidRPr="006C6550">
        <w:t xml:space="preserve">, 103 FERC ¶ 61,260 at P 13 (2003)(rejected ISO proposal for broad tariff language to accommodate WAPA, finding generally that exceptions to TAC methodology should be made in context of specific New PTOs request to join the ISO). </w:t>
      </w:r>
    </w:p>
    <w:p w14:paraId="61A8B0C2" w14:textId="77777777" w:rsidR="00824130" w:rsidRPr="006C6550" w:rsidRDefault="00824130"/>
    <w:p w14:paraId="1F91F9D7" w14:textId="77777777" w:rsidR="00824130" w:rsidRPr="006C6550" w:rsidRDefault="00824130">
      <w:r>
        <w:t>378.</w:t>
      </w:r>
      <w:r>
        <w:tab/>
      </w:r>
      <w:r w:rsidRPr="006C6550">
        <w:t xml:space="preserve">In sum, SWP has not met its burden of showing that the TAC is unjust, unreasonable, or unduly discriminatory.  To the extent that SWP is entitled to compensation for costs that it pays for transmission services under its ETC, the TAC would address SWP’s concerns if it were to become a new PTO because SWP could then claim those expenses as part of its TRR.  Tr. 2305:10 – 14.  </w:t>
      </w:r>
    </w:p>
    <w:p w14:paraId="3E2A6E25" w14:textId="77777777" w:rsidR="00824130" w:rsidRPr="006C6550" w:rsidRDefault="00824130">
      <w:pPr>
        <w:pStyle w:val="Heading2"/>
      </w:pPr>
    </w:p>
    <w:p w14:paraId="7CD04E64" w14:textId="77777777" w:rsidR="00824130" w:rsidRPr="006C6550" w:rsidRDefault="00824130">
      <w:pPr>
        <w:pStyle w:val="Heading2"/>
      </w:pPr>
      <w:r>
        <w:t>H.</w:t>
      </w:r>
      <w:r>
        <w:tab/>
      </w:r>
      <w:r w:rsidRPr="006C6550">
        <w:t xml:space="preserve">High-Low </w:t>
      </w:r>
      <w:smartTag w:uri="urn:schemas-microsoft-com:office:smarttags" w:element="place">
        <w:smartTag w:uri="urn:schemas-microsoft-com:office:smarttags" w:element="City">
          <w:r w:rsidRPr="006C6550">
            <w:t>Split</w:t>
          </w:r>
        </w:smartTag>
      </w:smartTag>
    </w:p>
    <w:p w14:paraId="5E5C4112" w14:textId="77777777" w:rsidR="00824130" w:rsidRPr="006C6550" w:rsidRDefault="00824130"/>
    <w:p w14:paraId="14393B5D" w14:textId="77777777" w:rsidR="00824130" w:rsidRPr="006C6550" w:rsidRDefault="00824130">
      <w:r>
        <w:t>379.</w:t>
      </w:r>
      <w:r>
        <w:tab/>
      </w:r>
      <w:r w:rsidRPr="006C6550">
        <w:t>The record evidence supports a finding that</w:t>
      </w:r>
      <w:r>
        <w:t>,</w:t>
      </w:r>
      <w:r w:rsidRPr="006C6550">
        <w:t xml:space="preserve"> with the exception of the ISO’s proposed allocation of step down transformer costs, the ISO’s proposed methodology for splitting costs between HV and </w:t>
      </w:r>
      <w:smartTag w:uri="urn:schemas-microsoft-com:office:smarttags" w:element="place">
        <w:smartTag w:uri="urn:schemas-microsoft-com:office:smarttags" w:element="City">
          <w:r w:rsidRPr="006C6550">
            <w:t>LV</w:t>
          </w:r>
        </w:smartTag>
      </w:smartTag>
      <w:r w:rsidRPr="006C6550">
        <w:t xml:space="preserve"> is reasonable.  The undersigned Presiding Judge concurs with, and hereby adopts, Staff’s view that, except for the ISO’s proposed allocation of step down transformer costs, the ISO proposal balances certainty, understandability, and administrative ease.  Ex. S-1 at </w:t>
      </w:r>
      <w:smartTag w:uri="urn:schemas-microsoft-com:office:smarttags" w:element="time">
        <w:smartTagPr>
          <w:attr w:name="Hour" w:val="16"/>
          <w:attr w:name="Minute" w:val="13"/>
        </w:smartTagPr>
        <w:r w:rsidRPr="006C6550">
          <w:t>4:13</w:t>
        </w:r>
      </w:smartTag>
      <w:r w:rsidRPr="006C6550">
        <w:t xml:space="preserve"> – 16.  However, as Staff correctly points out, the ISO’s proposal to allocate transformer costs 50 percent to the HVTRR and 50 percent to the LVTRR, when the PTO does not have the TRR information on a voltage basis, is arbitrary and inconsistent with cost causation principles. Therefore, the ISO proposal is unjust and unreasonable.  Likewise, for the reasons set forth in Staff’s Initial Brief at pages 62-65, PG&amp;E’s proposal to include all “system interconnections,” including low voltage system interconnections, is not supportable and has been rejected.</w:t>
      </w:r>
    </w:p>
    <w:p w14:paraId="72A720DF" w14:textId="77777777" w:rsidR="00824130" w:rsidRDefault="00824130"/>
    <w:p w14:paraId="10A4ECCC" w14:textId="77777777" w:rsidR="00824130" w:rsidRPr="006C6550" w:rsidRDefault="00824130">
      <w:r>
        <w:t>380.</w:t>
      </w:r>
      <w:r>
        <w:tab/>
      </w:r>
      <w:r w:rsidRPr="006C6550">
        <w:t>On the other hand</w:t>
      </w:r>
      <w:r>
        <w:t xml:space="preserve">, Staff’s alternative proposal - </w:t>
      </w:r>
      <w:r w:rsidRPr="006C6550">
        <w:t xml:space="preserve">that where there is insufficient revenue requirement information available to allocate step down transformer costs between HVTRR and LVTRR, these costs should be allocated in the same manner </w:t>
      </w:r>
      <w:r>
        <w:t xml:space="preserve">as other substation facilities - </w:t>
      </w:r>
      <w:r w:rsidRPr="006C6550">
        <w:t>reasonably reflects the relative investment of transmission owners in high voltage and low voltage facilities and is consistent with the ISO’s allocation procedures for other substation facilities.  Tr. 2710:20 – 2712:16.  Staff’s proposal has, therefore, been adopted.  However, the undersigned Presiding Judge shares the EOB’s concerns regarding a retroactive application of this alternative approach to the parties in this proceeding, and finds that Staff’s proposal should be applied prospectively.  EOB Initial Brief at 49.</w:t>
      </w:r>
      <w:r w:rsidRPr="006C6550">
        <w:rPr>
          <w:vertAlign w:val="superscript"/>
        </w:rPr>
        <w:footnoteReference w:id="158"/>
      </w:r>
      <w:r w:rsidRPr="006C6550">
        <w:t xml:space="preserve">  Furthermore, these procedures must be included in the ISO Tariff.  PG&amp;E and Staff are in agreement on this point and the ISO has stated that it does not object to such a change in its tariff.</w:t>
      </w:r>
      <w:r w:rsidRPr="006C6550">
        <w:rPr>
          <w:rStyle w:val="FootnoteReference"/>
        </w:rPr>
        <w:footnoteReference w:id="159"/>
      </w:r>
      <w:r w:rsidRPr="006C6550">
        <w:t xml:space="preserve">  Accordingly, the ISO has been directed to incorporate these procedures into the ISO Tariff.  </w:t>
      </w:r>
    </w:p>
    <w:p w14:paraId="221D033C" w14:textId="77777777" w:rsidR="00824130" w:rsidRPr="006C6550" w:rsidRDefault="00824130"/>
    <w:p w14:paraId="4E11E651" w14:textId="77777777" w:rsidR="00824130" w:rsidRPr="004F2DC1" w:rsidRDefault="00824130">
      <w:pPr>
        <w:ind w:firstLine="720"/>
        <w:rPr>
          <w:rFonts w:ascii="Times New Roman Bold" w:hAnsi="Times New Roman Bold"/>
          <w:b/>
        </w:rPr>
      </w:pPr>
      <w:smartTag w:uri="urn:schemas-microsoft-com:office:smarttags" w:element="place">
        <w:r>
          <w:rPr>
            <w:rFonts w:ascii="Times New Roman Bold" w:hAnsi="Times New Roman Bold"/>
            <w:b/>
          </w:rPr>
          <w:t>I</w:t>
        </w:r>
        <w:r w:rsidRPr="004F2DC1">
          <w:rPr>
            <w:rFonts w:ascii="Times New Roman Bold" w:hAnsi="Times New Roman Bold"/>
            <w:b/>
          </w:rPr>
          <w:t>.</w:t>
        </w:r>
      </w:smartTag>
      <w:r w:rsidRPr="004F2DC1">
        <w:rPr>
          <w:rFonts w:ascii="Times New Roman Bold" w:hAnsi="Times New Roman Bold"/>
          <w:b/>
        </w:rPr>
        <w:tab/>
        <w:t>Time-of-Use Rates</w:t>
      </w:r>
    </w:p>
    <w:p w14:paraId="1FBDA33F" w14:textId="77777777" w:rsidR="00824130" w:rsidRPr="006C6550" w:rsidRDefault="00824130"/>
    <w:p w14:paraId="492C57FE" w14:textId="77777777" w:rsidR="00824130" w:rsidRPr="006C6550" w:rsidRDefault="00824130">
      <w:r>
        <w:t>381.</w:t>
      </w:r>
      <w:r>
        <w:tab/>
      </w:r>
      <w:r w:rsidRPr="006C6550">
        <w:t>The ISO’s TAC proposal, with its flat MWh-based methodology, is just, reasonable and not unduly discriminatory without employing the time-of-use or coincident peak rate methodologies for which SWP and SWC argue.  As discussed above, SWP and SWC advance numerous arguments in support of alternative methodologies to that which the TAC already employs.  These two methodologies may be economically efficient and send the right price signals</w:t>
      </w:r>
      <w:r w:rsidRPr="006C6550">
        <w:rPr>
          <w:rStyle w:val="FootnoteReference"/>
        </w:rPr>
        <w:footnoteReference w:id="160"/>
      </w:r>
      <w:r w:rsidRPr="006C6550">
        <w:t xml:space="preserve"> in the right environment.  However, the ISO, Staff, and various parties defend the ISO’s current TAC methodology as just, reasonable, and not unduly discriminatory,</w:t>
      </w:r>
      <w:r w:rsidRPr="006C6550">
        <w:rPr>
          <w:rStyle w:val="FootnoteReference"/>
        </w:rPr>
        <w:footnoteReference w:id="161"/>
      </w:r>
      <w:r w:rsidRPr="006C6550">
        <w:t xml:space="preserve"> and SWP and SWC do not succeed in showing otherwise.</w:t>
      </w:r>
      <w:r w:rsidRPr="006C6550">
        <w:rPr>
          <w:rStyle w:val="FootnoteReference"/>
        </w:rPr>
        <w:footnoteReference w:id="162"/>
      </w:r>
      <w:r w:rsidRPr="006C6550">
        <w:t xml:space="preserve">  </w:t>
      </w:r>
    </w:p>
    <w:p w14:paraId="45387647" w14:textId="77777777" w:rsidR="00824130" w:rsidRPr="006C6550" w:rsidRDefault="00824130"/>
    <w:p w14:paraId="221E54D1" w14:textId="77777777" w:rsidR="00824130" w:rsidRPr="006C6550" w:rsidRDefault="00824130">
      <w:pPr>
        <w:rPr>
          <w:u w:val="single"/>
        </w:rPr>
      </w:pPr>
      <w:r>
        <w:t>382.</w:t>
      </w:r>
      <w:r>
        <w:tab/>
      </w:r>
      <w:r w:rsidRPr="006C6550">
        <w:t xml:space="preserve">The ISO has not yet converted to locational marginal pricing, and the current ISO pricing structure is unlike most other RTOs and ISOs.  This distinction is particularly important because as discussed above, the Commission has already approved the ISO’s flat MWh-based rate methodology.  </w:t>
      </w:r>
      <w:r w:rsidRPr="006C6550">
        <w:rPr>
          <w:u w:val="single"/>
        </w:rPr>
        <w:t>Pacific Gas &amp; Elec. Co.</w:t>
      </w:r>
      <w:r w:rsidRPr="006C6550">
        <w:t xml:space="preserve">, 80 FERC ¶ 61,128 at 61,429-30 (1997).  Until such time as the Commission approves a locational marginal pricing system, the ISO’s current framework is just, reasonable, and not unduly discriminatory.  It satisfies the transmission pricing and cost causation principles, and sends the appropriate price signals.  </w:t>
      </w:r>
      <w:smartTag w:uri="urn:schemas-microsoft-com:office:smarttags" w:element="place">
        <w:smartTag w:uri="urn:schemas-microsoft-com:office:smarttags" w:element="State">
          <w:r w:rsidRPr="006C6550">
            <w:rPr>
              <w:u w:val="single"/>
            </w:rPr>
            <w:t>Id.</w:t>
          </w:r>
        </w:smartTag>
      </w:smartTag>
    </w:p>
    <w:p w14:paraId="00A8934C" w14:textId="77777777" w:rsidR="00824130" w:rsidRPr="006C6550" w:rsidRDefault="00824130"/>
    <w:p w14:paraId="5E277504" w14:textId="77777777" w:rsidR="00824130" w:rsidRPr="006C6550" w:rsidRDefault="00824130">
      <w:r>
        <w:t>383.</w:t>
      </w:r>
      <w:r>
        <w:tab/>
      </w:r>
      <w:r w:rsidRPr="006C6550">
        <w:t>The Commission has already approved the flat MWh-based rate methodology as just, reasonable, and not unduly discriminatory;</w:t>
      </w:r>
      <w:r w:rsidRPr="006C6550">
        <w:rPr>
          <w:rStyle w:val="FootnoteReference"/>
        </w:rPr>
        <w:footnoteReference w:id="163"/>
      </w:r>
      <w:r w:rsidRPr="006C6550">
        <w:t xml:space="preserve"> thus, extended discussion of this issue is moot for the purposes of this proceeding at this time.  As previously discussed, SWP and SWC have presented strong arguments in favor of their methodology.  Staff points out that whether or not SWP and SWC might have a more efficient economic analysis, the TAC proposal is the one </w:t>
      </w:r>
      <w:r>
        <w:t>at issue before the undersigned; thus,</w:t>
      </w:r>
      <w:r w:rsidRPr="006C6550">
        <w:t xml:space="preserve"> it would be inappropriate to consider those arguments at this time in this proceeding given the Commission’s previous determination regarding the ISO’s pricing methodology.  Staff Initial Brief at 67.  The undersigned Presiding Judge concurs.  </w:t>
      </w:r>
    </w:p>
    <w:p w14:paraId="2AC11351" w14:textId="77777777" w:rsidR="00824130" w:rsidRPr="006C6550" w:rsidRDefault="00824130"/>
    <w:p w14:paraId="4C0EC8D7" w14:textId="77777777" w:rsidR="00824130" w:rsidRPr="00302CF7" w:rsidRDefault="00824130">
      <w:pPr>
        <w:pStyle w:val="Heading2"/>
        <w:ind w:left="0" w:firstLine="720"/>
      </w:pPr>
      <w:r>
        <w:t>J.</w:t>
      </w:r>
      <w:r>
        <w:tab/>
      </w:r>
      <w:r w:rsidRPr="006C6550">
        <w:t>Guidelines for Economic Benefit Analysis</w:t>
      </w:r>
    </w:p>
    <w:p w14:paraId="6E3BC5B5" w14:textId="77777777" w:rsidR="00824130" w:rsidRPr="006C6550" w:rsidRDefault="00824130"/>
    <w:p w14:paraId="061C9649" w14:textId="77777777" w:rsidR="00824130" w:rsidRDefault="00824130">
      <w:pPr>
        <w:pStyle w:val="BodyText"/>
        <w:rPr>
          <w:color w:val="000000"/>
          <w:sz w:val="26"/>
          <w:szCs w:val="26"/>
        </w:rPr>
      </w:pPr>
      <w:r>
        <w:rPr>
          <w:color w:val="000000"/>
          <w:sz w:val="26"/>
          <w:szCs w:val="26"/>
        </w:rPr>
        <w:t>384.</w:t>
      </w:r>
      <w:r>
        <w:rPr>
          <w:color w:val="000000"/>
          <w:sz w:val="26"/>
          <w:szCs w:val="26"/>
        </w:rPr>
        <w:tab/>
        <w:t>Although it appears that the ISO does not object to filing with the Commission both the guidelines for determining the need for economically driven projects and tools developed for implementing the guidelines, ISO witness Le Vine suggested that the guidelines would not be filed until the guidelines are successfully tested by completing the evaluation process on a proposed transmission project.  Tr. 396:24 – 397:25.  Because no transmission project is presently subject to ISO review, it is unknown approximately when the guidelines and implementation tools will be completed and filed.  Tr. at 396:13 – 397:25.  For the most part, the undersigned Presiding Judge concurs with Staff’s position on this issue.</w:t>
      </w:r>
      <w:r>
        <w:rPr>
          <w:rStyle w:val="FootnoteReference"/>
          <w:color w:val="000000"/>
          <w:sz w:val="28"/>
        </w:rPr>
        <w:footnoteReference w:id="164"/>
      </w:r>
      <w:r>
        <w:rPr>
          <w:color w:val="000000"/>
          <w:sz w:val="26"/>
          <w:szCs w:val="26"/>
        </w:rPr>
        <w:t xml:space="preserve">  The ISO has been directed to make an informational filing of proposed or tentative guidelines within 180 days, or within 30 days of determining that a transmission project has become subject to ISO review if that date is triggered first. Further, the ISO has been directed to file the guidelines as an amendment to its tariff once they are final.  </w:t>
      </w:r>
    </w:p>
    <w:p w14:paraId="11BE26CB" w14:textId="77777777" w:rsidR="00824130" w:rsidRPr="006C6550" w:rsidRDefault="00824130">
      <w:pPr>
        <w:pStyle w:val="BodyText"/>
        <w:ind w:firstLine="360"/>
        <w:rPr>
          <w:b/>
          <w:color w:val="000000"/>
          <w:szCs w:val="26"/>
        </w:rPr>
      </w:pPr>
    </w:p>
    <w:p w14:paraId="46E2FD08" w14:textId="77777777" w:rsidR="00824130" w:rsidRPr="00F72B5E" w:rsidRDefault="00824130">
      <w:pPr>
        <w:ind w:firstLine="720"/>
        <w:rPr>
          <w:rFonts w:ascii="Times New Roman Bold" w:hAnsi="Times New Roman Bold"/>
          <w:b/>
        </w:rPr>
      </w:pPr>
      <w:r>
        <w:rPr>
          <w:rFonts w:ascii="Times New Roman Bold" w:hAnsi="Times New Roman Bold"/>
          <w:b/>
        </w:rPr>
        <w:t>K</w:t>
      </w:r>
      <w:r w:rsidRPr="00F72B5E">
        <w:rPr>
          <w:rFonts w:ascii="Times New Roman Bold" w:hAnsi="Times New Roman Bold"/>
          <w:b/>
        </w:rPr>
        <w:t>.</w:t>
      </w:r>
      <w:r w:rsidRPr="00F72B5E">
        <w:rPr>
          <w:rFonts w:ascii="Times New Roman Bold" w:hAnsi="Times New Roman Bold"/>
          <w:b/>
        </w:rPr>
        <w:tab/>
        <w:t>Definitions</w:t>
      </w:r>
    </w:p>
    <w:p w14:paraId="0D11FA18" w14:textId="77777777" w:rsidR="00824130" w:rsidRPr="006C6550" w:rsidRDefault="00824130"/>
    <w:p w14:paraId="05B42A90" w14:textId="77777777" w:rsidR="00824130" w:rsidRPr="00F72B5E" w:rsidRDefault="00824130">
      <w:pPr>
        <w:ind w:firstLine="720"/>
        <w:rPr>
          <w:rFonts w:ascii="Times New Roman Bold" w:hAnsi="Times New Roman Bold"/>
          <w:b/>
        </w:rPr>
      </w:pPr>
      <w:r w:rsidRPr="00F72B5E">
        <w:rPr>
          <w:rFonts w:ascii="Times New Roman Bold" w:hAnsi="Times New Roman Bold"/>
          <w:b/>
        </w:rPr>
        <w:t>1.  Definition of PTO Service Area</w:t>
      </w:r>
    </w:p>
    <w:p w14:paraId="6BD1807F" w14:textId="77777777" w:rsidR="00824130" w:rsidRPr="006C6550" w:rsidRDefault="00824130"/>
    <w:p w14:paraId="5F3B6C17" w14:textId="77777777" w:rsidR="00824130" w:rsidRPr="00DE74A3" w:rsidRDefault="00824130">
      <w:r>
        <w:t>385.</w:t>
      </w:r>
      <w:r>
        <w:tab/>
      </w:r>
      <w:r w:rsidRPr="006C6550">
        <w:t xml:space="preserve">All parties that have addressed this issue agree that it has been resolved by stipulation, which led to withdrawal of SCE’s testimony on the subject.  Tr. 2252:18 – 2254:21; Tr. 2344: 6 – 12.  </w:t>
      </w:r>
      <w:r w:rsidRPr="00DE74A3">
        <w:t xml:space="preserve">On March 9, 2004, the ISO submitted for filing an amendment to the ISO Tariff to provide for  a new term, “PTO Service Territory” (which replaces the recently implemented term, “PTO Service Area”), and clarifies certain related provisions. This filing is in fulfillment of a stipulation the ISO offered during the hearing.  The ISO originally proposed a revised definition of “PTO Service Area” in Amendment No. 49 to the ISO Tariff, which the Commission assigned Docket No. ER03-608.  The ISO considered the new term necessary in order to implement the ISO’s transmission Access Charge, which is currently being considered in this Docket (i.e. Docket Nos. ER00-2019-006, </w:t>
      </w:r>
      <w:r w:rsidRPr="00DE74A3">
        <w:rPr>
          <w:i/>
        </w:rPr>
        <w:t xml:space="preserve">et al.).   </w:t>
      </w:r>
      <w:r>
        <w:t>Intervene</w:t>
      </w:r>
      <w:r w:rsidRPr="00DE74A3">
        <w:t xml:space="preserve">rs raised a number of concerns in protests and testimony about its implications to other parts of the ISO Tariff.  The parties agreed at hearing to a stipulation deferring the matter to a separate future filing.  With its </w:t>
      </w:r>
      <w:smartTag w:uri="urn:schemas-microsoft-com:office:smarttags" w:element="date">
        <w:smartTagPr>
          <w:attr w:name="Year" w:val="2004"/>
          <w:attr w:name="Day" w:val="9"/>
          <w:attr w:name="Month" w:val="3"/>
        </w:smartTagPr>
        <w:r w:rsidRPr="00DE74A3">
          <w:t>March 9, 2004</w:t>
        </w:r>
      </w:smartTag>
      <w:r w:rsidRPr="00DE74A3">
        <w:t xml:space="preserve"> filing—duly authorized by the ISO Board prior to the filing of Amendment 49 and reconfirmed with the ISO Board on </w:t>
      </w:r>
      <w:smartTag w:uri="urn:schemas-microsoft-com:office:smarttags" w:element="date">
        <w:smartTagPr>
          <w:attr w:name="Year" w:val="2004"/>
          <w:attr w:name="Day" w:val="26"/>
          <w:attr w:name="Month" w:val="2"/>
        </w:smartTagPr>
        <w:r w:rsidRPr="00DE74A3">
          <w:t>February 26, 2004</w:t>
        </w:r>
      </w:smartTag>
      <w:r w:rsidRPr="00DE74A3">
        <w:t>, to effectuate these current changes—the ISO has fulfilled the terms of that stipulation.</w:t>
      </w:r>
    </w:p>
    <w:p w14:paraId="05AE9430" w14:textId="77777777" w:rsidR="00824130" w:rsidRPr="00F72B5E" w:rsidRDefault="00824130">
      <w:pPr>
        <w:rPr>
          <w:rFonts w:ascii="Times New Roman Bold" w:hAnsi="Times New Roman Bold"/>
          <w:b/>
        </w:rPr>
      </w:pPr>
    </w:p>
    <w:p w14:paraId="1577A326" w14:textId="77777777" w:rsidR="00824130" w:rsidRPr="00F72B5E" w:rsidRDefault="00824130">
      <w:pPr>
        <w:ind w:firstLine="720"/>
        <w:rPr>
          <w:rFonts w:ascii="Times New Roman Bold" w:hAnsi="Times New Roman Bold"/>
          <w:b/>
        </w:rPr>
      </w:pPr>
      <w:r w:rsidRPr="00F72B5E">
        <w:rPr>
          <w:rFonts w:ascii="Times New Roman Bold" w:hAnsi="Times New Roman Bold"/>
          <w:b/>
        </w:rPr>
        <w:t>2.  Definition of Transmission Revenue Credit and Opinion No. 458</w:t>
      </w:r>
    </w:p>
    <w:p w14:paraId="29BA94A4" w14:textId="77777777" w:rsidR="00824130" w:rsidRPr="006C6550" w:rsidRDefault="00824130"/>
    <w:p w14:paraId="75E51504" w14:textId="77777777" w:rsidR="00824130" w:rsidRPr="006C6550" w:rsidRDefault="00824130">
      <w:r>
        <w:t>386.</w:t>
      </w:r>
      <w:r>
        <w:tab/>
      </w:r>
      <w:r w:rsidRPr="006C6550">
        <w:t xml:space="preserve">The undersigned Presiding Judge concurs with the position of the ISO, SCE and PG&amp;E that requiring the definition of Transmission Revenue Credit in the ISO Tariff to be revised in this docket, before the Commission has had the benefit of the appellate court’s decision on Opinion No. 458, could create confusion and would be premature.  </w:t>
      </w:r>
    </w:p>
    <w:p w14:paraId="7064388E" w14:textId="77777777" w:rsidR="00824130" w:rsidRDefault="00824130"/>
    <w:p w14:paraId="4FDA9466" w14:textId="77777777" w:rsidR="00824130" w:rsidRDefault="00824130">
      <w:pPr>
        <w:ind w:firstLine="650"/>
        <w:rPr>
          <w:rFonts w:ascii="Times New Roman Bold" w:hAnsi="Times New Roman Bold"/>
          <w:b/>
        </w:rPr>
      </w:pPr>
      <w:r>
        <w:rPr>
          <w:rFonts w:ascii="Times New Roman Bold" w:hAnsi="Times New Roman Bold"/>
          <w:b/>
        </w:rPr>
        <w:t>L.</w:t>
      </w:r>
      <w:r>
        <w:rPr>
          <w:rFonts w:ascii="Times New Roman Bold" w:hAnsi="Times New Roman Bold"/>
          <w:b/>
        </w:rPr>
        <w:tab/>
      </w:r>
      <w:r w:rsidRPr="00F72B5E">
        <w:rPr>
          <w:rFonts w:ascii="Times New Roman Bold" w:hAnsi="Times New Roman Bold"/>
          <w:b/>
        </w:rPr>
        <w:t>Issues Resolved By Stipulation</w:t>
      </w:r>
    </w:p>
    <w:p w14:paraId="0F7BEDCA" w14:textId="77777777" w:rsidR="00824130" w:rsidRPr="006C6550" w:rsidRDefault="00824130"/>
    <w:p w14:paraId="205E24F8" w14:textId="77777777" w:rsidR="00824130" w:rsidRDefault="00824130">
      <w:pPr>
        <w:numPr>
          <w:ilvl w:val="0"/>
          <w:numId w:val="35"/>
        </w:numPr>
        <w:rPr>
          <w:rFonts w:ascii="Times New Roman Bold" w:hAnsi="Times New Roman Bold"/>
          <w:b/>
        </w:rPr>
      </w:pPr>
      <w:r w:rsidRPr="00F72B5E">
        <w:rPr>
          <w:rFonts w:ascii="Times New Roman Bold" w:hAnsi="Times New Roman Bold"/>
          <w:b/>
        </w:rPr>
        <w:t xml:space="preserve">Definition of Gross Load </w:t>
      </w:r>
    </w:p>
    <w:p w14:paraId="56BCF59D" w14:textId="77777777" w:rsidR="00824130" w:rsidRPr="006C6550" w:rsidRDefault="00824130"/>
    <w:p w14:paraId="2A2778BB" w14:textId="77777777" w:rsidR="00824130" w:rsidRPr="006C6550" w:rsidRDefault="00824130">
      <w:r>
        <w:t>387.</w:t>
      </w:r>
      <w:r>
        <w:tab/>
      </w:r>
      <w:r w:rsidRPr="006C6550">
        <w:t xml:space="preserve">As discussed in the “Order Confirming Rulings,” issued by the undersigned Presiding Judge in this proceeding on October 9, 2003 (“October 9 Order”), the CAC/EPUC, the ISO, and SCE submitted an unopposed joint stipulation related to the definition of Gross Load as that definition pertains to retail customer load served by generation that is located on the customer’s site or provides service to the customer’s site through arrangements as authorized by Section 218 of the California Public Utilities Code.  The undersigned Presiding Judge has approved and adopted the stipulation and the ISO has been directed to modify its Tariff accordingly. Effective as of </w:t>
      </w:r>
      <w:smartTag w:uri="urn:schemas-microsoft-com:office:smarttags" w:element="date">
        <w:smartTagPr>
          <w:attr w:name="Year" w:val="2001"/>
          <w:attr w:name="Day" w:val="1"/>
          <w:attr w:name="Month" w:val="1"/>
        </w:smartTagPr>
        <w:r w:rsidRPr="006C6550">
          <w:t>January 1, 2001</w:t>
        </w:r>
      </w:smartTag>
      <w:r w:rsidRPr="006C6550">
        <w:t>, the new definition to be reflected on ISO Tariff Sheet No. 319 is:</w:t>
      </w:r>
    </w:p>
    <w:p w14:paraId="474F589A" w14:textId="77777777" w:rsidR="00824130" w:rsidRPr="006C6550" w:rsidRDefault="00824130"/>
    <w:p w14:paraId="4A06EE67" w14:textId="77777777" w:rsidR="00824130" w:rsidRPr="006C6550" w:rsidRDefault="00824130">
      <w:pPr>
        <w:ind w:left="650"/>
      </w:pPr>
      <w:r w:rsidRPr="006C6550">
        <w:rPr>
          <w:b/>
          <w:u w:val="single"/>
        </w:rPr>
        <w:t xml:space="preserve">Gross Load: </w:t>
      </w:r>
      <w:r w:rsidRPr="00CC391A">
        <w:rPr>
          <w:rStyle w:val="StyleBold"/>
          <w:vertAlign w:val="superscript"/>
        </w:rPr>
        <w:tab/>
      </w:r>
      <w:r w:rsidRPr="006C6550">
        <w:t>For the purposes of calculating the transmission Access Charge, Gross Load is all Energy (adjusted for distribution losses) delivered for the supply of Loads directly connected to the transmission facilities or Distribution System of a UDC or MSS, and all Energy provided by a Scheduling Coordinator for the supply of Loads not directly connected to the transmission facilities or Distribution System of a UDC or MSS.  Gross Load shall exclude Load with respect to which the Wheeling Access Charge is payable and the portion of the Load of an individual retail customer of a UDC, MSS, or Scheduling Coordinator that is served by a Generating Unit that:  (a) is located on the customer’s site or provides service to the customer’s site through arrangements as authorized by Section 218 of the California Public Utilities Code; and (b) secures Standby Service from a Participating TO under terms approved by a Local Regulatory Authority or FERC, as applicable, or can be curtailed concurrently with an outage of the Generating Unit serving the Load.  Gross Load forecasts consistent with filed TRR will be provided by each Participating TO to the ISO.</w:t>
      </w:r>
    </w:p>
    <w:p w14:paraId="06F4B2D3" w14:textId="77777777" w:rsidR="00824130" w:rsidRPr="006C6550" w:rsidRDefault="00824130"/>
    <w:p w14:paraId="747CEE1D" w14:textId="77777777" w:rsidR="00824130" w:rsidRPr="00F72B5E" w:rsidRDefault="00824130">
      <w:pPr>
        <w:ind w:firstLine="650"/>
        <w:rPr>
          <w:rFonts w:ascii="Times New Roman Bold" w:hAnsi="Times New Roman Bold"/>
          <w:b/>
        </w:rPr>
      </w:pPr>
      <w:r>
        <w:rPr>
          <w:rFonts w:ascii="Times New Roman Bold" w:hAnsi="Times New Roman Bold"/>
          <w:b/>
        </w:rPr>
        <w:t>2</w:t>
      </w:r>
      <w:r w:rsidRPr="00F72B5E">
        <w:rPr>
          <w:rFonts w:ascii="Times New Roman Bold" w:hAnsi="Times New Roman Bold"/>
          <w:b/>
        </w:rPr>
        <w:t xml:space="preserve">.  The ISO’s treatment of Metered Subsystems </w:t>
      </w:r>
    </w:p>
    <w:p w14:paraId="77C7C7D7" w14:textId="77777777" w:rsidR="00824130" w:rsidRPr="006C6550" w:rsidRDefault="00824130"/>
    <w:p w14:paraId="464A864E" w14:textId="77777777" w:rsidR="00824130" w:rsidRPr="006C6550" w:rsidRDefault="00824130">
      <w:r>
        <w:t>388.</w:t>
      </w:r>
      <w:r>
        <w:tab/>
      </w:r>
      <w:r w:rsidRPr="006C6550">
        <w:t>The ISO represents in its Initial Brief and MID represents in its Reply Brief that the parties have agreed upon a stipulation, which provided generally that issues concerning the treatment of Metered Subsystems were not at issue, and would not be determined, in this proceeding.  ISO Initial Brief at 89; MID Reply Brief at 28.  No party opposes this stipulation.  The undersigned Presiding Judge has approved and adopted the stipulation, attached to this Initial Decision as Exhibit J-1.</w:t>
      </w:r>
    </w:p>
    <w:p w14:paraId="340F3A46" w14:textId="77777777" w:rsidR="00824130" w:rsidRPr="006C6550" w:rsidRDefault="00824130"/>
    <w:p w14:paraId="473B6466" w14:textId="77777777" w:rsidR="00824130" w:rsidRPr="006C6550" w:rsidRDefault="00824130">
      <w:pPr>
        <w:pStyle w:val="Heading2"/>
      </w:pPr>
      <w:r>
        <w:t>M.</w:t>
      </w:r>
      <w:r>
        <w:tab/>
      </w:r>
      <w:r w:rsidRPr="006C6550">
        <w:t>Amendments to the TAC</w:t>
      </w:r>
      <w:r>
        <w:t xml:space="preserve"> To Be Prospective Only</w:t>
      </w:r>
    </w:p>
    <w:p w14:paraId="4C877625" w14:textId="77777777" w:rsidR="00824130" w:rsidRPr="006C6550" w:rsidRDefault="00824130">
      <w:pPr>
        <w:pStyle w:val="BodyText"/>
        <w:rPr>
          <w:szCs w:val="26"/>
        </w:rPr>
      </w:pPr>
    </w:p>
    <w:p w14:paraId="03CC4229" w14:textId="77777777" w:rsidR="00824130" w:rsidRPr="006C6550" w:rsidRDefault="00824130">
      <w:r>
        <w:t>389.</w:t>
      </w:r>
      <w:r>
        <w:tab/>
      </w:r>
      <w:r w:rsidRPr="006C6550">
        <w:t>The undersigned Presiding Judge recommends that the Commission adopt the findings and conclusions contained herein insofar as they may involve a change to the TAC as</w:t>
      </w:r>
      <w:r>
        <w:t xml:space="preserve"> currently filed </w:t>
      </w:r>
      <w:r w:rsidRPr="006C6550">
        <w:t xml:space="preserve">prospectively only. The TAC is currently in effect and has been since the City of </w:t>
      </w:r>
      <w:smartTag w:uri="urn:schemas-microsoft-com:office:smarttags" w:element="place">
        <w:smartTag w:uri="urn:schemas-microsoft-com:office:smarttags" w:element="City">
          <w:r w:rsidRPr="006C6550">
            <w:t>Vernon</w:t>
          </w:r>
        </w:smartTag>
      </w:smartTag>
      <w:r w:rsidRPr="006C6550">
        <w:t xml:space="preserve"> joined the ISO, effective </w:t>
      </w:r>
      <w:smartTag w:uri="urn:schemas-microsoft-com:office:smarttags" w:element="date">
        <w:smartTagPr>
          <w:attr w:name="Year" w:val="2001"/>
          <w:attr w:name="Day" w:val="1"/>
          <w:attr w:name="Month" w:val="1"/>
        </w:smartTagPr>
        <w:r w:rsidRPr="006C6550">
          <w:t>January 1, 2001</w:t>
        </w:r>
      </w:smartTag>
      <w:r w:rsidRPr="006C6550">
        <w:t xml:space="preserve">, and thereby triggered the process of blending the Participating TOs’ Transmission Revenue Requirements in accordance with the framework set forth in Amendment No. 27.  Thus, the TAC’s 10% per year blending of existing high voltage TRRs began </w:t>
      </w:r>
      <w:smartTag w:uri="urn:schemas-microsoft-com:office:smarttags" w:element="date">
        <w:smartTagPr>
          <w:attr w:name="Year" w:val="2001"/>
          <w:attr w:name="Day" w:val="1"/>
          <w:attr w:name="Month" w:val="1"/>
        </w:smartTagPr>
        <w:r w:rsidRPr="006C6550">
          <w:t>January 1, 2001</w:t>
        </w:r>
      </w:smartTag>
      <w:r w:rsidRPr="006C6550">
        <w:t xml:space="preserve">.  By </w:t>
      </w:r>
      <w:smartTag w:uri="urn:schemas-microsoft-com:office:smarttags" w:element="date">
        <w:smartTagPr>
          <w:attr w:name="Year" w:val="2004"/>
          <w:attr w:name="Day" w:val="1"/>
          <w:attr w:name="Month" w:val="1"/>
        </w:smartTagPr>
        <w:r w:rsidRPr="006C6550">
          <w:t>January 1, 2004</w:t>
        </w:r>
      </w:smartTag>
      <w:r w:rsidRPr="006C6550">
        <w:t xml:space="preserve"> the blending will have reached 40%.  The assorted transition features have been in effect for three years.  The costs of new high voltage facilities are now being shared 100% by all loads on the ISO Controlled Grid.  While the TAC clearly should not contain provisions which are unjust and unreasonable as they are applied today, and as they may be effective in the next few years,</w:t>
      </w:r>
      <w:r>
        <w:rPr>
          <w:b/>
          <w:vertAlign w:val="superscript"/>
        </w:rPr>
        <w:footnoteReference w:id="165"/>
      </w:r>
      <w:r>
        <w:t xml:space="preserve"> </w:t>
      </w:r>
      <w:r w:rsidRPr="006C6550">
        <w:t>the record reflects that as a result of many factors both internal and external to the ISO’</w:t>
      </w:r>
      <w:r>
        <w:t xml:space="preserve">s current TAC proposal, </w:t>
      </w:r>
      <w:r w:rsidRPr="006C6550">
        <w:t xml:space="preserve">the near-term effects of the TAC will be much more modest than the Commission and the parties contemplated at the time of the hearing order.  Certainly, the impact of the TAC to date has been relatively modest and supports a recommendation that further modifications to the TAC be made only prospectively. </w:t>
      </w:r>
    </w:p>
    <w:p w14:paraId="4E12D4C4" w14:textId="77777777" w:rsidR="00824130" w:rsidRPr="006C6550" w:rsidRDefault="00824130">
      <w:r w:rsidRPr="006C6550">
        <w:br w:type="page"/>
      </w:r>
    </w:p>
    <w:p w14:paraId="4379540C" w14:textId="77777777" w:rsidR="00824130" w:rsidRPr="007F7755" w:rsidRDefault="00824130">
      <w:pPr>
        <w:jc w:val="center"/>
        <w:rPr>
          <w:rFonts w:ascii="Times New Roman Bold" w:hAnsi="Times New Roman Bold"/>
          <w:b/>
        </w:rPr>
      </w:pPr>
      <w:r w:rsidRPr="007F7755">
        <w:rPr>
          <w:rFonts w:ascii="Times New Roman Bold" w:hAnsi="Times New Roman Bold"/>
          <w:b/>
        </w:rPr>
        <w:t>ORDER</w:t>
      </w:r>
    </w:p>
    <w:p w14:paraId="209A18F8" w14:textId="77777777" w:rsidR="00824130" w:rsidRPr="006C6550" w:rsidRDefault="00824130"/>
    <w:p w14:paraId="52BC95F1" w14:textId="77777777" w:rsidR="00824130" w:rsidRPr="006C6550" w:rsidRDefault="00824130">
      <w:r w:rsidRPr="007F7755">
        <w:rPr>
          <w:rStyle w:val="StyleBold"/>
          <w:b w:val="0"/>
        </w:rPr>
        <w:t xml:space="preserve">IT IS ORDERED, </w:t>
      </w:r>
      <w:r w:rsidRPr="006C6550">
        <w:t>subject to review by the Commission on exceptions or on its own motion, as provided by the Commission</w:t>
      </w:r>
      <w:smartTag w:uri="urn:schemas-microsoft-com:office:smarttags" w:element="PersonName">
        <w:r w:rsidRPr="006C6550">
          <w:t>'</w:t>
        </w:r>
      </w:smartTag>
      <w:r w:rsidRPr="006C6550">
        <w:t xml:space="preserve">s Rules of Practice and Procedure, that within thirty days of the issuance of the Final Order in this proceeding, all parties shall take appropriate action to implement all the rulings in this decision.  All arguments made by the participants, which have not been discussed and/or adopted by this decision have been considered and are rejected. </w:t>
      </w:r>
    </w:p>
    <w:p w14:paraId="27D13311" w14:textId="77777777" w:rsidR="00824130" w:rsidRPr="006C6550" w:rsidRDefault="00824130"/>
    <w:p w14:paraId="1FA0D7F6" w14:textId="77777777" w:rsidR="00824130" w:rsidRDefault="00824130">
      <w:pPr>
        <w:widowControl/>
        <w:rPr>
          <w:rFonts w:ascii="GoudyOlSt BT" w:hAnsi="GoudyOlSt BT" w:cs="GoudyOlSt BT"/>
        </w:rPr>
      </w:pPr>
    </w:p>
    <w:p w14:paraId="7889C876" w14:textId="77777777" w:rsidR="00824130" w:rsidRDefault="00824130">
      <w:pPr>
        <w:widowControl/>
        <w:rPr>
          <w:rFonts w:ascii="GoudyOlSt BT" w:hAnsi="GoudyOlSt BT" w:cs="GoudyOlSt BT"/>
        </w:rPr>
      </w:pPr>
    </w:p>
    <w:p w14:paraId="58DC5DBD" w14:textId="77777777" w:rsidR="00824130" w:rsidRPr="007F7755" w:rsidRDefault="00824130">
      <w:pPr>
        <w:widowControl/>
        <w:ind w:firstLine="3600"/>
        <w:rPr>
          <w:rFonts w:ascii="Times New Roman Bold" w:hAnsi="Times New Roman Bold" w:cs="GoudyOlSt BT"/>
          <w:b/>
          <w:bCs/>
        </w:rPr>
      </w:pPr>
      <w:r w:rsidRPr="007F7755">
        <w:rPr>
          <w:rFonts w:ascii="Times New Roman Bold" w:hAnsi="Times New Roman Bold" w:cs="GoudyOlSt BT"/>
          <w:b/>
          <w:bCs/>
        </w:rPr>
        <w:t>Bobbie J. McCartney</w:t>
      </w:r>
    </w:p>
    <w:p w14:paraId="1904F3B4" w14:textId="77777777" w:rsidR="00824130" w:rsidRPr="007F7755" w:rsidRDefault="00824130">
      <w:pPr>
        <w:widowControl/>
        <w:ind w:firstLine="2880"/>
        <w:rPr>
          <w:rFonts w:ascii="Times New Roman Bold" w:hAnsi="Times New Roman Bold" w:cs="GoudyOlSt BT"/>
          <w:b/>
          <w:bCs/>
        </w:rPr>
      </w:pPr>
      <w:r w:rsidRPr="007F7755">
        <w:rPr>
          <w:rFonts w:ascii="Times New Roman Bold" w:hAnsi="Times New Roman Bold" w:cs="GoudyOlSt BT"/>
          <w:b/>
          <w:bCs/>
        </w:rPr>
        <w:t>Presiding Administrative Law Judge</w:t>
      </w:r>
    </w:p>
    <w:p w14:paraId="6E060446" w14:textId="77777777" w:rsidR="00824130" w:rsidRDefault="00824130">
      <w:pPr>
        <w:widowControl/>
        <w:rPr>
          <w:rFonts w:ascii="GoudyOlSt BT" w:hAnsi="GoudyOlSt BT" w:cs="GoudyOlSt BT"/>
        </w:rPr>
      </w:pPr>
    </w:p>
    <w:p w14:paraId="77DEE0FF" w14:textId="77777777" w:rsidR="00824130" w:rsidRPr="006C6550" w:rsidRDefault="00824130"/>
    <w:p w14:paraId="3C6A824F" w14:textId="77777777" w:rsidR="00824130" w:rsidRPr="006C6550" w:rsidRDefault="00824130"/>
    <w:p w14:paraId="5D15EB49" w14:textId="77777777" w:rsidR="00824130" w:rsidRPr="006C6550" w:rsidRDefault="00824130"/>
    <w:p w14:paraId="2CF04083" w14:textId="77777777" w:rsidR="00824130" w:rsidRPr="00D80201" w:rsidRDefault="00824130">
      <w:pPr>
        <w:pStyle w:val="BodyTextFirstIndent"/>
        <w:widowControl/>
        <w:ind w:firstLine="720"/>
        <w:rPr>
          <w:color w:val="000000"/>
          <w:szCs w:val="26"/>
        </w:rPr>
      </w:pPr>
    </w:p>
    <w:p w14:paraId="17E7B823" w14:textId="77777777" w:rsidR="00824130" w:rsidRPr="00D80201" w:rsidRDefault="00824130">
      <w:pPr>
        <w:pStyle w:val="BodyTextFirstIndent"/>
        <w:widowControl/>
        <w:ind w:firstLine="720"/>
        <w:rPr>
          <w:color w:val="000000"/>
          <w:szCs w:val="26"/>
        </w:rPr>
      </w:pPr>
    </w:p>
    <w:p w14:paraId="2F8FC253" w14:textId="77777777" w:rsidR="00824130" w:rsidRPr="00D80201" w:rsidRDefault="00824130">
      <w:pPr>
        <w:pStyle w:val="BodyTextFirstIndent"/>
        <w:widowControl/>
        <w:ind w:firstLine="720"/>
        <w:rPr>
          <w:color w:val="000000"/>
          <w:szCs w:val="26"/>
        </w:rPr>
      </w:pPr>
    </w:p>
    <w:p w14:paraId="391EB90D" w14:textId="77777777" w:rsidR="00824130" w:rsidRPr="00D80201" w:rsidRDefault="00824130">
      <w:pPr>
        <w:pStyle w:val="BodyTextFirstIndent"/>
        <w:widowControl/>
        <w:ind w:firstLine="0"/>
        <w:rPr>
          <w:color w:val="000000"/>
          <w:szCs w:val="26"/>
        </w:rPr>
      </w:pPr>
    </w:p>
    <w:p w14:paraId="6AAE0BD3" w14:textId="77777777" w:rsidR="00824130" w:rsidRPr="00D80201" w:rsidRDefault="00824130">
      <w:pPr>
        <w:pStyle w:val="BodyTextFirstIndent"/>
        <w:widowControl/>
        <w:ind w:firstLine="720"/>
        <w:rPr>
          <w:color w:val="000000"/>
          <w:szCs w:val="26"/>
        </w:rPr>
      </w:pPr>
    </w:p>
    <w:p w14:paraId="32089145" w14:textId="77777777" w:rsidR="00824130" w:rsidRPr="00D80201" w:rsidRDefault="00824130">
      <w:pPr>
        <w:pStyle w:val="BodyTextFirstIndent"/>
        <w:widowControl/>
        <w:ind w:firstLine="720"/>
        <w:rPr>
          <w:color w:val="000000"/>
          <w:szCs w:val="26"/>
        </w:rPr>
      </w:pPr>
    </w:p>
    <w:p w14:paraId="0DB9C1F6" w14:textId="77777777" w:rsidR="00824130" w:rsidRPr="00D80201" w:rsidRDefault="00824130">
      <w:pPr>
        <w:pStyle w:val="BodyText"/>
        <w:rPr>
          <w:color w:val="000000"/>
          <w:sz w:val="26"/>
          <w:szCs w:val="26"/>
        </w:rPr>
      </w:pPr>
    </w:p>
    <w:p w14:paraId="2A52AF31" w14:textId="77777777" w:rsidR="00824130" w:rsidRPr="00D80201" w:rsidRDefault="00824130">
      <w:pPr>
        <w:pStyle w:val="BodyText"/>
        <w:rPr>
          <w:color w:val="000000"/>
          <w:sz w:val="26"/>
          <w:szCs w:val="26"/>
        </w:rPr>
      </w:pPr>
    </w:p>
    <w:p w14:paraId="4117C6D0" w14:textId="77777777" w:rsidR="00824130" w:rsidRPr="00D80201" w:rsidRDefault="00824130">
      <w:pPr>
        <w:rPr>
          <w:color w:val="000000"/>
          <w:szCs w:val="26"/>
        </w:rPr>
      </w:pPr>
    </w:p>
    <w:p w14:paraId="4832F580" w14:textId="77777777" w:rsidR="00824130" w:rsidRPr="00D80201" w:rsidRDefault="00824130">
      <w:pPr>
        <w:rPr>
          <w:color w:val="000000"/>
          <w:szCs w:val="26"/>
        </w:rPr>
      </w:pPr>
    </w:p>
    <w:p w14:paraId="66010477" w14:textId="77777777" w:rsidR="00824130" w:rsidRPr="00D80201" w:rsidRDefault="00824130">
      <w:pPr>
        <w:rPr>
          <w:color w:val="000000"/>
          <w:szCs w:val="26"/>
        </w:rPr>
      </w:pPr>
    </w:p>
    <w:p w14:paraId="501548AF" w14:textId="77777777" w:rsidR="00824130" w:rsidRPr="00D80201" w:rsidRDefault="00824130">
      <w:pPr>
        <w:rPr>
          <w:szCs w:val="26"/>
        </w:rPr>
      </w:pPr>
    </w:p>
    <w:sectPr w:rsidR="00824130" w:rsidRPr="00D8020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B349" w14:textId="77777777" w:rsidR="00C05FC1" w:rsidRDefault="00C05FC1">
      <w:r>
        <w:separator/>
      </w:r>
    </w:p>
  </w:endnote>
  <w:endnote w:type="continuationSeparator" w:id="0">
    <w:p w14:paraId="778C1B1E" w14:textId="77777777" w:rsidR="00C05FC1" w:rsidRDefault="00C0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65006D" w:usb1="00000073" w:usb2="00000000" w:usb3="00490000" w:csb0="006F0063" w:csb1="0069006E"/>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P TypographicSymbols">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oudyOlSt BT">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87ED" w14:textId="77777777" w:rsidR="00824130" w:rsidRPr="008B1B1B" w:rsidRDefault="00824130">
    <w:pPr>
      <w:pStyle w:val="Footer"/>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40BE" w14:textId="77777777" w:rsidR="00C05FC1" w:rsidRDefault="00C05FC1">
      <w:r>
        <w:separator/>
      </w:r>
    </w:p>
  </w:footnote>
  <w:footnote w:type="continuationSeparator" w:id="0">
    <w:p w14:paraId="6771D7B3" w14:textId="77777777" w:rsidR="00C05FC1" w:rsidRDefault="00C05FC1">
      <w:r>
        <w:continuationSeparator/>
      </w:r>
    </w:p>
  </w:footnote>
  <w:footnote w:id="1">
    <w:p w14:paraId="760F2CDB" w14:textId="77777777" w:rsidR="00824130" w:rsidRDefault="00824130">
      <w:pPr>
        <w:pStyle w:val="FootnoteText"/>
      </w:pPr>
      <w:r>
        <w:rPr>
          <w:rStyle w:val="FootnoteReference"/>
        </w:rPr>
        <w:footnoteRef/>
      </w:r>
      <w:r w:rsidRPr="001423DD">
        <w:t xml:space="preserve"> All parties and Commission Staff have either joined in or do not oppose this Joint Statement of Procedural History.</w:t>
      </w:r>
    </w:p>
    <w:p w14:paraId="3F38B350" w14:textId="77777777" w:rsidR="00824130" w:rsidRPr="001423DD" w:rsidRDefault="00824130">
      <w:pPr>
        <w:pStyle w:val="FootnoteText"/>
      </w:pPr>
    </w:p>
  </w:footnote>
  <w:footnote w:id="2">
    <w:p w14:paraId="7D43D14F" w14:textId="77777777" w:rsidR="00824130" w:rsidRDefault="00824130">
      <w:pPr>
        <w:pStyle w:val="FootnoteText"/>
      </w:pPr>
      <w:r>
        <w:rPr>
          <w:rStyle w:val="FootnoteReference"/>
        </w:rPr>
        <w:footnoteRef/>
      </w:r>
      <w:r>
        <w:t xml:space="preserve"> </w:t>
      </w:r>
      <w:r w:rsidRPr="001423DD">
        <w:t>Capitalized terms not otherwise defined are used in the sense given in the Master Definitions Supplement, ISO Tariff Appendix A.</w:t>
      </w:r>
    </w:p>
    <w:p w14:paraId="2DC1CE51" w14:textId="77777777" w:rsidR="00824130" w:rsidRPr="001423DD" w:rsidRDefault="00824130">
      <w:pPr>
        <w:pStyle w:val="FootnoteText"/>
      </w:pPr>
    </w:p>
  </w:footnote>
  <w:footnote w:id="3">
    <w:p w14:paraId="7F14D4C3" w14:textId="77777777" w:rsidR="00824130" w:rsidRDefault="00824130">
      <w:pPr>
        <w:pStyle w:val="FootnoteText"/>
      </w:pPr>
      <w:r>
        <w:rPr>
          <w:rStyle w:val="FootnoteReference"/>
        </w:rPr>
        <w:footnoteRef/>
      </w:r>
      <w:r w:rsidRPr="001423DD">
        <w:t xml:space="preserve"> Subsection 9600(a)(2)(A) of </w:t>
      </w:r>
      <w:smartTag w:uri="urn:schemas-microsoft-com:office:smarttags" w:element="place">
        <w:smartTag w:uri="urn:schemas-microsoft-com:office:smarttags" w:element="State">
          <w:r w:rsidRPr="001423DD">
            <w:t>California</w:t>
          </w:r>
        </w:smartTag>
      </w:smartTag>
      <w:smartTag w:uri="urn:schemas-microsoft-com:office:smarttags" w:element="PersonName">
        <w:r w:rsidRPr="001423DD">
          <w:t>'</w:t>
        </w:r>
      </w:smartTag>
      <w:r w:rsidRPr="001423DD">
        <w:t xml:space="preserve">s A.B. 1890 required the ISO to recommend a new rate methodology within two years after commencement of operations.  Exh. MID-3; </w:t>
      </w:r>
      <w:r w:rsidRPr="00481E41">
        <w:rPr>
          <w:szCs w:val="26"/>
          <w:u w:val="single"/>
        </w:rPr>
        <w:t>see</w:t>
      </w:r>
      <w:r w:rsidRPr="00965679">
        <w:t xml:space="preserve"> </w:t>
      </w:r>
      <w:r w:rsidRPr="00481E41">
        <w:rPr>
          <w:szCs w:val="26"/>
          <w:u w:val="single"/>
        </w:rPr>
        <w:t>also</w:t>
      </w:r>
      <w:r w:rsidRPr="00965679">
        <w:t xml:space="preserve"> Pacific Gas &amp; Elec. Co., et al.</w:t>
      </w:r>
      <w:r w:rsidRPr="001423DD">
        <w:t xml:space="preserve">, 77 FERC ¶61,204 at 61,827 (1996).  </w:t>
      </w:r>
    </w:p>
    <w:p w14:paraId="5D3326C9" w14:textId="77777777" w:rsidR="00824130" w:rsidRPr="001423DD" w:rsidRDefault="00824130">
      <w:pPr>
        <w:pStyle w:val="FootnoteText"/>
      </w:pPr>
    </w:p>
  </w:footnote>
  <w:footnote w:id="4">
    <w:p w14:paraId="0E63E73B" w14:textId="77777777" w:rsidR="00824130" w:rsidRDefault="00824130">
      <w:pPr>
        <w:pStyle w:val="FootnoteText"/>
      </w:pPr>
      <w:r>
        <w:rPr>
          <w:rStyle w:val="FootnoteReference"/>
        </w:rPr>
        <w:footnoteRef/>
      </w:r>
      <w:r w:rsidRPr="001423DD">
        <w:t xml:space="preserve"> </w:t>
      </w:r>
      <w:r w:rsidRPr="00965679">
        <w:t>Pacific Gas &amp; Elec. Co.</w:t>
      </w:r>
      <w:r w:rsidRPr="001423DD">
        <w:t>, 81 FERC ¶ 61,122 (1997).</w:t>
      </w:r>
    </w:p>
    <w:p w14:paraId="29AA7FBA" w14:textId="77777777" w:rsidR="00824130" w:rsidRPr="001423DD" w:rsidRDefault="00824130">
      <w:pPr>
        <w:pStyle w:val="FootnoteText"/>
      </w:pPr>
    </w:p>
  </w:footnote>
  <w:footnote w:id="5">
    <w:p w14:paraId="0CF2CC61" w14:textId="77777777" w:rsidR="00824130" w:rsidRDefault="00824130">
      <w:pPr>
        <w:pStyle w:val="FootnoteText"/>
      </w:pPr>
      <w:r>
        <w:rPr>
          <w:rStyle w:val="FootnoteReference"/>
        </w:rPr>
        <w:footnoteRef/>
      </w:r>
      <w:r w:rsidRPr="001423DD">
        <w:t xml:space="preserve"> The ISO began developing an Access Charge me</w:t>
      </w:r>
      <w:r>
        <w:t>thodology in December 1998.  Ex</w:t>
      </w:r>
      <w:r w:rsidRPr="001423DD">
        <w:t xml:space="preserve">. ISO-1 at 29.  For a year the ISO conducted a stakeholder process.  </w:t>
      </w:r>
      <w:smartTag w:uri="urn:schemas-microsoft-com:office:smarttags" w:element="place">
        <w:smartTag w:uri="urn:schemas-microsoft-com:office:smarttags" w:element="State">
          <w:r w:rsidRPr="00481E41">
            <w:rPr>
              <w:szCs w:val="26"/>
              <w:u w:val="single"/>
            </w:rPr>
            <w:t>Id.</w:t>
          </w:r>
        </w:smartTag>
      </w:smartTag>
      <w:r w:rsidRPr="001423DD">
        <w:t xml:space="preserve"> at 30–32.  The stakeholder group could not reach a consensus.  On October 28, 1999, the ISO Board appointed a TAC Negotiating Group (</w:t>
      </w:r>
      <w:r w:rsidRPr="00481E41">
        <w:rPr>
          <w:szCs w:val="26"/>
          <w:u w:val="single"/>
        </w:rPr>
        <w:t>id.</w:t>
      </w:r>
      <w:r w:rsidRPr="001423DD">
        <w:t xml:space="preserve"> at 47), which consisted of 2 representatives from the End Users, 2 representatives of the Original PTOs and 2 representatives of the potential new PTOs.  </w:t>
      </w:r>
      <w:smartTag w:uri="urn:schemas-microsoft-com:office:smarttags" w:element="place">
        <w:smartTag w:uri="urn:schemas-microsoft-com:office:smarttags" w:element="State">
          <w:r w:rsidRPr="00D71B32">
            <w:rPr>
              <w:u w:val="single"/>
            </w:rPr>
            <w:t>Id.</w:t>
          </w:r>
        </w:smartTag>
      </w:smartTag>
      <w:r>
        <w:t xml:space="preserve"> at 49; </w:t>
      </w:r>
      <w:r w:rsidRPr="001423DD">
        <w:t>The TAC Negotiating Group submitted a proposal to the ISO Board, which was further refined by the End-Us</w:t>
      </w:r>
      <w:r>
        <w:t>e Customer representatives.  Ex. ISO-1 at 18, 56; Ex</w:t>
      </w:r>
      <w:r w:rsidRPr="001423DD">
        <w:t>. ISO-2.  Ultimately, the ISO Board</w:t>
      </w:r>
      <w:r>
        <w:t xml:space="preserve"> approved Amendment No. 27.  Ex</w:t>
      </w:r>
      <w:r w:rsidRPr="001423DD">
        <w:t>. ISO-2.</w:t>
      </w:r>
    </w:p>
    <w:p w14:paraId="5997557E" w14:textId="77777777" w:rsidR="00824130" w:rsidRPr="001423DD" w:rsidRDefault="00824130">
      <w:pPr>
        <w:pStyle w:val="FootnoteText"/>
      </w:pPr>
    </w:p>
  </w:footnote>
  <w:footnote w:id="6">
    <w:p w14:paraId="1DB79BB7" w14:textId="77777777" w:rsidR="00824130" w:rsidRDefault="00824130">
      <w:pPr>
        <w:pStyle w:val="FootnoteText"/>
      </w:pPr>
      <w:r>
        <w:rPr>
          <w:rStyle w:val="FootnoteReference"/>
        </w:rPr>
        <w:footnoteRef/>
      </w:r>
      <w:r w:rsidRPr="001423DD">
        <w:t xml:space="preserve"> High voltage transmission facilities are those transmission facilities in the ISO controlled grid that operate at 200 kV and above.</w:t>
      </w:r>
    </w:p>
    <w:p w14:paraId="27DD8643" w14:textId="77777777" w:rsidR="00824130" w:rsidRPr="001423DD" w:rsidRDefault="00824130">
      <w:pPr>
        <w:pStyle w:val="FootnoteText"/>
      </w:pPr>
    </w:p>
  </w:footnote>
  <w:footnote w:id="7">
    <w:p w14:paraId="78747674" w14:textId="77777777" w:rsidR="00824130" w:rsidRDefault="00824130">
      <w:pPr>
        <w:pStyle w:val="FootnoteText"/>
      </w:pPr>
      <w:r>
        <w:rPr>
          <w:rStyle w:val="FootnoteReference"/>
        </w:rPr>
        <w:footnoteRef/>
      </w:r>
      <w:r w:rsidRPr="001423DD">
        <w:t xml:space="preserve"> In July 1999, the City of </w:t>
      </w:r>
      <w:smartTag w:uri="urn:schemas-microsoft-com:office:smarttags" w:element="place">
        <w:smartTag w:uri="urn:schemas-microsoft-com:office:smarttags" w:element="City">
          <w:r w:rsidRPr="001423DD">
            <w:t>Pasadena</w:t>
          </w:r>
        </w:smartTag>
      </w:smartTag>
      <w:r w:rsidRPr="001423DD">
        <w:t xml:space="preserve"> which was initially its own control area became part of the ISO control area and is part of the East Central TAC area.</w:t>
      </w:r>
    </w:p>
    <w:p w14:paraId="26F1303C" w14:textId="77777777" w:rsidR="00824130" w:rsidRPr="001423DD" w:rsidRDefault="00824130">
      <w:pPr>
        <w:pStyle w:val="FootnoteText"/>
      </w:pPr>
    </w:p>
  </w:footnote>
  <w:footnote w:id="8">
    <w:p w14:paraId="0DD43D73" w14:textId="77777777" w:rsidR="00824130" w:rsidRDefault="00824130">
      <w:pPr>
        <w:pStyle w:val="FootnoteText"/>
      </w:pPr>
      <w:r>
        <w:rPr>
          <w:rStyle w:val="FootnoteReference"/>
        </w:rPr>
        <w:footnoteRef/>
      </w:r>
      <w:r w:rsidRPr="001423DD">
        <w:t xml:space="preserve"> California Department of Water Resources, California Electricity Oversight Board (“CEOB”), California Manufacturers and Technology Association, California Municipal Utilities Association (“CMUA”), California Power Exchange Corporation, Calpine Corporation (“Calpine”), Cities of Anaheim, Azusa, Banning, Colton and Riverside (“Southern Cities”), Cities of Redding, Santa Clara and Palo Alto and the M-S-R Public Power Agency (“Cities/M-S-R”), City of Burbank (“Burbank”) , City of Roseville, City and County of San Francisco (“San Francisco”), City of Vernon (“Vernon”) , Cogeneration Association of California and Energy Producers and Users Coalition (“CAC/EPUC”) , Duke Energy Trading &amp; Marketing, L.L.C., Enron Energy Services, Inc., Glendale Water and Power Department (“Glendale”), Independent Energy Producers Association, Lassen Municipal Utility District (“Lassen”), Los Angeles Department of Water and Power (“LADWP”), The Metropolitan Water District of Southern California (“MWD”) , Modesto Irrigation District (“MID”), Northern California Power Agency (“NCPA”) , Pacific Gas and Electric Company (“PG&amp;E”) , Sacramento Municipal Utility District (“SMUD”) , Sempra Energy, Southern California Edison Company (“SCE”), Southern Energy California, L.L.C., Southern Energy Delta, L.L.C. , Southern Energy Potrero, L.L.C. , State Water Contractors , Transmission Agency of Northern California (“TANC”), Trinity Public Utility District, Turlock Irrigation District (“Turlock”), Utility Reform Network, (“TURN”), Western Area Power Administration (“WAPA”), Williams Energy &amp; Marketing Company (“Williams”).  Imperial Irrigation District (“IID”) filed a Motion to Intervene Out-of-Time on </w:t>
      </w:r>
      <w:smartTag w:uri="urn:schemas-microsoft-com:office:smarttags" w:element="date">
        <w:smartTagPr>
          <w:attr w:name="Month" w:val="6"/>
          <w:attr w:name="Day" w:val="30"/>
          <w:attr w:name="Year" w:val="2000"/>
        </w:smartTagPr>
        <w:r w:rsidRPr="001423DD">
          <w:t>June 30, 2000</w:t>
        </w:r>
      </w:smartTag>
      <w:r w:rsidRPr="001423DD">
        <w:t>.  Untimely motions to intervene were filed by Dynegy Power Marketing, Inc., the U.S. Department of Energy Oakland Operations Office and the California Large Energy Consumers Association.  The California Department of Water Resources in the course of the proceedings has indicated that the interests represented are those of the function known as the California Department of Water Resources - State Water Project (“SWP”).</w:t>
      </w:r>
    </w:p>
    <w:p w14:paraId="22461B7A" w14:textId="77777777" w:rsidR="00824130" w:rsidRPr="001423DD" w:rsidRDefault="00824130">
      <w:pPr>
        <w:pStyle w:val="FootnoteText"/>
      </w:pPr>
    </w:p>
    <w:p w14:paraId="7698E1B9" w14:textId="77777777" w:rsidR="00824130" w:rsidRPr="001423DD" w:rsidRDefault="00824130">
      <w:pPr>
        <w:pStyle w:val="FootnoteText"/>
      </w:pPr>
      <w:r w:rsidRPr="001423DD">
        <w:t>Notices of withdrawal from the proceeding were provided to the Commission by LADWP (</w:t>
      </w:r>
      <w:smartTag w:uri="urn:schemas-microsoft-com:office:smarttags" w:element="date">
        <w:smartTagPr>
          <w:attr w:name="Month" w:val="1"/>
          <w:attr w:name="Day" w:val="15"/>
          <w:attr w:name="Year" w:val="2003"/>
        </w:smartTagPr>
        <w:r w:rsidRPr="001423DD">
          <w:t>January 15, 2003</w:t>
        </w:r>
      </w:smartTag>
      <w:r w:rsidRPr="001423DD">
        <w:t xml:space="preserve">), </w:t>
      </w:r>
      <w:smartTag w:uri="urn:schemas-microsoft-com:office:smarttags" w:element="place">
        <w:smartTag w:uri="urn:schemas-microsoft-com:office:smarttags" w:element="City">
          <w:r w:rsidRPr="001423DD">
            <w:t>Turlock</w:t>
          </w:r>
        </w:smartTag>
      </w:smartTag>
      <w:r w:rsidRPr="001423DD">
        <w:t xml:space="preserve"> (</w:t>
      </w:r>
      <w:smartTag w:uri="urn:schemas-microsoft-com:office:smarttags" w:element="date">
        <w:smartTagPr>
          <w:attr w:name="Month" w:val="1"/>
          <w:attr w:name="Day" w:val="23"/>
          <w:attr w:name="Year" w:val="2003"/>
        </w:smartTagPr>
        <w:r w:rsidRPr="001423DD">
          <w:t>January 23, 2003</w:t>
        </w:r>
      </w:smartTag>
      <w:r w:rsidRPr="001423DD">
        <w:t xml:space="preserve">), </w:t>
      </w:r>
      <w:smartTag w:uri="urn:schemas-microsoft-com:office:smarttags" w:element="place">
        <w:smartTag w:uri="urn:schemas-microsoft-com:office:smarttags" w:element="City">
          <w:r w:rsidRPr="001423DD">
            <w:t>Glendale</w:t>
          </w:r>
        </w:smartTag>
      </w:smartTag>
      <w:r w:rsidRPr="001423DD">
        <w:t xml:space="preserve"> (</w:t>
      </w:r>
      <w:smartTag w:uri="urn:schemas-microsoft-com:office:smarttags" w:element="date">
        <w:smartTagPr>
          <w:attr w:name="Month" w:val="1"/>
          <w:attr w:name="Day" w:val="28"/>
          <w:attr w:name="Year" w:val="2003"/>
        </w:smartTagPr>
        <w:r w:rsidRPr="001423DD">
          <w:t>January 28, 2003</w:t>
        </w:r>
      </w:smartTag>
      <w:r w:rsidRPr="001423DD">
        <w:t xml:space="preserve">), </w:t>
      </w:r>
      <w:smartTag w:uri="urn:schemas-microsoft-com:office:smarttags" w:element="place">
        <w:smartTag w:uri="urn:schemas-microsoft-com:office:smarttags" w:element="City">
          <w:r w:rsidRPr="001423DD">
            <w:t>Burbank</w:t>
          </w:r>
        </w:smartTag>
      </w:smartTag>
      <w:r w:rsidRPr="001423DD">
        <w:t xml:space="preserve"> (</w:t>
      </w:r>
      <w:smartTag w:uri="urn:schemas-microsoft-com:office:smarttags" w:element="date">
        <w:smartTagPr>
          <w:attr w:name="Month" w:val="1"/>
          <w:attr w:name="Day" w:val="28"/>
          <w:attr w:name="Year" w:val="2003"/>
        </w:smartTagPr>
        <w:r w:rsidRPr="001423DD">
          <w:t>January 28, 2003</w:t>
        </w:r>
      </w:smartTag>
      <w:r w:rsidRPr="001423DD">
        <w:t>), IID (</w:t>
      </w:r>
      <w:smartTag w:uri="urn:schemas-microsoft-com:office:smarttags" w:element="date">
        <w:smartTagPr>
          <w:attr w:name="Month" w:val="1"/>
          <w:attr w:name="Day" w:val="30"/>
          <w:attr w:name="Year" w:val="2003"/>
        </w:smartTagPr>
        <w:r w:rsidRPr="001423DD">
          <w:t>January 30, 2003</w:t>
        </w:r>
      </w:smartTag>
      <w:r w:rsidRPr="001423DD">
        <w:t>), SMUD (</w:t>
      </w:r>
      <w:smartTag w:uri="urn:schemas-microsoft-com:office:smarttags" w:element="date">
        <w:smartTagPr>
          <w:attr w:name="Month" w:val="1"/>
          <w:attr w:name="Day" w:val="27"/>
          <w:attr w:name="Year" w:val="2003"/>
        </w:smartTagPr>
        <w:r w:rsidRPr="001423DD">
          <w:t>January 27, 2003</w:t>
        </w:r>
      </w:smartTag>
      <w:r w:rsidRPr="001423DD">
        <w:t xml:space="preserve">), and City of </w:t>
      </w:r>
      <w:smartTag w:uri="urn:schemas-microsoft-com:office:smarttags" w:element="place">
        <w:smartTag w:uri="urn:schemas-microsoft-com:office:smarttags" w:element="City">
          <w:r w:rsidRPr="001423DD">
            <w:t>Redding</w:t>
          </w:r>
        </w:smartTag>
      </w:smartTag>
      <w:r w:rsidRPr="001423DD">
        <w:t xml:space="preserve"> (</w:t>
      </w:r>
      <w:smartTag w:uri="urn:schemas-microsoft-com:office:smarttags" w:element="date">
        <w:smartTagPr>
          <w:attr w:name="Month" w:val="2"/>
          <w:attr w:name="Day" w:val="2"/>
          <w:attr w:name="Year" w:val="2003"/>
        </w:smartTagPr>
        <w:r w:rsidRPr="001423DD">
          <w:t>February 2, 2003</w:t>
        </w:r>
      </w:smartTag>
      <w:r w:rsidRPr="001423DD">
        <w:t>).</w:t>
      </w:r>
    </w:p>
  </w:footnote>
  <w:footnote w:id="9">
    <w:p w14:paraId="62185E35" w14:textId="77777777" w:rsidR="00824130" w:rsidRDefault="00824130">
      <w:pPr>
        <w:pStyle w:val="FootnoteText"/>
      </w:pPr>
      <w:r>
        <w:rPr>
          <w:rStyle w:val="FootnoteReference"/>
        </w:rPr>
        <w:footnoteRef/>
      </w:r>
      <w:r w:rsidRPr="001423DD">
        <w:t xml:space="preserve"> The parties convened under the auspices of Settlement Judge procedures on July 12–13 &amp; 14, 2000; </w:t>
      </w:r>
      <w:smartTag w:uri="urn:schemas-microsoft-com:office:smarttags" w:element="date">
        <w:smartTagPr>
          <w:attr w:name="Month" w:val="8"/>
          <w:attr w:name="Day" w:val="10"/>
          <w:attr w:name="Year" w:val="2000"/>
        </w:smartTagPr>
        <w:r w:rsidRPr="001423DD">
          <w:t>August 10–11, 2000</w:t>
        </w:r>
      </w:smartTag>
      <w:r w:rsidRPr="001423DD">
        <w:t xml:space="preserve">; </w:t>
      </w:r>
      <w:smartTag w:uri="urn:schemas-microsoft-com:office:smarttags" w:element="date">
        <w:smartTagPr>
          <w:attr w:name="Month" w:val="11"/>
          <w:attr w:name="Day" w:val="2"/>
          <w:attr w:name="Year" w:val="2000"/>
        </w:smartTagPr>
        <w:r w:rsidRPr="001423DD">
          <w:t>November 2–3, 2000</w:t>
        </w:r>
      </w:smartTag>
      <w:r w:rsidRPr="001423DD">
        <w:t xml:space="preserve">; </w:t>
      </w:r>
      <w:smartTag w:uri="urn:schemas-microsoft-com:office:smarttags" w:element="date">
        <w:smartTagPr>
          <w:attr w:name="Month" w:val="12"/>
          <w:attr w:name="Day" w:val="11"/>
          <w:attr w:name="Year" w:val="2000"/>
        </w:smartTagPr>
        <w:r w:rsidRPr="001423DD">
          <w:t>December 11–12, 2000</w:t>
        </w:r>
      </w:smartTag>
      <w:r w:rsidRPr="001423DD">
        <w:t xml:space="preserve">; </w:t>
      </w:r>
      <w:smartTag w:uri="urn:schemas-microsoft-com:office:smarttags" w:element="date">
        <w:smartTagPr>
          <w:attr w:name="Month" w:val="3"/>
          <w:attr w:name="Day" w:val="7"/>
          <w:attr w:name="Year" w:val="2001"/>
        </w:smartTagPr>
        <w:r w:rsidRPr="001423DD">
          <w:t>March 7–8, 2001</w:t>
        </w:r>
      </w:smartTag>
      <w:r w:rsidRPr="001423DD">
        <w:t xml:space="preserve">; </w:t>
      </w:r>
      <w:smartTag w:uri="urn:schemas-microsoft-com:office:smarttags" w:element="date">
        <w:smartTagPr>
          <w:attr w:name="Month" w:val="4"/>
          <w:attr w:name="Day" w:val="5"/>
          <w:attr w:name="Year" w:val="2001"/>
        </w:smartTagPr>
        <w:r w:rsidRPr="001423DD">
          <w:t>April 5–6, 2001</w:t>
        </w:r>
      </w:smartTag>
      <w:r w:rsidRPr="001423DD">
        <w:t xml:space="preserve">; </w:t>
      </w:r>
      <w:smartTag w:uri="urn:schemas-microsoft-com:office:smarttags" w:element="date">
        <w:smartTagPr>
          <w:attr w:name="Month" w:val="6"/>
          <w:attr w:name="Day" w:val="20"/>
          <w:attr w:name="Year" w:val="2001"/>
        </w:smartTagPr>
        <w:r w:rsidRPr="001423DD">
          <w:t>June 20–21, 2001</w:t>
        </w:r>
      </w:smartTag>
      <w:r w:rsidRPr="001423DD">
        <w:t xml:space="preserve">; </w:t>
      </w:r>
      <w:smartTag w:uri="urn:schemas-microsoft-com:office:smarttags" w:element="date">
        <w:smartTagPr>
          <w:attr w:name="Month" w:val="8"/>
          <w:attr w:name="Day" w:val="27"/>
          <w:attr w:name="Year" w:val="2001"/>
        </w:smartTagPr>
        <w:r w:rsidRPr="001423DD">
          <w:t>August 27–28, 2001</w:t>
        </w:r>
      </w:smartTag>
      <w:r w:rsidRPr="001423DD">
        <w:t xml:space="preserve">; </w:t>
      </w:r>
      <w:smartTag w:uri="urn:schemas-microsoft-com:office:smarttags" w:element="date">
        <w:smartTagPr>
          <w:attr w:name="Month" w:val="10"/>
          <w:attr w:name="Day" w:val="25"/>
          <w:attr w:name="Year" w:val="2001"/>
        </w:smartTagPr>
        <w:r w:rsidRPr="001423DD">
          <w:t>October 25–26, 2001</w:t>
        </w:r>
      </w:smartTag>
      <w:r w:rsidRPr="001423DD">
        <w:t xml:space="preserve"> and </w:t>
      </w:r>
      <w:smartTag w:uri="urn:schemas-microsoft-com:office:smarttags" w:element="date">
        <w:smartTagPr>
          <w:attr w:name="Month" w:val="10"/>
          <w:attr w:name="Day" w:val="31"/>
          <w:attr w:name="Year" w:val="2002"/>
        </w:smartTagPr>
        <w:r w:rsidRPr="001423DD">
          <w:t>October 31, 2002</w:t>
        </w:r>
      </w:smartTag>
      <w:r w:rsidRPr="001423DD">
        <w:t xml:space="preserve">.  The Chief Judge filed interim Progress Reports on August, 28, 2000; </w:t>
      </w:r>
      <w:smartTag w:uri="urn:schemas-microsoft-com:office:smarttags" w:element="date">
        <w:smartTagPr>
          <w:attr w:name="Month" w:val="11"/>
          <w:attr w:name="Day" w:val="30"/>
          <w:attr w:name="Year" w:val="2000"/>
        </w:smartTagPr>
        <w:r w:rsidRPr="001423DD">
          <w:t>November 30, 2000</w:t>
        </w:r>
      </w:smartTag>
      <w:r w:rsidRPr="001423DD">
        <w:t xml:space="preserve">; </w:t>
      </w:r>
      <w:smartTag w:uri="urn:schemas-microsoft-com:office:smarttags" w:element="date">
        <w:smartTagPr>
          <w:attr w:name="Month" w:val="1"/>
          <w:attr w:name="Day" w:val="29"/>
          <w:attr w:name="Year" w:val="2001"/>
        </w:smartTagPr>
        <w:r w:rsidRPr="001423DD">
          <w:t>January 29, 2001</w:t>
        </w:r>
      </w:smartTag>
      <w:r w:rsidRPr="001423DD">
        <w:t xml:space="preserve">; March 38, 2001; </w:t>
      </w:r>
      <w:smartTag w:uri="urn:schemas-microsoft-com:office:smarttags" w:element="date">
        <w:smartTagPr>
          <w:attr w:name="Month" w:val="6"/>
          <w:attr w:name="Day" w:val="7"/>
          <w:attr w:name="Year" w:val="2001"/>
        </w:smartTagPr>
        <w:r w:rsidRPr="001423DD">
          <w:t>June 7, 2001</w:t>
        </w:r>
      </w:smartTag>
      <w:r w:rsidRPr="001423DD">
        <w:t xml:space="preserve">; </w:t>
      </w:r>
      <w:smartTag w:uri="urn:schemas-microsoft-com:office:smarttags" w:element="date">
        <w:smartTagPr>
          <w:attr w:name="Month" w:val="8"/>
          <w:attr w:name="Day" w:val="9"/>
          <w:attr w:name="Year" w:val="2001"/>
        </w:smartTagPr>
        <w:r w:rsidRPr="001423DD">
          <w:t>August 9, 2001</w:t>
        </w:r>
      </w:smartTag>
      <w:r w:rsidRPr="001423DD">
        <w:t xml:space="preserve">; </w:t>
      </w:r>
      <w:smartTag w:uri="urn:schemas-microsoft-com:office:smarttags" w:element="date">
        <w:smartTagPr>
          <w:attr w:name="Month" w:val="10"/>
          <w:attr w:name="Day" w:val="18"/>
          <w:attr w:name="Year" w:val="2001"/>
        </w:smartTagPr>
        <w:r w:rsidRPr="001423DD">
          <w:t>October 18, 2001</w:t>
        </w:r>
      </w:smartTag>
      <w:r w:rsidRPr="001423DD">
        <w:t xml:space="preserve">; </w:t>
      </w:r>
      <w:smartTag w:uri="urn:schemas-microsoft-com:office:smarttags" w:element="date">
        <w:smartTagPr>
          <w:attr w:name="Month" w:val="12"/>
          <w:attr w:name="Day" w:val="18"/>
          <w:attr w:name="Year" w:val="2001"/>
        </w:smartTagPr>
        <w:r w:rsidRPr="001423DD">
          <w:t>December 18, 2001</w:t>
        </w:r>
      </w:smartTag>
      <w:r w:rsidRPr="001423DD">
        <w:t xml:space="preserve">; </w:t>
      </w:r>
      <w:smartTag w:uri="urn:schemas-microsoft-com:office:smarttags" w:element="date">
        <w:smartTagPr>
          <w:attr w:name="Month" w:val="3"/>
          <w:attr w:name="Day" w:val="6"/>
          <w:attr w:name="Year" w:val="2002"/>
        </w:smartTagPr>
        <w:r w:rsidRPr="001423DD">
          <w:t>March 6, 2002</w:t>
        </w:r>
      </w:smartTag>
      <w:r w:rsidRPr="001423DD">
        <w:t xml:space="preserve">; </w:t>
      </w:r>
      <w:smartTag w:uri="urn:schemas-microsoft-com:office:smarttags" w:element="date">
        <w:smartTagPr>
          <w:attr w:name="Month" w:val="5"/>
          <w:attr w:name="Day" w:val="6"/>
          <w:attr w:name="Year" w:val="2002"/>
        </w:smartTagPr>
        <w:r w:rsidRPr="001423DD">
          <w:t>May 6, 2002</w:t>
        </w:r>
      </w:smartTag>
      <w:r w:rsidRPr="001423DD">
        <w:t xml:space="preserve">; </w:t>
      </w:r>
      <w:smartTag w:uri="urn:schemas-microsoft-com:office:smarttags" w:element="date">
        <w:smartTagPr>
          <w:attr w:name="Month" w:val="7"/>
          <w:attr w:name="Day" w:val="18"/>
          <w:attr w:name="Year" w:val="2002"/>
        </w:smartTagPr>
        <w:r w:rsidRPr="001423DD">
          <w:t>July 18, 2002</w:t>
        </w:r>
      </w:smartTag>
      <w:r w:rsidRPr="001423DD">
        <w:t xml:space="preserve"> and </w:t>
      </w:r>
      <w:smartTag w:uri="urn:schemas-microsoft-com:office:smarttags" w:element="date">
        <w:smartTagPr>
          <w:attr w:name="Month" w:val="9"/>
          <w:attr w:name="Day" w:val="30"/>
          <w:attr w:name="Year" w:val="2002"/>
        </w:smartTagPr>
        <w:r w:rsidRPr="001423DD">
          <w:t>September 30, 2002</w:t>
        </w:r>
      </w:smartTag>
      <w:r w:rsidRPr="001423DD">
        <w:t xml:space="preserve">.  On </w:t>
      </w:r>
      <w:smartTag w:uri="urn:schemas-microsoft-com:office:smarttags" w:element="date">
        <w:smartTagPr>
          <w:attr w:name="Month" w:val="11"/>
          <w:attr w:name="Day" w:val="2"/>
          <w:attr w:name="Year" w:val="2000"/>
        </w:smartTagPr>
        <w:r w:rsidRPr="001423DD">
          <w:t>November 2, 2000</w:t>
        </w:r>
      </w:smartTag>
      <w:r w:rsidRPr="001423DD">
        <w:t xml:space="preserve">, the Chief Judge permitted the late intervention of the City of </w:t>
      </w:r>
      <w:smartTag w:uri="urn:schemas-microsoft-com:office:smarttags" w:element="place">
        <w:smartTag w:uri="urn:schemas-microsoft-com:office:smarttags" w:element="City">
          <w:r w:rsidRPr="001423DD">
            <w:t>San Diego</w:t>
          </w:r>
        </w:smartTag>
      </w:smartTag>
      <w:r w:rsidRPr="001423DD">
        <w:t>.</w:t>
      </w:r>
    </w:p>
    <w:p w14:paraId="5BE2F596" w14:textId="77777777" w:rsidR="00824130" w:rsidRPr="001423DD" w:rsidRDefault="00824130">
      <w:pPr>
        <w:pStyle w:val="FootnoteText"/>
      </w:pPr>
    </w:p>
  </w:footnote>
  <w:footnote w:id="10">
    <w:p w14:paraId="2CF46FA2" w14:textId="77777777" w:rsidR="00824130" w:rsidRPr="001423DD" w:rsidRDefault="00824130">
      <w:pPr>
        <w:pStyle w:val="FootnoteText"/>
      </w:pPr>
      <w:r>
        <w:rPr>
          <w:rStyle w:val="FootnoteReference"/>
        </w:rPr>
        <w:footnoteRef/>
      </w:r>
      <w:r w:rsidRPr="001423DD">
        <w:t xml:space="preserve"> By order issued April 19, 2001, the Commission granted clarification, upon request of SWP, that “the issues relating to the appropriate rate design of the [L]ow [V]oltage [A]ccess [C]harge for each Participating Transmission Owner are to be addressed in the proceeding established in Docket No. ER01-831-000, </w:t>
      </w:r>
      <w:r w:rsidRPr="001423DD">
        <w:rPr>
          <w:i/>
        </w:rPr>
        <w:t>et at</w:t>
      </w:r>
      <w:r w:rsidRPr="001423DD">
        <w:t xml:space="preserve"> [sic].”</w:t>
      </w:r>
      <w:r w:rsidRPr="001423DD">
        <w:rPr>
          <w:i/>
        </w:rPr>
        <w:t xml:space="preserve">  </w:t>
      </w:r>
      <w:smartTag w:uri="urn:schemas-microsoft-com:office:smarttags" w:element="place">
        <w:smartTag w:uri="urn:schemas-microsoft-com:office:smarttags" w:element="State">
          <w:r w:rsidRPr="00965679">
            <w:t>Cal.</w:t>
          </w:r>
        </w:smartTag>
      </w:smartTag>
      <w:r w:rsidRPr="00965679">
        <w:t xml:space="preserve"> Indep. Sys. Operator Corp.</w:t>
      </w:r>
      <w:r w:rsidRPr="001423DD">
        <w:rPr>
          <w:i/>
        </w:rPr>
        <w:t>,</w:t>
      </w:r>
      <w:r w:rsidRPr="001423DD">
        <w:t xml:space="preserve"> 95 FERC ¶ 61,090 at 61,268 (2001).</w:t>
      </w:r>
    </w:p>
  </w:footnote>
  <w:footnote w:id="11">
    <w:p w14:paraId="386B6228" w14:textId="77777777" w:rsidR="00824130" w:rsidRPr="001423DD" w:rsidRDefault="00824130">
      <w:pPr>
        <w:pStyle w:val="FootnoteText"/>
      </w:pPr>
      <w:r w:rsidRPr="001423DD">
        <w:rPr>
          <w:rStyle w:val="FootnoteReference"/>
        </w:rPr>
        <w:footnoteRef/>
      </w:r>
      <w:r w:rsidRPr="001423DD">
        <w:t xml:space="preserve"> The following parties filed timely unopposed motions to intervene and comments or protests:  SWP, CMUA, Southern Cities, Cities of Santa Clara and </w:t>
      </w:r>
      <w:smartTag w:uri="urn:schemas-microsoft-com:office:smarttags" w:element="place">
        <w:smartTag w:uri="urn:schemas-microsoft-com:office:smarttags" w:element="City">
          <w:r w:rsidRPr="001423DD">
            <w:t>Palo Alto</w:t>
          </w:r>
        </w:smartTag>
      </w:smartTag>
      <w:r w:rsidRPr="001423DD">
        <w:t xml:space="preserve">, </w:t>
      </w:r>
      <w:smartTag w:uri="urn:schemas-microsoft-com:office:smarttags" w:element="place">
        <w:smartTag w:uri="urn:schemas-microsoft-com:office:smarttags" w:element="City">
          <w:r w:rsidRPr="001423DD">
            <w:t>Vernon</w:t>
          </w:r>
        </w:smartTag>
      </w:smartTag>
      <w:r w:rsidRPr="001423DD">
        <w:t xml:space="preserve">, CAC/EPUC, MWD/State Water Contractors (“SWC”), MID, NCPA, PG&amp;E, SDG&amp;E, SCE, TANC, WAPA, and Williams.  The following parties filed timely unopposed motions to intervene that raised no substantive issues:  CEOB; Dynegy, El Segundo Power, LLC, Long Beach Generation LLC, Cabrillo Power I LLC and Cabrillo Power II LLC.  On </w:t>
      </w:r>
      <w:smartTag w:uri="urn:schemas-microsoft-com:office:smarttags" w:element="date">
        <w:smartTagPr>
          <w:attr w:name="Month" w:val="4"/>
          <w:attr w:name="Day" w:val="2"/>
          <w:attr w:name="Year" w:val="2003"/>
        </w:smartTagPr>
        <w:r w:rsidRPr="001423DD">
          <w:t>April 2, 2003</w:t>
        </w:r>
      </w:smartTag>
      <w:r w:rsidRPr="001423DD">
        <w:t xml:space="preserve">, the </w:t>
      </w:r>
      <w:smartTag w:uri="urn:schemas-microsoft-com:office:smarttags" w:element="place">
        <w:smartTag w:uri="urn:schemas-microsoft-com:office:smarttags" w:element="City">
          <w:r w:rsidRPr="001423DD">
            <w:t>San Francisco</w:t>
          </w:r>
        </w:smartTag>
      </w:smartTag>
      <w:r w:rsidRPr="001423DD">
        <w:t xml:space="preserve"> filed an untimely motion to intervene that raised no substantive issues.</w:t>
      </w:r>
    </w:p>
  </w:footnote>
  <w:footnote w:id="12">
    <w:p w14:paraId="0AA17D3D" w14:textId="77777777" w:rsidR="00824130" w:rsidRDefault="00824130">
      <w:pPr>
        <w:pStyle w:val="FootnoteText"/>
      </w:pPr>
      <w:r>
        <w:rPr>
          <w:rStyle w:val="FootnoteReference"/>
        </w:rPr>
        <w:footnoteRef/>
      </w:r>
      <w:r w:rsidRPr="001423DD">
        <w:t xml:space="preserve"> </w:t>
      </w:r>
      <w:r>
        <w:t xml:space="preserve">SCE Initial Brief at 3 – 5, </w:t>
      </w:r>
      <w:r w:rsidRPr="00F719AA">
        <w:rPr>
          <w:szCs w:val="26"/>
          <w:u w:val="single"/>
        </w:rPr>
        <w:t>citing</w:t>
      </w:r>
      <w:r>
        <w:t xml:space="preserve"> </w:t>
      </w:r>
      <w:r w:rsidRPr="00682C4C">
        <w:t>Cal</w:t>
      </w:r>
      <w:r>
        <w:t>.</w:t>
      </w:r>
      <w:r w:rsidRPr="00682C4C">
        <w:t xml:space="preserve"> Indep. Sys. Operator Corp.,</w:t>
      </w:r>
      <w:r w:rsidRPr="001423DD">
        <w:t xml:space="preserve"> 91 FERC ¶ 61,205 (2000) </w:t>
      </w:r>
      <w:r w:rsidRPr="00682C4C">
        <w:rPr>
          <w:u w:val="single"/>
        </w:rPr>
        <w:t>mimeo</w:t>
      </w:r>
      <w:r w:rsidRPr="001423DD">
        <w:rPr>
          <w:i/>
        </w:rPr>
        <w:t xml:space="preserve"> </w:t>
      </w:r>
      <w:r w:rsidRPr="001423DD">
        <w:t xml:space="preserve">at 6, 11-15; </w:t>
      </w:r>
      <w:r w:rsidRPr="00A77C72">
        <w:t>Cal</w:t>
      </w:r>
      <w:r>
        <w:t>.</w:t>
      </w:r>
      <w:r w:rsidRPr="00A77C72">
        <w:t xml:space="preserve"> Indep. Sys. Operator Corp.</w:t>
      </w:r>
      <w:r w:rsidRPr="001423DD">
        <w:rPr>
          <w:i/>
        </w:rPr>
        <w:t xml:space="preserve">, </w:t>
      </w:r>
      <w:r w:rsidRPr="001423DD">
        <w:t xml:space="preserve">104 FERC ¶ 61,062 at PP 29, 41 (2003).  </w:t>
      </w:r>
    </w:p>
    <w:p w14:paraId="704E456E" w14:textId="77777777" w:rsidR="00824130" w:rsidRPr="001423DD" w:rsidRDefault="00824130">
      <w:pPr>
        <w:pStyle w:val="FootnoteText"/>
      </w:pPr>
    </w:p>
  </w:footnote>
  <w:footnote w:id="13">
    <w:p w14:paraId="05CA769D" w14:textId="77777777" w:rsidR="00824130" w:rsidRDefault="00824130">
      <w:pPr>
        <w:pStyle w:val="FootnoteText"/>
      </w:pPr>
      <w:r>
        <w:rPr>
          <w:rStyle w:val="FootnoteReference"/>
        </w:rPr>
        <w:footnoteRef/>
      </w:r>
      <w:r w:rsidRPr="001423DD">
        <w:t xml:space="preserve"> </w:t>
      </w:r>
      <w:r w:rsidRPr="00682C4C">
        <w:rPr>
          <w:iCs/>
          <w:u w:val="single"/>
        </w:rPr>
        <w:t>See</w:t>
      </w:r>
      <w:r w:rsidRPr="00682C4C">
        <w:rPr>
          <w:iCs/>
        </w:rPr>
        <w:t xml:space="preserve">, </w:t>
      </w:r>
      <w:r w:rsidRPr="00682C4C">
        <w:rPr>
          <w:iCs/>
          <w:u w:val="single"/>
        </w:rPr>
        <w:t>e.g.</w:t>
      </w:r>
      <w:r w:rsidRPr="001423DD">
        <w:rPr>
          <w:iCs/>
        </w:rPr>
        <w:t>,</w:t>
      </w:r>
      <w:r w:rsidRPr="001423DD">
        <w:t xml:space="preserve"> Tr. 1456:17-1457:14 (acknowledged that monetary benefits to new PTOs are “substantial”); SCE-47 at 7 (internal City of </w:t>
      </w:r>
      <w:smartTag w:uri="urn:schemas-microsoft-com:office:smarttags" w:element="place">
        <w:smartTag w:uri="urn:schemas-microsoft-com:office:smarttags" w:element="City">
          <w:r w:rsidRPr="001423DD">
            <w:t>Banning Memorandum</w:t>
          </w:r>
        </w:smartTag>
      </w:smartTag>
      <w:r w:rsidRPr="001423DD">
        <w:t xml:space="preserve"> recognized that joining the ISO would likely produce “substantial benefits”); SCE-49 at 5 (same for City of </w:t>
      </w:r>
      <w:smartTag w:uri="urn:schemas-microsoft-com:office:smarttags" w:element="place">
        <w:smartTag w:uri="urn:schemas-microsoft-com:office:smarttags" w:element="City">
          <w:r w:rsidRPr="001423DD">
            <w:t>Anaheim</w:t>
          </w:r>
        </w:smartTag>
      </w:smartTag>
      <w:r w:rsidRPr="001423DD">
        <w:t xml:space="preserve">); SCE-48 at 2 (estimated benefits of $5-10 million per year for </w:t>
      </w:r>
      <w:smartTag w:uri="urn:schemas-microsoft-com:office:smarttags" w:element="place">
        <w:smartTag w:uri="urn:schemas-microsoft-com:office:smarttags" w:element="City">
          <w:r w:rsidRPr="001423DD">
            <w:t>Riverside</w:t>
          </w:r>
        </w:smartTag>
      </w:smartTag>
      <w:r w:rsidRPr="001423DD">
        <w:t xml:space="preserve"> with total TRR of $19 million).</w:t>
      </w:r>
    </w:p>
    <w:p w14:paraId="43351D02" w14:textId="77777777" w:rsidR="00824130" w:rsidRPr="001423DD" w:rsidRDefault="00824130">
      <w:pPr>
        <w:pStyle w:val="FootnoteText"/>
      </w:pPr>
    </w:p>
  </w:footnote>
  <w:footnote w:id="14">
    <w:p w14:paraId="67A6A380" w14:textId="77777777" w:rsidR="00824130" w:rsidRPr="001423DD" w:rsidRDefault="00824130">
      <w:pPr>
        <w:pStyle w:val="FootnoteText"/>
      </w:pPr>
      <w:r>
        <w:rPr>
          <w:rStyle w:val="FootnoteReference"/>
        </w:rPr>
        <w:footnoteRef/>
      </w:r>
      <w:r w:rsidRPr="001423DD">
        <w:t xml:space="preserve"> 16 U.S.C. §§ 824d - 824e (2003).  </w:t>
      </w:r>
    </w:p>
    <w:p w14:paraId="7EDB542A" w14:textId="77777777" w:rsidR="00824130" w:rsidRPr="001423DD" w:rsidRDefault="00824130">
      <w:pPr>
        <w:pStyle w:val="FootnoteText"/>
      </w:pPr>
    </w:p>
  </w:footnote>
  <w:footnote w:id="15">
    <w:p w14:paraId="3F38DA53" w14:textId="77777777" w:rsidR="00824130" w:rsidRPr="001423DD" w:rsidRDefault="00824130">
      <w:pPr>
        <w:pStyle w:val="FootnoteText"/>
      </w:pPr>
      <w:r>
        <w:rPr>
          <w:rStyle w:val="FootnoteReference"/>
        </w:rPr>
        <w:footnoteRef/>
      </w:r>
      <w:r w:rsidRPr="001423DD">
        <w:t xml:space="preserve"> </w:t>
      </w:r>
      <w:r w:rsidRPr="00682C4C">
        <w:t xml:space="preserve">“Complex” Consolidated </w:t>
      </w:r>
      <w:smartTag w:uri="urn:schemas-microsoft-com:office:smarttags" w:element="place">
        <w:r w:rsidRPr="00682C4C">
          <w:t>Edison</w:t>
        </w:r>
      </w:smartTag>
      <w:r w:rsidRPr="00682C4C">
        <w:t xml:space="preserve"> v. FERC</w:t>
      </w:r>
      <w:r>
        <w:t xml:space="preserve">, 165 F.3d 992 </w:t>
      </w:r>
      <w:r w:rsidRPr="001423DD">
        <w:t>(D.C. Cir. 1999)</w:t>
      </w:r>
      <w:r>
        <w:t>(“</w:t>
      </w:r>
      <w:r w:rsidRPr="001429BD">
        <w:rPr>
          <w:szCs w:val="26"/>
          <w:u w:val="single"/>
        </w:rPr>
        <w:t xml:space="preserve">’Complex’ </w:t>
      </w:r>
      <w:smartTag w:uri="urn:schemas-microsoft-com:office:smarttags" w:element="place">
        <w:r w:rsidRPr="001429BD">
          <w:rPr>
            <w:szCs w:val="26"/>
            <w:u w:val="single"/>
          </w:rPr>
          <w:t>Edison</w:t>
        </w:r>
      </w:smartTag>
      <w:r>
        <w:t>”)</w:t>
      </w:r>
      <w:r w:rsidRPr="001423DD">
        <w:t xml:space="preserve">. </w:t>
      </w:r>
      <w:r>
        <w:t xml:space="preserve"> </w:t>
      </w:r>
      <w:smartTag w:uri="urn:schemas-microsoft-com:office:smarttags" w:element="place">
        <w:smartTag w:uri="urn:schemas-microsoft-com:office:smarttags" w:element="PlaceName">
          <w:r w:rsidRPr="001429BD">
            <w:rPr>
              <w:iCs/>
              <w:szCs w:val="26"/>
              <w:u w:val="single"/>
            </w:rPr>
            <w:t>See</w:t>
          </w:r>
        </w:smartTag>
        <w:r w:rsidRPr="001423DD">
          <w:t xml:space="preserve"> </w:t>
        </w:r>
        <w:smartTag w:uri="urn:schemas-microsoft-com:office:smarttags" w:element="PlaceType">
          <w:r w:rsidRPr="00682C4C">
            <w:t>City</w:t>
          </w:r>
        </w:smartTag>
      </w:smartTag>
      <w:r w:rsidRPr="00682C4C">
        <w:t xml:space="preserve"> of Winnfield v. FERC</w:t>
      </w:r>
      <w:r>
        <w:t>,</w:t>
      </w:r>
      <w:r w:rsidRPr="001423DD">
        <w:t xml:space="preserve"> 744 F.2d 871</w:t>
      </w:r>
      <w:r>
        <w:t>, 875</w:t>
      </w:r>
      <w:r w:rsidRPr="001423DD">
        <w:t xml:space="preserve"> (D.C. Cir. 1984)</w:t>
      </w:r>
      <w:r>
        <w:t>(“</w:t>
      </w:r>
      <w:r w:rsidRPr="001429BD">
        <w:rPr>
          <w:szCs w:val="26"/>
          <w:u w:val="single"/>
        </w:rPr>
        <w:t xml:space="preserve">City of </w:t>
      </w:r>
      <w:smartTag w:uri="urn:schemas-microsoft-com:office:smarttags" w:element="place">
        <w:smartTag w:uri="urn:schemas-microsoft-com:office:smarttags" w:element="City">
          <w:r w:rsidRPr="001429BD">
            <w:rPr>
              <w:szCs w:val="26"/>
              <w:u w:val="single"/>
            </w:rPr>
            <w:t>Winnfield</w:t>
          </w:r>
        </w:smartTag>
      </w:smartTag>
      <w:r>
        <w:t>”)</w:t>
      </w:r>
      <w:r w:rsidRPr="001423DD">
        <w:t xml:space="preserve"> </w:t>
      </w:r>
      <w:r w:rsidRPr="00682C4C">
        <w:rPr>
          <w:iCs/>
          <w:u w:val="single"/>
        </w:rPr>
        <w:t>citing</w:t>
      </w:r>
      <w:r w:rsidRPr="001423DD">
        <w:t xml:space="preserve"> </w:t>
      </w:r>
      <w:r w:rsidRPr="00682C4C">
        <w:t>FPC v. Sierra Pacific</w:t>
      </w:r>
      <w:r>
        <w:t xml:space="preserve"> Power Co.</w:t>
      </w:r>
      <w:r w:rsidRPr="001423DD">
        <w:t xml:space="preserve">, 350 </w:t>
      </w:r>
      <w:smartTag w:uri="urn:schemas-microsoft-com:office:smarttags" w:element="place">
        <w:smartTag w:uri="urn:schemas-microsoft-com:office:smarttags" w:element="country-region">
          <w:r w:rsidRPr="001423DD">
            <w:t>U.S.</w:t>
          </w:r>
        </w:smartTag>
      </w:smartTag>
      <w:r>
        <w:t xml:space="preserve"> 348, 350-51 (1956); </w:t>
      </w:r>
      <w:r w:rsidRPr="00682C4C">
        <w:t>Kansas Cities v. FERC</w:t>
      </w:r>
      <w:r w:rsidRPr="001423DD">
        <w:t>, 232 U.S. App. D.C. 379 (D.C. Cir. 1983).</w:t>
      </w:r>
    </w:p>
    <w:p w14:paraId="031C80CA" w14:textId="77777777" w:rsidR="00824130" w:rsidRPr="001423DD" w:rsidRDefault="00824130">
      <w:pPr>
        <w:pStyle w:val="FootnoteText"/>
      </w:pPr>
    </w:p>
  </w:footnote>
  <w:footnote w:id="16">
    <w:p w14:paraId="778588AA" w14:textId="77777777" w:rsidR="00824130" w:rsidRPr="001423DD" w:rsidRDefault="00824130">
      <w:pPr>
        <w:pStyle w:val="FootnoteText"/>
      </w:pPr>
      <w:r>
        <w:rPr>
          <w:rStyle w:val="FootnoteReference"/>
        </w:rPr>
        <w:footnoteRef/>
      </w:r>
      <w:r w:rsidRPr="001423DD">
        <w:t xml:space="preserve"> </w:t>
      </w:r>
      <w:r w:rsidRPr="001429BD">
        <w:rPr>
          <w:szCs w:val="26"/>
          <w:u w:val="single"/>
        </w:rPr>
        <w:t xml:space="preserve">City of </w:t>
      </w:r>
      <w:smartTag w:uri="urn:schemas-microsoft-com:office:smarttags" w:element="place">
        <w:smartTag w:uri="urn:schemas-microsoft-com:office:smarttags" w:element="City">
          <w:r w:rsidRPr="001429BD">
            <w:rPr>
              <w:szCs w:val="26"/>
              <w:u w:val="single"/>
            </w:rPr>
            <w:t>Winnfield</w:t>
          </w:r>
        </w:smartTag>
      </w:smartTag>
      <w:r>
        <w:t>, 744 F.2d at 875</w:t>
      </w:r>
      <w:r w:rsidRPr="001423DD">
        <w:t>.</w:t>
      </w:r>
    </w:p>
    <w:p w14:paraId="58D8E64F" w14:textId="77777777" w:rsidR="00824130" w:rsidRPr="001423DD" w:rsidRDefault="00824130">
      <w:pPr>
        <w:pStyle w:val="FootnoteText"/>
      </w:pPr>
    </w:p>
  </w:footnote>
  <w:footnote w:id="17">
    <w:p w14:paraId="14083B8B" w14:textId="77777777" w:rsidR="00824130" w:rsidRPr="001423DD" w:rsidRDefault="00824130">
      <w:pPr>
        <w:pStyle w:val="FootnoteText"/>
      </w:pPr>
      <w:r>
        <w:rPr>
          <w:rStyle w:val="FootnoteReference"/>
        </w:rPr>
        <w:footnoteRef/>
      </w:r>
      <w:r w:rsidRPr="001423DD">
        <w:t xml:space="preserve"> </w:t>
      </w:r>
      <w:r w:rsidRPr="00682C4C">
        <w:t>Algonquin Gas</w:t>
      </w:r>
      <w:r>
        <w:t xml:space="preserve"> Transmission Co.</w:t>
      </w:r>
      <w:r w:rsidRPr="00682C4C">
        <w:t xml:space="preserve"> v. FERC</w:t>
      </w:r>
      <w:r w:rsidRPr="001423DD">
        <w:t>, 948 F.2d 1305, 1313 (D.C. Cir.</w:t>
      </w:r>
      <w:r>
        <w:t xml:space="preserve"> </w:t>
      </w:r>
      <w:r w:rsidRPr="001423DD">
        <w:t>1991).</w:t>
      </w:r>
    </w:p>
    <w:p w14:paraId="1AE10AFB" w14:textId="77777777" w:rsidR="00824130" w:rsidRPr="001423DD" w:rsidRDefault="00824130">
      <w:pPr>
        <w:pStyle w:val="FootnoteText"/>
      </w:pPr>
    </w:p>
  </w:footnote>
  <w:footnote w:id="18">
    <w:p w14:paraId="466EFD99" w14:textId="77777777" w:rsidR="00824130" w:rsidRPr="001423DD" w:rsidRDefault="00824130">
      <w:pPr>
        <w:pStyle w:val="FootnoteText"/>
      </w:pPr>
      <w:r>
        <w:rPr>
          <w:rStyle w:val="FootnoteReference"/>
        </w:rPr>
        <w:footnoteRef/>
      </w:r>
      <w:r w:rsidRPr="001423DD">
        <w:t xml:space="preserve"> </w:t>
      </w:r>
      <w:r w:rsidRPr="00682C4C">
        <w:t>Transcanda Pipelines Ltd. v. FERC</w:t>
      </w:r>
      <w:r w:rsidRPr="001423DD">
        <w:t>, 24 F.3d 305 (D.C. Cir. 1994).</w:t>
      </w:r>
    </w:p>
    <w:p w14:paraId="2B03BC30" w14:textId="77777777" w:rsidR="00824130" w:rsidRPr="001423DD" w:rsidRDefault="00824130">
      <w:pPr>
        <w:pStyle w:val="FootnoteText"/>
      </w:pPr>
    </w:p>
  </w:footnote>
  <w:footnote w:id="19">
    <w:p w14:paraId="49573C9A" w14:textId="77777777" w:rsidR="00824130" w:rsidRPr="001423DD" w:rsidRDefault="00824130">
      <w:pPr>
        <w:pStyle w:val="FootnoteText"/>
      </w:pPr>
      <w:r w:rsidRPr="001423DD">
        <w:rPr>
          <w:rStyle w:val="FootnoteReference"/>
        </w:rPr>
        <w:footnoteRef/>
      </w:r>
      <w:r w:rsidRPr="001423DD">
        <w:t xml:space="preserve"> Under Section 205, the proponent of the rate, charge or classification bears the burden of proof.  In a Section 206 matter, the party seeking to change the rate, charge or classification has a dual burden -- it must first provide substantial evidence that the existing rate is unjust, unreasonable or unduly discriminatory, and then demonstrate through substantial evidence that the new rate is just, reasonable and not unduly discriminatory.  </w:t>
      </w:r>
      <w:r w:rsidRPr="00682C4C">
        <w:t>FPC v. Sierra Pacific</w:t>
      </w:r>
      <w:r>
        <w:t xml:space="preserve"> Power Co.</w:t>
      </w:r>
      <w:r w:rsidRPr="001423DD">
        <w:t xml:space="preserve">, 350 </w:t>
      </w:r>
      <w:smartTag w:uri="urn:schemas-microsoft-com:office:smarttags" w:element="place">
        <w:smartTag w:uri="urn:schemas-microsoft-com:office:smarttags" w:element="country-region">
          <w:r w:rsidRPr="001423DD">
            <w:t>U.S.</w:t>
          </w:r>
        </w:smartTag>
      </w:smartTag>
      <w:r w:rsidRPr="001423DD">
        <w:t xml:space="preserve"> 348 (1956).</w:t>
      </w:r>
    </w:p>
    <w:p w14:paraId="32BCBE82" w14:textId="77777777" w:rsidR="00824130" w:rsidRPr="001423DD" w:rsidRDefault="00824130">
      <w:pPr>
        <w:pStyle w:val="FootnoteText"/>
      </w:pPr>
    </w:p>
  </w:footnote>
  <w:footnote w:id="20">
    <w:p w14:paraId="0DE53D8C" w14:textId="77777777" w:rsidR="00824130" w:rsidRPr="001423DD" w:rsidRDefault="00824130">
      <w:pPr>
        <w:pStyle w:val="FootnoteText"/>
      </w:pPr>
      <w:r w:rsidRPr="001423DD">
        <w:rPr>
          <w:rStyle w:val="FootnoteReference"/>
        </w:rPr>
        <w:footnoteRef/>
      </w:r>
      <w:r w:rsidRPr="001423DD">
        <w:t xml:space="preserve"> </w:t>
      </w:r>
      <w:r w:rsidRPr="00FC5798">
        <w:rPr>
          <w:szCs w:val="26"/>
          <w:u w:val="single"/>
        </w:rPr>
        <w:t xml:space="preserve">“Complex” </w:t>
      </w:r>
      <w:smartTag w:uri="urn:schemas-microsoft-com:office:smarttags" w:element="place">
        <w:r w:rsidRPr="00FC5798">
          <w:rPr>
            <w:szCs w:val="26"/>
            <w:u w:val="single"/>
          </w:rPr>
          <w:t>Edison</w:t>
        </w:r>
      </w:smartTag>
      <w:r w:rsidRPr="001423DD">
        <w:t xml:space="preserve">, 165 F.3d at 1007-009. </w:t>
      </w:r>
      <w:r>
        <w:t xml:space="preserve"> </w:t>
      </w:r>
      <w:r w:rsidRPr="00682C4C">
        <w:rPr>
          <w:u w:val="single"/>
        </w:rPr>
        <w:t>A</w:t>
      </w:r>
      <w:r w:rsidRPr="00682C4C">
        <w:rPr>
          <w:iCs/>
          <w:u w:val="single"/>
        </w:rPr>
        <w:t>ccord</w:t>
      </w:r>
      <w:r w:rsidRPr="001423DD">
        <w:t xml:space="preserve">, </w:t>
      </w:r>
      <w:r w:rsidRPr="00FC5798">
        <w:rPr>
          <w:szCs w:val="26"/>
          <w:u w:val="single"/>
        </w:rPr>
        <w:t xml:space="preserve">City of </w:t>
      </w:r>
      <w:smartTag w:uri="urn:schemas-microsoft-com:office:smarttags" w:element="place">
        <w:smartTag w:uri="urn:schemas-microsoft-com:office:smarttags" w:element="City">
          <w:r w:rsidRPr="00FC5798">
            <w:rPr>
              <w:szCs w:val="26"/>
              <w:u w:val="single"/>
            </w:rPr>
            <w:t>Winnfield</w:t>
          </w:r>
        </w:smartTag>
      </w:smartTag>
      <w:r w:rsidRPr="001423DD">
        <w:t>, 744 F.2d at 871.</w:t>
      </w:r>
    </w:p>
    <w:p w14:paraId="2E76DFCE" w14:textId="77777777" w:rsidR="00824130" w:rsidRPr="001423DD" w:rsidRDefault="00824130">
      <w:pPr>
        <w:pStyle w:val="FootnoteText"/>
      </w:pPr>
    </w:p>
  </w:footnote>
  <w:footnote w:id="21">
    <w:p w14:paraId="2174A14D" w14:textId="77777777" w:rsidR="00824130" w:rsidRPr="001423DD" w:rsidRDefault="00824130">
      <w:pPr>
        <w:pStyle w:val="FootnoteText"/>
      </w:pPr>
      <w:r w:rsidRPr="001423DD">
        <w:rPr>
          <w:rStyle w:val="FootnoteReference"/>
        </w:rPr>
        <w:footnoteRef/>
      </w:r>
      <w:r w:rsidRPr="001423DD">
        <w:t xml:space="preserve"> </w:t>
      </w:r>
      <w:r w:rsidRPr="00FC5798">
        <w:rPr>
          <w:szCs w:val="26"/>
          <w:u w:val="single"/>
        </w:rPr>
        <w:t xml:space="preserve">City of </w:t>
      </w:r>
      <w:smartTag w:uri="urn:schemas-microsoft-com:office:smarttags" w:element="place">
        <w:smartTag w:uri="urn:schemas-microsoft-com:office:smarttags" w:element="City">
          <w:r w:rsidRPr="00FC5798">
            <w:rPr>
              <w:szCs w:val="26"/>
              <w:u w:val="single"/>
            </w:rPr>
            <w:t>Winnfield</w:t>
          </w:r>
        </w:smartTag>
      </w:smartTag>
      <w:r w:rsidRPr="001423DD">
        <w:t xml:space="preserve">, 744 F.2d at 875. </w:t>
      </w:r>
    </w:p>
    <w:p w14:paraId="125CDB0C" w14:textId="77777777" w:rsidR="00824130" w:rsidRPr="001423DD" w:rsidRDefault="00824130">
      <w:pPr>
        <w:pStyle w:val="FootnoteText"/>
      </w:pPr>
    </w:p>
  </w:footnote>
  <w:footnote w:id="22">
    <w:p w14:paraId="0F4C0732" w14:textId="77777777" w:rsidR="00824130" w:rsidRPr="001423DD" w:rsidRDefault="00824130">
      <w:pPr>
        <w:pStyle w:val="FootnoteText"/>
        <w:rPr>
          <w:b/>
          <w:bCs/>
        </w:rPr>
      </w:pPr>
      <w:r w:rsidRPr="001423DD">
        <w:rPr>
          <w:rStyle w:val="FootnoteReference"/>
        </w:rPr>
        <w:footnoteRef/>
      </w:r>
      <w:r w:rsidRPr="001423DD">
        <w:t xml:space="preserve">  </w:t>
      </w:r>
      <w:smartTag w:uri="urn:schemas-microsoft-com:office:smarttags" w:element="place">
        <w:smartTag w:uri="urn:schemas-microsoft-com:office:smarttags" w:element="State">
          <w:r w:rsidRPr="00FC5798">
            <w:rPr>
              <w:szCs w:val="26"/>
              <w:u w:val="single"/>
            </w:rPr>
            <w:t>Id</w:t>
          </w:r>
          <w:r w:rsidRPr="00FC5798">
            <w:rPr>
              <w:bCs/>
              <w:szCs w:val="26"/>
              <w:u w:val="single"/>
            </w:rPr>
            <w:t>.</w:t>
          </w:r>
        </w:smartTag>
      </w:smartTag>
    </w:p>
    <w:p w14:paraId="72BCC69A" w14:textId="77777777" w:rsidR="00824130" w:rsidRPr="001423DD" w:rsidRDefault="00824130">
      <w:pPr>
        <w:pStyle w:val="FootnoteText"/>
      </w:pPr>
    </w:p>
  </w:footnote>
  <w:footnote w:id="23">
    <w:p w14:paraId="4F1C000D" w14:textId="77777777" w:rsidR="00824130" w:rsidRPr="001423DD" w:rsidRDefault="00824130">
      <w:pPr>
        <w:pStyle w:val="FootnoteText"/>
      </w:pPr>
      <w:r w:rsidRPr="001423DD">
        <w:rPr>
          <w:rStyle w:val="FootnoteReference"/>
        </w:rPr>
        <w:footnoteRef/>
      </w:r>
      <w:r w:rsidRPr="001423DD">
        <w:t xml:space="preserve"> </w:t>
      </w:r>
      <w:r w:rsidRPr="00682C4C">
        <w:t>Promoting Wholesale Competition Through Open Access Non-discriminatory Transmission Serv. by Pub. Utils.; Recovery of Stranded Costs by Pub. Utils. and Transmitting Utils.</w:t>
      </w:r>
      <w:r w:rsidRPr="001423DD">
        <w:t>, Order No. 888, 61 Fed. Reg. 21,540 (</w:t>
      </w:r>
      <w:smartTag w:uri="urn:schemas-microsoft-com:office:smarttags" w:element="date">
        <w:smartTagPr>
          <w:attr w:name="Month" w:val="5"/>
          <w:attr w:name="Day" w:val="10"/>
          <w:attr w:name="Year" w:val="1996"/>
        </w:smartTagPr>
        <w:r w:rsidRPr="001423DD">
          <w:t>May 10, 1996</w:t>
        </w:r>
      </w:smartTag>
      <w:r w:rsidRPr="001423DD">
        <w:t xml:space="preserve">), FERC Stats. &amp; Regs. ¶31,036 (1996), </w:t>
      </w:r>
      <w:r w:rsidRPr="00682C4C">
        <w:rPr>
          <w:u w:val="single"/>
        </w:rPr>
        <w:t>order on reh’g</w:t>
      </w:r>
      <w:r w:rsidRPr="001423DD">
        <w:t>, Order No. 888-A, 62 Fed. Reg. 12,274 (</w:t>
      </w:r>
      <w:smartTag w:uri="urn:schemas-microsoft-com:office:smarttags" w:element="date">
        <w:smartTagPr>
          <w:attr w:name="Month" w:val="3"/>
          <w:attr w:name="Day" w:val="14"/>
          <w:attr w:name="Year" w:val="1997"/>
        </w:smartTagPr>
        <w:r w:rsidRPr="001423DD">
          <w:t>March 14,1997</w:t>
        </w:r>
      </w:smartTag>
      <w:r w:rsidRPr="001423DD">
        <w:t xml:space="preserve">), FERC Stats. &amp; Regs. ¶31,048 (1997), </w:t>
      </w:r>
      <w:r w:rsidRPr="00682C4C">
        <w:rPr>
          <w:u w:val="single"/>
        </w:rPr>
        <w:t>order on reh’g</w:t>
      </w:r>
      <w:r w:rsidRPr="001423DD">
        <w:t xml:space="preserve">, Order No. 888-B, 81 FERC ¶61,248 (1997), </w:t>
      </w:r>
      <w:r w:rsidRPr="00682C4C">
        <w:rPr>
          <w:u w:val="single"/>
        </w:rPr>
        <w:t>order on reh’g</w:t>
      </w:r>
      <w:r w:rsidRPr="001423DD">
        <w:t xml:space="preserve">, Order No. 888-C, 82 FERC ¶61,046 (1998), </w:t>
      </w:r>
      <w:r w:rsidRPr="00682C4C">
        <w:rPr>
          <w:u w:val="single"/>
        </w:rPr>
        <w:t>aff’d in part</w:t>
      </w:r>
      <w:r w:rsidRPr="00682C4C">
        <w:t>,</w:t>
      </w:r>
      <w:r w:rsidRPr="001423DD">
        <w:rPr>
          <w:i/>
        </w:rPr>
        <w:t xml:space="preserve"> </w:t>
      </w:r>
      <w:r w:rsidRPr="00682C4C">
        <w:rPr>
          <w:u w:val="single"/>
        </w:rPr>
        <w:t>remanded in part</w:t>
      </w:r>
      <w:r w:rsidRPr="001423DD">
        <w:rPr>
          <w:i/>
        </w:rPr>
        <w:t xml:space="preserve">, </w:t>
      </w:r>
      <w:r w:rsidRPr="00682C4C">
        <w:t>Transmission Access Policy Study Group, et al. v. FERC</w:t>
      </w:r>
      <w:r w:rsidRPr="001423DD">
        <w:t xml:space="preserve">, 225 F.3d 667 (D.C. Cir. 2000), </w:t>
      </w:r>
      <w:r w:rsidRPr="00672EB8">
        <w:rPr>
          <w:u w:val="single"/>
        </w:rPr>
        <w:t>aff’d sub nom.</w:t>
      </w:r>
      <w:r w:rsidRPr="001423DD">
        <w:t xml:space="preserve">, </w:t>
      </w:r>
      <w:r w:rsidRPr="00FC5798">
        <w:rPr>
          <w:szCs w:val="26"/>
        </w:rPr>
        <w:t>NY v. FERC</w:t>
      </w:r>
      <w:r w:rsidRPr="001423DD">
        <w:t>, 122 S.Ct. 1012 (2002).</w:t>
      </w:r>
    </w:p>
  </w:footnote>
  <w:footnote w:id="24">
    <w:p w14:paraId="003AC12D" w14:textId="77777777" w:rsidR="00824130" w:rsidRDefault="00824130">
      <w:pPr>
        <w:pStyle w:val="FootnoteText"/>
      </w:pPr>
      <w:r w:rsidRPr="001423DD">
        <w:rPr>
          <w:rStyle w:val="FootnoteReference"/>
        </w:rPr>
        <w:footnoteRef/>
      </w:r>
      <w:r w:rsidRPr="001423DD">
        <w:t xml:space="preserve"> </w:t>
      </w:r>
      <w:r w:rsidRPr="00672EB8">
        <w:t>The New PJM Companies</w:t>
      </w:r>
      <w:r w:rsidRPr="001423DD">
        <w:t>,</w:t>
      </w:r>
      <w:r w:rsidRPr="001423DD">
        <w:rPr>
          <w:i/>
        </w:rPr>
        <w:t xml:space="preserve"> </w:t>
      </w:r>
      <w:r w:rsidRPr="001423DD">
        <w:t xml:space="preserve">105 FERC ¶ 61,251, at P 60 (2003); </w:t>
      </w:r>
      <w:smartTag w:uri="urn:schemas-microsoft-com:office:smarttags" w:element="place">
        <w:r w:rsidRPr="00672EB8">
          <w:t>Midwest</w:t>
        </w:r>
      </w:smartTag>
      <w:r w:rsidRPr="00672EB8">
        <w:t xml:space="preserve"> Indep. Transmission Sys. Operator, Inc.</w:t>
      </w:r>
      <w:r w:rsidRPr="001423DD">
        <w:t xml:space="preserve">, 100 FERC ¶ 61,292 (2002), </w:t>
      </w:r>
      <w:r w:rsidRPr="00672EB8">
        <w:rPr>
          <w:u w:val="single"/>
        </w:rPr>
        <w:t>reh’g denied</w:t>
      </w:r>
      <w:r w:rsidRPr="001423DD">
        <w:t>, 102 FERC ¶ 61,143, at P 13 (</w:t>
      </w:r>
      <w:smartTag w:uri="urn:schemas-microsoft-com:office:smarttags" w:element="date">
        <w:smartTagPr>
          <w:attr w:name="Month" w:val="2"/>
          <w:attr w:name="Day" w:val="5"/>
          <w:attr w:name="Year" w:val="2003"/>
        </w:smartTagPr>
        <w:r w:rsidRPr="001423DD">
          <w:t>Feb. 5, 2003</w:t>
        </w:r>
      </w:smartTag>
      <w:r w:rsidRPr="001423DD">
        <w:t xml:space="preserve">); </w:t>
      </w:r>
      <w:r w:rsidRPr="00672EB8">
        <w:t>Regional Transmission Organizations, Order No. 2000,</w:t>
      </w:r>
      <w:r w:rsidRPr="001423DD">
        <w:t xml:space="preserve"> 65 Fed. Reg. 809 (</w:t>
      </w:r>
      <w:smartTag w:uri="urn:schemas-microsoft-com:office:smarttags" w:element="date">
        <w:smartTagPr>
          <w:attr w:name="Month" w:val="1"/>
          <w:attr w:name="Day" w:val="6"/>
          <w:attr w:name="Year" w:val="2000"/>
        </w:smartTagPr>
        <w:r w:rsidRPr="001423DD">
          <w:t>Jan. 6, 2000</w:t>
        </w:r>
      </w:smartTag>
      <w:r w:rsidRPr="001423DD">
        <w:t xml:space="preserve">), FERC Stats &amp; Regs. ¶ 31,089, </w:t>
      </w:r>
      <w:r w:rsidRPr="00672EB8">
        <w:rPr>
          <w:u w:val="single"/>
        </w:rPr>
        <w:t>order on reh’g</w:t>
      </w:r>
      <w:r w:rsidRPr="001423DD">
        <w:t xml:space="preserve">, </w:t>
      </w:r>
      <w:r w:rsidRPr="00672EB8">
        <w:t>Order No. 2000-A</w:t>
      </w:r>
      <w:r w:rsidRPr="001423DD">
        <w:t>, 65 Fed. Reg. 12,088 (</w:t>
      </w:r>
      <w:smartTag w:uri="urn:schemas-microsoft-com:office:smarttags" w:element="date">
        <w:smartTagPr>
          <w:attr w:name="Month" w:val="2"/>
          <w:attr w:name="Day" w:val="25"/>
          <w:attr w:name="Year" w:val="2000"/>
        </w:smartTagPr>
        <w:r w:rsidRPr="001423DD">
          <w:t>Feb. 25, 2000</w:t>
        </w:r>
      </w:smartTag>
      <w:r w:rsidRPr="001423DD">
        <w:t xml:space="preserve">), FERC Stats. &amp; Regs. ¶ 31,092, </w:t>
      </w:r>
      <w:r w:rsidRPr="00672EB8">
        <w:rPr>
          <w:u w:val="single"/>
        </w:rPr>
        <w:t>petitions for review dismissed</w:t>
      </w:r>
      <w:r w:rsidRPr="001423DD">
        <w:t xml:space="preserve">, </w:t>
      </w:r>
      <w:r w:rsidRPr="00672EB8">
        <w:t xml:space="preserve">Pub. Util. Dist. No. 1 of </w:t>
      </w:r>
      <w:smartTag w:uri="urn:schemas-microsoft-com:office:smarttags" w:element="place">
        <w:smartTag w:uri="urn:schemas-microsoft-com:office:smarttags" w:element="City">
          <w:r w:rsidRPr="00672EB8">
            <w:t>Snohomish County</w:t>
          </w:r>
        </w:smartTag>
        <w:r w:rsidRPr="00672EB8">
          <w:t xml:space="preserve">, </w:t>
        </w:r>
        <w:smartTag w:uri="urn:schemas-microsoft-com:office:smarttags" w:element="State">
          <w:r w:rsidRPr="00672EB8">
            <w:t>Wash.</w:t>
          </w:r>
        </w:smartTag>
      </w:smartTag>
      <w:r w:rsidRPr="00672EB8">
        <w:t xml:space="preserve"> v. FERC</w:t>
      </w:r>
      <w:r w:rsidRPr="001423DD">
        <w:t xml:space="preserve">, 272 F.3d 607 (D.C. Cir. 2001).  </w:t>
      </w:r>
    </w:p>
    <w:p w14:paraId="691195A4" w14:textId="77777777" w:rsidR="00824130" w:rsidRPr="001423DD" w:rsidRDefault="00824130">
      <w:pPr>
        <w:pStyle w:val="FootnoteText"/>
      </w:pPr>
    </w:p>
  </w:footnote>
  <w:footnote w:id="25">
    <w:p w14:paraId="62A69A8E" w14:textId="77777777" w:rsidR="00824130" w:rsidRPr="001423DD" w:rsidRDefault="00824130">
      <w:pPr>
        <w:pStyle w:val="footnotetex"/>
        <w:ind w:firstLine="720"/>
        <w:jc w:val="left"/>
        <w:rPr>
          <w:rFonts w:ascii="Times New Roman" w:hAnsi="Times New Roman" w:cs="Shruti"/>
          <w:sz w:val="26"/>
          <w:szCs w:val="26"/>
        </w:rPr>
      </w:pPr>
      <w:r w:rsidRPr="001423DD">
        <w:rPr>
          <w:rStyle w:val="FootnoteReference"/>
        </w:rPr>
        <w:footnoteRef/>
      </w:r>
      <w:r w:rsidRPr="001423DD">
        <w:rPr>
          <w:rFonts w:ascii="Times New Roman" w:hAnsi="Times New Roman"/>
          <w:sz w:val="26"/>
          <w:szCs w:val="26"/>
        </w:rPr>
        <w:t xml:space="preserve"> </w:t>
      </w:r>
      <w:r w:rsidRPr="00484631">
        <w:rPr>
          <w:rFonts w:ascii="Times New Roman" w:hAnsi="Times New Roman" w:cs="Shruti"/>
          <w:iCs/>
          <w:sz w:val="26"/>
          <w:szCs w:val="26"/>
        </w:rPr>
        <w:t>Pacific Gas &amp; Elec. Co.,</w:t>
      </w:r>
      <w:r w:rsidRPr="00484631">
        <w:rPr>
          <w:rFonts w:ascii="Times New Roman" w:hAnsi="Times New Roman" w:cs="Shruti"/>
          <w:sz w:val="26"/>
          <w:szCs w:val="26"/>
        </w:rPr>
        <w:t xml:space="preserve"> 81 FERC </w:t>
      </w:r>
      <w:r w:rsidRPr="00484631">
        <w:rPr>
          <w:rFonts w:ascii="Times New Roman" w:hAnsi="Times New Roman" w:cs="Shruti"/>
          <w:sz w:val="26"/>
          <w:szCs w:val="26"/>
        </w:rPr>
        <w:sym w:font="WP TypographicSymbols" w:char="0026"/>
      </w:r>
      <w:r>
        <w:rPr>
          <w:rFonts w:ascii="Times New Roman" w:hAnsi="Times New Roman" w:cs="Shruti"/>
          <w:sz w:val="26"/>
          <w:szCs w:val="26"/>
        </w:rPr>
        <w:t> 61,122</w:t>
      </w:r>
      <w:r w:rsidRPr="00484631">
        <w:rPr>
          <w:rFonts w:ascii="Times New Roman" w:hAnsi="Times New Roman" w:cs="Shruti"/>
          <w:sz w:val="26"/>
          <w:szCs w:val="26"/>
        </w:rPr>
        <w:t xml:space="preserve"> (</w:t>
      </w:r>
      <w:smartTag w:uri="urn:schemas-microsoft-com:office:smarttags" w:element="date">
        <w:smartTagPr>
          <w:attr w:name="Month" w:val="10"/>
          <w:attr w:name="Day" w:val="30"/>
          <w:attr w:name="Year" w:val="1997"/>
        </w:smartTagPr>
        <w:r w:rsidRPr="00484631">
          <w:rPr>
            <w:rFonts w:ascii="Times New Roman" w:hAnsi="Times New Roman" w:cs="Shruti"/>
            <w:sz w:val="26"/>
            <w:szCs w:val="26"/>
          </w:rPr>
          <w:t>Oct. 30, 1997</w:t>
        </w:r>
      </w:smartTag>
      <w:r w:rsidRPr="00484631">
        <w:rPr>
          <w:rFonts w:ascii="Times New Roman" w:hAnsi="Times New Roman" w:cs="Shruti"/>
          <w:sz w:val="26"/>
          <w:szCs w:val="26"/>
        </w:rPr>
        <w:t xml:space="preserve">). </w:t>
      </w:r>
      <w:r w:rsidRPr="00484631">
        <w:rPr>
          <w:rFonts w:ascii="Times New Roman" w:hAnsi="Times New Roman" w:cs="Shruti"/>
          <w:iCs/>
          <w:sz w:val="26"/>
          <w:szCs w:val="26"/>
          <w:u w:val="single"/>
        </w:rPr>
        <w:t>See</w:t>
      </w:r>
      <w:r w:rsidRPr="00FC5798">
        <w:rPr>
          <w:rFonts w:ascii="Times New Roman" w:hAnsi="Times New Roman" w:cs="Shruti"/>
          <w:iCs/>
          <w:sz w:val="26"/>
          <w:szCs w:val="26"/>
        </w:rPr>
        <w:t xml:space="preserve"> </w:t>
      </w:r>
      <w:r w:rsidRPr="00484631">
        <w:rPr>
          <w:rFonts w:ascii="Times New Roman" w:hAnsi="Times New Roman" w:cs="Shruti"/>
          <w:iCs/>
          <w:sz w:val="26"/>
          <w:szCs w:val="26"/>
          <w:u w:val="single"/>
        </w:rPr>
        <w:t>also</w:t>
      </w:r>
      <w:r w:rsidRPr="00484631">
        <w:rPr>
          <w:rFonts w:ascii="Times New Roman" w:hAnsi="Times New Roman" w:cs="Shruti"/>
          <w:sz w:val="26"/>
          <w:szCs w:val="26"/>
        </w:rPr>
        <w:t xml:space="preserve"> </w:t>
      </w:r>
      <w:r w:rsidRPr="00484631">
        <w:rPr>
          <w:rFonts w:ascii="Times New Roman" w:hAnsi="Times New Roman"/>
          <w:sz w:val="26"/>
          <w:szCs w:val="26"/>
        </w:rPr>
        <w:t>Inquiry Concerning the Commission’s Pricing Policy for Transmission Services Provided by Public Utilities Under the Federal Power Act; Policy Statement,</w:t>
      </w:r>
      <w:r w:rsidRPr="001423DD">
        <w:rPr>
          <w:rFonts w:ascii="Times New Roman" w:hAnsi="Times New Roman"/>
          <w:sz w:val="26"/>
          <w:szCs w:val="26"/>
        </w:rPr>
        <w:t xml:space="preserve"> FERC </w:t>
      </w:r>
      <w:r w:rsidRPr="001423DD">
        <w:rPr>
          <w:rFonts w:ascii="Times New Roman" w:hAnsi="Times New Roman"/>
          <w:smallCaps/>
          <w:sz w:val="26"/>
          <w:szCs w:val="26"/>
        </w:rPr>
        <w:t xml:space="preserve">Stats &amp; Regs 1991-1996, Regulation Preambles </w:t>
      </w:r>
      <w:r w:rsidRPr="001423DD">
        <w:rPr>
          <w:rFonts w:ascii="Times New Roman" w:hAnsi="Times New Roman"/>
          <w:sz w:val="26"/>
          <w:szCs w:val="26"/>
        </w:rPr>
        <w:t xml:space="preserve">¶ 31,005, </w:t>
      </w:r>
      <w:r w:rsidRPr="001423DD">
        <w:rPr>
          <w:rFonts w:ascii="Times New Roman" w:hAnsi="Times New Roman" w:cs="Shruti"/>
          <w:sz w:val="26"/>
          <w:szCs w:val="26"/>
        </w:rPr>
        <w:t>at 31,143</w:t>
      </w:r>
      <w:r w:rsidRPr="001423DD">
        <w:rPr>
          <w:rFonts w:ascii="Times New Roman" w:hAnsi="Times New Roman"/>
          <w:sz w:val="26"/>
          <w:szCs w:val="26"/>
        </w:rPr>
        <w:t xml:space="preserve"> (Oct. 26, 1994) </w:t>
      </w:r>
      <w:r w:rsidRPr="001423DD">
        <w:rPr>
          <w:rFonts w:ascii="Times New Roman" w:hAnsi="Times New Roman" w:cs="Shruti"/>
          <w:sz w:val="26"/>
          <w:szCs w:val="26"/>
        </w:rPr>
        <w:t>(welcomed marginal-type pricing to provide enhanced price signals; recognized that rates that reflect cost causation may differ among customers without compromising comparability).</w:t>
      </w:r>
    </w:p>
    <w:p w14:paraId="2C8429FB" w14:textId="77777777" w:rsidR="00824130" w:rsidRPr="001423DD" w:rsidRDefault="00824130">
      <w:pPr>
        <w:pStyle w:val="FootnoteText"/>
      </w:pPr>
    </w:p>
  </w:footnote>
  <w:footnote w:id="26">
    <w:p w14:paraId="654B4757" w14:textId="77777777" w:rsidR="00824130" w:rsidRPr="001423DD" w:rsidRDefault="00824130">
      <w:pPr>
        <w:ind w:firstLine="720"/>
        <w:rPr>
          <w:szCs w:val="26"/>
        </w:rPr>
      </w:pPr>
      <w:r w:rsidRPr="001423DD">
        <w:rPr>
          <w:rStyle w:val="FootnoteReference"/>
        </w:rPr>
        <w:footnoteRef/>
      </w:r>
      <w:r w:rsidRPr="001423DD">
        <w:rPr>
          <w:szCs w:val="26"/>
        </w:rPr>
        <w:t xml:space="preserve"> </w:t>
      </w:r>
      <w:r w:rsidRPr="00484631">
        <w:rPr>
          <w:iCs/>
          <w:szCs w:val="26"/>
        </w:rPr>
        <w:t>Incentive Ratemaking for Interstate Natural Gas Pipelines, Oil Pipelines, and Electric Utilities</w:t>
      </w:r>
      <w:r w:rsidRPr="001423DD">
        <w:rPr>
          <w:szCs w:val="26"/>
        </w:rPr>
        <w:t xml:space="preserve">, 61 FERC </w:t>
      </w:r>
      <w:r w:rsidRPr="001423DD">
        <w:rPr>
          <w:szCs w:val="26"/>
        </w:rPr>
        <w:sym w:font="WP TypographicSymbols" w:char="0026"/>
      </w:r>
      <w:r w:rsidRPr="001423DD">
        <w:rPr>
          <w:szCs w:val="26"/>
        </w:rPr>
        <w:t> 61,168 at 61,596 (1992).</w:t>
      </w:r>
    </w:p>
    <w:p w14:paraId="13FCC78C" w14:textId="77777777" w:rsidR="00824130" w:rsidRPr="001423DD" w:rsidRDefault="00824130">
      <w:pPr>
        <w:pStyle w:val="FootnoteText"/>
      </w:pPr>
    </w:p>
  </w:footnote>
  <w:footnote w:id="27">
    <w:p w14:paraId="638011C3" w14:textId="77777777" w:rsidR="00824130" w:rsidRPr="001423DD" w:rsidRDefault="00824130">
      <w:pPr>
        <w:pStyle w:val="FootnoteText"/>
      </w:pPr>
      <w:r w:rsidRPr="001423DD">
        <w:rPr>
          <w:rStyle w:val="FootnoteReference"/>
        </w:rPr>
        <w:footnoteRef/>
      </w:r>
      <w:r w:rsidRPr="001423DD">
        <w:t xml:space="preserve"> </w:t>
      </w:r>
      <w:r w:rsidRPr="00484631">
        <w:t>Interstate Natural Gas Pipeline Rate Design</w:t>
      </w:r>
      <w:r w:rsidRPr="001423DD">
        <w:rPr>
          <w:i/>
        </w:rPr>
        <w:t>,</w:t>
      </w:r>
      <w:r w:rsidRPr="001423DD">
        <w:t xml:space="preserve"> 48 FERC </w:t>
      </w:r>
      <w:r w:rsidRPr="001423DD">
        <w:sym w:font="WP TypographicSymbols" w:char="0026"/>
      </w:r>
      <w:r w:rsidRPr="001423DD">
        <w:t> 61,122 at 61,442 (1989).</w:t>
      </w:r>
    </w:p>
  </w:footnote>
  <w:footnote w:id="28">
    <w:p w14:paraId="43363FC1" w14:textId="77777777" w:rsidR="00824130" w:rsidRPr="001423DD" w:rsidRDefault="00824130">
      <w:pPr>
        <w:spacing w:before="240"/>
        <w:ind w:firstLine="720"/>
        <w:rPr>
          <w:szCs w:val="26"/>
        </w:rPr>
      </w:pPr>
      <w:r w:rsidRPr="001423DD">
        <w:rPr>
          <w:rStyle w:val="FootnoteReference"/>
        </w:rPr>
        <w:footnoteRef/>
      </w:r>
      <w:r w:rsidRPr="001423DD">
        <w:rPr>
          <w:szCs w:val="26"/>
        </w:rPr>
        <w:t xml:space="preserve"> </w:t>
      </w:r>
      <w:r w:rsidRPr="00484631">
        <w:rPr>
          <w:iCs/>
          <w:szCs w:val="26"/>
        </w:rPr>
        <w:t>Interstate Natural Gas Pipeline Rate Design</w:t>
      </w:r>
      <w:r w:rsidRPr="001423DD">
        <w:rPr>
          <w:i/>
          <w:iCs/>
          <w:szCs w:val="26"/>
        </w:rPr>
        <w:t>,</w:t>
      </w:r>
      <w:r w:rsidRPr="001423DD">
        <w:rPr>
          <w:szCs w:val="26"/>
        </w:rPr>
        <w:t xml:space="preserve"> 47 FERC </w:t>
      </w:r>
      <w:r w:rsidRPr="001423DD">
        <w:rPr>
          <w:szCs w:val="26"/>
        </w:rPr>
        <w:sym w:font="WP TypographicSymbols" w:char="0026"/>
      </w:r>
      <w:r w:rsidRPr="001423DD">
        <w:rPr>
          <w:szCs w:val="26"/>
        </w:rPr>
        <w:t xml:space="preserve"> 61,295 at 62,053 (1989). </w:t>
      </w:r>
    </w:p>
    <w:p w14:paraId="1338A7C2" w14:textId="77777777" w:rsidR="00824130" w:rsidRPr="001423DD" w:rsidRDefault="00824130">
      <w:pPr>
        <w:pStyle w:val="FootnoteText"/>
      </w:pPr>
    </w:p>
  </w:footnote>
  <w:footnote w:id="29">
    <w:p w14:paraId="7F886C61" w14:textId="77777777" w:rsidR="00824130" w:rsidRPr="001423DD" w:rsidRDefault="00824130">
      <w:pPr>
        <w:pStyle w:val="FootnoteText"/>
      </w:pPr>
      <w:r w:rsidRPr="001423DD">
        <w:rPr>
          <w:rStyle w:val="FootnoteReference"/>
        </w:rPr>
        <w:footnoteRef/>
      </w:r>
      <w:r w:rsidRPr="001423DD">
        <w:t xml:space="preserve"> </w:t>
      </w:r>
      <w:r>
        <w:rPr>
          <w:iCs/>
        </w:rPr>
        <w:t>W. Res.</w:t>
      </w:r>
      <w:r w:rsidRPr="00484631">
        <w:rPr>
          <w:iCs/>
        </w:rPr>
        <w:t xml:space="preserve"> Inc. v. FERC</w:t>
      </w:r>
      <w:r w:rsidRPr="001423DD">
        <w:t>, 9 F.3d 1568, 1574 (D.C. Cir. 1993).</w:t>
      </w:r>
    </w:p>
  </w:footnote>
  <w:footnote w:id="30">
    <w:p w14:paraId="2FB2BA34" w14:textId="77777777" w:rsidR="00824130" w:rsidRDefault="00824130"/>
    <w:p w14:paraId="769E2532" w14:textId="77777777" w:rsidR="00824130" w:rsidRPr="00D47FC4" w:rsidRDefault="00824130">
      <w:pPr>
        <w:ind w:firstLine="720"/>
        <w:rPr>
          <w:color w:val="000000"/>
          <w:szCs w:val="26"/>
        </w:rPr>
      </w:pPr>
      <w:r>
        <w:rPr>
          <w:rStyle w:val="FootnoteReference"/>
        </w:rPr>
        <w:footnoteRef/>
      </w:r>
      <w:r>
        <w:t xml:space="preserve"> </w:t>
      </w:r>
      <w:r w:rsidRPr="00484631">
        <w:rPr>
          <w:iCs/>
          <w:color w:val="000000"/>
          <w:szCs w:val="26"/>
        </w:rPr>
        <w:t>S. Ga. Natural Gas Co.</w:t>
      </w:r>
      <w:r w:rsidRPr="00484631">
        <w:rPr>
          <w:color w:val="000000"/>
          <w:szCs w:val="26"/>
        </w:rPr>
        <w:t>,</w:t>
      </w:r>
      <w:r w:rsidRPr="00D47FC4">
        <w:rPr>
          <w:color w:val="000000"/>
          <w:szCs w:val="26"/>
        </w:rPr>
        <w:t xml:space="preserve"> 73 FERC </w:t>
      </w:r>
      <w:r w:rsidRPr="00D47FC4">
        <w:rPr>
          <w:color w:val="000000"/>
          <w:szCs w:val="26"/>
        </w:rPr>
        <w:sym w:font="WP TypographicSymbols" w:char="0026"/>
      </w:r>
      <w:r w:rsidRPr="00D47FC4">
        <w:rPr>
          <w:color w:val="000000"/>
          <w:szCs w:val="26"/>
        </w:rPr>
        <w:t xml:space="preserve"> 61,354 (1995); </w:t>
      </w:r>
      <w:r w:rsidRPr="00484631">
        <w:rPr>
          <w:iCs/>
          <w:color w:val="000000"/>
          <w:szCs w:val="26"/>
        </w:rPr>
        <w:t>Tenn. Gas Pipeline Co</w:t>
      </w:r>
      <w:r w:rsidRPr="00484631">
        <w:rPr>
          <w:color w:val="000000"/>
          <w:szCs w:val="26"/>
        </w:rPr>
        <w:t xml:space="preserve">., </w:t>
      </w:r>
      <w:r w:rsidRPr="00D47FC4">
        <w:rPr>
          <w:color w:val="000000"/>
          <w:szCs w:val="26"/>
        </w:rPr>
        <w:t xml:space="preserve">Opinion 406, 76 FERC </w:t>
      </w:r>
      <w:r w:rsidRPr="00D47FC4">
        <w:rPr>
          <w:color w:val="000000"/>
          <w:szCs w:val="26"/>
        </w:rPr>
        <w:sym w:font="WP TypographicSymbols" w:char="0026"/>
      </w:r>
      <w:r w:rsidRPr="00D47FC4">
        <w:rPr>
          <w:color w:val="000000"/>
          <w:szCs w:val="26"/>
        </w:rPr>
        <w:t xml:space="preserve"> 61,022 at 61,097-98 (1996).  </w:t>
      </w:r>
    </w:p>
    <w:p w14:paraId="2C05D3DF" w14:textId="77777777" w:rsidR="00824130" w:rsidRDefault="00824130">
      <w:pPr>
        <w:pStyle w:val="FootnoteText"/>
      </w:pPr>
    </w:p>
  </w:footnote>
  <w:footnote w:id="31">
    <w:p w14:paraId="769DCA48" w14:textId="77777777" w:rsidR="00824130" w:rsidRDefault="00824130">
      <w:pPr>
        <w:pStyle w:val="FootnoteText"/>
      </w:pPr>
      <w:r w:rsidRPr="001423DD">
        <w:rPr>
          <w:rStyle w:val="FootnoteReference"/>
        </w:rPr>
        <w:footnoteRef/>
      </w:r>
      <w:r w:rsidRPr="001423DD">
        <w:t xml:space="preserve"> </w:t>
      </w:r>
      <w:smartTag w:uri="urn:schemas-microsoft-com:office:smarttags" w:element="place">
        <w:smartTag w:uri="urn:schemas-microsoft-com:office:smarttags" w:element="State">
          <w:r w:rsidRPr="00484631">
            <w:t>Cal.</w:t>
          </w:r>
        </w:smartTag>
      </w:smartTag>
      <w:r w:rsidRPr="00484631">
        <w:t xml:space="preserve"> Indep. Sys. Operator Corp.</w:t>
      </w:r>
      <w:r w:rsidRPr="001423DD">
        <w:t>,</w:t>
      </w:r>
      <w:r w:rsidRPr="001423DD">
        <w:rPr>
          <w:i/>
        </w:rPr>
        <w:t xml:space="preserve"> </w:t>
      </w:r>
      <w:r w:rsidRPr="001423DD">
        <w:t>103 FERC ¶ 61,114 at P 26</w:t>
      </w:r>
    </w:p>
    <w:p w14:paraId="1E6615CF" w14:textId="77777777" w:rsidR="00824130" w:rsidRPr="001423DD" w:rsidRDefault="00824130">
      <w:pPr>
        <w:pStyle w:val="FootnoteText"/>
      </w:pPr>
    </w:p>
  </w:footnote>
  <w:footnote w:id="32">
    <w:p w14:paraId="4D5F5E2C" w14:textId="77777777" w:rsidR="00824130" w:rsidRPr="001423DD" w:rsidRDefault="00824130">
      <w:pPr>
        <w:pStyle w:val="FootnoteText"/>
      </w:pPr>
      <w:r w:rsidRPr="001423DD">
        <w:rPr>
          <w:rStyle w:val="FootnoteReference"/>
        </w:rPr>
        <w:footnoteRef/>
      </w:r>
      <w:r w:rsidRPr="001423DD">
        <w:t xml:space="preserve"> The Commission rejected two features of the Amendment No. 27 ISO Tariff, a Revenue Review Panel whose decisions could not be appealed to the Commission and the Buy-Down provision.  </w:t>
      </w:r>
      <w:smartTag w:uri="urn:schemas-microsoft-com:office:smarttags" w:element="place">
        <w:smartTag w:uri="urn:schemas-microsoft-com:office:smarttags" w:element="State">
          <w:r>
            <w:t>Cal.</w:t>
          </w:r>
        </w:smartTag>
      </w:smartTag>
      <w:r>
        <w:t xml:space="preserve"> Indep. Sys. Operator Corp., 91 FERC at 61,723-24,</w:t>
      </w:r>
      <w:r w:rsidRPr="001423DD">
        <w:t xml:space="preserve"> 61,727-28</w:t>
      </w:r>
      <w:r>
        <w:t xml:space="preserve"> (2000)</w:t>
      </w:r>
      <w:r w:rsidRPr="001423DD">
        <w:t xml:space="preserve">.  In its Order on Rehearing concerning Amendment No. 27, </w:t>
      </w:r>
      <w:r>
        <w:t>California Indep. Sys.</w:t>
      </w:r>
      <w:r w:rsidRPr="00A77C72">
        <w:t xml:space="preserve"> Operator Corp., </w:t>
      </w:r>
      <w:r w:rsidRPr="001423DD">
        <w:t>104 FERC ¶ 61,062 (2003), the Commission did not reinstate eithe</w:t>
      </w:r>
      <w:r>
        <w:t xml:space="preserve">r of those provisions.  </w:t>
      </w:r>
      <w:smartTag w:uri="urn:schemas-microsoft-com:office:smarttags" w:element="place">
        <w:smartTag w:uri="urn:schemas-microsoft-com:office:smarttags" w:element="State">
          <w:r w:rsidRPr="00FC5798">
            <w:rPr>
              <w:szCs w:val="26"/>
              <w:u w:val="single"/>
            </w:rPr>
            <w:t>Id.</w:t>
          </w:r>
        </w:smartTag>
      </w:smartTag>
      <w:r>
        <w:t xml:space="preserve"> </w:t>
      </w:r>
      <w:r w:rsidRPr="001423DD">
        <w:t>at</w:t>
      </w:r>
      <w:r>
        <w:t xml:space="preserve"> PP 17-21, </w:t>
      </w:r>
      <w:r w:rsidRPr="001423DD">
        <w:t>42-47.</w:t>
      </w:r>
    </w:p>
    <w:p w14:paraId="5EAC8BC2" w14:textId="77777777" w:rsidR="00824130" w:rsidRPr="001423DD" w:rsidRDefault="00824130">
      <w:pPr>
        <w:pStyle w:val="FootnoteText"/>
      </w:pPr>
    </w:p>
  </w:footnote>
  <w:footnote w:id="33">
    <w:p w14:paraId="1C7A8026" w14:textId="77777777" w:rsidR="00824130" w:rsidRDefault="00824130">
      <w:pPr>
        <w:pStyle w:val="FootnoteText"/>
      </w:pPr>
      <w:r w:rsidRPr="001423DD">
        <w:rPr>
          <w:rStyle w:val="FootnoteReference"/>
        </w:rPr>
        <w:footnoteRef/>
      </w:r>
      <w:r>
        <w:t xml:space="preserve"> In the </w:t>
      </w:r>
      <w:smartTag w:uri="urn:schemas-microsoft-com:office:smarttags" w:element="date">
        <w:smartTagPr>
          <w:attr w:name="Month" w:val="5"/>
          <w:attr w:name="Day" w:val="31"/>
          <w:attr w:name="Year" w:val="2000"/>
        </w:smartTagPr>
        <w:r>
          <w:t>May 31, 2000</w:t>
        </w:r>
      </w:smartTag>
      <w:r w:rsidRPr="001423DD">
        <w:t xml:space="preserve"> Order</w:t>
      </w:r>
      <w:r>
        <w:t xml:space="preserve"> in this proceeding</w:t>
      </w:r>
      <w:r w:rsidRPr="001423DD">
        <w:t xml:space="preserve">, the Commission stated: “We find generally that the two-tiered rate approach [for the Low Voltage Access Charge and the High Voltage Access Charge] is reasonable.  This evolution in rate design away from the utility-specific zone to a high voltage </w:t>
      </w:r>
      <w:r>
        <w:t>grid wide</w:t>
      </w:r>
      <w:r w:rsidRPr="001423DD">
        <w:t xml:space="preserve"> methodology ensures a uniform </w:t>
      </w:r>
      <w:r>
        <w:t>grid wide</w:t>
      </w:r>
      <w:r w:rsidRPr="001423DD">
        <w:t xml:space="preserve"> rate.”  </w:t>
      </w:r>
      <w:smartTag w:uri="urn:schemas-microsoft-com:office:smarttags" w:element="place">
        <w:smartTag w:uri="urn:schemas-microsoft-com:office:smarttags" w:element="State">
          <w:r>
            <w:t>Cal.</w:t>
          </w:r>
        </w:smartTag>
      </w:smartTag>
      <w:r>
        <w:t xml:space="preserve"> Indep. Sys. Operator Corp., </w:t>
      </w:r>
      <w:r w:rsidRPr="001423DD">
        <w:t>91 FERC ¶ 61,20</w:t>
      </w:r>
      <w:r>
        <w:t>5 at 61,722 (2000)(footnote omitted)(brackets added).</w:t>
      </w:r>
    </w:p>
    <w:p w14:paraId="2292F026" w14:textId="77777777" w:rsidR="00824130" w:rsidRPr="001423DD" w:rsidRDefault="00824130">
      <w:pPr>
        <w:pStyle w:val="FootnoteText"/>
      </w:pPr>
    </w:p>
  </w:footnote>
  <w:footnote w:id="34">
    <w:p w14:paraId="7A139A13" w14:textId="77777777" w:rsidR="00824130" w:rsidRPr="001423DD" w:rsidRDefault="00824130">
      <w:pPr>
        <w:pStyle w:val="FootnoteText"/>
      </w:pPr>
      <w:r w:rsidRPr="001423DD">
        <w:rPr>
          <w:rStyle w:val="FootnoteReference"/>
        </w:rPr>
        <w:footnoteRef/>
      </w:r>
      <w:r w:rsidRPr="001423DD">
        <w:t xml:space="preserve"> The overall rates charged in the TAC are derived from the Transmission Revenue Requirements (“TRRs”) of the individual Participating Transmission Owners (“PTOs”).  This docket evaluates tariff provisions implementing the allocation of combined revenue requirements among the PTOs.</w:t>
      </w:r>
    </w:p>
  </w:footnote>
  <w:footnote w:id="35">
    <w:p w14:paraId="5D0AB48D" w14:textId="77777777" w:rsidR="00824130" w:rsidRPr="001423DD" w:rsidRDefault="00824130">
      <w:pPr>
        <w:pStyle w:val="FootnoteText"/>
      </w:pPr>
      <w:r w:rsidRPr="001423DD">
        <w:rPr>
          <w:rStyle w:val="FootnoteReference"/>
        </w:rPr>
        <w:footnoteRef/>
      </w:r>
      <w:r w:rsidRPr="001423DD">
        <w:t xml:space="preserve">  See SWP </w:t>
      </w:r>
      <w:r>
        <w:t>Initial Brief</w:t>
      </w:r>
      <w:r w:rsidRPr="001423DD">
        <w:t xml:space="preserve"> at 9 </w:t>
      </w:r>
      <w:r w:rsidRPr="007B6BE1">
        <w:rPr>
          <w:u w:val="single"/>
        </w:rPr>
        <w:t>citing</w:t>
      </w:r>
      <w:r w:rsidRPr="007B6BE1">
        <w:t xml:space="preserve"> S. Ga. Natural Gas Co.</w:t>
      </w:r>
      <w:r w:rsidRPr="001423DD">
        <w:t>, 73 FERC  ¶ 61,354</w:t>
      </w:r>
      <w:r>
        <w:t xml:space="preserve"> (1995); Tenn.</w:t>
      </w:r>
      <w:r w:rsidRPr="007B6BE1">
        <w:t xml:space="preserve"> Gas Pipeline Co.</w:t>
      </w:r>
      <w:r>
        <w:t>, 59 FERC ¶ 61,045 (1992).</w:t>
      </w:r>
    </w:p>
  </w:footnote>
  <w:footnote w:id="36">
    <w:p w14:paraId="7EBD638E" w14:textId="77777777" w:rsidR="00824130" w:rsidRDefault="00824130">
      <w:pPr>
        <w:pStyle w:val="FootnoteText"/>
      </w:pPr>
      <w:r w:rsidRPr="00911D1F">
        <w:rPr>
          <w:rStyle w:val="FootnoteReference"/>
        </w:rPr>
        <w:footnoteRef/>
      </w:r>
      <w:r>
        <w:t xml:space="preserve"> Ex. PGE</w:t>
      </w:r>
      <w:r>
        <w:noBreakHyphen/>
        <w:t xml:space="preserve">1 at 22:2 – 10, </w:t>
      </w:r>
      <w:smartTag w:uri="urn:schemas-microsoft-com:office:smarttags" w:element="time">
        <w:smartTagPr>
          <w:attr w:name="Hour" w:val="22"/>
          <w:attr w:name="Minute" w:val="31"/>
        </w:smartTagPr>
        <w:r>
          <w:t>22:31 – 2</w:t>
        </w:r>
        <w:r w:rsidRPr="00911D1F">
          <w:t>3:30</w:t>
        </w:r>
      </w:smartTag>
      <w:r>
        <w:t>; Tr. 739:9 – 1</w:t>
      </w:r>
      <w:r w:rsidRPr="00911D1F">
        <w:t>5.</w:t>
      </w:r>
    </w:p>
    <w:p w14:paraId="42A132BA" w14:textId="77777777" w:rsidR="00824130" w:rsidRPr="00911D1F" w:rsidRDefault="00824130">
      <w:pPr>
        <w:pStyle w:val="FootnoteText"/>
      </w:pPr>
    </w:p>
  </w:footnote>
  <w:footnote w:id="37">
    <w:p w14:paraId="3D23D207" w14:textId="77777777" w:rsidR="00824130" w:rsidRPr="00911D1F" w:rsidRDefault="00824130">
      <w:pPr>
        <w:pStyle w:val="FootnoteText"/>
      </w:pPr>
      <w:r w:rsidRPr="00911D1F">
        <w:rPr>
          <w:rStyle w:val="FootnoteReference"/>
        </w:rPr>
        <w:footnoteRef/>
      </w:r>
      <w:r>
        <w:t xml:space="preserve"> Ex. ISO-23 at 3:4 – 5; Ex. ISO-26 at </w:t>
      </w:r>
      <w:smartTag w:uri="urn:schemas-microsoft-com:office:smarttags" w:element="time">
        <w:smartTagPr>
          <w:attr w:name="Hour" w:val="11"/>
          <w:attr w:name="Minute" w:val="10"/>
        </w:smartTagPr>
        <w:r>
          <w:t>11:10</w:t>
        </w:r>
      </w:smartTag>
      <w:r>
        <w:t xml:space="preserve"> – 12; Tr. 1276:11 – 2</w:t>
      </w:r>
      <w:r w:rsidRPr="00911D1F">
        <w:t>1.</w:t>
      </w:r>
    </w:p>
  </w:footnote>
  <w:footnote w:id="38">
    <w:p w14:paraId="223D22D2" w14:textId="77777777" w:rsidR="00824130" w:rsidRDefault="00824130">
      <w:pPr>
        <w:pStyle w:val="FootnoteText"/>
      </w:pPr>
      <w:r w:rsidRPr="00911D1F">
        <w:rPr>
          <w:rStyle w:val="FootnoteReference"/>
        </w:rPr>
        <w:footnoteRef/>
      </w:r>
      <w:r w:rsidRPr="00911D1F">
        <w:t xml:space="preserve"> Tr. 1335:10-20. </w:t>
      </w:r>
    </w:p>
    <w:p w14:paraId="1E6DA8AF" w14:textId="77777777" w:rsidR="00824130" w:rsidRPr="00911D1F" w:rsidRDefault="00824130">
      <w:pPr>
        <w:pStyle w:val="FootnoteText"/>
      </w:pPr>
    </w:p>
  </w:footnote>
  <w:footnote w:id="39">
    <w:p w14:paraId="6FED059B" w14:textId="77777777" w:rsidR="00824130" w:rsidRDefault="00824130">
      <w:pPr>
        <w:pStyle w:val="FootnoteText"/>
      </w:pPr>
      <w:r w:rsidRPr="00911D1F">
        <w:rPr>
          <w:rStyle w:val="FootnoteReference"/>
        </w:rPr>
        <w:footnoteRef/>
      </w:r>
      <w:r w:rsidRPr="00911D1F">
        <w:t xml:space="preserve"> </w:t>
      </w:r>
      <w:r w:rsidRPr="00502BF5">
        <w:rPr>
          <w:szCs w:val="26"/>
          <w:u w:val="single"/>
        </w:rPr>
        <w:t>See</w:t>
      </w:r>
      <w:r w:rsidRPr="00911D1F">
        <w:rPr>
          <w:i/>
        </w:rPr>
        <w:t xml:space="preserve"> </w:t>
      </w:r>
      <w:r w:rsidRPr="00911D1F">
        <w:t>Testimony of Deborah A. Le Vine, at 22, attached as Ex. 3 to the ISO’s Amendment 27 filing.</w:t>
      </w:r>
    </w:p>
    <w:p w14:paraId="72FD08D0" w14:textId="77777777" w:rsidR="00824130" w:rsidRPr="00911D1F" w:rsidRDefault="00824130">
      <w:pPr>
        <w:pStyle w:val="FootnoteText"/>
      </w:pPr>
    </w:p>
  </w:footnote>
  <w:footnote w:id="40">
    <w:p w14:paraId="7047F6FD" w14:textId="77777777" w:rsidR="00824130" w:rsidRPr="00911D1F" w:rsidRDefault="00824130">
      <w:pPr>
        <w:pStyle w:val="FootnoteText"/>
      </w:pPr>
      <w:r w:rsidRPr="00911D1F">
        <w:rPr>
          <w:rStyle w:val="FootnoteReference"/>
        </w:rPr>
        <w:footnoteRef/>
      </w:r>
      <w:r>
        <w:t xml:space="preserve"> Tr. 1244:20 – 1</w:t>
      </w:r>
      <w:r w:rsidRPr="00911D1F">
        <w:t>249:4.</w:t>
      </w:r>
    </w:p>
  </w:footnote>
  <w:footnote w:id="41">
    <w:p w14:paraId="13DB499D" w14:textId="77777777" w:rsidR="00824130" w:rsidRDefault="00824130">
      <w:pPr>
        <w:pStyle w:val="FootnoteText"/>
      </w:pPr>
      <w:r>
        <w:rPr>
          <w:rStyle w:val="FootnoteReference"/>
        </w:rPr>
        <w:footnoteRef/>
      </w:r>
      <w:r>
        <w:t xml:space="preserve"> Ex. ISO -23 at 4:4 – 7 (brackets added).</w:t>
      </w:r>
    </w:p>
  </w:footnote>
  <w:footnote w:id="42">
    <w:p w14:paraId="5EA3CFB2" w14:textId="77777777" w:rsidR="00824130" w:rsidRDefault="00824130">
      <w:pPr>
        <w:pStyle w:val="FootnoteText"/>
      </w:pPr>
      <w:r>
        <w:rPr>
          <w:rStyle w:val="FootnoteReference"/>
        </w:rPr>
        <w:footnoteRef/>
      </w:r>
      <w:r>
        <w:t xml:space="preserve"> </w:t>
      </w:r>
      <w:r w:rsidRPr="00151197">
        <w:t>Pacific Gas &amp; Elec. Co.,</w:t>
      </w:r>
      <w:r>
        <w:t xml:space="preserve"> 55 FERC ¶ 61,257 (1991) (evaluated transmission rate increase without regard to impact on retail rates of Western Area Power Association customers).</w:t>
      </w:r>
    </w:p>
    <w:p w14:paraId="4D63BA54" w14:textId="77777777" w:rsidR="00824130" w:rsidRDefault="00824130">
      <w:pPr>
        <w:pStyle w:val="FootnoteText"/>
      </w:pPr>
    </w:p>
  </w:footnote>
  <w:footnote w:id="43">
    <w:p w14:paraId="05EFFA1E"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151197">
            <w:t>Cal.</w:t>
          </w:r>
        </w:smartTag>
      </w:smartTag>
      <w:r w:rsidRPr="00151197">
        <w:t xml:space="preserve"> Indep. Sys. Operator Corp., 91 FERC ¶ 61,205</w:t>
      </w:r>
      <w:r>
        <w:t xml:space="preserve"> at 61,725 (2000).</w:t>
      </w:r>
    </w:p>
    <w:p w14:paraId="625AFCF4" w14:textId="77777777" w:rsidR="00824130" w:rsidRDefault="00824130">
      <w:pPr>
        <w:pStyle w:val="FootnoteText"/>
      </w:pPr>
    </w:p>
  </w:footnote>
  <w:footnote w:id="44">
    <w:p w14:paraId="57A71559" w14:textId="77777777" w:rsidR="00824130" w:rsidRDefault="00824130">
      <w:pPr>
        <w:pStyle w:val="FootnoteText"/>
      </w:pPr>
      <w:r>
        <w:rPr>
          <w:rStyle w:val="FootnoteReference"/>
        </w:rPr>
        <w:footnoteRef/>
      </w:r>
      <w:r>
        <w:t xml:space="preserve"> Staff counters this argument by emphasizing that the Commission’s directive in this case is the authority that the undersigned will follow in this case, and that a better forum to address that argument might be at the level of the Commission or an appellate court.  Staff Reply Brief at 20.</w:t>
      </w:r>
    </w:p>
    <w:p w14:paraId="3FEAE913" w14:textId="77777777" w:rsidR="00824130" w:rsidRDefault="00824130">
      <w:pPr>
        <w:pStyle w:val="FootnoteText"/>
      </w:pPr>
    </w:p>
  </w:footnote>
  <w:footnote w:id="45">
    <w:p w14:paraId="31FC4D67" w14:textId="77777777" w:rsidR="00824130" w:rsidRDefault="00824130">
      <w:pPr>
        <w:pStyle w:val="FootnoteText"/>
      </w:pPr>
      <w:r>
        <w:rPr>
          <w:rStyle w:val="FootnoteReference"/>
        </w:rPr>
        <w:footnoteRef/>
      </w:r>
      <w:r>
        <w:t xml:space="preserve"> Ex. S-5 at </w:t>
      </w:r>
      <w:smartTag w:uri="urn:schemas-microsoft-com:office:smarttags" w:element="time">
        <w:smartTagPr>
          <w:attr w:name="Hour" w:val="18"/>
          <w:attr w:name="Minute" w:val="19"/>
        </w:smartTagPr>
        <w:r>
          <w:t>18:19</w:t>
        </w:r>
      </w:smartTag>
      <w:r>
        <w:t xml:space="preserve"> - 19:1.</w:t>
      </w:r>
    </w:p>
    <w:p w14:paraId="3732378B" w14:textId="77777777" w:rsidR="00824130" w:rsidRDefault="00824130">
      <w:pPr>
        <w:pStyle w:val="FootnoteText"/>
      </w:pPr>
    </w:p>
  </w:footnote>
  <w:footnote w:id="46">
    <w:p w14:paraId="1C89A225" w14:textId="77777777" w:rsidR="00824130" w:rsidRDefault="00824130">
      <w:pPr>
        <w:pStyle w:val="FootnoteText"/>
      </w:pPr>
      <w:r>
        <w:rPr>
          <w:rStyle w:val="FootnoteReference"/>
        </w:rPr>
        <w:footnoteRef/>
      </w:r>
      <w:r>
        <w:t xml:space="preserve"> If the cost shift cap is not exceeded, only the OPTOs will pay the charge, as applicable. </w:t>
      </w:r>
      <w:smartTag w:uri="urn:schemas-microsoft-com:office:smarttags" w:element="place">
        <w:smartTag w:uri="urn:schemas-microsoft-com:office:smarttags" w:element="State">
          <w:r w:rsidRPr="00186FC7">
            <w:rPr>
              <w:u w:val="single"/>
            </w:rPr>
            <w:t>Id.</w:t>
          </w:r>
        </w:smartTag>
      </w:smartTag>
      <w:r>
        <w:t xml:space="preserve"> at 19:1 – 6.</w:t>
      </w:r>
    </w:p>
  </w:footnote>
  <w:footnote w:id="47">
    <w:p w14:paraId="671E2654" w14:textId="77777777" w:rsidR="00824130" w:rsidRDefault="00824130">
      <w:pPr>
        <w:pStyle w:val="FootnoteText"/>
      </w:pPr>
      <w:r>
        <w:rPr>
          <w:rStyle w:val="FootnoteReference"/>
        </w:rPr>
        <w:footnoteRef/>
      </w:r>
      <w:r>
        <w:t xml:space="preserve"> According to the Staff, the calculated rate impacts on end use customers are significantly less than 1% of the total monthly bill on average. Ex. S-5 at 28:21 – 30:2; Ex. S-13.</w:t>
      </w:r>
    </w:p>
    <w:p w14:paraId="0AB149E6" w14:textId="77777777" w:rsidR="00824130" w:rsidRDefault="00824130">
      <w:pPr>
        <w:pStyle w:val="FootnoteText"/>
      </w:pPr>
    </w:p>
  </w:footnote>
  <w:footnote w:id="48">
    <w:p w14:paraId="4E6CA6D0" w14:textId="77777777" w:rsidR="00824130" w:rsidRDefault="00824130">
      <w:pPr>
        <w:pStyle w:val="FootnoteText"/>
      </w:pPr>
      <w:r>
        <w:rPr>
          <w:rStyle w:val="FootnoteReference"/>
        </w:rPr>
        <w:footnoteRef/>
      </w:r>
      <w:r>
        <w:t xml:space="preserve"> As SDG&amp;E witness Lucero pointed out in his testimony, if the LADWP and other GEs do not join, the overall impact over a four-year period ranges from 0.40% to 0.52%.  Ex. SDGE-2 at </w:t>
      </w:r>
      <w:smartTag w:uri="urn:schemas-microsoft-com:office:smarttags" w:element="time">
        <w:smartTagPr>
          <w:attr w:name="Hour" w:val="12"/>
          <w:attr w:name="Minute" w:val="16"/>
        </w:smartTagPr>
        <w:r>
          <w:t>12:16</w:t>
        </w:r>
      </w:smartTag>
      <w:r>
        <w:t xml:space="preserve">.  </w:t>
      </w:r>
    </w:p>
    <w:p w14:paraId="3948647C" w14:textId="77777777" w:rsidR="00824130" w:rsidRDefault="00824130">
      <w:pPr>
        <w:pStyle w:val="FootnoteText"/>
      </w:pPr>
    </w:p>
  </w:footnote>
  <w:footnote w:id="49">
    <w:p w14:paraId="2943CA9B" w14:textId="77777777" w:rsidR="00824130" w:rsidRDefault="00824130">
      <w:pPr>
        <w:pStyle w:val="FootnoteText"/>
      </w:pPr>
      <w:r>
        <w:rPr>
          <w:rStyle w:val="FootnoteReference"/>
        </w:rPr>
        <w:footnoteRef/>
      </w:r>
      <w:r>
        <w:t xml:space="preserve"> Tr. 454:1 – 3.</w:t>
      </w:r>
    </w:p>
    <w:p w14:paraId="28C062D1" w14:textId="77777777" w:rsidR="00824130" w:rsidRDefault="00824130">
      <w:pPr>
        <w:pStyle w:val="FootnoteText"/>
      </w:pPr>
    </w:p>
  </w:footnote>
  <w:footnote w:id="50">
    <w:p w14:paraId="779BC2D7"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A60796">
            <w:rPr>
              <w:szCs w:val="26"/>
            </w:rPr>
            <w:t>Cal.</w:t>
          </w:r>
        </w:smartTag>
      </w:smartTag>
      <w:r w:rsidRPr="00A60796">
        <w:rPr>
          <w:szCs w:val="26"/>
        </w:rPr>
        <w:t xml:space="preserve"> Indep. Sys. Operator Corp.</w:t>
      </w:r>
      <w:r>
        <w:t xml:space="preserve">, 91 FERC ¶ 61,205 at 61,725 (2000).  </w:t>
      </w:r>
    </w:p>
    <w:p w14:paraId="2D8EA6EC" w14:textId="77777777" w:rsidR="00824130" w:rsidRDefault="00824130">
      <w:pPr>
        <w:pStyle w:val="FootnoteText"/>
      </w:pPr>
    </w:p>
  </w:footnote>
  <w:footnote w:id="51">
    <w:p w14:paraId="54A6661A"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Pr>
              <w:u w:val="single"/>
            </w:rPr>
            <w:t>Id</w:t>
          </w:r>
          <w:r w:rsidRPr="000A5DD7">
            <w:t>.</w:t>
          </w:r>
        </w:smartTag>
      </w:smartTag>
    </w:p>
    <w:p w14:paraId="0EA7E065" w14:textId="77777777" w:rsidR="00824130" w:rsidRDefault="00824130">
      <w:pPr>
        <w:pStyle w:val="FootnoteText"/>
      </w:pPr>
      <w:r>
        <w:t xml:space="preserve">  </w:t>
      </w:r>
    </w:p>
  </w:footnote>
  <w:footnote w:id="52">
    <w:p w14:paraId="59583A36" w14:textId="77777777" w:rsidR="00824130" w:rsidRDefault="00824130">
      <w:pPr>
        <w:pStyle w:val="FootnoteText"/>
      </w:pPr>
      <w:r>
        <w:rPr>
          <w:rStyle w:val="FootnoteReference"/>
        </w:rPr>
        <w:footnoteRef/>
      </w:r>
      <w:r>
        <w:t xml:space="preserve"> </w:t>
      </w:r>
      <w:r>
        <w:rPr>
          <w:u w:val="single"/>
        </w:rPr>
        <w:t>Id</w:t>
      </w:r>
      <w:r w:rsidRPr="000A5DD7">
        <w:t>.</w:t>
      </w:r>
    </w:p>
    <w:p w14:paraId="28BE1A50" w14:textId="77777777" w:rsidR="00824130" w:rsidRDefault="00824130">
      <w:pPr>
        <w:pStyle w:val="FootnoteText"/>
      </w:pPr>
      <w:r>
        <w:t xml:space="preserve">  </w:t>
      </w:r>
    </w:p>
  </w:footnote>
  <w:footnote w:id="53">
    <w:p w14:paraId="200429BC"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0A5DD7">
            <w:t>Id.</w:t>
          </w:r>
        </w:smartTag>
      </w:smartTag>
    </w:p>
    <w:p w14:paraId="5AC1CD63" w14:textId="77777777" w:rsidR="00824130" w:rsidRDefault="00824130">
      <w:pPr>
        <w:pStyle w:val="FootnoteText"/>
      </w:pPr>
      <w:r>
        <w:t xml:space="preserve">  </w:t>
      </w:r>
    </w:p>
  </w:footnote>
  <w:footnote w:id="54">
    <w:p w14:paraId="57F142BA"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0A5DD7">
            <w:rPr>
              <w:u w:val="single"/>
            </w:rPr>
            <w:t>Id.</w:t>
          </w:r>
        </w:smartTag>
      </w:smartTag>
      <w:r>
        <w:t xml:space="preserve">  </w:t>
      </w:r>
    </w:p>
    <w:p w14:paraId="5D99CBC2" w14:textId="77777777" w:rsidR="00824130" w:rsidRDefault="00824130">
      <w:pPr>
        <w:pStyle w:val="FootnoteText"/>
      </w:pPr>
    </w:p>
  </w:footnote>
  <w:footnote w:id="55">
    <w:p w14:paraId="702ACAC8" w14:textId="77777777" w:rsidR="00824130" w:rsidRDefault="00824130">
      <w:pPr>
        <w:pStyle w:val="FootnoteText"/>
      </w:pPr>
      <w:r>
        <w:rPr>
          <w:rStyle w:val="FootnoteReference"/>
        </w:rPr>
        <w:footnoteRef/>
      </w:r>
      <w:r>
        <w:t xml:space="preserve"> Staff Reply Brief at 14-15 (discussing that the transition period in </w:t>
      </w:r>
      <w:r w:rsidRPr="002B34D2">
        <w:rPr>
          <w:szCs w:val="26"/>
          <w:u w:val="single"/>
        </w:rPr>
        <w:t>GridFlorida</w:t>
      </w:r>
      <w:r w:rsidRPr="000A5DD7">
        <w:rPr>
          <w:i/>
          <w:szCs w:val="26"/>
        </w:rPr>
        <w:t xml:space="preserve"> </w:t>
      </w:r>
      <w:r>
        <w:t xml:space="preserve">was five years, </w:t>
      </w:r>
      <w:r w:rsidRPr="00DA070D">
        <w:rPr>
          <w:szCs w:val="26"/>
          <w:u w:val="single"/>
        </w:rPr>
        <w:t>Westconnect</w:t>
      </w:r>
      <w:r w:rsidRPr="00DA070D">
        <w:rPr>
          <w:u w:val="single"/>
        </w:rPr>
        <w:t xml:space="preserve"> </w:t>
      </w:r>
      <w:r>
        <w:t xml:space="preserve">involved a transition period of about six years, and </w:t>
      </w:r>
      <w:r w:rsidRPr="00DA070D">
        <w:rPr>
          <w:szCs w:val="26"/>
          <w:u w:val="single"/>
        </w:rPr>
        <w:t>Alliance Companies</w:t>
      </w:r>
      <w:r w:rsidRPr="000A5DD7">
        <w:rPr>
          <w:i/>
          <w:szCs w:val="26"/>
        </w:rPr>
        <w:t xml:space="preserve"> </w:t>
      </w:r>
      <w:r>
        <w:t xml:space="preserve">involved a transition period of less than two years).  </w:t>
      </w:r>
    </w:p>
  </w:footnote>
  <w:footnote w:id="56">
    <w:p w14:paraId="34B25DC8" w14:textId="77777777" w:rsidR="00824130" w:rsidRDefault="00824130">
      <w:pPr>
        <w:pStyle w:val="FootnoteText"/>
      </w:pPr>
      <w:r>
        <w:rPr>
          <w:rStyle w:val="FootnoteReference"/>
        </w:rPr>
        <w:footnoteRef/>
      </w:r>
      <w:r>
        <w:t xml:space="preserve"> SDG&amp;E cites support from precedent that the Commission cites in its </w:t>
      </w:r>
      <w:smartTag w:uri="urn:schemas-microsoft-com:office:smarttags" w:element="date">
        <w:smartTagPr>
          <w:attr w:name="Month" w:val="5"/>
          <w:attr w:name="Day" w:val="31"/>
          <w:attr w:name="Year" w:val="2000"/>
        </w:smartTagPr>
        <w:r>
          <w:t>May 31, 2000</w:t>
        </w:r>
      </w:smartTag>
      <w:r>
        <w:t xml:space="preserve"> Order in this proceeding while discussing the transition charge.  </w:t>
      </w:r>
      <w:smartTag w:uri="urn:schemas-microsoft-com:office:smarttags" w:element="place">
        <w:r w:rsidRPr="00604DBF">
          <w:t>New England</w:t>
        </w:r>
      </w:smartTag>
      <w:r w:rsidRPr="00604DBF">
        <w:t xml:space="preserve"> Power Pool and </w:t>
      </w:r>
      <w:smartTag w:uri="urn:schemas-microsoft-com:office:smarttags" w:element="place">
        <w:smartTag w:uri="urn:schemas-microsoft-com:office:smarttags" w:element="State">
          <w:r w:rsidRPr="00604DBF">
            <w:t>Mass.</w:t>
          </w:r>
        </w:smartTag>
      </w:smartTag>
      <w:r w:rsidRPr="00604DBF">
        <w:t xml:space="preserve"> Mun. Wholesale Elec. Co., </w:t>
      </w:r>
      <w:r>
        <w:t xml:space="preserve">83 FERC ¶ 61, 045 (1998), </w:t>
      </w:r>
      <w:r w:rsidRPr="00604DBF">
        <w:rPr>
          <w:iCs/>
          <w:u w:val="single"/>
        </w:rPr>
        <w:t>reh’g</w:t>
      </w:r>
      <w:r>
        <w:rPr>
          <w:i/>
          <w:iCs/>
        </w:rPr>
        <w:t xml:space="preserve"> </w:t>
      </w:r>
      <w:r w:rsidRPr="00604DBF">
        <w:rPr>
          <w:iCs/>
          <w:u w:val="single"/>
        </w:rPr>
        <w:t>denied</w:t>
      </w:r>
      <w:r>
        <w:t>, 95 FERC ¶61,074 (2001).</w:t>
      </w:r>
    </w:p>
    <w:p w14:paraId="39C496B3" w14:textId="77777777" w:rsidR="00824130" w:rsidRDefault="00824130">
      <w:pPr>
        <w:pStyle w:val="FootnoteText"/>
      </w:pPr>
    </w:p>
  </w:footnote>
  <w:footnote w:id="57">
    <w:p w14:paraId="45D63116" w14:textId="77777777" w:rsidR="00824130" w:rsidRDefault="00824130">
      <w:pPr>
        <w:pStyle w:val="FootnoteText"/>
      </w:pPr>
      <w:r>
        <w:rPr>
          <w:rStyle w:val="FootnoteReference"/>
        </w:rPr>
        <w:footnoteRef/>
      </w:r>
      <w:r>
        <w:t xml:space="preserve"> Staff Initial Brief at 26.  </w:t>
      </w:r>
    </w:p>
    <w:p w14:paraId="4525ED96" w14:textId="77777777" w:rsidR="00824130" w:rsidRDefault="00824130">
      <w:pPr>
        <w:pStyle w:val="FootnoteText"/>
      </w:pPr>
    </w:p>
  </w:footnote>
  <w:footnote w:id="58">
    <w:p w14:paraId="5B18701A" w14:textId="77777777" w:rsidR="00824130" w:rsidRPr="00790148" w:rsidRDefault="00824130">
      <w:pPr>
        <w:pStyle w:val="FootnoteText"/>
      </w:pPr>
      <w:r>
        <w:rPr>
          <w:rStyle w:val="FootnoteReference"/>
        </w:rPr>
        <w:footnoteRef/>
      </w:r>
      <w:r>
        <w:t xml:space="preserve"> </w:t>
      </w:r>
      <w:r w:rsidRPr="00790148">
        <w:t xml:space="preserve">To support its </w:t>
      </w:r>
      <w:r>
        <w:t>position, Staff cites an example, TransElect</w:t>
      </w:r>
      <w:r w:rsidRPr="00790148">
        <w:t xml:space="preserve">, whose new facilities will be rolled in </w:t>
      </w:r>
      <w:r>
        <w:t>grid wide</w:t>
      </w:r>
      <w:r w:rsidRPr="00790148">
        <w:t>; Sta</w:t>
      </w:r>
      <w:r>
        <w:t>ff states that admittedly TransElect</w:t>
      </w:r>
      <w:r w:rsidRPr="00790148">
        <w:t xml:space="preserve"> is something of a special case in that the OPTOs do not seem to object to paying 97% of its TRR.  In addition, Staff cites SC witness Daniel, who testified that if SC were to go ahead and add new transmission facilities, those facilities would immediately be included in the </w:t>
      </w:r>
      <w:r>
        <w:t>grid wide</w:t>
      </w:r>
      <w:r w:rsidRPr="00790148">
        <w:t xml:space="preserve"> rate.  Tr. 1796:25 - 1797:6.  </w:t>
      </w:r>
    </w:p>
    <w:p w14:paraId="539182C4" w14:textId="77777777" w:rsidR="00824130" w:rsidRDefault="00824130">
      <w:pPr>
        <w:pStyle w:val="FootnoteText"/>
      </w:pPr>
    </w:p>
  </w:footnote>
  <w:footnote w:id="59">
    <w:p w14:paraId="10527392"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City">
          <w:r>
            <w:t>Vernon</w:t>
          </w:r>
        </w:smartTag>
      </w:smartTag>
      <w:r>
        <w:t xml:space="preserve"> Reply Brief at 41.</w:t>
      </w:r>
    </w:p>
  </w:footnote>
  <w:footnote w:id="60">
    <w:p w14:paraId="46285DC3" w14:textId="77777777" w:rsidR="00824130" w:rsidRDefault="00824130">
      <w:pPr>
        <w:pStyle w:val="FootnoteText"/>
        <w:rPr>
          <w:color w:val="FF00FF"/>
        </w:rPr>
      </w:pPr>
      <w:r w:rsidRPr="00911D1F">
        <w:rPr>
          <w:rStyle w:val="FootnoteReference"/>
        </w:rPr>
        <w:footnoteRef/>
      </w:r>
      <w:r w:rsidRPr="00911D1F">
        <w:t xml:space="preserve"> Ex. TNC-21 at 22.</w:t>
      </w:r>
      <w:r w:rsidRPr="00911D1F">
        <w:rPr>
          <w:color w:val="FF00FF"/>
        </w:rPr>
        <w:t xml:space="preserve">  </w:t>
      </w:r>
    </w:p>
    <w:p w14:paraId="15A1E4C0" w14:textId="77777777" w:rsidR="00824130" w:rsidRPr="00911D1F" w:rsidRDefault="00824130">
      <w:pPr>
        <w:pStyle w:val="FootnoteText"/>
      </w:pPr>
    </w:p>
  </w:footnote>
  <w:footnote w:id="61">
    <w:p w14:paraId="7ED1443B" w14:textId="77777777" w:rsidR="00824130" w:rsidRPr="00911D1F" w:rsidRDefault="00824130">
      <w:pPr>
        <w:pStyle w:val="FootnoteText"/>
      </w:pPr>
      <w:r w:rsidRPr="00911D1F">
        <w:rPr>
          <w:rStyle w:val="FootnoteReference"/>
        </w:rPr>
        <w:footnoteRef/>
      </w:r>
      <w:r w:rsidRPr="00911D1F">
        <w:t xml:space="preserve"> ISO witness LeVine discussed the distinction between FTRs and CRRs, </w:t>
      </w:r>
      <w:r>
        <w:t>as they are known in MD02, at Tr. 487:13 – 488:18, 490:6 – 2</w:t>
      </w:r>
      <w:r w:rsidRPr="00911D1F">
        <w:t>4.</w:t>
      </w:r>
    </w:p>
  </w:footnote>
  <w:footnote w:id="62">
    <w:p w14:paraId="3D338B43" w14:textId="77777777" w:rsidR="00824130" w:rsidRPr="00911D1F" w:rsidRDefault="00824130">
      <w:pPr>
        <w:pStyle w:val="FootnoteText"/>
      </w:pPr>
      <w:r w:rsidRPr="00911D1F">
        <w:rPr>
          <w:rStyle w:val="FootnoteReference"/>
        </w:rPr>
        <w:footnoteRef/>
      </w:r>
      <w:r w:rsidRPr="00911D1F">
        <w:t xml:space="preserve"> </w:t>
      </w:r>
      <w:r w:rsidRPr="00C74D36">
        <w:rPr>
          <w:u w:val="single"/>
        </w:rPr>
        <w:t>See</w:t>
      </w:r>
      <w:r w:rsidRPr="00911D1F">
        <w:t xml:space="preserve"> TNC-8.  In the White Paper, entitled “Wholesale Power Market Platform,” the Commission states that:  “FTRs protect customers from the costs of congestion….  We will not require auctions of these rights….  In the Final Rule, for RTOs or ISOs that have not already addressed this issue, these rights would be allocated according to existing contracts and existing service arrangements in order to hold customers harmless.”  </w:t>
      </w:r>
      <w:smartTag w:uri="urn:schemas-microsoft-com:office:smarttags" w:element="place">
        <w:smartTag w:uri="urn:schemas-microsoft-com:office:smarttags" w:element="State">
          <w:r w:rsidRPr="00C74D36">
            <w:rPr>
              <w:u w:val="single"/>
            </w:rPr>
            <w:t>Id.</w:t>
          </w:r>
        </w:smartTag>
      </w:smartTag>
      <w:r w:rsidRPr="00C74D36">
        <w:t xml:space="preserve"> </w:t>
      </w:r>
      <w:r w:rsidRPr="00911D1F">
        <w:t>at 10.</w:t>
      </w:r>
    </w:p>
  </w:footnote>
  <w:footnote w:id="63">
    <w:p w14:paraId="7D725EAE" w14:textId="77777777" w:rsidR="00824130" w:rsidRDefault="00824130">
      <w:pPr>
        <w:pStyle w:val="FootnoteText"/>
      </w:pPr>
      <w:r>
        <w:rPr>
          <w:rStyle w:val="FootnoteReference"/>
        </w:rPr>
        <w:footnoteRef/>
      </w:r>
      <w:r>
        <w:t xml:space="preserve"> Ex. SWP-72 at 64:23 – 65:10; Ex. TNC-1 at 36:17 – 3 8:3.</w:t>
      </w:r>
    </w:p>
    <w:p w14:paraId="27A73525" w14:textId="77777777" w:rsidR="00824130" w:rsidRDefault="00824130">
      <w:pPr>
        <w:pStyle w:val="FootnoteText"/>
      </w:pPr>
    </w:p>
  </w:footnote>
  <w:footnote w:id="64">
    <w:p w14:paraId="54AE90B3" w14:textId="77777777" w:rsidR="00824130" w:rsidRDefault="00824130">
      <w:pPr>
        <w:pStyle w:val="FootnoteText"/>
      </w:pPr>
      <w:r>
        <w:rPr>
          <w:rStyle w:val="FootnoteReference"/>
        </w:rPr>
        <w:footnoteRef/>
      </w:r>
      <w:r>
        <w:t xml:space="preserve"> Ex. ISO-1 at 82:7-18.  Ms. Le Vine noted the ISO’s agreement (Ex. ISO-33 at 27:1-3) with SCE on this point. </w:t>
      </w:r>
      <w:r w:rsidRPr="00400A01">
        <w:rPr>
          <w:szCs w:val="26"/>
          <w:u w:val="single"/>
        </w:rPr>
        <w:t>See</w:t>
      </w:r>
      <w:r>
        <w:t xml:space="preserve"> </w:t>
      </w:r>
      <w:r w:rsidRPr="00400A01">
        <w:rPr>
          <w:szCs w:val="26"/>
          <w:u w:val="single"/>
        </w:rPr>
        <w:t>also</w:t>
      </w:r>
      <w:r>
        <w:t xml:space="preserve"> Ex. SCE-13 at 27.</w:t>
      </w:r>
    </w:p>
  </w:footnote>
  <w:footnote w:id="65">
    <w:p w14:paraId="47F20F13" w14:textId="77777777" w:rsidR="00824130" w:rsidRDefault="00824130">
      <w:pPr>
        <w:pStyle w:val="FootnoteText"/>
      </w:pPr>
      <w:r w:rsidRPr="00911D1F">
        <w:rPr>
          <w:rStyle w:val="FootnoteReference"/>
        </w:rPr>
        <w:footnoteRef/>
      </w:r>
      <w:r>
        <w:t xml:space="preserve"> </w:t>
      </w:r>
      <w:r w:rsidRPr="00911D1F">
        <w:t>Staff states that it appears that the parties who would lengthen the transition period for the purpose of imposing a cost shift cap have not proposed to similarly lengthen it for</w:t>
      </w:r>
      <w:r>
        <w:t xml:space="preserve"> purposes of exempting n</w:t>
      </w:r>
      <w:r w:rsidRPr="00911D1F">
        <w:t>ew PTO’s from the FTR auction.</w:t>
      </w:r>
    </w:p>
    <w:p w14:paraId="2C3922E5" w14:textId="77777777" w:rsidR="00824130" w:rsidRPr="00911D1F" w:rsidRDefault="00824130">
      <w:pPr>
        <w:pStyle w:val="FootnoteText"/>
      </w:pPr>
    </w:p>
  </w:footnote>
  <w:footnote w:id="66">
    <w:p w14:paraId="26FC809D" w14:textId="77777777" w:rsidR="00824130" w:rsidRPr="00911D1F" w:rsidRDefault="00824130">
      <w:pPr>
        <w:pStyle w:val="FootnoteText"/>
      </w:pPr>
      <w:r w:rsidRPr="00911D1F">
        <w:rPr>
          <w:rStyle w:val="FootnoteReference"/>
        </w:rPr>
        <w:footnoteRef/>
      </w:r>
      <w:r w:rsidRPr="00911D1F">
        <w:t xml:space="preserve"> Staff counters this assertion in its reply brief by stating that the Commission has already approved the current FTR </w:t>
      </w:r>
      <w:r>
        <w:t>proposal as reasonable.  Staff</w:t>
      </w:r>
      <w:r w:rsidRPr="00911D1F">
        <w:t xml:space="preserve"> Reply Brief at 30, </w:t>
      </w:r>
      <w:r w:rsidRPr="00D7741A">
        <w:rPr>
          <w:u w:val="single"/>
        </w:rPr>
        <w:t>citing</w:t>
      </w:r>
      <w:r w:rsidRPr="00911D1F">
        <w:t xml:space="preserve"> </w:t>
      </w:r>
      <w:smartTag w:uri="urn:schemas-microsoft-com:office:smarttags" w:element="place">
        <w:smartTag w:uri="urn:schemas-microsoft-com:office:smarttags" w:element="State">
          <w:r w:rsidRPr="00D7741A">
            <w:rPr>
              <w:u w:val="single"/>
            </w:rPr>
            <w:t>Cal.</w:t>
          </w:r>
        </w:smartTag>
      </w:smartTag>
      <w:r w:rsidRPr="00D7741A">
        <w:rPr>
          <w:u w:val="single"/>
        </w:rPr>
        <w:t xml:space="preserve"> Indep. Sys. Operator Corp.</w:t>
      </w:r>
      <w:r>
        <w:t>, 91 FERC ¶ 61,205 at</w:t>
      </w:r>
      <w:r w:rsidRPr="00911D1F">
        <w:t xml:space="preserve"> 61,726 (2000).  SCE also counters SWP’s assertions that unlike PG&amp;E, SWP would have continued obligations under its ETC after convers</w:t>
      </w:r>
      <w:r>
        <w:t>ion if it joined the ISO.  SCE</w:t>
      </w:r>
      <w:r w:rsidRPr="00911D1F">
        <w:t xml:space="preserve"> Reply Brief at 39.</w:t>
      </w:r>
    </w:p>
  </w:footnote>
  <w:footnote w:id="67">
    <w:p w14:paraId="3FDEBD35" w14:textId="77777777" w:rsidR="00824130" w:rsidRDefault="00824130">
      <w:pPr>
        <w:pStyle w:val="FootnoteText"/>
      </w:pPr>
      <w:r>
        <w:rPr>
          <w:rStyle w:val="FootnoteReference"/>
        </w:rPr>
        <w:footnoteRef/>
      </w:r>
      <w:r>
        <w:t xml:space="preserve"> Ex. ISO-33 at 24:5-8.  </w:t>
      </w:r>
    </w:p>
    <w:p w14:paraId="5F0D809B" w14:textId="77777777" w:rsidR="00824130" w:rsidRDefault="00824130">
      <w:pPr>
        <w:pStyle w:val="FootnoteText"/>
      </w:pPr>
    </w:p>
  </w:footnote>
  <w:footnote w:id="68">
    <w:p w14:paraId="240B98CC"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497BC3">
            <w:rPr>
              <w:szCs w:val="26"/>
              <w:u w:val="single"/>
            </w:rPr>
            <w:t>Id.</w:t>
          </w:r>
        </w:smartTag>
      </w:smartTag>
      <w:r>
        <w:t xml:space="preserve"> at 24:15-19.</w:t>
      </w:r>
    </w:p>
  </w:footnote>
  <w:footnote w:id="69">
    <w:p w14:paraId="6BF17F75" w14:textId="77777777" w:rsidR="00824130" w:rsidRDefault="00824130">
      <w:pPr>
        <w:pStyle w:val="FootnoteText"/>
      </w:pPr>
      <w:r>
        <w:rPr>
          <w:rStyle w:val="FootnoteReference"/>
        </w:rPr>
        <w:footnoteRef/>
      </w:r>
      <w:r>
        <w:t xml:space="preserve"> Ex. ISO-1 at 82:7 – 18.  Ms. Le Vine noted the ISO’s agreement (Ex. ISO-33 at 27:1 – 3) with SCE on this point.  </w:t>
      </w:r>
      <w:r w:rsidRPr="00FB379D">
        <w:rPr>
          <w:szCs w:val="26"/>
          <w:u w:val="single"/>
        </w:rPr>
        <w:t>See</w:t>
      </w:r>
      <w:r>
        <w:t xml:space="preserve"> </w:t>
      </w:r>
      <w:r w:rsidRPr="00FB379D">
        <w:rPr>
          <w:szCs w:val="26"/>
          <w:u w:val="single"/>
        </w:rPr>
        <w:t>also</w:t>
      </w:r>
      <w:r>
        <w:t xml:space="preserve"> Ex. SCE-13 at 27.</w:t>
      </w:r>
    </w:p>
    <w:p w14:paraId="2AB391EF" w14:textId="77777777" w:rsidR="00824130" w:rsidRDefault="00824130">
      <w:pPr>
        <w:pStyle w:val="FootnoteText"/>
      </w:pPr>
    </w:p>
  </w:footnote>
  <w:footnote w:id="70">
    <w:p w14:paraId="45F23CFD"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FB379D">
            <w:rPr>
              <w:u w:val="single"/>
            </w:rPr>
            <w:t>Id.</w:t>
          </w:r>
        </w:smartTag>
      </w:smartTag>
    </w:p>
  </w:footnote>
  <w:footnote w:id="71">
    <w:p w14:paraId="791A9477" w14:textId="77777777" w:rsidR="00824130" w:rsidRDefault="00824130">
      <w:pPr>
        <w:pStyle w:val="FootnoteText"/>
      </w:pPr>
      <w:r w:rsidRPr="00911D1F">
        <w:rPr>
          <w:rStyle w:val="FootnoteReference"/>
        </w:rPr>
        <w:footnoteRef/>
      </w:r>
      <w:r w:rsidRPr="00911D1F">
        <w:t xml:space="preserve"> This is as opposed to Amendment No. 27, where overall recovery could be limited by the cost shift caps.</w:t>
      </w:r>
    </w:p>
    <w:p w14:paraId="0BBEA247" w14:textId="77777777" w:rsidR="00824130" w:rsidRPr="00911D1F" w:rsidRDefault="00824130">
      <w:pPr>
        <w:pStyle w:val="FootnoteText"/>
      </w:pPr>
    </w:p>
  </w:footnote>
  <w:footnote w:id="72">
    <w:p w14:paraId="2B6439D0" w14:textId="77777777" w:rsidR="00824130" w:rsidRPr="00911D1F" w:rsidRDefault="00824130">
      <w:pPr>
        <w:pStyle w:val="FootnoteText"/>
      </w:pPr>
      <w:r w:rsidRPr="00911D1F">
        <w:rPr>
          <w:rStyle w:val="FootnoteReference"/>
        </w:rPr>
        <w:footnoteRef/>
      </w:r>
      <w:r w:rsidRPr="00911D1F">
        <w:t xml:space="preserve"> These criteria are the megawatt, the firmness, the term of the existing contract right, what path they're on, and then any other operating characteristics.  Tr. 692:20 - 693:5.</w:t>
      </w:r>
    </w:p>
  </w:footnote>
  <w:footnote w:id="73">
    <w:p w14:paraId="3F0AA6FF" w14:textId="77777777" w:rsidR="00824130" w:rsidRDefault="00824130">
      <w:pPr>
        <w:pStyle w:val="FootnoteText"/>
      </w:pPr>
      <w:r>
        <w:rPr>
          <w:rStyle w:val="FootnoteReference"/>
        </w:rPr>
        <w:footnoteRef/>
      </w:r>
      <w:r>
        <w:t xml:space="preserve"> </w:t>
      </w:r>
      <w:r w:rsidRPr="00FB379D">
        <w:rPr>
          <w:szCs w:val="26"/>
          <w:u w:val="single"/>
        </w:rPr>
        <w:t>See</w:t>
      </w:r>
      <w:r w:rsidRPr="00FB379D">
        <w:rPr>
          <w:szCs w:val="26"/>
        </w:rPr>
        <w:t xml:space="preserve"> </w:t>
      </w:r>
      <w:r>
        <w:t xml:space="preserve">SCE-1 at 32:29 – 33:15.  </w:t>
      </w:r>
    </w:p>
    <w:p w14:paraId="16B55497" w14:textId="77777777" w:rsidR="00824130" w:rsidRDefault="00824130">
      <w:pPr>
        <w:pStyle w:val="FootnoteText"/>
      </w:pPr>
    </w:p>
  </w:footnote>
  <w:footnote w:id="74">
    <w:p w14:paraId="457AD110"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984035">
            <w:rPr>
              <w:u w:val="single"/>
            </w:rPr>
            <w:t>Id.</w:t>
          </w:r>
        </w:smartTag>
      </w:smartTag>
      <w:r>
        <w:t xml:space="preserve">  </w:t>
      </w:r>
    </w:p>
    <w:p w14:paraId="13B33319" w14:textId="77777777" w:rsidR="00824130" w:rsidRDefault="00824130">
      <w:pPr>
        <w:pStyle w:val="FootnoteText"/>
      </w:pPr>
    </w:p>
  </w:footnote>
  <w:footnote w:id="75">
    <w:p w14:paraId="5CBC0937" w14:textId="77777777" w:rsidR="00824130" w:rsidRDefault="00824130">
      <w:pPr>
        <w:pStyle w:val="BodyTextFirstIndentD"/>
      </w:pPr>
      <w:r>
        <w:rPr>
          <w:rStyle w:val="FootnoteReference"/>
        </w:rPr>
        <w:footnoteRef/>
      </w:r>
      <w:r>
        <w:t xml:space="preserve"> </w:t>
      </w:r>
      <w:r w:rsidRPr="00984035">
        <w:rPr>
          <w:u w:val="single"/>
        </w:rPr>
        <w:t>See</w:t>
      </w:r>
      <w:r>
        <w:t xml:space="preserve"> Ex. ISO-33 at </w:t>
      </w:r>
      <w:smartTag w:uri="urn:schemas-microsoft-com:office:smarttags" w:element="time">
        <w:smartTagPr>
          <w:attr w:name="Minute" w:val="19"/>
          <w:attr w:name="Hour" w:val="22"/>
        </w:smartTagPr>
        <w:r>
          <w:t>22:19 – 23:10</w:t>
        </w:r>
      </w:smartTag>
      <w:r>
        <w:t>, Ex. SCE-1 at 33:17 – 34:12.</w:t>
      </w:r>
    </w:p>
    <w:p w14:paraId="34BA7998" w14:textId="77777777" w:rsidR="00824130" w:rsidRDefault="00824130">
      <w:pPr>
        <w:pStyle w:val="FootnoteText"/>
      </w:pPr>
    </w:p>
  </w:footnote>
  <w:footnote w:id="76">
    <w:p w14:paraId="70D7844C" w14:textId="77777777" w:rsidR="00824130" w:rsidRDefault="00824130">
      <w:pPr>
        <w:pStyle w:val="FootnoteText"/>
      </w:pPr>
      <w:r w:rsidRPr="00911D1F">
        <w:rPr>
          <w:rStyle w:val="FootnoteReference"/>
        </w:rPr>
        <w:footnoteRef/>
      </w:r>
      <w:r w:rsidRPr="00911D1F">
        <w:t xml:space="preserve"> As discussed above, SCE has already countered the first scenario that TANC discusses here.  Staff adds regarding TANC’s second scenario that if a line were operating above its rated capacity, then that would reduce congestion rather than produce excess congestion.  Staff Reply Brief at 34.  </w:t>
      </w:r>
    </w:p>
    <w:p w14:paraId="16FB4DC6" w14:textId="77777777" w:rsidR="00824130" w:rsidRPr="00911D1F" w:rsidRDefault="00824130">
      <w:pPr>
        <w:pStyle w:val="FootnoteText"/>
      </w:pPr>
    </w:p>
  </w:footnote>
  <w:footnote w:id="77">
    <w:p w14:paraId="41E369A4" w14:textId="77777777" w:rsidR="00824130" w:rsidRDefault="00824130">
      <w:pPr>
        <w:pStyle w:val="FootnoteText"/>
      </w:pPr>
      <w:r w:rsidRPr="00911D1F">
        <w:rPr>
          <w:rStyle w:val="FootnoteReference"/>
        </w:rPr>
        <w:footnoteRef/>
      </w:r>
      <w:r w:rsidRPr="00911D1F">
        <w:t xml:space="preserve"> This argument is fleshed out in SCE witness Cuillier’s testimony that new PTOs should not receive allocations of such residual usage charge revenues as a result of their status as TOs because they receive Section 9.4.3 FTRs at the transmission i</w:t>
      </w:r>
      <w:r>
        <w:t>nterfaces.  Ex. SCE-1 at 32:24 – 3</w:t>
      </w:r>
      <w:r w:rsidRPr="00911D1F">
        <w:t>4:11.</w:t>
      </w:r>
    </w:p>
    <w:p w14:paraId="4C5881B5" w14:textId="77777777" w:rsidR="00824130" w:rsidRPr="00911D1F" w:rsidRDefault="00824130">
      <w:pPr>
        <w:pStyle w:val="FootnoteText"/>
      </w:pPr>
    </w:p>
  </w:footnote>
  <w:footnote w:id="78">
    <w:p w14:paraId="7A74E161" w14:textId="77777777" w:rsidR="00824130" w:rsidRDefault="00824130">
      <w:pPr>
        <w:pStyle w:val="FootnoteText"/>
      </w:pPr>
      <w:r w:rsidRPr="00911D1F">
        <w:rPr>
          <w:rStyle w:val="FootnoteReference"/>
        </w:rPr>
        <w:footnoteRef/>
      </w:r>
      <w:r w:rsidRPr="00911D1F">
        <w:t xml:space="preserve"> Ex. VER-13 at 25.  SCE counters that which PTO receives </w:t>
      </w:r>
      <w:r>
        <w:t>the revenues to credit its TRBA</w:t>
      </w:r>
      <w:r w:rsidRPr="00911D1F">
        <w:t xml:space="preserve"> could have differing impacts on the ultimate TAC areas, particularly where the co-owning PTOs are in different TAC areas, and where the cost shift caps have been reached.  SCE Reply Brief at 38.  </w:t>
      </w:r>
    </w:p>
    <w:p w14:paraId="70F74444" w14:textId="77777777" w:rsidR="00824130" w:rsidRPr="00911D1F" w:rsidRDefault="00824130">
      <w:pPr>
        <w:pStyle w:val="FootnoteText"/>
      </w:pPr>
    </w:p>
  </w:footnote>
  <w:footnote w:id="79">
    <w:p w14:paraId="5902D29F" w14:textId="77777777" w:rsidR="00824130" w:rsidRDefault="00824130">
      <w:pPr>
        <w:pStyle w:val="FootnoteText"/>
      </w:pPr>
      <w:r>
        <w:rPr>
          <w:rStyle w:val="FootnoteReference"/>
        </w:rPr>
        <w:footnoteRef/>
      </w:r>
      <w:r>
        <w:t xml:space="preserve"> Ex. ISO-33 at </w:t>
      </w:r>
      <w:smartTag w:uri="urn:schemas-microsoft-com:office:smarttags" w:element="time">
        <w:smartTagPr>
          <w:attr w:name="Hour" w:val="21"/>
          <w:attr w:name="Minute" w:val="21"/>
        </w:smartTagPr>
        <w:r>
          <w:t>21:21 – 22:11</w:t>
        </w:r>
      </w:smartTag>
      <w:r>
        <w:t>.</w:t>
      </w:r>
    </w:p>
    <w:p w14:paraId="5C570995" w14:textId="77777777" w:rsidR="00824130" w:rsidRDefault="00824130">
      <w:pPr>
        <w:pStyle w:val="FootnoteText"/>
      </w:pPr>
    </w:p>
  </w:footnote>
  <w:footnote w:id="80">
    <w:p w14:paraId="12178195" w14:textId="77777777" w:rsidR="00824130" w:rsidRDefault="00824130">
      <w:pPr>
        <w:pStyle w:val="FootnoteText"/>
      </w:pPr>
      <w:r>
        <w:rPr>
          <w:rStyle w:val="FootnoteReference"/>
        </w:rPr>
        <w:footnoteRef/>
      </w:r>
      <w:r>
        <w:t xml:space="preserve"> </w:t>
      </w:r>
      <w:r w:rsidRPr="00EE02CE">
        <w:rPr>
          <w:szCs w:val="26"/>
          <w:u w:val="single"/>
        </w:rPr>
        <w:t>See</w:t>
      </w:r>
      <w:r w:rsidRPr="00EE02CE">
        <w:rPr>
          <w:szCs w:val="26"/>
        </w:rPr>
        <w:t xml:space="preserve"> </w:t>
      </w:r>
      <w:r>
        <w:t xml:space="preserve">Ex. ISO-33 at 22:7 – 9.  </w:t>
      </w:r>
      <w:r w:rsidRPr="00EE02CE">
        <w:rPr>
          <w:szCs w:val="26"/>
          <w:u w:val="single"/>
        </w:rPr>
        <w:t>See</w:t>
      </w:r>
      <w:r>
        <w:rPr>
          <w:i/>
        </w:rPr>
        <w:t xml:space="preserve"> </w:t>
      </w:r>
      <w:r w:rsidRPr="00EE02CE">
        <w:rPr>
          <w:szCs w:val="26"/>
          <w:u w:val="single"/>
        </w:rPr>
        <w:t xml:space="preserve">City of </w:t>
      </w:r>
      <w:smartTag w:uri="urn:schemas-microsoft-com:office:smarttags" w:element="place">
        <w:smartTag w:uri="urn:schemas-microsoft-com:office:smarttags" w:element="City">
          <w:r w:rsidRPr="00EE02CE">
            <w:rPr>
              <w:szCs w:val="26"/>
              <w:u w:val="single"/>
            </w:rPr>
            <w:t>Vernon</w:t>
          </w:r>
        </w:smartTag>
      </w:smartTag>
      <w:r>
        <w:t xml:space="preserve">, 102 FERC ¶ 63,009 (2003), </w:t>
      </w:r>
      <w:r w:rsidRPr="00EE02CE">
        <w:rPr>
          <w:szCs w:val="26"/>
          <w:u w:val="single"/>
        </w:rPr>
        <w:t>aff’d</w:t>
      </w:r>
      <w:r>
        <w:t>, 102 FERC ¶ 61,141 (2003).</w:t>
      </w:r>
    </w:p>
    <w:p w14:paraId="2AD2EC8C" w14:textId="77777777" w:rsidR="00824130" w:rsidRDefault="00824130">
      <w:pPr>
        <w:pStyle w:val="FootnoteText"/>
      </w:pPr>
    </w:p>
  </w:footnote>
  <w:footnote w:id="81">
    <w:p w14:paraId="78C99245" w14:textId="77777777" w:rsidR="00824130" w:rsidRDefault="00824130">
      <w:pPr>
        <w:pStyle w:val="FootnoteText"/>
      </w:pPr>
      <w:r>
        <w:rPr>
          <w:rStyle w:val="FootnoteReference"/>
        </w:rPr>
        <w:footnoteRef/>
      </w:r>
      <w:r>
        <w:t xml:space="preserve"> </w:t>
      </w:r>
      <w:r w:rsidRPr="00EE02CE">
        <w:rPr>
          <w:szCs w:val="26"/>
          <w:u w:val="single"/>
        </w:rPr>
        <w:t>See</w:t>
      </w:r>
      <w:r>
        <w:t xml:space="preserve"> Ex. ISO-33 at </w:t>
      </w:r>
      <w:smartTag w:uri="urn:schemas-microsoft-com:office:smarttags" w:element="time">
        <w:smartTagPr>
          <w:attr w:name="Minute" w:val="21"/>
          <w:attr w:name="Hour" w:val="21"/>
        </w:smartTagPr>
        <w:r>
          <w:t>21:21 – 22:11</w:t>
        </w:r>
      </w:smartTag>
      <w:r>
        <w:t>, Ex. SCE-1 at 30:7 – 31:12.</w:t>
      </w:r>
    </w:p>
  </w:footnote>
  <w:footnote w:id="82">
    <w:p w14:paraId="67FD51FB" w14:textId="77777777" w:rsidR="00824130" w:rsidRPr="00911D1F" w:rsidRDefault="00824130">
      <w:pPr>
        <w:pStyle w:val="Quote"/>
        <w:ind w:left="0" w:firstLine="720"/>
      </w:pPr>
      <w:r w:rsidRPr="00911D1F">
        <w:rPr>
          <w:rStyle w:val="FootnoteReference"/>
        </w:rPr>
        <w:footnoteRef/>
      </w:r>
      <w:r w:rsidRPr="00911D1F">
        <w:t xml:space="preserve"> The proposed change is described in detail at</w:t>
      </w:r>
      <w:r>
        <w:t xml:space="preserve"> Ex.</w:t>
      </w:r>
      <w:r w:rsidRPr="00911D1F">
        <w:t xml:space="preserve"> SCE-1 at 31:17 – 32:20.  </w:t>
      </w:r>
    </w:p>
    <w:p w14:paraId="7C3F0031" w14:textId="77777777" w:rsidR="00824130" w:rsidRPr="00911D1F" w:rsidRDefault="00824130">
      <w:pPr>
        <w:pStyle w:val="FootnoteText"/>
      </w:pPr>
    </w:p>
  </w:footnote>
  <w:footnote w:id="83">
    <w:p w14:paraId="17F75B3A" w14:textId="77777777" w:rsidR="00824130" w:rsidRDefault="00824130">
      <w:pPr>
        <w:pStyle w:val="FootnoteText"/>
      </w:pPr>
      <w:r>
        <w:rPr>
          <w:rStyle w:val="FootnoteReference"/>
        </w:rPr>
        <w:footnoteRef/>
      </w:r>
      <w:r>
        <w:t xml:space="preserve"> </w:t>
      </w:r>
      <w:smartTag w:uri="urn:schemas-microsoft-com:office:smarttags" w:element="place">
        <w:smartTag w:uri="urn:schemas-microsoft-com:office:smarttags" w:element="State">
          <w:r w:rsidRPr="005F5F2D">
            <w:rPr>
              <w:iCs/>
              <w:szCs w:val="26"/>
            </w:rPr>
            <w:t>Cal.</w:t>
          </w:r>
        </w:smartTag>
      </w:smartTag>
      <w:r w:rsidRPr="005F5F2D">
        <w:rPr>
          <w:iCs/>
          <w:szCs w:val="26"/>
        </w:rPr>
        <w:t xml:space="preserve"> Indep. Sys. Operator Corp.</w:t>
      </w:r>
      <w:r w:rsidRPr="00A45E45">
        <w:rPr>
          <w:i/>
          <w:iCs/>
        </w:rPr>
        <w:t xml:space="preserve">, </w:t>
      </w:r>
      <w:r w:rsidRPr="00A45E45">
        <w:t xml:space="preserve">97 FERC </w:t>
      </w:r>
      <w:r w:rsidRPr="00A45E45">
        <w:rPr>
          <w:rFonts w:ascii="WP TypographicSymbols" w:hAnsi="WP TypographicSymbols"/>
        </w:rPr>
        <w:t>&amp;</w:t>
      </w:r>
      <w:r>
        <w:t xml:space="preserve"> 61,151 at </w:t>
      </w:r>
      <w:r w:rsidRPr="00A45E45">
        <w:t>61,659 (2001).</w:t>
      </w:r>
    </w:p>
    <w:p w14:paraId="07738AA1" w14:textId="77777777" w:rsidR="00824130" w:rsidRDefault="00824130">
      <w:pPr>
        <w:pStyle w:val="FootnoteText"/>
      </w:pPr>
    </w:p>
  </w:footnote>
  <w:footnote w:id="84">
    <w:p w14:paraId="7699EBB2" w14:textId="77777777" w:rsidR="00824130" w:rsidRDefault="00824130">
      <w:pPr>
        <w:pStyle w:val="FootnoteText"/>
      </w:pPr>
      <w:r>
        <w:rPr>
          <w:rStyle w:val="FootnoteReference"/>
        </w:rPr>
        <w:footnoteRef/>
      </w:r>
      <w:r>
        <w:t xml:space="preserve"> The next section will address some of SWP’s creative requests for compensation for its services.</w:t>
      </w:r>
    </w:p>
    <w:p w14:paraId="09F40820" w14:textId="77777777" w:rsidR="00824130" w:rsidRDefault="00824130">
      <w:pPr>
        <w:pStyle w:val="FootnoteText"/>
      </w:pPr>
    </w:p>
  </w:footnote>
  <w:footnote w:id="85">
    <w:p w14:paraId="71E85BDC" w14:textId="77777777" w:rsidR="00824130" w:rsidRDefault="00824130">
      <w:pPr>
        <w:pStyle w:val="FootnoteText"/>
      </w:pPr>
      <w:r>
        <w:rPr>
          <w:rStyle w:val="FootnoteReference"/>
        </w:rPr>
        <w:footnoteRef/>
      </w:r>
      <w:r>
        <w:t xml:space="preserve"> Staff Initial Brief at 57.  </w:t>
      </w:r>
    </w:p>
  </w:footnote>
  <w:footnote w:id="86">
    <w:p w14:paraId="7A18F583" w14:textId="77777777" w:rsidR="00824130" w:rsidRDefault="00824130">
      <w:pPr>
        <w:pStyle w:val="FootnoteText"/>
      </w:pPr>
      <w:r>
        <w:rPr>
          <w:rStyle w:val="FootnoteReference"/>
        </w:rPr>
        <w:footnoteRef/>
      </w:r>
      <w:r>
        <w:t xml:space="preserve"> Staff Initial Brief at 57.  </w:t>
      </w:r>
    </w:p>
  </w:footnote>
  <w:footnote w:id="87">
    <w:p w14:paraId="2A8FA6B1" w14:textId="77777777" w:rsidR="00824130" w:rsidRDefault="00824130">
      <w:pPr>
        <w:pStyle w:val="FootnoteText"/>
      </w:pPr>
      <w:r>
        <w:rPr>
          <w:rStyle w:val="FootnoteReference"/>
        </w:rPr>
        <w:footnoteRef/>
      </w:r>
      <w:r>
        <w:t xml:space="preserve"> </w:t>
      </w:r>
      <w:r w:rsidRPr="005D3FF3">
        <w:t>The proposed modification reads:</w:t>
      </w:r>
      <w:r>
        <w:t xml:space="preserve">  </w:t>
      </w:r>
    </w:p>
    <w:p w14:paraId="63FA90C4" w14:textId="77777777" w:rsidR="00824130" w:rsidRDefault="00824130">
      <w:pPr>
        <w:pStyle w:val="FootnoteText"/>
      </w:pPr>
    </w:p>
    <w:p w14:paraId="1E909F73" w14:textId="77777777" w:rsidR="00824130" w:rsidRDefault="00824130">
      <w:pPr>
        <w:pStyle w:val="FootnoteText"/>
        <w:ind w:left="720" w:firstLine="0"/>
        <w:rPr>
          <w:i/>
          <w:szCs w:val="26"/>
        </w:rPr>
      </w:pPr>
      <w:r w:rsidRPr="005D3FF3">
        <w:t>3.1.4 The ISO shall exempt a non-electric utility, which owns and operates no transmission facilities, seeking to become a new PTO solely through conversation of contractual Entitlements that meet the criteria in Section 3.1 above, from the requirements to develop a Transmission Revenue Requirement, a Transmission Revenue Balancing Account, a tracking account, or a Transmission Owner tariff.  In such circumstances, the non-electric utility will, having so amended its Existing transmission Contract(s), pay only one Transmission Access Charge directly to the ISO, provide Net FTR Revenue credits directly to the ISO, but will not receive Wheeling revenues.</w:t>
      </w:r>
      <w:r w:rsidRPr="009F3041">
        <w:rPr>
          <w:i/>
          <w:szCs w:val="26"/>
        </w:rPr>
        <w:t xml:space="preserve"> </w:t>
      </w:r>
    </w:p>
    <w:p w14:paraId="2D41B600" w14:textId="77777777" w:rsidR="00824130" w:rsidRDefault="00824130">
      <w:pPr>
        <w:pStyle w:val="FootnoteText"/>
      </w:pPr>
    </w:p>
    <w:p w14:paraId="4CEFF2D2" w14:textId="77777777" w:rsidR="00824130" w:rsidRPr="005D3FF3" w:rsidRDefault="00824130">
      <w:pPr>
        <w:pStyle w:val="FootnoteText"/>
        <w:ind w:firstLine="0"/>
      </w:pPr>
      <w:r>
        <w:t>SWP-72 at 69:6-16.</w:t>
      </w:r>
    </w:p>
    <w:p w14:paraId="2C432D72" w14:textId="77777777" w:rsidR="00824130" w:rsidRDefault="00824130">
      <w:pPr>
        <w:pStyle w:val="FootnoteText"/>
      </w:pPr>
    </w:p>
  </w:footnote>
  <w:footnote w:id="88">
    <w:p w14:paraId="28332903" w14:textId="77777777" w:rsidR="00824130" w:rsidRDefault="00824130">
      <w:pPr>
        <w:pStyle w:val="FootnoteText"/>
      </w:pPr>
      <w:r>
        <w:rPr>
          <w:rStyle w:val="FootnoteReference"/>
        </w:rPr>
        <w:footnoteRef/>
      </w:r>
      <w:r>
        <w:t xml:space="preserve"> For example, in lieu of unbundling, SWP requests that it be provided proportionally greater FTRs to compensate it for the subject services, citing </w:t>
      </w:r>
      <w:r>
        <w:rPr>
          <w:szCs w:val="26"/>
        </w:rPr>
        <w:t>California Indep. Sys.</w:t>
      </w:r>
      <w:r w:rsidRPr="00130AB5">
        <w:rPr>
          <w:szCs w:val="26"/>
        </w:rPr>
        <w:t xml:space="preserve"> Operator Corp.</w:t>
      </w:r>
      <w:r w:rsidRPr="001D10F8">
        <w:rPr>
          <w:i/>
          <w:szCs w:val="26"/>
        </w:rPr>
        <w:t>,</w:t>
      </w:r>
      <w:r w:rsidRPr="001D10F8">
        <w:rPr>
          <w:i/>
          <w:szCs w:val="26"/>
          <w:vertAlign w:val="superscript"/>
        </w:rPr>
        <w:t xml:space="preserve"> </w:t>
      </w:r>
      <w:r w:rsidRPr="001D10F8">
        <w:rPr>
          <w:szCs w:val="26"/>
        </w:rPr>
        <w:t>102 FERC ¶ 61,278 (</w:t>
      </w:r>
      <w:smartTag w:uri="urn:schemas-microsoft-com:office:smarttags" w:element="date">
        <w:smartTagPr>
          <w:attr w:name="Month" w:val="3"/>
          <w:attr w:name="Day" w:val="12"/>
          <w:attr w:name="Year" w:val="2003"/>
        </w:smartTagPr>
        <w:r w:rsidRPr="001D10F8">
          <w:rPr>
            <w:szCs w:val="26"/>
          </w:rPr>
          <w:t>Mar. 12, 2003</w:t>
        </w:r>
      </w:smartTag>
      <w:r>
        <w:rPr>
          <w:szCs w:val="26"/>
        </w:rPr>
        <w:t xml:space="preserve">)(amended ISO Tariff).  </w:t>
      </w:r>
    </w:p>
  </w:footnote>
  <w:footnote w:id="89">
    <w:p w14:paraId="4DB90D37" w14:textId="77777777" w:rsidR="00824130" w:rsidRDefault="00824130">
      <w:pPr>
        <w:pStyle w:val="FootnoteText"/>
      </w:pPr>
      <w:r w:rsidRPr="00911D1F">
        <w:rPr>
          <w:rStyle w:val="FootnoteReference"/>
        </w:rPr>
        <w:footnoteRef/>
      </w:r>
      <w:r w:rsidRPr="00911D1F">
        <w:t xml:space="preserve">  That methodology is d</w:t>
      </w:r>
      <w:r>
        <w:t>escribed in PGE</w:t>
      </w:r>
      <w:r>
        <w:noBreakHyphen/>
        <w:t>2 at Ex. 10:22 – 1</w:t>
      </w:r>
      <w:r w:rsidRPr="00911D1F">
        <w:t>1:18</w:t>
      </w:r>
      <w:r>
        <w:t xml:space="preserve">.  </w:t>
      </w:r>
    </w:p>
    <w:p w14:paraId="4F3CC880" w14:textId="77777777" w:rsidR="00824130" w:rsidRPr="00911D1F" w:rsidRDefault="00824130">
      <w:pPr>
        <w:pStyle w:val="FootnoteText"/>
      </w:pPr>
    </w:p>
  </w:footnote>
  <w:footnote w:id="90">
    <w:p w14:paraId="69E4C850" w14:textId="77777777" w:rsidR="00824130" w:rsidRDefault="00824130">
      <w:pPr>
        <w:pStyle w:val="FootnoteText"/>
      </w:pPr>
      <w:r w:rsidRPr="00911D1F">
        <w:rPr>
          <w:rStyle w:val="FootnoteReference"/>
        </w:rPr>
        <w:footnoteRef/>
      </w:r>
      <w:r w:rsidRPr="00911D1F">
        <w:t xml:space="preserve">  In Trial Staff witness Gross’ words “this procedure is critical to the TAC methodology.  This Commission in order to perform its duties must review and explicitly approve or accept such procedures.  Additionally, for clarity and ease of reference to anyone taking service under the ISO Tariff, these procedures should be contained within th</w:t>
      </w:r>
      <w:r>
        <w:t>e ISO Tariff.”  Ex. S</w:t>
      </w:r>
      <w:r>
        <w:noBreakHyphen/>
        <w:t>1 at 7:1 – 9</w:t>
      </w:r>
      <w:r w:rsidRPr="00911D1F">
        <w:t>.</w:t>
      </w:r>
    </w:p>
    <w:p w14:paraId="08E5A1E6" w14:textId="77777777" w:rsidR="00824130" w:rsidRPr="00911D1F" w:rsidRDefault="00824130">
      <w:pPr>
        <w:pStyle w:val="FootnoteText"/>
      </w:pPr>
    </w:p>
  </w:footnote>
  <w:footnote w:id="91">
    <w:p w14:paraId="6C809931" w14:textId="77777777" w:rsidR="00824130" w:rsidRDefault="00824130">
      <w:pPr>
        <w:pStyle w:val="FootnoteText"/>
      </w:pPr>
      <w:r w:rsidRPr="00911D1F">
        <w:rPr>
          <w:rStyle w:val="FootnoteReference"/>
        </w:rPr>
        <w:footnoteRef/>
      </w:r>
      <w:r>
        <w:t xml:space="preserve">  Ex. S</w:t>
      </w:r>
      <w:r>
        <w:noBreakHyphen/>
        <w:t xml:space="preserve">1 at </w:t>
      </w:r>
      <w:smartTag w:uri="urn:schemas-microsoft-com:office:smarttags" w:element="time">
        <w:smartTagPr>
          <w:attr w:name="Hour" w:val="16"/>
          <w:attr w:name="Minute" w:val="10"/>
        </w:smartTagPr>
        <w:r>
          <w:t>16:10</w:t>
        </w:r>
      </w:smartTag>
      <w:r>
        <w:t xml:space="preserve"> – 1</w:t>
      </w:r>
      <w:r w:rsidRPr="00911D1F">
        <w:t>7:4.</w:t>
      </w:r>
    </w:p>
    <w:p w14:paraId="1C81E630" w14:textId="77777777" w:rsidR="00824130" w:rsidRPr="00911D1F" w:rsidRDefault="00824130">
      <w:pPr>
        <w:pStyle w:val="FootnoteText"/>
      </w:pPr>
    </w:p>
  </w:footnote>
  <w:footnote w:id="92">
    <w:p w14:paraId="3E687CCE" w14:textId="77777777" w:rsidR="00824130" w:rsidRPr="00911D1F" w:rsidRDefault="00824130">
      <w:pPr>
        <w:pStyle w:val="FootnoteText"/>
      </w:pPr>
      <w:r w:rsidRPr="00911D1F">
        <w:rPr>
          <w:rStyle w:val="FootnoteReference"/>
        </w:rPr>
        <w:footnoteRef/>
      </w:r>
      <w:r>
        <w:t xml:space="preserve"> Ex. SWP-8B at 23 – 2</w:t>
      </w:r>
      <w:r w:rsidRPr="00911D1F">
        <w:t>8.</w:t>
      </w:r>
    </w:p>
  </w:footnote>
  <w:footnote w:id="93">
    <w:p w14:paraId="4988BB9C" w14:textId="77777777" w:rsidR="00824130" w:rsidRDefault="00824130">
      <w:pPr>
        <w:pStyle w:val="FootnoteText"/>
      </w:pPr>
      <w:r>
        <w:rPr>
          <w:rStyle w:val="FootnoteReference"/>
        </w:rPr>
        <w:footnoteRef/>
      </w:r>
      <w:r>
        <w:t xml:space="preserve"> Similarly, although SWP states that it prefers its purpose test, it is willing to accept the Staff alternative.</w:t>
      </w:r>
    </w:p>
    <w:p w14:paraId="1D92222C" w14:textId="77777777" w:rsidR="00824130" w:rsidRDefault="00824130">
      <w:pPr>
        <w:pStyle w:val="FootnoteText"/>
      </w:pPr>
    </w:p>
  </w:footnote>
  <w:footnote w:id="94">
    <w:p w14:paraId="0A35A4F0" w14:textId="77777777" w:rsidR="00824130" w:rsidRPr="00613EBC" w:rsidRDefault="00824130">
      <w:pPr>
        <w:ind w:firstLine="720"/>
        <w:rPr>
          <w:color w:val="000000"/>
          <w:szCs w:val="26"/>
        </w:rPr>
      </w:pPr>
      <w:r>
        <w:rPr>
          <w:rStyle w:val="FootnoteReference"/>
          <w:color w:val="000000"/>
        </w:rPr>
        <w:footnoteRef/>
      </w:r>
      <w:r>
        <w:rPr>
          <w:color w:val="000000"/>
          <w:szCs w:val="26"/>
        </w:rPr>
        <w:t xml:space="preserve"> Ex. PGE</w:t>
      </w:r>
      <w:r>
        <w:rPr>
          <w:color w:val="000000"/>
          <w:szCs w:val="26"/>
        </w:rPr>
        <w:noBreakHyphen/>
        <w:t xml:space="preserve">2 at </w:t>
      </w:r>
      <w:smartTag w:uri="urn:schemas-microsoft-com:office:smarttags" w:element="time">
        <w:smartTagPr>
          <w:attr w:name="Hour" w:val="9"/>
          <w:attr w:name="Minute" w:val="11"/>
        </w:smartTagPr>
        <w:r>
          <w:rPr>
            <w:color w:val="000000"/>
            <w:szCs w:val="26"/>
          </w:rPr>
          <w:t>9:11</w:t>
        </w:r>
      </w:smartTag>
      <w:r>
        <w:rPr>
          <w:color w:val="000000"/>
          <w:szCs w:val="26"/>
        </w:rPr>
        <w:t xml:space="preserve"> – 2</w:t>
      </w:r>
      <w:r w:rsidRPr="00613EBC">
        <w:rPr>
          <w:color w:val="000000"/>
          <w:szCs w:val="26"/>
        </w:rPr>
        <w:t>5. In Trial Staff witness Gross’ words “this procedure is critical to the TAC methodology.  This Commission in order to perform its duties must review and explicitly approve or accept such procedures.  Additionally, for clarity and ease of reference to anyone taking service under the ISO Tariff, these procedures should be contained within th</w:t>
      </w:r>
      <w:r>
        <w:rPr>
          <w:color w:val="000000"/>
          <w:szCs w:val="26"/>
        </w:rPr>
        <w:t>e ISO Tariff.”  Ex. S</w:t>
      </w:r>
      <w:r>
        <w:rPr>
          <w:color w:val="000000"/>
          <w:szCs w:val="26"/>
        </w:rPr>
        <w:noBreakHyphen/>
        <w:t xml:space="preserve">1 at 7:1-9. </w:t>
      </w:r>
      <w:r w:rsidRPr="009A5C74">
        <w:rPr>
          <w:color w:val="000000"/>
          <w:szCs w:val="26"/>
          <w:u w:val="single"/>
        </w:rPr>
        <w:t>See</w:t>
      </w:r>
      <w:r>
        <w:rPr>
          <w:color w:val="000000"/>
          <w:szCs w:val="26"/>
        </w:rPr>
        <w:t xml:space="preserve"> </w:t>
      </w:r>
      <w:r w:rsidRPr="009A5C74">
        <w:rPr>
          <w:color w:val="000000"/>
          <w:szCs w:val="26"/>
          <w:u w:val="single"/>
        </w:rPr>
        <w:t>also</w:t>
      </w:r>
      <w:r>
        <w:rPr>
          <w:color w:val="000000"/>
          <w:szCs w:val="26"/>
        </w:rPr>
        <w:t xml:space="preserve"> Ex. ISO</w:t>
      </w:r>
      <w:r>
        <w:rPr>
          <w:color w:val="000000"/>
          <w:szCs w:val="26"/>
        </w:rPr>
        <w:noBreakHyphen/>
        <w:t>33 at 27:10 – 16; ISO Initial Brief</w:t>
      </w:r>
      <w:r w:rsidRPr="00613EBC">
        <w:rPr>
          <w:color w:val="000000"/>
          <w:szCs w:val="26"/>
        </w:rPr>
        <w:t xml:space="preserve"> at 62.</w:t>
      </w:r>
    </w:p>
    <w:p w14:paraId="47055272" w14:textId="77777777" w:rsidR="00824130" w:rsidRPr="00613EBC" w:rsidRDefault="00824130">
      <w:pPr>
        <w:pStyle w:val="FootnoteText"/>
      </w:pPr>
    </w:p>
  </w:footnote>
  <w:footnote w:id="95">
    <w:p w14:paraId="3238AF4A" w14:textId="77777777" w:rsidR="00824130" w:rsidRPr="00911D1F" w:rsidRDefault="00824130">
      <w:pPr>
        <w:pStyle w:val="FootnoteText"/>
      </w:pPr>
      <w:r w:rsidRPr="00911D1F">
        <w:rPr>
          <w:rStyle w:val="FootnoteReference"/>
        </w:rPr>
        <w:footnoteRef/>
      </w:r>
      <w:r w:rsidRPr="00911D1F">
        <w:t xml:space="preserve"> SWP contends that the need for transmission investment, which is the primary cost component in transmission rates, is driven</w:t>
      </w:r>
      <w:r>
        <w:t xml:space="preserve"> by peak system usage, and that</w:t>
      </w:r>
      <w:r w:rsidRPr="00911D1F">
        <w:t xml:space="preserve"> accordingly, off-peak users should bear “only the costs immediately referable to that service, such as the costs of energy and actual wear on the machinery.” </w:t>
      </w:r>
      <w:r>
        <w:t xml:space="preserve"> </w:t>
      </w:r>
      <w:r>
        <w:rPr>
          <w:iCs/>
        </w:rPr>
        <w:t>Union Elec.</w:t>
      </w:r>
      <w:r w:rsidRPr="00D504ED">
        <w:rPr>
          <w:iCs/>
        </w:rPr>
        <w:t xml:space="preserve"> Co. v. FERC</w:t>
      </w:r>
      <w:r w:rsidRPr="00911D1F">
        <w:rPr>
          <w:i/>
          <w:iCs/>
        </w:rPr>
        <w:t xml:space="preserve">, </w:t>
      </w:r>
      <w:r w:rsidRPr="00911D1F">
        <w:t xml:space="preserve">890 F.2d 1193, 1198 (D.C. Cir. 1989).  SWP also discusses cost causation principles in the Commission’s orders before and after Order No. 888.  </w:t>
      </w:r>
      <w:r w:rsidRPr="00D504ED">
        <w:rPr>
          <w:rFonts w:cs="Shruti"/>
          <w:iCs/>
        </w:rPr>
        <w:t>Promoting Wholesale Competition Through Open Access Non-Discriminatory Transmission Services by Public Utilities; Recovery of Stranded Costs by Public Utilities and Transmitting Utilities</w:t>
      </w:r>
      <w:r w:rsidRPr="00911D1F">
        <w:rPr>
          <w:rFonts w:cs="Shruti"/>
        </w:rPr>
        <w:t xml:space="preserve">, Order No. 888-A, </w:t>
      </w:r>
      <w:r w:rsidRPr="00911D1F">
        <w:rPr>
          <w:rFonts w:cs="Shruti"/>
          <w:smallCaps/>
        </w:rPr>
        <w:t>Ferc Stats. &amp; Regs.</w:t>
      </w:r>
      <w:r w:rsidRPr="00911D1F">
        <w:rPr>
          <w:rFonts w:cs="Shruti"/>
        </w:rPr>
        <w:t xml:space="preserve">, Regulation Preambles, </w:t>
      </w:r>
      <w:r w:rsidRPr="00911D1F">
        <w:rPr>
          <w:rFonts w:cs="Shruti"/>
        </w:rPr>
        <w:sym w:font="WP TypographicSymbols" w:char="0026"/>
      </w:r>
      <w:r w:rsidRPr="00911D1F">
        <w:rPr>
          <w:rFonts w:cs="Shruti"/>
        </w:rPr>
        <w:t xml:space="preserve"> 31,048, at 30,259 n.244 (1997), </w:t>
      </w:r>
      <w:r w:rsidRPr="00D504ED">
        <w:rPr>
          <w:rFonts w:cs="Shruti"/>
          <w:iCs/>
          <w:u w:val="single"/>
        </w:rPr>
        <w:t>order on reh</w:t>
      </w:r>
      <w:r w:rsidRPr="00D504ED">
        <w:rPr>
          <w:rFonts w:cs="Shruti"/>
          <w:iCs/>
          <w:u w:val="single"/>
        </w:rPr>
        <w:sym w:font="WP TypographicSymbols" w:char="003D"/>
      </w:r>
      <w:r w:rsidRPr="00D504ED">
        <w:rPr>
          <w:rFonts w:cs="Shruti"/>
          <w:iCs/>
          <w:u w:val="single"/>
        </w:rPr>
        <w:t>g</w:t>
      </w:r>
      <w:r w:rsidRPr="00911D1F">
        <w:rPr>
          <w:rFonts w:cs="Shruti"/>
          <w:i/>
          <w:iCs/>
        </w:rPr>
        <w:t>,</w:t>
      </w:r>
      <w:r w:rsidRPr="00911D1F">
        <w:rPr>
          <w:rFonts w:cs="Shruti"/>
        </w:rPr>
        <w:t xml:space="preserve"> Order No. 888-B, 81 FERC </w:t>
      </w:r>
      <w:r w:rsidRPr="00911D1F">
        <w:rPr>
          <w:rFonts w:cs="Shruti"/>
        </w:rPr>
        <w:sym w:font="WP TypographicSymbols" w:char="0026"/>
      </w:r>
      <w:r w:rsidRPr="00911D1F">
        <w:rPr>
          <w:rFonts w:cs="Shruti"/>
        </w:rPr>
        <w:t xml:space="preserve"> 61,248 (1997), </w:t>
      </w:r>
      <w:r w:rsidRPr="00D504ED">
        <w:rPr>
          <w:rFonts w:cs="Shruti"/>
          <w:iCs/>
          <w:u w:val="single"/>
        </w:rPr>
        <w:t>order on reh</w:t>
      </w:r>
      <w:r w:rsidRPr="00D504ED">
        <w:rPr>
          <w:rFonts w:cs="Shruti"/>
          <w:iCs/>
          <w:u w:val="single"/>
        </w:rPr>
        <w:sym w:font="WP TypographicSymbols" w:char="003D"/>
      </w:r>
      <w:r w:rsidRPr="00D504ED">
        <w:rPr>
          <w:rFonts w:cs="Shruti"/>
          <w:iCs/>
          <w:u w:val="single"/>
        </w:rPr>
        <w:t>g</w:t>
      </w:r>
      <w:r w:rsidRPr="00D504ED">
        <w:rPr>
          <w:rFonts w:cs="Shruti"/>
          <w:iCs/>
        </w:rPr>
        <w:t>,</w:t>
      </w:r>
      <w:r w:rsidRPr="00911D1F">
        <w:rPr>
          <w:rFonts w:cs="Shruti"/>
        </w:rPr>
        <w:t xml:space="preserve"> Order No. 888-C, 82 FERC </w:t>
      </w:r>
      <w:r w:rsidRPr="00911D1F">
        <w:rPr>
          <w:rFonts w:cs="Shruti"/>
        </w:rPr>
        <w:sym w:font="WP TypographicSymbols" w:char="0026"/>
      </w:r>
      <w:r w:rsidRPr="00911D1F">
        <w:rPr>
          <w:rFonts w:cs="Shruti"/>
        </w:rPr>
        <w:t xml:space="preserve"> 61,046 (1998), </w:t>
      </w:r>
      <w:r w:rsidRPr="00D504ED">
        <w:rPr>
          <w:rFonts w:cs="Shruti"/>
          <w:iCs/>
          <w:u w:val="single"/>
        </w:rPr>
        <w:t>generally aff</w:t>
      </w:r>
      <w:r w:rsidRPr="00D504ED">
        <w:rPr>
          <w:rFonts w:cs="Shruti"/>
          <w:iCs/>
          <w:u w:val="single"/>
        </w:rPr>
        <w:sym w:font="WP TypographicSymbols" w:char="003D"/>
      </w:r>
      <w:r w:rsidRPr="00D504ED">
        <w:rPr>
          <w:rFonts w:cs="Shruti"/>
          <w:iCs/>
          <w:u w:val="single"/>
        </w:rPr>
        <w:t>d</w:t>
      </w:r>
      <w:r w:rsidRPr="00D504ED">
        <w:rPr>
          <w:rFonts w:cs="Shruti"/>
          <w:iCs/>
        </w:rPr>
        <w:t>,</w:t>
      </w:r>
      <w:r w:rsidRPr="00911D1F">
        <w:rPr>
          <w:rFonts w:cs="Shruti"/>
          <w:i/>
          <w:iCs/>
        </w:rPr>
        <w:t xml:space="preserve"> </w:t>
      </w:r>
      <w:r w:rsidRPr="00D504ED">
        <w:rPr>
          <w:rFonts w:cs="Shruti"/>
          <w:iCs/>
        </w:rPr>
        <w:t>Transmission Access Policy Study Group</w:t>
      </w:r>
      <w:r>
        <w:rPr>
          <w:rFonts w:cs="Shruti"/>
          <w:iCs/>
        </w:rPr>
        <w:t>,</w:t>
      </w:r>
      <w:r w:rsidRPr="00D504ED">
        <w:rPr>
          <w:rFonts w:cs="Shruti"/>
          <w:iCs/>
        </w:rPr>
        <w:t xml:space="preserve"> et al. v. FERC</w:t>
      </w:r>
      <w:r w:rsidRPr="00911D1F">
        <w:rPr>
          <w:rFonts w:cs="Shruti"/>
        </w:rPr>
        <w:t xml:space="preserve">, </w:t>
      </w:r>
      <w:r>
        <w:rPr>
          <w:rFonts w:cs="Shruti"/>
        </w:rPr>
        <w:t xml:space="preserve">No. 97-1715 (D.C. Cir. June 30, </w:t>
      </w:r>
      <w:r w:rsidRPr="00911D1F">
        <w:rPr>
          <w:rFonts w:cs="Shruti"/>
        </w:rPr>
        <w:t xml:space="preserve">2000).  </w:t>
      </w:r>
      <w:r>
        <w:rPr>
          <w:rFonts w:cs="Shruti"/>
        </w:rPr>
        <w:t>For discussion of Commission policy before Order No. 888,</w:t>
      </w:r>
      <w:r w:rsidRPr="00DB4F61">
        <w:rPr>
          <w:rFonts w:cs="Shruti"/>
          <w:iCs/>
        </w:rPr>
        <w:t xml:space="preserve"> </w:t>
      </w:r>
      <w:r>
        <w:rPr>
          <w:rFonts w:cs="Shruti"/>
          <w:iCs/>
        </w:rPr>
        <w:t>SWP cites Wis.</w:t>
      </w:r>
      <w:r w:rsidRPr="00D504ED">
        <w:rPr>
          <w:rFonts w:cs="Shruti"/>
          <w:iCs/>
        </w:rPr>
        <w:t xml:space="preserve"> Power &amp; Light Co.</w:t>
      </w:r>
      <w:r w:rsidRPr="00911D1F">
        <w:rPr>
          <w:rFonts w:cs="Shruti"/>
          <w:i/>
          <w:iCs/>
        </w:rPr>
        <w:t>,</w:t>
      </w:r>
      <w:r w:rsidRPr="00911D1F">
        <w:rPr>
          <w:rFonts w:cs="Shruti"/>
        </w:rPr>
        <w:t xml:space="preserve"> 74 FERC </w:t>
      </w:r>
      <w:r w:rsidRPr="00911D1F">
        <w:rPr>
          <w:rFonts w:cs="Shruti"/>
        </w:rPr>
        <w:sym w:font="WP TypographicSymbols" w:char="0026"/>
      </w:r>
      <w:r w:rsidRPr="00911D1F">
        <w:rPr>
          <w:rFonts w:cs="Shruti"/>
        </w:rPr>
        <w:t xml:space="preserve"> 61,159 (1996); </w:t>
      </w:r>
      <w:r w:rsidRPr="00D504ED">
        <w:rPr>
          <w:rFonts w:cs="Shruti"/>
          <w:iCs/>
        </w:rPr>
        <w:t>Commonwealth</w:t>
      </w:r>
      <w:r>
        <w:rPr>
          <w:rFonts w:cs="Shruti"/>
          <w:iCs/>
        </w:rPr>
        <w:t xml:space="preserve"> Edison Co. v. American Elec. Power Serv.</w:t>
      </w:r>
      <w:r w:rsidRPr="00D504ED">
        <w:rPr>
          <w:rFonts w:cs="Shruti"/>
          <w:iCs/>
        </w:rPr>
        <w:t xml:space="preserve"> Corp.</w:t>
      </w:r>
      <w:r w:rsidRPr="00911D1F">
        <w:rPr>
          <w:rFonts w:cs="Shruti"/>
          <w:i/>
          <w:iCs/>
        </w:rPr>
        <w:t>,</w:t>
      </w:r>
      <w:r w:rsidRPr="00911D1F">
        <w:rPr>
          <w:rFonts w:cs="Shruti"/>
        </w:rPr>
        <w:t xml:space="preserve"> 72 FERC </w:t>
      </w:r>
      <w:r w:rsidRPr="00911D1F">
        <w:rPr>
          <w:rFonts w:cs="Shruti"/>
        </w:rPr>
        <w:sym w:font="WP TypographicSymbols" w:char="0026"/>
      </w:r>
      <w:r w:rsidRPr="00911D1F">
        <w:rPr>
          <w:rFonts w:cs="Shruti"/>
        </w:rPr>
        <w:t> 61,070, at 61,346 (1995).  For discussion of Commiss</w:t>
      </w:r>
      <w:r>
        <w:rPr>
          <w:rFonts w:cs="Shruti"/>
        </w:rPr>
        <w:t>ion policy after Order No. 888, SWP cites</w:t>
      </w:r>
      <w:r w:rsidRPr="00911D1F">
        <w:rPr>
          <w:rFonts w:cs="Shruti"/>
        </w:rPr>
        <w:t xml:space="preserve"> </w:t>
      </w:r>
      <w:r>
        <w:rPr>
          <w:rFonts w:cs="Shruti"/>
          <w:iCs/>
        </w:rPr>
        <w:t>American Elec. Power Serv.</w:t>
      </w:r>
      <w:r w:rsidRPr="00D504ED">
        <w:rPr>
          <w:rFonts w:cs="Shruti"/>
          <w:iCs/>
        </w:rPr>
        <w:t xml:space="preserve"> Corp.</w:t>
      </w:r>
      <w:r w:rsidRPr="00911D1F">
        <w:rPr>
          <w:rFonts w:cs="Shruti"/>
          <w:i/>
          <w:iCs/>
        </w:rPr>
        <w:t>,</w:t>
      </w:r>
      <w:r w:rsidRPr="00911D1F">
        <w:rPr>
          <w:rFonts w:cs="Shruti"/>
        </w:rPr>
        <w:t xml:space="preserve"> Opinion No. 440, 88 FERC </w:t>
      </w:r>
      <w:r w:rsidRPr="00911D1F">
        <w:rPr>
          <w:rFonts w:cs="Shruti"/>
        </w:rPr>
        <w:sym w:font="WP TypographicSymbols" w:char="0026"/>
      </w:r>
      <w:r w:rsidRPr="00911D1F">
        <w:rPr>
          <w:rFonts w:cs="Shruti"/>
        </w:rPr>
        <w:t xml:space="preserve"> 61,141, at 61,453-54 (1999).  </w:t>
      </w:r>
      <w:r w:rsidRPr="00D504ED">
        <w:rPr>
          <w:rFonts w:cs="Shruti"/>
          <w:u w:val="single"/>
        </w:rPr>
        <w:t>See</w:t>
      </w:r>
      <w:r w:rsidRPr="00911D1F">
        <w:rPr>
          <w:rFonts w:cs="Shruti"/>
          <w:i/>
        </w:rPr>
        <w:t xml:space="preserve"> </w:t>
      </w:r>
      <w:r w:rsidRPr="00D504ED">
        <w:rPr>
          <w:rFonts w:cs="Shruti"/>
          <w:u w:val="single"/>
        </w:rPr>
        <w:t>also</w:t>
      </w:r>
      <w:r w:rsidRPr="00911D1F">
        <w:rPr>
          <w:rFonts w:cs="Shruti"/>
          <w:i/>
        </w:rPr>
        <w:t xml:space="preserve"> </w:t>
      </w:r>
      <w:r w:rsidRPr="00D504ED">
        <w:rPr>
          <w:iCs/>
        </w:rPr>
        <w:t>Remedying Undue Discrimination through Open Access Transmission Service and Standard Electricity Market Design</w:t>
      </w:r>
      <w:r w:rsidRPr="00911D1F">
        <w:rPr>
          <w:i/>
          <w:iCs/>
        </w:rPr>
        <w:t>,</w:t>
      </w:r>
      <w:r w:rsidRPr="00911D1F">
        <w:t xml:space="preserve"> </w:t>
      </w:r>
      <w:r w:rsidRPr="00911D1F">
        <w:rPr>
          <w:rFonts w:cs="Shruti"/>
          <w:smallCaps/>
        </w:rPr>
        <w:t>Ferc Stats. &amp; Regs.</w:t>
      </w:r>
      <w:r w:rsidRPr="00911D1F">
        <w:rPr>
          <w:rFonts w:cs="Shruti"/>
        </w:rPr>
        <w:t xml:space="preserve">, Proposed Regulations ¶ 32,564 </w:t>
      </w:r>
      <w:r w:rsidRPr="00911D1F">
        <w:t xml:space="preserve">at P 169 (2002).  The ISO counters these arguments in its reply brief, contending that the D.C. Court of Appeals decided </w:t>
      </w:r>
      <w:r w:rsidRPr="00D504ED">
        <w:rPr>
          <w:u w:val="single"/>
        </w:rPr>
        <w:t>Union Electric</w:t>
      </w:r>
      <w:r w:rsidRPr="00911D1F">
        <w:t xml:space="preserve"> regarding generating capacity, not transmission, and thus its ruling did not stand for all the contentions for which SWP cites it.  </w:t>
      </w:r>
      <w:r>
        <w:t xml:space="preserve">ISO Reply Brief at 45-46.  </w:t>
      </w:r>
      <w:r w:rsidRPr="00911D1F">
        <w:t>SCE supports the ISO’s viewpoint, stressing in its reply brief that this distinction is crucial.</w:t>
      </w:r>
      <w:r>
        <w:t xml:space="preserve">  SCE Reply Brief at 42.</w:t>
      </w:r>
      <w:r w:rsidRPr="00911D1F">
        <w:t xml:space="preserve">  </w:t>
      </w:r>
    </w:p>
    <w:p w14:paraId="43A9757C" w14:textId="77777777" w:rsidR="00824130" w:rsidRPr="00911D1F" w:rsidRDefault="00824130">
      <w:pPr>
        <w:pStyle w:val="FootnoteText"/>
      </w:pPr>
    </w:p>
  </w:footnote>
  <w:footnote w:id="96">
    <w:p w14:paraId="570CFA73" w14:textId="77777777" w:rsidR="00824130" w:rsidRPr="00911D1F" w:rsidRDefault="00824130">
      <w:pPr>
        <w:ind w:right="1440" w:firstLine="720"/>
        <w:rPr>
          <w:szCs w:val="26"/>
        </w:rPr>
      </w:pPr>
      <w:r w:rsidRPr="00911D1F">
        <w:rPr>
          <w:rStyle w:val="FootnoteReference"/>
        </w:rPr>
        <w:footnoteRef/>
      </w:r>
      <w:r w:rsidRPr="00911D1F">
        <w:rPr>
          <w:szCs w:val="26"/>
        </w:rPr>
        <w:t xml:space="preserve"> “No later than two years after the ISO operations Date, the ISO governing Board shall recommend to FERC a rate methodology for Access Charges. The ISO Governing Board shall base its decision on such principles it approves (including, but not limited to, </w:t>
      </w:r>
      <w:r w:rsidRPr="00911D1F">
        <w:rPr>
          <w:i/>
          <w:iCs/>
          <w:szCs w:val="26"/>
        </w:rPr>
        <w:t>the introduction of off-peak transmission rate</w:t>
      </w:r>
      <w:r w:rsidRPr="00911D1F">
        <w:rPr>
          <w:szCs w:val="26"/>
        </w:rPr>
        <w:t xml:space="preserve"> . . . .” Former ISO Tariff § 7.1.6 (emphasis added by SWP).  </w:t>
      </w:r>
    </w:p>
    <w:p w14:paraId="27F0F6E7" w14:textId="77777777" w:rsidR="00824130" w:rsidRPr="00911D1F" w:rsidRDefault="00824130">
      <w:pPr>
        <w:ind w:right="1440" w:firstLine="720"/>
        <w:rPr>
          <w:szCs w:val="26"/>
        </w:rPr>
      </w:pPr>
    </w:p>
  </w:footnote>
  <w:footnote w:id="97">
    <w:p w14:paraId="623CCFB0" w14:textId="77777777" w:rsidR="00824130" w:rsidRDefault="00824130">
      <w:pPr>
        <w:pStyle w:val="FootnoteText"/>
      </w:pPr>
      <w:r w:rsidRPr="00911D1F">
        <w:rPr>
          <w:rStyle w:val="FootnoteReference"/>
        </w:rPr>
        <w:footnoteRef/>
      </w:r>
      <w:r w:rsidRPr="00911D1F">
        <w:t xml:space="preserve"> According to SWP, </w:t>
      </w:r>
      <w:r>
        <w:rPr>
          <w:iCs/>
        </w:rPr>
        <w:t>Union Elec.</w:t>
      </w:r>
      <w:r w:rsidRPr="0071010F">
        <w:rPr>
          <w:iCs/>
        </w:rPr>
        <w:t xml:space="preserve"> Co. v. FERC</w:t>
      </w:r>
      <w:r w:rsidRPr="00911D1F">
        <w:rPr>
          <w:i/>
          <w:iCs/>
        </w:rPr>
        <w:t xml:space="preserve">, </w:t>
      </w:r>
      <w:r w:rsidRPr="00911D1F">
        <w:t>890 F.2d 1193, 1198 (D.C. Cir. 1989) explains how applying principles of cost causation may motivate users “to consider and employ all alternatives less costly than the plant that their demand would necessitate</w:t>
      </w:r>
      <w:r w:rsidRPr="00911D1F">
        <w:sym w:font="WP TypographicSymbols" w:char="0043"/>
      </w:r>
      <w:r w:rsidRPr="00911D1F">
        <w:t xml:space="preserve"> reducing their peak consumption (where it is less valuable than the resources needed to satisfy it), constructing alternative supply facilities, or (for some types of services) installing storage capacity.”</w:t>
      </w:r>
    </w:p>
    <w:p w14:paraId="51F86F9F" w14:textId="77777777" w:rsidR="00824130" w:rsidRPr="00911D1F" w:rsidRDefault="00824130">
      <w:pPr>
        <w:pStyle w:val="FootnoteText"/>
      </w:pPr>
    </w:p>
  </w:footnote>
  <w:footnote w:id="98">
    <w:p w14:paraId="42DF1B0D" w14:textId="77777777" w:rsidR="00824130" w:rsidRDefault="00824130">
      <w:pPr>
        <w:pStyle w:val="FootnoteText"/>
      </w:pPr>
      <w:r w:rsidRPr="00911D1F">
        <w:rPr>
          <w:rStyle w:val="FootnoteReference"/>
        </w:rPr>
        <w:footnoteRef/>
      </w:r>
      <w:r w:rsidRPr="00911D1F">
        <w:t xml:space="preserve"> </w:t>
      </w:r>
      <w:smartTag w:uri="urn:schemas-microsoft-com:office:smarttags" w:element="place">
        <w:smartTag w:uri="urn:schemas-microsoft-com:office:smarttags" w:element="State">
          <w:r w:rsidRPr="008B6C47">
            <w:t>Ala.</w:t>
          </w:r>
        </w:smartTag>
      </w:smartTag>
      <w:r w:rsidRPr="008B6C47">
        <w:t xml:space="preserve"> Elec. Coop. v. FERC</w:t>
      </w:r>
      <w:r w:rsidRPr="00911D1F">
        <w:t>,</w:t>
      </w:r>
      <w:r w:rsidRPr="00911D1F">
        <w:rPr>
          <w:i/>
        </w:rPr>
        <w:t xml:space="preserve"> </w:t>
      </w:r>
      <w:r w:rsidRPr="00911D1F">
        <w:t xml:space="preserve">684 F.2d 20 (D.C. Cir. 1982); </w:t>
      </w:r>
      <w:r w:rsidRPr="008B6C47">
        <w:t>Union Elec. Co. v. FERC</w:t>
      </w:r>
      <w:r w:rsidRPr="00911D1F">
        <w:t xml:space="preserve">, 890 F.2d 1193 (D.C. Cir. 1989); </w:t>
      </w:r>
      <w:r w:rsidRPr="008B6C47">
        <w:t>Sithe/Indep. Power Partners</w:t>
      </w:r>
      <w:r>
        <w:t>, L.P.,</w:t>
      </w:r>
      <w:r w:rsidRPr="008B6C47">
        <w:t xml:space="preserve"> v. FERC</w:t>
      </w:r>
      <w:r w:rsidRPr="00911D1F">
        <w:t>,</w:t>
      </w:r>
      <w:r w:rsidRPr="00911D1F">
        <w:rPr>
          <w:i/>
        </w:rPr>
        <w:t xml:space="preserve"> </w:t>
      </w:r>
      <w:r w:rsidRPr="00911D1F">
        <w:t>285 F.3d 1, 5 (2002).</w:t>
      </w:r>
    </w:p>
    <w:p w14:paraId="041D97F8" w14:textId="77777777" w:rsidR="00824130" w:rsidRPr="00911D1F" w:rsidRDefault="00824130">
      <w:pPr>
        <w:pStyle w:val="FootnoteText"/>
      </w:pPr>
    </w:p>
  </w:footnote>
  <w:footnote w:id="99">
    <w:p w14:paraId="7E5BBB30" w14:textId="77777777" w:rsidR="00824130" w:rsidRDefault="00824130">
      <w:pPr>
        <w:pStyle w:val="FootnoteText"/>
      </w:pPr>
      <w:r w:rsidRPr="00911D1F">
        <w:rPr>
          <w:rStyle w:val="FootnoteReference"/>
        </w:rPr>
        <w:footnoteRef/>
      </w:r>
      <w:r w:rsidRPr="00911D1F">
        <w:t xml:space="preserve"> </w:t>
      </w:r>
      <w:r w:rsidRPr="00576967">
        <w:rPr>
          <w:iCs/>
          <w:u w:val="single"/>
        </w:rPr>
        <w:t>See</w:t>
      </w:r>
      <w:r w:rsidRPr="007C08E5">
        <w:rPr>
          <w:szCs w:val="26"/>
        </w:rPr>
        <w:t xml:space="preserve"> </w:t>
      </w:r>
      <w:r>
        <w:t>Tr. 651:1 – 4</w:t>
      </w:r>
      <w:r w:rsidRPr="00911D1F">
        <w:t>.</w:t>
      </w:r>
    </w:p>
    <w:p w14:paraId="20292630" w14:textId="77777777" w:rsidR="00824130" w:rsidRPr="00911D1F" w:rsidRDefault="00824130">
      <w:pPr>
        <w:pStyle w:val="FootnoteText"/>
      </w:pPr>
    </w:p>
  </w:footnote>
  <w:footnote w:id="100">
    <w:p w14:paraId="65AABBC1" w14:textId="77777777" w:rsidR="00824130" w:rsidRPr="00911D1F" w:rsidRDefault="00824130">
      <w:pPr>
        <w:pStyle w:val="FootnoteText"/>
      </w:pPr>
      <w:r w:rsidRPr="00911D1F">
        <w:rPr>
          <w:rStyle w:val="FootnoteReference"/>
        </w:rPr>
        <w:footnoteRef/>
      </w:r>
      <w:r>
        <w:t xml:space="preserve"> Ex. SWC-1 at 26:19 – 2</w:t>
      </w:r>
      <w:r w:rsidRPr="00911D1F">
        <w:t xml:space="preserve">1.  SWC also argues this conclusion results from application of the holdings of </w:t>
      </w:r>
      <w:r w:rsidRPr="00576967">
        <w:rPr>
          <w:iCs/>
        </w:rPr>
        <w:t>Elec. Consumers Res. Council v. FERC</w:t>
      </w:r>
      <w:r w:rsidRPr="00911D1F">
        <w:rPr>
          <w:i/>
          <w:iCs/>
        </w:rPr>
        <w:t xml:space="preserve">, </w:t>
      </w:r>
      <w:r w:rsidRPr="00911D1F">
        <w:t xml:space="preserve">747 F.2d 1511 (D.C. Cir. 1984) and </w:t>
      </w:r>
      <w:r w:rsidRPr="00576967">
        <w:rPr>
          <w:iCs/>
        </w:rPr>
        <w:t>La. Pub. Serv. Comm’n v. FERC</w:t>
      </w:r>
      <w:r w:rsidRPr="00911D1F">
        <w:rPr>
          <w:i/>
          <w:iCs/>
        </w:rPr>
        <w:t xml:space="preserve">, </w:t>
      </w:r>
      <w:r w:rsidRPr="00911D1F">
        <w:t xml:space="preserve">184 F.3d 892 (D.C. Cir. 1999) to this case.  </w:t>
      </w:r>
    </w:p>
  </w:footnote>
  <w:footnote w:id="101">
    <w:p w14:paraId="61F1BD6B" w14:textId="77777777" w:rsidR="00824130" w:rsidRPr="00911D1F" w:rsidRDefault="00824130">
      <w:pPr>
        <w:pStyle w:val="FootnoteText"/>
      </w:pPr>
      <w:r w:rsidRPr="00911D1F">
        <w:rPr>
          <w:rStyle w:val="FootnoteReference"/>
        </w:rPr>
        <w:footnoteRef/>
      </w:r>
      <w:r w:rsidRPr="00911D1F">
        <w:t xml:space="preserve"> SWP addresses this contention in this reply brief.  SWP contends that the Commission thought that congestion pricing would address opportunity costs when it made the rulings that Staff discusses, and claims that the congestion pricing system did not operate as planned and do so.  SWP therefore claims that the precedent that Staff cites does not support a failure to allocate transmission costs based on a user’s contribution to system peak.</w:t>
      </w:r>
    </w:p>
  </w:footnote>
  <w:footnote w:id="102">
    <w:p w14:paraId="11FC97B4" w14:textId="77777777" w:rsidR="00824130" w:rsidRPr="00911D1F" w:rsidRDefault="00824130">
      <w:pPr>
        <w:pStyle w:val="FootnoteText"/>
      </w:pPr>
      <w:r w:rsidRPr="00911D1F">
        <w:rPr>
          <w:rStyle w:val="FootnoteReference"/>
        </w:rPr>
        <w:footnoteRef/>
      </w:r>
      <w:r w:rsidRPr="00911D1F">
        <w:t xml:space="preserve"> </w:t>
      </w:r>
      <w:smartTag w:uri="urn:schemas-microsoft-com:office:smarttags" w:element="place">
        <w:smartTag w:uri="urn:schemas-microsoft-com:office:smarttags" w:element="PlaceName">
          <w:r w:rsidRPr="005B54DD">
            <w:rPr>
              <w:u w:val="single"/>
            </w:rPr>
            <w:t>See</w:t>
          </w:r>
        </w:smartTag>
        <w:r w:rsidRPr="00911D1F">
          <w:t xml:space="preserve"> </w:t>
        </w:r>
        <w:smartTag w:uri="urn:schemas-microsoft-com:office:smarttags" w:element="PlaceType">
          <w:r w:rsidRPr="002074C1">
            <w:rPr>
              <w:szCs w:val="26"/>
            </w:rPr>
            <w:t>City</w:t>
          </w:r>
        </w:smartTag>
      </w:smartTag>
      <w:r w:rsidRPr="002074C1">
        <w:rPr>
          <w:szCs w:val="26"/>
        </w:rPr>
        <w:t xml:space="preserve"> of Winnfield v. FERC</w:t>
      </w:r>
      <w:r w:rsidRPr="00911D1F">
        <w:t>, 744 F.2d 871</w:t>
      </w:r>
      <w:r>
        <w:t>, 875</w:t>
      </w:r>
      <w:r w:rsidRPr="00911D1F">
        <w:t xml:space="preserve"> (D.C. Cir. 1984)</w:t>
      </w:r>
      <w:r>
        <w:t>,</w:t>
      </w:r>
      <w:r w:rsidRPr="00911D1F">
        <w:t xml:space="preserve"> </w:t>
      </w:r>
      <w:r w:rsidRPr="005B54DD">
        <w:rPr>
          <w:iCs/>
          <w:u w:val="single"/>
        </w:rPr>
        <w:t>citing</w:t>
      </w:r>
      <w:r w:rsidRPr="00911D1F">
        <w:t xml:space="preserve"> </w:t>
      </w:r>
      <w:r w:rsidRPr="002074C1">
        <w:rPr>
          <w:szCs w:val="26"/>
        </w:rPr>
        <w:t>FPC v. Sierra Pacific Power Co.</w:t>
      </w:r>
      <w:r>
        <w:t xml:space="preserve">, 350 </w:t>
      </w:r>
      <w:smartTag w:uri="urn:schemas-microsoft-com:office:smarttags" w:element="place">
        <w:smartTag w:uri="urn:schemas-microsoft-com:office:smarttags" w:element="country-region">
          <w:r>
            <w:t>U.S.</w:t>
          </w:r>
        </w:smartTag>
      </w:smartTag>
      <w:r>
        <w:t xml:space="preserve"> 348, 350-51 (1956); </w:t>
      </w:r>
      <w:r w:rsidRPr="002074C1">
        <w:rPr>
          <w:szCs w:val="26"/>
        </w:rPr>
        <w:t>Kan. Cities v. FERC</w:t>
      </w:r>
      <w:r w:rsidRPr="00911D1F">
        <w:t>, 723 F. 2d 82 (D.C. Cir. 1983).</w:t>
      </w:r>
    </w:p>
    <w:p w14:paraId="22548219" w14:textId="77777777" w:rsidR="00824130" w:rsidRPr="00911D1F" w:rsidRDefault="00824130">
      <w:pPr>
        <w:pStyle w:val="FootnoteText"/>
      </w:pPr>
    </w:p>
  </w:footnote>
  <w:footnote w:id="103">
    <w:p w14:paraId="1F0FCB48" w14:textId="77777777" w:rsidR="00824130" w:rsidRDefault="00824130">
      <w:pPr>
        <w:pStyle w:val="FootnoteText"/>
      </w:pPr>
      <w:r>
        <w:rPr>
          <w:rStyle w:val="FootnoteReference"/>
        </w:rPr>
        <w:footnoteRef/>
      </w:r>
      <w:r>
        <w:t xml:space="preserve"> </w:t>
      </w:r>
      <w:r w:rsidRPr="00513651">
        <w:rPr>
          <w:szCs w:val="26"/>
          <w:u w:val="single"/>
        </w:rPr>
        <w:t>See</w:t>
      </w:r>
      <w:r>
        <w:t xml:space="preserve"> </w:t>
      </w:r>
      <w:r w:rsidRPr="005B54DD">
        <w:rPr>
          <w:szCs w:val="26"/>
          <w:u w:val="single"/>
        </w:rPr>
        <w:t>generally</w:t>
      </w:r>
      <w:r w:rsidRPr="005C1CA8">
        <w:rPr>
          <w:szCs w:val="26"/>
        </w:rPr>
        <w:t>,</w:t>
      </w:r>
      <w:r>
        <w:t xml:space="preserve"> SWC Initial Brief at 45-63; SWP Initial Brief at 42-45.  </w:t>
      </w:r>
    </w:p>
    <w:p w14:paraId="3BF64699" w14:textId="77777777" w:rsidR="00824130" w:rsidRDefault="00824130">
      <w:pPr>
        <w:pStyle w:val="FootnoteText"/>
      </w:pPr>
    </w:p>
  </w:footnote>
  <w:footnote w:id="104">
    <w:p w14:paraId="71FF3352" w14:textId="77777777" w:rsidR="00824130" w:rsidRDefault="00824130">
      <w:pPr>
        <w:pStyle w:val="FootnoteText"/>
      </w:pPr>
      <w:r>
        <w:rPr>
          <w:rStyle w:val="FootnoteReference"/>
        </w:rPr>
        <w:footnoteRef/>
      </w:r>
      <w:r>
        <w:t xml:space="preserve"> </w:t>
      </w:r>
      <w:r w:rsidRPr="005B54DD">
        <w:rPr>
          <w:szCs w:val="26"/>
          <w:u w:val="single"/>
        </w:rPr>
        <w:t>See</w:t>
      </w:r>
      <w:r>
        <w:t xml:space="preserve"> Staff Initial Brief at 65-67; ISO Initial Brief at 65-87; SCE Initial Brief at 44-51; SC Initial Brief at 55-61; PG&amp;E Initial Brief at 37-41; EOB Initial Brief at 45-46; SDG&amp;E Initial Brief at 17.</w:t>
      </w:r>
    </w:p>
    <w:p w14:paraId="6660C586" w14:textId="77777777" w:rsidR="00824130" w:rsidRDefault="00824130">
      <w:pPr>
        <w:pStyle w:val="FootnoteText"/>
      </w:pPr>
    </w:p>
  </w:footnote>
  <w:footnote w:id="105">
    <w:p w14:paraId="2986A5E2" w14:textId="77777777" w:rsidR="00824130" w:rsidRDefault="00824130">
      <w:pPr>
        <w:pStyle w:val="FootnoteText"/>
      </w:pPr>
      <w:r>
        <w:rPr>
          <w:rStyle w:val="FootnoteReference"/>
        </w:rPr>
        <w:footnoteRef/>
      </w:r>
      <w:r>
        <w:t xml:space="preserve"> </w:t>
      </w:r>
      <w:r w:rsidRPr="005B54DD">
        <w:rPr>
          <w:szCs w:val="26"/>
          <w:u w:val="single"/>
        </w:rPr>
        <w:t>See</w:t>
      </w:r>
      <w:r>
        <w:t xml:space="preserve">, </w:t>
      </w:r>
      <w:r w:rsidRPr="005B54DD">
        <w:rPr>
          <w:szCs w:val="26"/>
          <w:u w:val="single"/>
        </w:rPr>
        <w:t>e.g.</w:t>
      </w:r>
      <w:r>
        <w:t>, Staff Initial Brief at 67.</w:t>
      </w:r>
    </w:p>
    <w:p w14:paraId="2D96A0C6" w14:textId="77777777" w:rsidR="00824130" w:rsidRDefault="00824130">
      <w:pPr>
        <w:pStyle w:val="FootnoteText"/>
      </w:pPr>
    </w:p>
  </w:footnote>
  <w:footnote w:id="106">
    <w:p w14:paraId="06A2A553" w14:textId="77777777" w:rsidR="00824130" w:rsidRDefault="00824130">
      <w:pPr>
        <w:pStyle w:val="FootnoteText"/>
      </w:pPr>
      <w:r>
        <w:rPr>
          <w:rStyle w:val="FootnoteReference"/>
        </w:rPr>
        <w:footnoteRef/>
      </w:r>
      <w:r>
        <w:t xml:space="preserve"> SWC Initial Brief at 17-45; SWC Reply Brief at 20-49; SWP Initial Brief at 28-41; SWP Reply Brief at 28-49.  </w:t>
      </w:r>
    </w:p>
    <w:p w14:paraId="28AD0904" w14:textId="77777777" w:rsidR="00824130" w:rsidRDefault="00824130">
      <w:pPr>
        <w:pStyle w:val="FootnoteText"/>
      </w:pPr>
    </w:p>
  </w:footnote>
  <w:footnote w:id="107">
    <w:p w14:paraId="113FAA35" w14:textId="77777777" w:rsidR="00824130" w:rsidRDefault="00824130">
      <w:pPr>
        <w:pStyle w:val="FootnoteText"/>
      </w:pPr>
      <w:r>
        <w:rPr>
          <w:rStyle w:val="FootnoteReference"/>
        </w:rPr>
        <w:footnoteRef/>
      </w:r>
      <w:r>
        <w:t xml:space="preserve"> SWC Initial Brief at 48-49; SWP Initial Brief at 31.</w:t>
      </w:r>
    </w:p>
    <w:p w14:paraId="52717F3B" w14:textId="77777777" w:rsidR="00824130" w:rsidRDefault="00824130">
      <w:pPr>
        <w:pStyle w:val="FootnoteText"/>
      </w:pPr>
    </w:p>
  </w:footnote>
  <w:footnote w:id="108">
    <w:p w14:paraId="672ADB50" w14:textId="77777777" w:rsidR="00824130" w:rsidRDefault="00824130">
      <w:pPr>
        <w:pStyle w:val="FootnoteText"/>
      </w:pPr>
      <w:r>
        <w:rPr>
          <w:rStyle w:val="FootnoteReference"/>
        </w:rPr>
        <w:footnoteRef/>
      </w:r>
      <w:r>
        <w:t xml:space="preserve"> SWP Initial Brief at 31-32; SWC Initial Brief at 49.</w:t>
      </w:r>
    </w:p>
    <w:p w14:paraId="722C86F1" w14:textId="77777777" w:rsidR="00824130" w:rsidRDefault="00824130">
      <w:pPr>
        <w:pStyle w:val="FootnoteText"/>
      </w:pPr>
    </w:p>
  </w:footnote>
  <w:footnote w:id="109">
    <w:p w14:paraId="3141C78F" w14:textId="77777777" w:rsidR="00824130" w:rsidRDefault="00824130">
      <w:pPr>
        <w:pStyle w:val="FootnoteText"/>
      </w:pPr>
      <w:r>
        <w:rPr>
          <w:rStyle w:val="FootnoteReference"/>
        </w:rPr>
        <w:footnoteRef/>
      </w:r>
      <w:r>
        <w:t xml:space="preserve"> SWC Initial Brief at 45-63; SWP Initial Brief at 42-45.</w:t>
      </w:r>
    </w:p>
    <w:p w14:paraId="4391841A" w14:textId="77777777" w:rsidR="00824130" w:rsidRDefault="00824130">
      <w:pPr>
        <w:pStyle w:val="FootnoteText"/>
      </w:pPr>
    </w:p>
  </w:footnote>
  <w:footnote w:id="110">
    <w:p w14:paraId="4085BA67" w14:textId="77777777" w:rsidR="00824130" w:rsidRDefault="00824130">
      <w:pPr>
        <w:pStyle w:val="FootnoteText"/>
      </w:pPr>
      <w:r>
        <w:rPr>
          <w:rStyle w:val="FootnoteReference"/>
        </w:rPr>
        <w:footnoteRef/>
      </w:r>
      <w:r>
        <w:t xml:space="preserve"> SWC Initial Brief at 56-59; SWP Initial Brief at 37-40.</w:t>
      </w:r>
    </w:p>
    <w:p w14:paraId="654CDCE7" w14:textId="77777777" w:rsidR="00824130" w:rsidRDefault="00824130">
      <w:pPr>
        <w:pStyle w:val="FootnoteText"/>
      </w:pPr>
    </w:p>
  </w:footnote>
  <w:footnote w:id="111">
    <w:p w14:paraId="50C381CD" w14:textId="77777777" w:rsidR="00824130" w:rsidRDefault="00824130">
      <w:pPr>
        <w:pStyle w:val="FootnoteText"/>
      </w:pPr>
      <w:r>
        <w:rPr>
          <w:rStyle w:val="FootnoteReference"/>
        </w:rPr>
        <w:footnoteRef/>
      </w:r>
      <w:r>
        <w:t xml:space="preserve"> SWC Initial Brief at 48-49; SWP Initial Brief at 31.</w:t>
      </w:r>
    </w:p>
    <w:p w14:paraId="77578749" w14:textId="77777777" w:rsidR="00824130" w:rsidRDefault="00824130">
      <w:pPr>
        <w:pStyle w:val="FootnoteText"/>
      </w:pPr>
    </w:p>
  </w:footnote>
  <w:footnote w:id="112">
    <w:p w14:paraId="73EDF859" w14:textId="77777777" w:rsidR="00824130" w:rsidRDefault="00824130">
      <w:pPr>
        <w:pStyle w:val="FootnoteText"/>
      </w:pPr>
      <w:r>
        <w:rPr>
          <w:rStyle w:val="FootnoteReference"/>
        </w:rPr>
        <w:footnoteRef/>
      </w:r>
      <w:r>
        <w:t xml:space="preserve"> As previously discussed, the ongoing MD02 Market Redesign Proposal proceedings pending in a different docket address the ISO’s proposed adoption of locational marginal pricing.  </w:t>
      </w:r>
    </w:p>
    <w:p w14:paraId="0B5D5FDA" w14:textId="77777777" w:rsidR="00824130" w:rsidRDefault="00824130">
      <w:pPr>
        <w:pStyle w:val="FootnoteText"/>
      </w:pPr>
    </w:p>
  </w:footnote>
  <w:footnote w:id="113">
    <w:p w14:paraId="1832E8DE" w14:textId="77777777" w:rsidR="00824130" w:rsidRDefault="00824130">
      <w:pPr>
        <w:pStyle w:val="FootnoteText"/>
      </w:pPr>
      <w:r w:rsidRPr="00911D1F">
        <w:rPr>
          <w:rStyle w:val="FootnoteReference"/>
        </w:rPr>
        <w:footnoteRef/>
      </w:r>
      <w:r w:rsidRPr="00911D1F">
        <w:t xml:space="preserve"> </w:t>
      </w:r>
      <w:r w:rsidRPr="005B54DD">
        <w:rPr>
          <w:rFonts w:cs="Garamond"/>
          <w:iCs/>
          <w:u w:val="single"/>
        </w:rPr>
        <w:t>IES Utilities, Inc.</w:t>
      </w:r>
      <w:r w:rsidRPr="00911D1F">
        <w:rPr>
          <w:rFonts w:cs="Garamond"/>
          <w:i/>
          <w:iCs/>
        </w:rPr>
        <w:t>,</w:t>
      </w:r>
      <w:r w:rsidRPr="00911D1F">
        <w:t xml:space="preserve"> 81 FERC </w:t>
      </w:r>
      <w:r w:rsidRPr="00911D1F">
        <w:sym w:font="WP TypographicSymbols" w:char="0026"/>
      </w:r>
      <w:r>
        <w:t> 61,187 (1997)(</w:t>
      </w:r>
      <w:r w:rsidRPr="00911D1F">
        <w:t xml:space="preserve">approved a rate design that based on-peak rates on 4,160 hours and off-peak rates on 8,760 hours, modifying the Commission’s Appalachian method as originally developed in </w:t>
      </w:r>
      <w:r w:rsidRPr="005B54DD">
        <w:rPr>
          <w:iCs/>
          <w:u w:val="single"/>
        </w:rPr>
        <w:t>A</w:t>
      </w:r>
      <w:r>
        <w:rPr>
          <w:iCs/>
          <w:u w:val="single"/>
        </w:rPr>
        <w:t>ppalachian Power Co.</w:t>
      </w:r>
      <w:r w:rsidRPr="00911D1F">
        <w:rPr>
          <w:i/>
          <w:iCs/>
        </w:rPr>
        <w:t>,</w:t>
      </w:r>
      <w:r w:rsidRPr="00911D1F">
        <w:t xml:space="preserve"> 39 FERC </w:t>
      </w:r>
      <w:r w:rsidRPr="00911D1F">
        <w:sym w:font="WP TypographicSymbols" w:char="0026"/>
      </w:r>
      <w:r w:rsidRPr="00911D1F">
        <w:t> 61,296 (1987) by moving to a differentiated rate based on off-or on-peak service</w:t>
      </w:r>
      <w:r>
        <w:t>)</w:t>
      </w:r>
      <w:r w:rsidRPr="00911D1F">
        <w:t xml:space="preserve">.  </w:t>
      </w:r>
    </w:p>
    <w:p w14:paraId="741C48BD" w14:textId="77777777" w:rsidR="00824130" w:rsidRPr="00911D1F" w:rsidRDefault="00824130">
      <w:pPr>
        <w:pStyle w:val="FootnoteText"/>
      </w:pPr>
    </w:p>
  </w:footnote>
  <w:footnote w:id="114">
    <w:p w14:paraId="7C1F6E6C" w14:textId="77777777" w:rsidR="00824130" w:rsidRPr="00911D1F" w:rsidRDefault="00824130">
      <w:pPr>
        <w:pStyle w:val="FootnoteText"/>
      </w:pPr>
      <w:r w:rsidRPr="00911D1F">
        <w:rPr>
          <w:rStyle w:val="FootnoteReference"/>
        </w:rPr>
        <w:footnoteRef/>
      </w:r>
      <w:r w:rsidRPr="00911D1F">
        <w:t xml:space="preserve"> This method was recommended by FERC Staff Witness Craig E. Deters for retail transmission in PG&amp;E</w:t>
      </w:r>
      <w:r w:rsidRPr="00911D1F">
        <w:sym w:font="WP TypographicSymbols" w:char="003D"/>
      </w:r>
      <w:r w:rsidRPr="00911D1F">
        <w:t xml:space="preserve">s TO3 rate filing under Docket No. ER99-2326. </w:t>
      </w:r>
      <w:r>
        <w:t xml:space="preserve"> </w:t>
      </w:r>
      <w:r w:rsidRPr="00911D1F">
        <w:t xml:space="preserve">Ex. SWP-46.  The particular method Mr. Deters presented provides a kind of time-of-use rate, but not for individual customers. Costs to retail customer classes are allocated on the basis of 12 monthly coincident peaks (12 CPs) and then rates within that class are based on billing determinants (energy or non-coincident demand).  SWP contends that this method comports with Commission policy on how ISOs and RTOs should allocate costs, as expressed in </w:t>
      </w:r>
      <w:r w:rsidRPr="005B54DD">
        <w:rPr>
          <w:iCs/>
        </w:rPr>
        <w:t>Promoting Wholesale Competition Through Open Access Non-Discriminatory Transmission Services by Public Utilities; Recovery of Stranded Costs by Public Utilities and Transmitting Utilities</w:t>
      </w:r>
      <w:r w:rsidRPr="00911D1F">
        <w:t xml:space="preserve">, Order No. 888, </w:t>
      </w:r>
      <w:r w:rsidRPr="00911D1F">
        <w:rPr>
          <w:smallCaps/>
        </w:rPr>
        <w:t>FERC Stats. &amp; Regs.</w:t>
      </w:r>
      <w:r w:rsidRPr="00911D1F">
        <w:t xml:space="preserve">, Regulation Preambles </w:t>
      </w:r>
      <w:r w:rsidRPr="00911D1F">
        <w:sym w:font="WP TypographicSymbols" w:char="0026"/>
      </w:r>
      <w:r w:rsidRPr="00911D1F">
        <w:t xml:space="preserve"> 31,036, at 31,737 n.441 (1996) and </w:t>
      </w:r>
      <w:r w:rsidRPr="005B54DD">
        <w:rPr>
          <w:iCs/>
        </w:rPr>
        <w:t>Remedying Undue Discrimination through Open Access Transmission Service and Standard Electricity Market Design</w:t>
      </w:r>
      <w:r w:rsidRPr="00911D1F">
        <w:rPr>
          <w:i/>
          <w:iCs/>
        </w:rPr>
        <w:t>,</w:t>
      </w:r>
      <w:r w:rsidRPr="00911D1F">
        <w:t xml:space="preserve"> </w:t>
      </w:r>
      <w:r w:rsidRPr="00911D1F">
        <w:rPr>
          <w:rFonts w:cs="Shruti"/>
          <w:smallCaps/>
        </w:rPr>
        <w:t>Ferc Stats. &amp; Regs.</w:t>
      </w:r>
      <w:r w:rsidRPr="00911D1F">
        <w:rPr>
          <w:rFonts w:cs="Shruti"/>
        </w:rPr>
        <w:t xml:space="preserve">, Proposed Regulations ¶ 32,564 </w:t>
      </w:r>
      <w:r>
        <w:t>at P</w:t>
      </w:r>
      <w:r w:rsidRPr="00911D1F">
        <w:t xml:space="preserve"> 169 (2002).</w:t>
      </w:r>
    </w:p>
    <w:p w14:paraId="5CDC1780" w14:textId="77777777" w:rsidR="00824130" w:rsidRPr="00911D1F" w:rsidRDefault="00824130">
      <w:pPr>
        <w:pStyle w:val="FootnoteText"/>
      </w:pPr>
    </w:p>
  </w:footnote>
  <w:footnote w:id="115">
    <w:p w14:paraId="027E637E" w14:textId="77777777" w:rsidR="00824130" w:rsidRPr="00911D1F" w:rsidRDefault="00824130">
      <w:pPr>
        <w:pStyle w:val="FootnoteText"/>
      </w:pPr>
      <w:r w:rsidRPr="00911D1F">
        <w:rPr>
          <w:rStyle w:val="FootnoteReference"/>
        </w:rPr>
        <w:footnoteRef/>
      </w:r>
      <w:r w:rsidRPr="00911D1F">
        <w:t xml:space="preserve"> </w:t>
      </w:r>
      <w:r w:rsidRPr="005B54DD">
        <w:rPr>
          <w:iCs/>
          <w:u w:val="single"/>
        </w:rPr>
        <w:t>See</w:t>
      </w:r>
      <w:r w:rsidRPr="00911D1F">
        <w:rPr>
          <w:i/>
          <w:iCs/>
        </w:rPr>
        <w:t xml:space="preserve"> </w:t>
      </w:r>
      <w:r w:rsidRPr="005B54DD">
        <w:rPr>
          <w:iCs/>
        </w:rPr>
        <w:t>Commonwealth Edison Co.</w:t>
      </w:r>
      <w:r w:rsidRPr="00911D1F">
        <w:t xml:space="preserve">, 105 FERC ¶ 61,186 at </w:t>
      </w:r>
      <w:r>
        <w:t xml:space="preserve">P 33 </w:t>
      </w:r>
      <w:r w:rsidRPr="00911D1F">
        <w:t xml:space="preserve">(2003); </w:t>
      </w:r>
      <w:r w:rsidRPr="005B54DD">
        <w:rPr>
          <w:iCs/>
        </w:rPr>
        <w:t>La. Power &amp; Light, Co.</w:t>
      </w:r>
      <w:r w:rsidRPr="005B54DD">
        <w:t xml:space="preserve">, 14 FERC ¶ 61,075 at 61,126 (1981); </w:t>
      </w:r>
      <w:r w:rsidRPr="005B54DD">
        <w:rPr>
          <w:iCs/>
        </w:rPr>
        <w:t>City of Wichita v. W. Resources, Inc.</w:t>
      </w:r>
      <w:r w:rsidRPr="005B54DD">
        <w:t>,</w:t>
      </w:r>
      <w:r w:rsidRPr="00911D1F">
        <w:t xml:space="preserve"> 93 FERC ¶ 63,015 at 65,053, n. 4 (2000), </w:t>
      </w:r>
      <w:r w:rsidRPr="005B54DD">
        <w:rPr>
          <w:u w:val="single"/>
        </w:rPr>
        <w:t>citing</w:t>
      </w:r>
      <w:r w:rsidRPr="00911D1F">
        <w:rPr>
          <w:i/>
        </w:rPr>
        <w:t xml:space="preserve"> </w:t>
      </w:r>
      <w:r w:rsidRPr="001412B8">
        <w:rPr>
          <w:iCs/>
        </w:rPr>
        <w:t>Houlton v. Me. Pub. Serv. Co.</w:t>
      </w:r>
      <w:r w:rsidRPr="00911D1F">
        <w:t>, 62</w:t>
      </w:r>
      <w:r>
        <w:t xml:space="preserve"> FERC ¶ 63,023 at 65,092 (1992)</w:t>
      </w:r>
      <w:r w:rsidRPr="00911D1F">
        <w:t>.</w:t>
      </w:r>
    </w:p>
    <w:p w14:paraId="45BB9205" w14:textId="77777777" w:rsidR="00824130" w:rsidRPr="00911D1F" w:rsidRDefault="00824130">
      <w:pPr>
        <w:pStyle w:val="FootnoteText"/>
      </w:pPr>
    </w:p>
  </w:footnote>
  <w:footnote w:id="116">
    <w:p w14:paraId="47DD9AF7" w14:textId="77777777" w:rsidR="00824130" w:rsidRPr="00911D1F" w:rsidRDefault="00824130">
      <w:pPr>
        <w:pStyle w:val="FootnoteText"/>
      </w:pPr>
      <w:r w:rsidRPr="00911D1F">
        <w:rPr>
          <w:rStyle w:val="FootnoteReference"/>
        </w:rPr>
        <w:footnoteRef/>
      </w:r>
      <w:r>
        <w:t xml:space="preserve"> Ex. SWC-24 at </w:t>
      </w:r>
      <w:smartTag w:uri="urn:schemas-microsoft-com:office:smarttags" w:element="time">
        <w:smartTagPr>
          <w:attr w:name="Hour" w:val="13"/>
          <w:attr w:name="Minute" w:val="16"/>
        </w:smartTagPr>
        <w:r>
          <w:t>13:16</w:t>
        </w:r>
      </w:smartTag>
      <w:r>
        <w:t xml:space="preserve"> – 18; Ex. SWC-24 at 14:5 – 9</w:t>
      </w:r>
      <w:r w:rsidRPr="00911D1F">
        <w:t>.</w:t>
      </w:r>
    </w:p>
    <w:p w14:paraId="1B8EDBB6" w14:textId="77777777" w:rsidR="00824130" w:rsidRPr="00911D1F" w:rsidRDefault="00824130">
      <w:pPr>
        <w:pStyle w:val="FootnoteText"/>
      </w:pPr>
    </w:p>
  </w:footnote>
  <w:footnote w:id="117">
    <w:p w14:paraId="528F90C2" w14:textId="77777777" w:rsidR="00824130" w:rsidRDefault="00824130">
      <w:pPr>
        <w:pStyle w:val="FootnoteText"/>
      </w:pPr>
      <w:r>
        <w:rPr>
          <w:rStyle w:val="FootnoteReference"/>
        </w:rPr>
        <w:footnoteRef/>
      </w:r>
      <w:r>
        <w:t xml:space="preserve"> </w:t>
      </w:r>
      <w:r w:rsidRPr="00986646">
        <w:t>Pacific Gas &amp; Elec. Co.</w:t>
      </w:r>
      <w:r w:rsidRPr="00CD3D3C">
        <w:rPr>
          <w:i/>
        </w:rPr>
        <w:t xml:space="preserve">, </w:t>
      </w:r>
      <w:r w:rsidRPr="00CD3D3C">
        <w:t>80 FERC ¶ 61,128 at 61,429-30 (1997)</w:t>
      </w:r>
      <w:r>
        <w:t>.</w:t>
      </w:r>
    </w:p>
    <w:p w14:paraId="68B152CB" w14:textId="77777777" w:rsidR="00824130" w:rsidRDefault="00824130">
      <w:pPr>
        <w:pStyle w:val="FootnoteText"/>
      </w:pPr>
    </w:p>
  </w:footnote>
  <w:footnote w:id="118">
    <w:p w14:paraId="75C21A4C" w14:textId="77777777" w:rsidR="00824130" w:rsidRDefault="00824130">
      <w:pPr>
        <w:pStyle w:val="FootnoteText"/>
      </w:pPr>
      <w:r>
        <w:rPr>
          <w:rStyle w:val="FootnoteReference"/>
        </w:rPr>
        <w:footnoteRef/>
      </w:r>
      <w:r>
        <w:t xml:space="preserve"> SCE argues that the eventual adoption of locational marginal pricing might make time-of-use or coincident peak pricing “even less appropriate” than under the ISO’s congestion management system because locational marginal pricing is intended to send the price signals that promote efficient use of the transmission grid.  SCE Initial Brief at 48, citing </w:t>
      </w:r>
      <w:r w:rsidRPr="00986646">
        <w:rPr>
          <w:szCs w:val="26"/>
        </w:rPr>
        <w:t>Cal. Indep. Sys. Operator Corp.</w:t>
      </w:r>
      <w:r>
        <w:t>, 105 FERC ¶ 61,140 at P 50 (2003)(approved ISO adoption of congestion management system based on locational marginal pricing).</w:t>
      </w:r>
    </w:p>
    <w:p w14:paraId="3277CCAC" w14:textId="77777777" w:rsidR="00824130" w:rsidRDefault="00824130">
      <w:pPr>
        <w:pStyle w:val="FootnoteText"/>
      </w:pPr>
    </w:p>
  </w:footnote>
  <w:footnote w:id="119">
    <w:p w14:paraId="38F3AE16" w14:textId="77777777" w:rsidR="00824130" w:rsidRDefault="00824130">
      <w:pPr>
        <w:pStyle w:val="FootnoteText"/>
      </w:pPr>
      <w:r>
        <w:rPr>
          <w:rStyle w:val="FootnoteReference"/>
        </w:rPr>
        <w:footnoteRef/>
      </w:r>
      <w:r>
        <w:t xml:space="preserve"> SCE Initial Brief at 47, </w:t>
      </w:r>
      <w:r w:rsidRPr="00986646">
        <w:rPr>
          <w:szCs w:val="26"/>
          <w:u w:val="single"/>
        </w:rPr>
        <w:t>citing</w:t>
      </w:r>
      <w:r>
        <w:t xml:space="preserve"> Ex. ISO-36 at 12:5-8 (discussed that TOU or 12 CP pricing would “more likely work at cross purposes with the ISO’s congestion management process and reduce the efficiency with which the grid is used and expanded); Tr. 2436:2 – 6 (SCE witness Hansen discussed that TOU pricing with the TAC could interfere with congestion pricing because it does not allow the congestion prices to show the end users).  </w:t>
      </w:r>
    </w:p>
    <w:p w14:paraId="776A6665" w14:textId="77777777" w:rsidR="00824130" w:rsidRDefault="00824130">
      <w:pPr>
        <w:pStyle w:val="FootnoteText"/>
      </w:pPr>
    </w:p>
  </w:footnote>
  <w:footnote w:id="120">
    <w:p w14:paraId="47E719D1" w14:textId="77777777" w:rsidR="00824130" w:rsidRDefault="00824130">
      <w:pPr>
        <w:pStyle w:val="FootnoteText"/>
      </w:pPr>
      <w:r>
        <w:rPr>
          <w:rStyle w:val="FootnoteReference"/>
        </w:rPr>
        <w:footnoteRef/>
      </w:r>
      <w:r>
        <w:t xml:space="preserve"> </w:t>
      </w:r>
      <w:r w:rsidRPr="00986646">
        <w:rPr>
          <w:szCs w:val="26"/>
          <w:u w:val="single"/>
        </w:rPr>
        <w:t>See</w:t>
      </w:r>
      <w:r>
        <w:t xml:space="preserve">, </w:t>
      </w:r>
      <w:r w:rsidRPr="00986646">
        <w:rPr>
          <w:szCs w:val="26"/>
          <w:u w:val="single"/>
        </w:rPr>
        <w:t>e.g.</w:t>
      </w:r>
      <w:r>
        <w:t xml:space="preserve">, SC Initial Brief at 61.  </w:t>
      </w:r>
    </w:p>
    <w:p w14:paraId="07D63AC6" w14:textId="77777777" w:rsidR="00824130" w:rsidRDefault="00824130">
      <w:pPr>
        <w:pStyle w:val="FootnoteText"/>
      </w:pPr>
    </w:p>
  </w:footnote>
  <w:footnote w:id="121">
    <w:p w14:paraId="40997B39" w14:textId="77777777" w:rsidR="00824130" w:rsidRDefault="00824130">
      <w:pPr>
        <w:pStyle w:val="FootnoteText"/>
      </w:pPr>
      <w:r w:rsidRPr="00911D1F">
        <w:rPr>
          <w:rStyle w:val="FootnoteReference"/>
        </w:rPr>
        <w:footnoteRef/>
      </w:r>
      <w:r w:rsidRPr="00911D1F">
        <w:t xml:space="preserve">  ISO Reply Brief at 68, </w:t>
      </w:r>
      <w:r w:rsidRPr="004E6064">
        <w:rPr>
          <w:u w:val="single"/>
        </w:rPr>
        <w:t>citing</w:t>
      </w:r>
      <w:r w:rsidRPr="00911D1F">
        <w:rPr>
          <w:i/>
        </w:rPr>
        <w:t xml:space="preserve"> </w:t>
      </w:r>
      <w:hyperlink r:id="rId1" w:history="1">
        <w:r>
          <w:rPr>
            <w:rStyle w:val="Hyperlink"/>
          </w:rPr>
          <w:t>http://www2.caiso.com/docs/2003/03/18/2003031815303519270.html</w:t>
        </w:r>
      </w:hyperlink>
      <w:r w:rsidRPr="00911D1F">
        <w:t>.</w:t>
      </w:r>
    </w:p>
    <w:p w14:paraId="5B190383" w14:textId="77777777" w:rsidR="00824130" w:rsidRPr="00911D1F" w:rsidRDefault="00824130">
      <w:pPr>
        <w:pStyle w:val="FootnoteText"/>
      </w:pPr>
    </w:p>
  </w:footnote>
  <w:footnote w:id="122">
    <w:p w14:paraId="69A88F34" w14:textId="77777777" w:rsidR="00824130" w:rsidRDefault="00824130">
      <w:pPr>
        <w:pStyle w:val="FootnoteText"/>
      </w:pPr>
      <w:r w:rsidRPr="00911D1F">
        <w:rPr>
          <w:rStyle w:val="FootnoteReference"/>
        </w:rPr>
        <w:footnoteRef/>
      </w:r>
      <w:r w:rsidRPr="00911D1F">
        <w:t xml:space="preserve"> However, Staff points out that because the guidelines would be within the scope of Section 206, they would first be subject to the filing requirements of Section 205(c).  Therefore, they should be filed as an amendment to the tariff as Staff recommends.  </w:t>
      </w:r>
    </w:p>
    <w:p w14:paraId="028ABD33" w14:textId="77777777" w:rsidR="00824130" w:rsidRPr="00911D1F" w:rsidRDefault="00824130">
      <w:pPr>
        <w:pStyle w:val="FootnoteText"/>
      </w:pPr>
    </w:p>
  </w:footnote>
  <w:footnote w:id="123">
    <w:p w14:paraId="1F88F1F2" w14:textId="77777777" w:rsidR="00824130" w:rsidRPr="002217C8" w:rsidRDefault="00824130">
      <w:pPr>
        <w:pStyle w:val="FootnoteText"/>
      </w:pPr>
      <w:r w:rsidRPr="002217C8">
        <w:rPr>
          <w:rStyle w:val="FootnoteReference"/>
          <w:color w:val="000000"/>
        </w:rPr>
        <w:footnoteRef/>
      </w:r>
      <w:r w:rsidRPr="002217C8">
        <w:t xml:space="preserve"> </w:t>
      </w:r>
      <w:r w:rsidRPr="006F5DA6">
        <w:rPr>
          <w:u w:val="single"/>
        </w:rPr>
        <w:t>See</w:t>
      </w:r>
      <w:r w:rsidRPr="002217C8">
        <w:t xml:space="preserve"> Staff Reply Brief at 50.  </w:t>
      </w:r>
    </w:p>
  </w:footnote>
  <w:footnote w:id="124">
    <w:p w14:paraId="63B68F08" w14:textId="77777777" w:rsidR="00824130" w:rsidRDefault="00824130">
      <w:pPr>
        <w:pStyle w:val="FootnoteText"/>
      </w:pPr>
      <w:r w:rsidRPr="00911D1F">
        <w:rPr>
          <w:rStyle w:val="FootnoteReference"/>
        </w:rPr>
        <w:footnoteRef/>
      </w:r>
      <w:r w:rsidRPr="00911D1F">
        <w:t xml:space="preserve"> </w:t>
      </w:r>
      <w:r w:rsidRPr="004E6064">
        <w:rPr>
          <w:u w:val="single"/>
        </w:rPr>
        <w:t>See</w:t>
      </w:r>
      <w:r w:rsidRPr="00911D1F">
        <w:t xml:space="preserve">, </w:t>
      </w:r>
      <w:r w:rsidRPr="004E6064">
        <w:rPr>
          <w:u w:val="single"/>
        </w:rPr>
        <w:t>e.g.</w:t>
      </w:r>
      <w:r w:rsidRPr="00911D1F">
        <w:t>, Ex. SCE-13 at 36.</w:t>
      </w:r>
    </w:p>
    <w:p w14:paraId="6D9A06A3" w14:textId="77777777" w:rsidR="00824130" w:rsidRPr="00911D1F" w:rsidRDefault="00824130">
      <w:pPr>
        <w:pStyle w:val="FootnoteText"/>
      </w:pPr>
    </w:p>
  </w:footnote>
  <w:footnote w:id="125">
    <w:p w14:paraId="48FD8829" w14:textId="77777777" w:rsidR="00824130" w:rsidRDefault="00824130">
      <w:pPr>
        <w:pStyle w:val="FootnoteText"/>
      </w:pPr>
      <w:r w:rsidRPr="00911D1F">
        <w:rPr>
          <w:rStyle w:val="FootnoteReference"/>
        </w:rPr>
        <w:footnoteRef/>
      </w:r>
      <w:r w:rsidRPr="00911D1F">
        <w:rPr>
          <w:vertAlign w:val="superscript"/>
        </w:rPr>
        <w:t xml:space="preserve"> </w:t>
      </w:r>
      <w:r w:rsidRPr="004E6064">
        <w:t>Pacific Gas and Elec. Co.</w:t>
      </w:r>
      <w:r w:rsidRPr="00911D1F">
        <w:t xml:space="preserve">, </w:t>
      </w:r>
      <w:r w:rsidRPr="00911D1F">
        <w:rPr>
          <w:bCs/>
        </w:rPr>
        <w:t>88 FERC ¶ 63,007</w:t>
      </w:r>
      <w:r w:rsidRPr="00911D1F">
        <w:t xml:space="preserve"> at 65,051 (1999) (“Staff argues that we can order modification of the Companies’ TO Tariffs irrespective of any inconsistencies that such an order might create with the collective ISO Tariff.”).  </w:t>
      </w:r>
    </w:p>
    <w:p w14:paraId="415D6AEE" w14:textId="77777777" w:rsidR="00824130" w:rsidRPr="00911D1F" w:rsidRDefault="00824130">
      <w:pPr>
        <w:pStyle w:val="FootnoteText"/>
      </w:pPr>
    </w:p>
  </w:footnote>
  <w:footnote w:id="126">
    <w:p w14:paraId="37DC04BA" w14:textId="77777777" w:rsidR="00824130" w:rsidRDefault="00824130">
      <w:pPr>
        <w:pStyle w:val="FootnoteText"/>
      </w:pPr>
      <w:r w:rsidRPr="00911D1F">
        <w:rPr>
          <w:rStyle w:val="FootnoteReference"/>
        </w:rPr>
        <w:footnoteRef/>
      </w:r>
      <w:r w:rsidRPr="00911D1F">
        <w:t xml:space="preserve"> </w:t>
      </w:r>
      <w:r w:rsidRPr="004E6064">
        <w:rPr>
          <w:u w:val="single"/>
        </w:rPr>
        <w:t>E.g.</w:t>
      </w:r>
      <w:r>
        <w:rPr>
          <w:i/>
        </w:rPr>
        <w:t xml:space="preserve">, </w:t>
      </w:r>
      <w:r w:rsidRPr="004E6064">
        <w:rPr>
          <w:u w:val="single"/>
        </w:rPr>
        <w:t>Opinion No. 458-A</w:t>
      </w:r>
      <w:r w:rsidRPr="00911D1F">
        <w:t xml:space="preserve">, </w:t>
      </w:r>
      <w:r>
        <w:t>101 FERC ¶ 61,151 at P 15</w:t>
      </w:r>
      <w:r w:rsidRPr="00911D1F">
        <w:t>.</w:t>
      </w:r>
    </w:p>
    <w:p w14:paraId="0EAE2C5D" w14:textId="77777777" w:rsidR="00824130" w:rsidRPr="00911D1F" w:rsidRDefault="00824130">
      <w:pPr>
        <w:pStyle w:val="FootnoteText"/>
      </w:pPr>
    </w:p>
  </w:footnote>
  <w:footnote w:id="127">
    <w:p w14:paraId="4AE8A8A0" w14:textId="77777777" w:rsidR="00824130" w:rsidRPr="00911D1F" w:rsidRDefault="00824130">
      <w:pPr>
        <w:pStyle w:val="FootnoteText"/>
      </w:pPr>
      <w:r w:rsidRPr="00911D1F">
        <w:rPr>
          <w:rStyle w:val="FootnoteReference"/>
        </w:rPr>
        <w:footnoteRef/>
      </w:r>
      <w:r w:rsidRPr="00911D1F">
        <w:t xml:space="preserve"> </w:t>
      </w:r>
      <w:r>
        <w:rPr>
          <w:iCs/>
        </w:rPr>
        <w:t>S. Cal.</w:t>
      </w:r>
      <w:r w:rsidRPr="004E6064">
        <w:rPr>
          <w:iCs/>
        </w:rPr>
        <w:t xml:space="preserve"> Edison</w:t>
      </w:r>
      <w:r>
        <w:rPr>
          <w:iCs/>
        </w:rPr>
        <w:t xml:space="preserve"> Co.</w:t>
      </w:r>
      <w:r w:rsidRPr="004E6064">
        <w:rPr>
          <w:iCs/>
        </w:rPr>
        <w:t xml:space="preserve"> v. FERC</w:t>
      </w:r>
      <w:r w:rsidRPr="00911D1F">
        <w:t>, Case No. 02-1374 (</w:t>
      </w:r>
      <w:smartTag w:uri="urn:schemas-microsoft-com:office:smarttags" w:element="address">
        <w:smartTag w:uri="urn:schemas-microsoft-com:office:smarttags" w:element="Street">
          <w:r w:rsidRPr="00911D1F">
            <w:t>D.C. Cir. Ct.</w:t>
          </w:r>
        </w:smartTag>
      </w:smartTag>
      <w:r w:rsidRPr="00911D1F">
        <w:t xml:space="preserve">).  </w:t>
      </w:r>
    </w:p>
  </w:footnote>
  <w:footnote w:id="128">
    <w:p w14:paraId="5A99EED8"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rPr>
            <w:t>Cal.</w:t>
          </w:r>
        </w:smartTag>
      </w:smartTag>
      <w:r w:rsidRPr="009053EE">
        <w:rPr>
          <w:szCs w:val="26"/>
        </w:rPr>
        <w:t xml:space="preserve"> Indep. Sys. Operator Corp.,</w:t>
      </w:r>
      <w:r w:rsidRPr="009053EE">
        <w:rPr>
          <w:i/>
          <w:szCs w:val="26"/>
        </w:rPr>
        <w:t xml:space="preserve"> </w:t>
      </w:r>
      <w:r w:rsidRPr="009053EE">
        <w:rPr>
          <w:szCs w:val="26"/>
        </w:rPr>
        <w:t>103 FERC ¶ 61,114 at P 26 (2003).</w:t>
      </w:r>
    </w:p>
    <w:p w14:paraId="5E6CC3D0" w14:textId="77777777" w:rsidR="00824130" w:rsidRPr="009053EE" w:rsidRDefault="00824130">
      <w:pPr>
        <w:pStyle w:val="FootnoteText"/>
        <w:rPr>
          <w:szCs w:val="26"/>
        </w:rPr>
      </w:pPr>
    </w:p>
  </w:footnote>
  <w:footnote w:id="129">
    <w:p w14:paraId="0DA0D942"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B3B17">
        <w:rPr>
          <w:szCs w:val="26"/>
          <w:u w:val="single"/>
        </w:rPr>
        <w:t>See</w:t>
      </w:r>
      <w:r w:rsidRPr="009053EE">
        <w:rPr>
          <w:szCs w:val="26"/>
        </w:rPr>
        <w:t>,</w:t>
      </w:r>
      <w:r>
        <w:rPr>
          <w:szCs w:val="26"/>
        </w:rPr>
        <w:t xml:space="preserve"> </w:t>
      </w:r>
      <w:r w:rsidRPr="009B3B17">
        <w:rPr>
          <w:szCs w:val="26"/>
          <w:u w:val="single"/>
        </w:rPr>
        <w:t>e.g.</w:t>
      </w:r>
      <w:r>
        <w:rPr>
          <w:szCs w:val="26"/>
        </w:rPr>
        <w:t>,</w:t>
      </w:r>
      <w:r w:rsidRPr="009053EE">
        <w:rPr>
          <w:szCs w:val="26"/>
        </w:rPr>
        <w:t xml:space="preserve"> Ex. PGE</w:t>
      </w:r>
      <w:r w:rsidRPr="009053EE">
        <w:rPr>
          <w:szCs w:val="26"/>
        </w:rPr>
        <w:noBreakHyphen/>
        <w:t xml:space="preserve">1 at 22:2 – 10, </w:t>
      </w:r>
      <w:smartTag w:uri="urn:schemas-microsoft-com:office:smarttags" w:element="time">
        <w:smartTagPr>
          <w:attr w:name="Hour" w:val="22"/>
          <w:attr w:name="Minute" w:val="31"/>
        </w:smartTagPr>
        <w:r w:rsidRPr="009053EE">
          <w:rPr>
            <w:szCs w:val="26"/>
          </w:rPr>
          <w:t>22:31 – 23:30</w:t>
        </w:r>
      </w:smartTag>
      <w:r>
        <w:rPr>
          <w:szCs w:val="26"/>
        </w:rPr>
        <w:t xml:space="preserve">; Tr. 739:9 – 15; </w:t>
      </w:r>
      <w:r w:rsidRPr="009053EE">
        <w:rPr>
          <w:szCs w:val="26"/>
        </w:rPr>
        <w:t>Staff Initial Brief at 18-19.</w:t>
      </w:r>
      <w:r w:rsidRPr="009053EE">
        <w:rPr>
          <w:b/>
          <w:szCs w:val="26"/>
        </w:rPr>
        <w:t xml:space="preserve">  </w:t>
      </w:r>
    </w:p>
    <w:p w14:paraId="6EBB7285" w14:textId="77777777" w:rsidR="00824130" w:rsidRPr="009053EE" w:rsidRDefault="00824130">
      <w:pPr>
        <w:pStyle w:val="FootnoteText"/>
        <w:rPr>
          <w:szCs w:val="26"/>
        </w:rPr>
      </w:pPr>
      <w:r w:rsidRPr="009053EE">
        <w:rPr>
          <w:szCs w:val="26"/>
        </w:rPr>
        <w:t xml:space="preserve"> </w:t>
      </w:r>
    </w:p>
  </w:footnote>
  <w:footnote w:id="130">
    <w:p w14:paraId="28254557" w14:textId="77777777" w:rsidR="00824130" w:rsidRPr="009053EE" w:rsidRDefault="00824130">
      <w:pPr>
        <w:pStyle w:val="FootnoteText"/>
        <w:ind w:firstLine="650"/>
        <w:rPr>
          <w:szCs w:val="26"/>
        </w:rPr>
      </w:pPr>
      <w:r w:rsidRPr="009053EE">
        <w:rPr>
          <w:rStyle w:val="FootnoteReference"/>
        </w:rPr>
        <w:footnoteRef/>
      </w:r>
      <w:r w:rsidRPr="009053EE">
        <w:rPr>
          <w:szCs w:val="26"/>
        </w:rPr>
        <w:t xml:space="preserve"> </w:t>
      </w:r>
      <w:r w:rsidRPr="009B3B17">
        <w:rPr>
          <w:szCs w:val="26"/>
          <w:u w:val="single"/>
        </w:rPr>
        <w:t>See</w:t>
      </w:r>
      <w:r w:rsidRPr="009053EE">
        <w:rPr>
          <w:szCs w:val="26"/>
        </w:rPr>
        <w:t xml:space="preserve"> Ex. SCE-38.</w:t>
      </w:r>
    </w:p>
  </w:footnote>
  <w:footnote w:id="131">
    <w:p w14:paraId="38E1D92C" w14:textId="77777777" w:rsidR="00824130" w:rsidRDefault="00824130">
      <w:pPr>
        <w:pStyle w:val="BodyText"/>
        <w:ind w:left="780" w:hanging="130"/>
      </w:pPr>
    </w:p>
    <w:p w14:paraId="4B553A29" w14:textId="77777777" w:rsidR="00824130" w:rsidRDefault="00824130">
      <w:pPr>
        <w:pStyle w:val="BodyText"/>
        <w:ind w:left="780" w:hanging="130"/>
        <w:rPr>
          <w:color w:val="000000"/>
          <w:szCs w:val="26"/>
        </w:rPr>
      </w:pPr>
      <w:r>
        <w:rPr>
          <w:rStyle w:val="FootnoteReference"/>
        </w:rPr>
        <w:footnoteRef/>
      </w:r>
      <w:r>
        <w:t xml:space="preserve"> </w:t>
      </w:r>
      <w:r w:rsidRPr="006C6550">
        <w:rPr>
          <w:color w:val="000000"/>
          <w:szCs w:val="26"/>
        </w:rPr>
        <w:t xml:space="preserve">Ex. ISO-1 at 62:3 – 11. </w:t>
      </w:r>
    </w:p>
    <w:p w14:paraId="1FA5142F" w14:textId="77777777" w:rsidR="00824130" w:rsidRDefault="00824130">
      <w:pPr>
        <w:pStyle w:val="FootnoteText"/>
      </w:pPr>
    </w:p>
  </w:footnote>
  <w:footnote w:id="132">
    <w:p w14:paraId="1B040806" w14:textId="77777777" w:rsidR="00824130" w:rsidRDefault="00824130">
      <w:pPr>
        <w:pStyle w:val="BodyText"/>
        <w:ind w:left="780" w:hanging="130"/>
        <w:rPr>
          <w:color w:val="000000"/>
          <w:szCs w:val="26"/>
        </w:rPr>
      </w:pPr>
      <w:r>
        <w:rPr>
          <w:rStyle w:val="FootnoteReference"/>
        </w:rPr>
        <w:footnoteRef/>
      </w:r>
      <w:r>
        <w:t xml:space="preserve"> </w:t>
      </w:r>
      <w:smartTag w:uri="urn:schemas-microsoft-com:office:smarttags" w:element="place">
        <w:smartTag w:uri="urn:schemas-microsoft-com:office:smarttags" w:element="State">
          <w:r w:rsidRPr="006C6550">
            <w:rPr>
              <w:color w:val="000000"/>
              <w:szCs w:val="26"/>
              <w:u w:val="single"/>
            </w:rPr>
            <w:t>Id.</w:t>
          </w:r>
        </w:smartTag>
      </w:smartTag>
      <w:r w:rsidRPr="006C6550">
        <w:rPr>
          <w:color w:val="000000"/>
          <w:szCs w:val="26"/>
        </w:rPr>
        <w:t xml:space="preserve"> at 62:12 – 15.  </w:t>
      </w:r>
    </w:p>
    <w:p w14:paraId="04B48375" w14:textId="77777777" w:rsidR="00824130" w:rsidRDefault="00824130">
      <w:pPr>
        <w:pStyle w:val="FootnoteText"/>
      </w:pPr>
    </w:p>
  </w:footnote>
  <w:footnote w:id="133">
    <w:p w14:paraId="1C23D89A" w14:textId="77777777" w:rsidR="00824130" w:rsidRPr="009053EE" w:rsidRDefault="00824130">
      <w:pPr>
        <w:pStyle w:val="FootnoteText"/>
        <w:rPr>
          <w:szCs w:val="26"/>
        </w:rPr>
      </w:pPr>
      <w:r w:rsidRPr="009053EE">
        <w:rPr>
          <w:rStyle w:val="FootnoteReference"/>
        </w:rPr>
        <w:footnoteRef/>
      </w:r>
      <w:r w:rsidRPr="009053EE">
        <w:rPr>
          <w:szCs w:val="26"/>
        </w:rPr>
        <w:t xml:space="preserve"> Tr. 404:19 – 25.</w:t>
      </w:r>
    </w:p>
  </w:footnote>
  <w:footnote w:id="134">
    <w:p w14:paraId="26394F28" w14:textId="77777777" w:rsidR="00824130" w:rsidRDefault="00824130">
      <w:pPr>
        <w:pStyle w:val="FootnoteText"/>
        <w:rPr>
          <w:szCs w:val="26"/>
        </w:rPr>
      </w:pPr>
    </w:p>
    <w:p w14:paraId="7F9E88BF"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rPr>
            <w:t>Cal.</w:t>
          </w:r>
        </w:smartTag>
      </w:smartTag>
      <w:r w:rsidRPr="009053EE">
        <w:rPr>
          <w:szCs w:val="26"/>
        </w:rPr>
        <w:t xml:space="preserve"> Indep. Sys. Operator Corp., 91 FERC ¶ 61,205 at 61,725 (2000).  </w:t>
      </w:r>
    </w:p>
    <w:p w14:paraId="7FF0F1B5" w14:textId="77777777" w:rsidR="00824130" w:rsidRPr="009053EE" w:rsidRDefault="00824130">
      <w:pPr>
        <w:pStyle w:val="FootnoteText"/>
        <w:rPr>
          <w:szCs w:val="26"/>
        </w:rPr>
      </w:pPr>
    </w:p>
  </w:footnote>
  <w:footnote w:id="135">
    <w:p w14:paraId="5975A35D"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p>
    <w:p w14:paraId="1109154F" w14:textId="77777777" w:rsidR="00824130" w:rsidRPr="009053EE" w:rsidRDefault="00824130">
      <w:pPr>
        <w:pStyle w:val="FootnoteText"/>
        <w:rPr>
          <w:szCs w:val="26"/>
        </w:rPr>
      </w:pPr>
      <w:r w:rsidRPr="009053EE">
        <w:rPr>
          <w:szCs w:val="26"/>
        </w:rPr>
        <w:t xml:space="preserve">  </w:t>
      </w:r>
    </w:p>
  </w:footnote>
  <w:footnote w:id="136">
    <w:p w14:paraId="2483281B"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p>
    <w:p w14:paraId="56A65452" w14:textId="77777777" w:rsidR="00824130" w:rsidRPr="009053EE" w:rsidRDefault="00824130">
      <w:pPr>
        <w:pStyle w:val="FootnoteText"/>
        <w:rPr>
          <w:szCs w:val="26"/>
        </w:rPr>
      </w:pPr>
      <w:r w:rsidRPr="009053EE">
        <w:rPr>
          <w:szCs w:val="26"/>
        </w:rPr>
        <w:t xml:space="preserve">  </w:t>
      </w:r>
    </w:p>
  </w:footnote>
  <w:footnote w:id="137">
    <w:p w14:paraId="45FDB6B0"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p>
    <w:p w14:paraId="3156632B" w14:textId="77777777" w:rsidR="00824130" w:rsidRPr="009053EE" w:rsidRDefault="00824130">
      <w:pPr>
        <w:pStyle w:val="FootnoteText"/>
        <w:rPr>
          <w:szCs w:val="26"/>
        </w:rPr>
      </w:pPr>
      <w:r w:rsidRPr="009053EE">
        <w:rPr>
          <w:szCs w:val="26"/>
        </w:rPr>
        <w:t xml:space="preserve">  </w:t>
      </w:r>
    </w:p>
  </w:footnote>
  <w:footnote w:id="138">
    <w:p w14:paraId="5A272B4E"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r w:rsidRPr="009053EE">
        <w:rPr>
          <w:szCs w:val="26"/>
        </w:rPr>
        <w:t xml:space="preserve">  </w:t>
      </w:r>
    </w:p>
  </w:footnote>
  <w:footnote w:id="139">
    <w:p w14:paraId="2BB54281" w14:textId="77777777" w:rsidR="00824130" w:rsidRDefault="00824130">
      <w:pPr>
        <w:pStyle w:val="FootnoteText"/>
        <w:rPr>
          <w:szCs w:val="26"/>
        </w:rPr>
      </w:pPr>
    </w:p>
    <w:p w14:paraId="63C5094E" w14:textId="77777777" w:rsidR="00824130"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Tr. 2737-39; Ex. SCE-53B; Ex. VER-1 at </w:t>
      </w:r>
      <w:smartTag w:uri="urn:schemas-microsoft-com:office:smarttags" w:element="time">
        <w:smartTagPr>
          <w:attr w:name="Hour" w:val="21"/>
          <w:attr w:name="Minute" w:val="10"/>
        </w:smartTagPr>
        <w:r w:rsidRPr="009053EE">
          <w:rPr>
            <w:szCs w:val="26"/>
          </w:rPr>
          <w:t>21:10</w:t>
        </w:r>
      </w:smartTag>
      <w:r w:rsidRPr="009053EE">
        <w:rPr>
          <w:szCs w:val="26"/>
        </w:rPr>
        <w:t xml:space="preserve"> – 14.  </w:t>
      </w:r>
    </w:p>
    <w:p w14:paraId="1902E941" w14:textId="77777777" w:rsidR="00824130" w:rsidRPr="009053EE" w:rsidRDefault="00824130">
      <w:pPr>
        <w:pStyle w:val="FootnoteText"/>
        <w:rPr>
          <w:szCs w:val="26"/>
        </w:rPr>
      </w:pPr>
    </w:p>
  </w:footnote>
  <w:footnote w:id="140">
    <w:p w14:paraId="1FBB1604" w14:textId="77777777" w:rsidR="00824130" w:rsidRDefault="00824130">
      <w:pPr>
        <w:pStyle w:val="FootnoteText"/>
        <w:rPr>
          <w:szCs w:val="26"/>
          <w:u w:val="single"/>
        </w:rPr>
      </w:pPr>
      <w:r w:rsidRPr="009053EE">
        <w:rPr>
          <w:rStyle w:val="FootnoteReference"/>
        </w:rPr>
        <w:footnoteRef/>
      </w:r>
      <w:r>
        <w:rPr>
          <w:szCs w:val="26"/>
        </w:rPr>
        <w:t xml:space="preserve"> </w:t>
      </w:r>
      <w:smartTag w:uri="urn:schemas-microsoft-com:office:smarttags" w:element="place">
        <w:smartTag w:uri="urn:schemas-microsoft-com:office:smarttags" w:element="State">
          <w:r w:rsidRPr="009053EE">
            <w:rPr>
              <w:szCs w:val="26"/>
              <w:u w:val="single"/>
            </w:rPr>
            <w:t>Id.</w:t>
          </w:r>
        </w:smartTag>
      </w:smartTag>
    </w:p>
    <w:p w14:paraId="67486228" w14:textId="77777777" w:rsidR="00824130" w:rsidRPr="009053EE" w:rsidRDefault="00824130">
      <w:pPr>
        <w:pStyle w:val="FootnoteText"/>
        <w:rPr>
          <w:szCs w:val="26"/>
        </w:rPr>
      </w:pPr>
    </w:p>
  </w:footnote>
  <w:footnote w:id="141">
    <w:p w14:paraId="5EEA760A"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B3B17">
        <w:rPr>
          <w:szCs w:val="26"/>
          <w:u w:val="single"/>
        </w:rPr>
        <w:t>See</w:t>
      </w:r>
      <w:r w:rsidRPr="009053EE">
        <w:rPr>
          <w:szCs w:val="26"/>
        </w:rPr>
        <w:t xml:space="preserve"> Ex. S-5 at 32:2-4; Ex. VER-1 at </w:t>
      </w:r>
      <w:smartTag w:uri="urn:schemas-microsoft-com:office:smarttags" w:element="time">
        <w:smartTagPr>
          <w:attr w:name="Hour" w:val="21"/>
          <w:attr w:name="Minute" w:val="16"/>
        </w:smartTagPr>
        <w:r w:rsidRPr="009053EE">
          <w:rPr>
            <w:szCs w:val="26"/>
          </w:rPr>
          <w:t>21:16</w:t>
        </w:r>
      </w:smartTag>
      <w:r w:rsidRPr="009053EE">
        <w:rPr>
          <w:szCs w:val="26"/>
        </w:rPr>
        <w:t xml:space="preserve"> – 19; Tr. 2639:8 – 17; Ex. NCP-4.   </w:t>
      </w:r>
    </w:p>
  </w:footnote>
  <w:footnote w:id="142">
    <w:p w14:paraId="63BF51D8" w14:textId="77777777" w:rsidR="00824130" w:rsidRPr="009053EE" w:rsidRDefault="00824130">
      <w:pPr>
        <w:pStyle w:val="FootnoteText"/>
        <w:rPr>
          <w:szCs w:val="26"/>
        </w:rPr>
      </w:pPr>
      <w:r w:rsidRPr="009053EE">
        <w:rPr>
          <w:rStyle w:val="FootnoteReference"/>
        </w:rPr>
        <w:footnoteRef/>
      </w:r>
      <w:r w:rsidRPr="009053EE">
        <w:rPr>
          <w:szCs w:val="26"/>
        </w:rPr>
        <w:t xml:space="preserve"> To support its position, Staff cites an example, </w:t>
      </w:r>
      <w:r>
        <w:rPr>
          <w:szCs w:val="26"/>
        </w:rPr>
        <w:t>TransElect</w:t>
      </w:r>
      <w:r w:rsidRPr="009053EE">
        <w:rPr>
          <w:szCs w:val="26"/>
        </w:rPr>
        <w:t xml:space="preserve">, whose new facilities will be rolled in grid wide; Staff states that admittedly </w:t>
      </w:r>
      <w:r>
        <w:rPr>
          <w:szCs w:val="26"/>
        </w:rPr>
        <w:t>TransElect</w:t>
      </w:r>
      <w:r w:rsidRPr="009053EE">
        <w:rPr>
          <w:szCs w:val="26"/>
        </w:rPr>
        <w:t xml:space="preserve"> is something of a special case in that the OPTOs do not seem to object to paying 97% of its TRR.  In addition, Staff cites SC witness Daniel, who testified that if SC were to go ahead and add new transmission facilities, those facilities would immediately be included in the grid wide</w:t>
      </w:r>
      <w:r>
        <w:rPr>
          <w:szCs w:val="26"/>
        </w:rPr>
        <w:t xml:space="preserve"> rate.  Tr. 1796:25 – 1</w:t>
      </w:r>
      <w:r w:rsidRPr="009053EE">
        <w:rPr>
          <w:szCs w:val="26"/>
        </w:rPr>
        <w:t xml:space="preserve">797:6.  </w:t>
      </w:r>
    </w:p>
    <w:p w14:paraId="3DB3C11B" w14:textId="77777777" w:rsidR="00824130" w:rsidRPr="009053EE" w:rsidRDefault="00824130">
      <w:pPr>
        <w:pStyle w:val="FootnoteText"/>
        <w:rPr>
          <w:szCs w:val="26"/>
        </w:rPr>
      </w:pPr>
    </w:p>
  </w:footnote>
  <w:footnote w:id="143">
    <w:p w14:paraId="34040964"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City">
          <w:r w:rsidRPr="009053EE">
            <w:rPr>
              <w:szCs w:val="26"/>
            </w:rPr>
            <w:t>Vernon</w:t>
          </w:r>
        </w:smartTag>
      </w:smartTag>
      <w:r w:rsidRPr="009053EE">
        <w:rPr>
          <w:szCs w:val="26"/>
        </w:rPr>
        <w:t xml:space="preserve"> Reply Brief at 41.</w:t>
      </w:r>
    </w:p>
  </w:footnote>
  <w:footnote w:id="144">
    <w:p w14:paraId="19E92057" w14:textId="77777777" w:rsidR="00824130" w:rsidRPr="009053EE" w:rsidRDefault="00824130">
      <w:pPr>
        <w:pStyle w:val="FootnoteText"/>
        <w:rPr>
          <w:szCs w:val="26"/>
        </w:rPr>
      </w:pPr>
      <w:r w:rsidRPr="009053EE">
        <w:rPr>
          <w:rStyle w:val="FootnoteReference"/>
        </w:rPr>
        <w:footnoteRef/>
      </w:r>
      <w:r w:rsidRPr="009053EE">
        <w:rPr>
          <w:szCs w:val="26"/>
        </w:rPr>
        <w:t xml:space="preserve"> Ex. SWP-72 at 64:23 </w:t>
      </w:r>
      <w:r>
        <w:rPr>
          <w:szCs w:val="26"/>
        </w:rPr>
        <w:t>– 65:10; Ex. TNC-1 at 36:17 – 3</w:t>
      </w:r>
      <w:r w:rsidRPr="009053EE">
        <w:rPr>
          <w:szCs w:val="26"/>
        </w:rPr>
        <w:t>8:3.</w:t>
      </w:r>
    </w:p>
    <w:p w14:paraId="1F8A695F" w14:textId="77777777" w:rsidR="00824130" w:rsidRPr="009053EE" w:rsidRDefault="00824130">
      <w:pPr>
        <w:pStyle w:val="FootnoteText"/>
        <w:rPr>
          <w:szCs w:val="26"/>
        </w:rPr>
      </w:pPr>
    </w:p>
  </w:footnote>
  <w:footnote w:id="145">
    <w:p w14:paraId="1BF92B18" w14:textId="77777777" w:rsidR="00824130" w:rsidRPr="009053EE" w:rsidRDefault="00824130">
      <w:pPr>
        <w:ind w:firstLine="720"/>
      </w:pPr>
      <w:r w:rsidRPr="009053EE">
        <w:rPr>
          <w:rStyle w:val="FootnoteReference"/>
        </w:rPr>
        <w:footnoteRef/>
      </w:r>
      <w:r w:rsidRPr="009053EE">
        <w:t xml:space="preserve"> </w:t>
      </w:r>
      <w:smartTag w:uri="urn:schemas-microsoft-com:office:smarttags" w:element="place">
        <w:smartTag w:uri="urn:schemas-microsoft-com:office:smarttags" w:element="State">
          <w:r w:rsidRPr="000C119C">
            <w:t>Cal.</w:t>
          </w:r>
        </w:smartTag>
      </w:smartTag>
      <w:r w:rsidRPr="000C119C">
        <w:t xml:space="preserve"> Indep. Sys. Operator Corp.</w:t>
      </w:r>
      <w:r w:rsidRPr="009053EE">
        <w:t>, 91 FERC ¶ 61,205 at 61,726 (2000).</w:t>
      </w:r>
    </w:p>
    <w:p w14:paraId="40F6F96E" w14:textId="77777777" w:rsidR="00824130" w:rsidRPr="009053EE" w:rsidRDefault="00824130">
      <w:pPr>
        <w:pStyle w:val="FootnoteText"/>
        <w:rPr>
          <w:szCs w:val="26"/>
        </w:rPr>
      </w:pPr>
    </w:p>
  </w:footnote>
  <w:footnote w:id="146">
    <w:p w14:paraId="5DCBD643" w14:textId="77777777" w:rsidR="00824130" w:rsidRPr="009053EE" w:rsidRDefault="00824130">
      <w:pPr>
        <w:pStyle w:val="FootnoteText"/>
        <w:rPr>
          <w:szCs w:val="26"/>
        </w:rPr>
      </w:pPr>
      <w:r w:rsidRPr="009053EE">
        <w:rPr>
          <w:rStyle w:val="FootnoteReference"/>
        </w:rPr>
        <w:footnoteRef/>
      </w:r>
      <w:r>
        <w:rPr>
          <w:szCs w:val="26"/>
        </w:rPr>
        <w:t xml:space="preserve"> Ex. ISO-33 at 24:5 – 8</w:t>
      </w:r>
      <w:r w:rsidRPr="009053EE">
        <w:rPr>
          <w:szCs w:val="26"/>
        </w:rPr>
        <w:t xml:space="preserve">.  </w:t>
      </w:r>
    </w:p>
    <w:p w14:paraId="6FE7B85B" w14:textId="77777777" w:rsidR="00824130" w:rsidRPr="009053EE" w:rsidRDefault="00824130">
      <w:pPr>
        <w:pStyle w:val="FootnoteText"/>
        <w:rPr>
          <w:szCs w:val="26"/>
        </w:rPr>
      </w:pPr>
    </w:p>
  </w:footnote>
  <w:footnote w:id="147">
    <w:p w14:paraId="27986A1B" w14:textId="77777777" w:rsidR="00824130"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r>
        <w:rPr>
          <w:szCs w:val="26"/>
        </w:rPr>
        <w:t xml:space="preserve"> at 24:15 – 1</w:t>
      </w:r>
      <w:r w:rsidRPr="009053EE">
        <w:rPr>
          <w:szCs w:val="26"/>
        </w:rPr>
        <w:t>9.</w:t>
      </w:r>
    </w:p>
    <w:p w14:paraId="1D2B48C8" w14:textId="77777777" w:rsidR="00824130" w:rsidRPr="009053EE" w:rsidRDefault="00824130">
      <w:pPr>
        <w:pStyle w:val="FootnoteText"/>
        <w:rPr>
          <w:szCs w:val="26"/>
        </w:rPr>
      </w:pPr>
    </w:p>
  </w:footnote>
  <w:footnote w:id="148">
    <w:p w14:paraId="2093D243" w14:textId="77777777" w:rsidR="00824130" w:rsidRPr="009053EE" w:rsidRDefault="00824130">
      <w:pPr>
        <w:pStyle w:val="FootnoteText"/>
        <w:rPr>
          <w:szCs w:val="26"/>
        </w:rPr>
      </w:pPr>
      <w:r w:rsidRPr="009053EE">
        <w:rPr>
          <w:rStyle w:val="FootnoteReference"/>
        </w:rPr>
        <w:footnoteRef/>
      </w:r>
      <w:r w:rsidRPr="009053EE">
        <w:rPr>
          <w:szCs w:val="26"/>
        </w:rPr>
        <w:t xml:space="preserve"> Ex. ISO-1 at 82:7 – 18.  Ms. Le Vine noted the ISO’s agreement (Ex. ISO-33 at 27:1 – 3) with SCE on this point.  </w:t>
      </w:r>
      <w:r w:rsidRPr="009053EE">
        <w:rPr>
          <w:szCs w:val="26"/>
          <w:u w:val="single"/>
        </w:rPr>
        <w:t>See</w:t>
      </w:r>
      <w:r w:rsidRPr="009053EE">
        <w:rPr>
          <w:szCs w:val="26"/>
        </w:rPr>
        <w:t xml:space="preserve"> </w:t>
      </w:r>
      <w:r w:rsidRPr="009053EE">
        <w:rPr>
          <w:szCs w:val="26"/>
          <w:u w:val="single"/>
        </w:rPr>
        <w:t>also</w:t>
      </w:r>
      <w:r w:rsidRPr="009053EE">
        <w:rPr>
          <w:szCs w:val="26"/>
        </w:rPr>
        <w:t xml:space="preserve"> Ex. SCE-13 at 27.</w:t>
      </w:r>
    </w:p>
    <w:p w14:paraId="61F61141" w14:textId="77777777" w:rsidR="00824130" w:rsidRPr="009053EE" w:rsidRDefault="00824130">
      <w:pPr>
        <w:pStyle w:val="FootnoteText"/>
        <w:rPr>
          <w:szCs w:val="26"/>
        </w:rPr>
      </w:pPr>
    </w:p>
  </w:footnote>
  <w:footnote w:id="149">
    <w:p w14:paraId="3800DE4E"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p>
  </w:footnote>
  <w:footnote w:id="150">
    <w:p w14:paraId="145D1B33" w14:textId="77777777" w:rsidR="00824130" w:rsidRDefault="00824130">
      <w:pPr>
        <w:pStyle w:val="FootnoteText"/>
        <w:rPr>
          <w:szCs w:val="26"/>
        </w:rPr>
      </w:pPr>
    </w:p>
    <w:p w14:paraId="52E9243B"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SCE-1 at 32:29 – 33:15.  </w:t>
      </w:r>
    </w:p>
    <w:p w14:paraId="551FC7D2" w14:textId="77777777" w:rsidR="00824130" w:rsidRPr="009053EE" w:rsidRDefault="00824130">
      <w:pPr>
        <w:pStyle w:val="FootnoteText"/>
        <w:rPr>
          <w:szCs w:val="26"/>
        </w:rPr>
      </w:pPr>
    </w:p>
  </w:footnote>
  <w:footnote w:id="151">
    <w:p w14:paraId="3F419BB4" w14:textId="77777777" w:rsidR="00824130" w:rsidRPr="009053EE" w:rsidRDefault="00824130">
      <w:pPr>
        <w:pStyle w:val="FootnoteText"/>
        <w:rPr>
          <w:szCs w:val="26"/>
        </w:rPr>
      </w:pPr>
      <w:r w:rsidRPr="009053EE">
        <w:rPr>
          <w:rStyle w:val="FootnoteReference"/>
        </w:rPr>
        <w:footnoteRef/>
      </w:r>
      <w:r w:rsidRPr="009053EE">
        <w:rPr>
          <w:szCs w:val="26"/>
        </w:rPr>
        <w:t xml:space="preserve"> </w:t>
      </w:r>
      <w:smartTag w:uri="urn:schemas-microsoft-com:office:smarttags" w:element="place">
        <w:smartTag w:uri="urn:schemas-microsoft-com:office:smarttags" w:element="State">
          <w:r w:rsidRPr="009053EE">
            <w:rPr>
              <w:szCs w:val="26"/>
              <w:u w:val="single"/>
            </w:rPr>
            <w:t>Id.</w:t>
          </w:r>
        </w:smartTag>
      </w:smartTag>
      <w:r w:rsidRPr="009053EE">
        <w:rPr>
          <w:szCs w:val="26"/>
        </w:rPr>
        <w:t xml:space="preserve">  </w:t>
      </w:r>
    </w:p>
    <w:p w14:paraId="52FF2F1E" w14:textId="77777777" w:rsidR="00824130" w:rsidRPr="009053EE" w:rsidRDefault="00824130">
      <w:pPr>
        <w:pStyle w:val="FootnoteText"/>
        <w:rPr>
          <w:szCs w:val="26"/>
        </w:rPr>
      </w:pPr>
    </w:p>
  </w:footnote>
  <w:footnote w:id="152">
    <w:p w14:paraId="22BF6CDD" w14:textId="77777777" w:rsidR="00824130" w:rsidRPr="009053EE" w:rsidRDefault="00824130">
      <w:pPr>
        <w:pStyle w:val="BodyTextFirstIndentD"/>
        <w:ind w:firstLine="650"/>
      </w:pPr>
      <w:r>
        <w:t xml:space="preserve"> </w:t>
      </w:r>
      <w:r w:rsidRPr="009053EE">
        <w:rPr>
          <w:rStyle w:val="FootnoteReference"/>
        </w:rPr>
        <w:footnoteRef/>
      </w:r>
      <w:r w:rsidRPr="009053EE">
        <w:t xml:space="preserve"> </w:t>
      </w:r>
      <w:r w:rsidRPr="009053EE">
        <w:rPr>
          <w:u w:val="single"/>
        </w:rPr>
        <w:t>See</w:t>
      </w:r>
      <w:r w:rsidRPr="009053EE">
        <w:t xml:space="preserve"> Ex. ISO-33 at </w:t>
      </w:r>
      <w:smartTag w:uri="urn:schemas-microsoft-com:office:smarttags" w:element="time">
        <w:smartTagPr>
          <w:attr w:name="Hour" w:val="22"/>
          <w:attr w:name="Minute" w:val="19"/>
        </w:smartTagPr>
        <w:r w:rsidRPr="009053EE">
          <w:t>22:19 – 23:10</w:t>
        </w:r>
      </w:smartTag>
      <w:r>
        <w:t>, Ex. SCE-1 at 33:17 – 34:12.</w:t>
      </w:r>
    </w:p>
  </w:footnote>
  <w:footnote w:id="153">
    <w:p w14:paraId="24C02165" w14:textId="77777777" w:rsidR="00824130" w:rsidRPr="009053EE" w:rsidRDefault="00824130">
      <w:pPr>
        <w:pStyle w:val="FootnoteText"/>
        <w:rPr>
          <w:szCs w:val="26"/>
        </w:rPr>
      </w:pPr>
      <w:r w:rsidRPr="009053EE">
        <w:rPr>
          <w:rStyle w:val="FootnoteReference"/>
        </w:rPr>
        <w:footnoteRef/>
      </w:r>
      <w:r w:rsidRPr="009053EE">
        <w:rPr>
          <w:szCs w:val="26"/>
        </w:rPr>
        <w:t xml:space="preserve"> Ex. ISO-33 at </w:t>
      </w:r>
      <w:smartTag w:uri="urn:schemas-microsoft-com:office:smarttags" w:element="time">
        <w:smartTagPr>
          <w:attr w:name="Hour" w:val="21"/>
          <w:attr w:name="Minute" w:val="21"/>
        </w:smartTagPr>
        <w:r w:rsidRPr="009053EE">
          <w:rPr>
            <w:szCs w:val="26"/>
          </w:rPr>
          <w:t>21:21 – 22:11</w:t>
        </w:r>
      </w:smartTag>
      <w:r w:rsidRPr="009053EE">
        <w:rPr>
          <w:szCs w:val="26"/>
        </w:rPr>
        <w:t>.</w:t>
      </w:r>
    </w:p>
    <w:p w14:paraId="79CDE1A0" w14:textId="77777777" w:rsidR="00824130" w:rsidRPr="009053EE" w:rsidRDefault="00824130">
      <w:pPr>
        <w:pStyle w:val="FootnoteText"/>
        <w:rPr>
          <w:szCs w:val="26"/>
        </w:rPr>
      </w:pPr>
    </w:p>
  </w:footnote>
  <w:footnote w:id="154">
    <w:p w14:paraId="6A55B155"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Ex. ISO-33 at 22:7 – 9.  </w:t>
      </w:r>
      <w:r w:rsidRPr="009053EE">
        <w:rPr>
          <w:szCs w:val="26"/>
          <w:u w:val="single"/>
        </w:rPr>
        <w:t>See</w:t>
      </w:r>
      <w:r w:rsidRPr="009053EE">
        <w:rPr>
          <w:i/>
          <w:szCs w:val="26"/>
        </w:rPr>
        <w:t xml:space="preserve"> </w:t>
      </w:r>
      <w:r w:rsidRPr="00CC391A">
        <w:rPr>
          <w:szCs w:val="26"/>
        </w:rPr>
        <w:t xml:space="preserve">City of </w:t>
      </w:r>
      <w:smartTag w:uri="urn:schemas-microsoft-com:office:smarttags" w:element="place">
        <w:smartTag w:uri="urn:schemas-microsoft-com:office:smarttags" w:element="City">
          <w:r w:rsidRPr="00CC391A">
            <w:rPr>
              <w:szCs w:val="26"/>
            </w:rPr>
            <w:t>Vernon</w:t>
          </w:r>
        </w:smartTag>
      </w:smartTag>
      <w:r w:rsidRPr="009053EE">
        <w:rPr>
          <w:szCs w:val="26"/>
        </w:rPr>
        <w:t xml:space="preserve">, 102 FERC ¶ 63,009 (2003), </w:t>
      </w:r>
      <w:r w:rsidRPr="009053EE">
        <w:rPr>
          <w:szCs w:val="26"/>
          <w:u w:val="single"/>
        </w:rPr>
        <w:t>aff’d</w:t>
      </w:r>
      <w:r w:rsidRPr="009053EE">
        <w:rPr>
          <w:szCs w:val="26"/>
        </w:rPr>
        <w:t>, 102 FERC ¶ 61,141 (2003).</w:t>
      </w:r>
    </w:p>
    <w:p w14:paraId="7480ED9B" w14:textId="77777777" w:rsidR="00824130" w:rsidRPr="009053EE" w:rsidRDefault="00824130">
      <w:pPr>
        <w:pStyle w:val="FootnoteText"/>
        <w:rPr>
          <w:szCs w:val="26"/>
        </w:rPr>
      </w:pPr>
    </w:p>
  </w:footnote>
  <w:footnote w:id="155">
    <w:p w14:paraId="11284A73"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Ex. ISO-33 at </w:t>
      </w:r>
      <w:smartTag w:uri="urn:schemas-microsoft-com:office:smarttags" w:element="time">
        <w:smartTagPr>
          <w:attr w:name="Hour" w:val="21"/>
          <w:attr w:name="Minute" w:val="21"/>
        </w:smartTagPr>
        <w:r w:rsidRPr="009053EE">
          <w:rPr>
            <w:szCs w:val="26"/>
          </w:rPr>
          <w:t>21:21 – 22:11</w:t>
        </w:r>
      </w:smartTag>
      <w:r w:rsidRPr="009053EE">
        <w:rPr>
          <w:szCs w:val="26"/>
        </w:rPr>
        <w:t>, Ex. SCE-1 at 30:7 – 31:12.</w:t>
      </w:r>
    </w:p>
  </w:footnote>
  <w:footnote w:id="156">
    <w:p w14:paraId="51BCCA0F" w14:textId="77777777" w:rsidR="00824130" w:rsidRDefault="00824130">
      <w:pPr>
        <w:pStyle w:val="FootnoteText"/>
        <w:rPr>
          <w:szCs w:val="26"/>
        </w:rPr>
      </w:pPr>
    </w:p>
    <w:p w14:paraId="52A088B3" w14:textId="77777777" w:rsidR="00824130" w:rsidRDefault="00824130">
      <w:pPr>
        <w:pStyle w:val="FootnoteText"/>
        <w:rPr>
          <w:szCs w:val="26"/>
        </w:rPr>
      </w:pPr>
      <w:r w:rsidRPr="009053EE">
        <w:rPr>
          <w:rStyle w:val="FootnoteReference"/>
        </w:rPr>
        <w:footnoteRef/>
      </w:r>
      <w:r w:rsidRPr="009053EE">
        <w:rPr>
          <w:szCs w:val="26"/>
        </w:rPr>
        <w:t xml:space="preserve"> Staff Initial Brief at 57.  </w:t>
      </w:r>
    </w:p>
    <w:p w14:paraId="73A92067" w14:textId="77777777" w:rsidR="00824130" w:rsidRPr="009053EE" w:rsidRDefault="00824130">
      <w:pPr>
        <w:pStyle w:val="FootnoteText"/>
        <w:rPr>
          <w:szCs w:val="26"/>
        </w:rPr>
      </w:pPr>
    </w:p>
  </w:footnote>
  <w:footnote w:id="157">
    <w:p w14:paraId="3A4D0668" w14:textId="77777777" w:rsidR="00824130" w:rsidRPr="009053EE" w:rsidRDefault="00824130">
      <w:pPr>
        <w:pStyle w:val="FootnoteText"/>
        <w:rPr>
          <w:szCs w:val="26"/>
        </w:rPr>
      </w:pPr>
      <w:r w:rsidRPr="009053EE">
        <w:rPr>
          <w:rStyle w:val="FootnoteReference"/>
        </w:rPr>
        <w:footnoteRef/>
      </w:r>
      <w:r w:rsidRPr="009053EE">
        <w:rPr>
          <w:szCs w:val="26"/>
        </w:rPr>
        <w:t xml:space="preserve"> For example, in lieu of unbundling, SWP requests that it be provided proportionally greater FTRs to compensate it for the subject services, citing California Indep. Sys. Operator Corp.</w:t>
      </w:r>
      <w:r w:rsidRPr="009053EE">
        <w:rPr>
          <w:i/>
          <w:szCs w:val="26"/>
        </w:rPr>
        <w:t>,</w:t>
      </w:r>
      <w:r w:rsidRPr="009053EE">
        <w:rPr>
          <w:i/>
          <w:szCs w:val="26"/>
          <w:vertAlign w:val="superscript"/>
        </w:rPr>
        <w:t xml:space="preserve"> </w:t>
      </w:r>
      <w:r w:rsidRPr="009053EE">
        <w:rPr>
          <w:szCs w:val="26"/>
        </w:rPr>
        <w:t>102 FERC ¶ 61,278 (</w:t>
      </w:r>
      <w:smartTag w:uri="urn:schemas-microsoft-com:office:smarttags" w:element="date">
        <w:smartTagPr>
          <w:attr w:name="Month" w:val="3"/>
          <w:attr w:name="Day" w:val="12"/>
          <w:attr w:name="Year" w:val="2003"/>
        </w:smartTagPr>
        <w:r w:rsidRPr="009053EE">
          <w:rPr>
            <w:szCs w:val="26"/>
          </w:rPr>
          <w:t>Mar. 12, 2003</w:t>
        </w:r>
      </w:smartTag>
      <w:r w:rsidRPr="009053EE">
        <w:rPr>
          <w:szCs w:val="26"/>
        </w:rPr>
        <w:t xml:space="preserve">)(amended ISO Tariff).  </w:t>
      </w:r>
    </w:p>
  </w:footnote>
  <w:footnote w:id="158">
    <w:p w14:paraId="37FB8857" w14:textId="77777777" w:rsidR="00824130" w:rsidRPr="009053EE" w:rsidRDefault="00824130">
      <w:pPr>
        <w:pStyle w:val="FootnoteText"/>
        <w:rPr>
          <w:szCs w:val="26"/>
        </w:rPr>
      </w:pPr>
      <w:r w:rsidRPr="009053EE">
        <w:rPr>
          <w:rStyle w:val="FootnoteReference"/>
        </w:rPr>
        <w:footnoteRef/>
      </w:r>
      <w:r w:rsidRPr="009053EE">
        <w:rPr>
          <w:szCs w:val="26"/>
        </w:rPr>
        <w:t xml:space="preserve"> Similarly, although SWP states that it prefers its purpose test, it is willing to accept the Staff alternative.</w:t>
      </w:r>
    </w:p>
    <w:p w14:paraId="47AA5329" w14:textId="77777777" w:rsidR="00824130" w:rsidRPr="009053EE" w:rsidRDefault="00824130">
      <w:pPr>
        <w:pStyle w:val="FootnoteText"/>
        <w:rPr>
          <w:szCs w:val="26"/>
        </w:rPr>
      </w:pPr>
    </w:p>
  </w:footnote>
  <w:footnote w:id="159">
    <w:p w14:paraId="6C4538C3" w14:textId="77777777" w:rsidR="00824130" w:rsidRPr="009053EE" w:rsidRDefault="00824130">
      <w:pPr>
        <w:ind w:firstLine="720"/>
      </w:pPr>
      <w:r w:rsidRPr="009053EE">
        <w:rPr>
          <w:rStyle w:val="FootnoteReference"/>
        </w:rPr>
        <w:footnoteRef/>
      </w:r>
      <w:r w:rsidRPr="009053EE">
        <w:t xml:space="preserve"> Ex. PGE</w:t>
      </w:r>
      <w:r w:rsidRPr="009053EE">
        <w:noBreakHyphen/>
        <w:t xml:space="preserve">2 at </w:t>
      </w:r>
      <w:smartTag w:uri="urn:schemas-microsoft-com:office:smarttags" w:element="time">
        <w:smartTagPr>
          <w:attr w:name="Hour" w:val="9"/>
          <w:attr w:name="Minute" w:val="11"/>
        </w:smartTagPr>
        <w:r w:rsidRPr="009053EE">
          <w:t>9:11</w:t>
        </w:r>
      </w:smartTag>
      <w:r w:rsidRPr="009053EE">
        <w:t xml:space="preserve"> – 25. In Trial Staff witness Gross’ words “this procedure is critical to the TAC methodology.  This Commission in order to perform its duties must review and explicitly approve or accept such procedures.  Additionally, for clarity and ease of reference to anyone taking service under the ISO Tariff, these procedures should be contained within the ISO Tariff.”  Ex. S</w:t>
      </w:r>
      <w:r w:rsidRPr="009053EE">
        <w:noBreakHyphen/>
        <w:t xml:space="preserve">1 at 7:1-9. </w:t>
      </w:r>
      <w:r w:rsidRPr="009053EE">
        <w:rPr>
          <w:u w:val="single"/>
        </w:rPr>
        <w:t>See</w:t>
      </w:r>
      <w:r w:rsidRPr="009053EE">
        <w:t xml:space="preserve"> </w:t>
      </w:r>
      <w:r w:rsidRPr="009053EE">
        <w:rPr>
          <w:u w:val="single"/>
        </w:rPr>
        <w:t>also</w:t>
      </w:r>
      <w:r w:rsidRPr="009053EE">
        <w:t xml:space="preserve"> Ex. ISO</w:t>
      </w:r>
      <w:r w:rsidRPr="009053EE">
        <w:noBreakHyphen/>
        <w:t>33 at 27:10 – 16; ISO Initial Brief at 62.</w:t>
      </w:r>
    </w:p>
    <w:p w14:paraId="369F8E1F" w14:textId="77777777" w:rsidR="00824130" w:rsidRPr="009053EE" w:rsidRDefault="00824130">
      <w:pPr>
        <w:pStyle w:val="FootnoteText"/>
        <w:rPr>
          <w:szCs w:val="26"/>
        </w:rPr>
      </w:pPr>
    </w:p>
  </w:footnote>
  <w:footnote w:id="160">
    <w:p w14:paraId="221C09B7"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w:t>
      </w:r>
      <w:r w:rsidRPr="009053EE">
        <w:rPr>
          <w:szCs w:val="26"/>
          <w:u w:val="single"/>
        </w:rPr>
        <w:t>generally</w:t>
      </w:r>
      <w:r w:rsidRPr="009053EE">
        <w:rPr>
          <w:szCs w:val="26"/>
        </w:rPr>
        <w:t xml:space="preserve">, SWC Initial Brief at 45-63; SWP Initial Brief at 42-45.  </w:t>
      </w:r>
    </w:p>
    <w:p w14:paraId="28AD6BC7" w14:textId="77777777" w:rsidR="00824130" w:rsidRPr="009053EE" w:rsidRDefault="00824130">
      <w:pPr>
        <w:pStyle w:val="FootnoteText"/>
        <w:rPr>
          <w:szCs w:val="26"/>
        </w:rPr>
      </w:pPr>
    </w:p>
  </w:footnote>
  <w:footnote w:id="161">
    <w:p w14:paraId="200C70E9"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Staff Initial Brief at 65-67; ISO Initial Brief at 65-87; SCE Initial Brief at 44-51; SC Initial Brief at 55-61; PG&amp;E Initial Brief at 37-41; EOB Initial Brief at 45-46; SDG&amp;E Initial Brief at 17.</w:t>
      </w:r>
    </w:p>
    <w:p w14:paraId="1854564A" w14:textId="77777777" w:rsidR="00824130" w:rsidRPr="009053EE" w:rsidRDefault="00824130">
      <w:pPr>
        <w:pStyle w:val="FootnoteText"/>
        <w:rPr>
          <w:szCs w:val="26"/>
        </w:rPr>
      </w:pPr>
    </w:p>
  </w:footnote>
  <w:footnote w:id="162">
    <w:p w14:paraId="767F1ED6"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w:t>
      </w:r>
      <w:r w:rsidRPr="009053EE">
        <w:rPr>
          <w:szCs w:val="26"/>
          <w:u w:val="single"/>
        </w:rPr>
        <w:t>e.g.</w:t>
      </w:r>
      <w:r w:rsidRPr="009053EE">
        <w:rPr>
          <w:szCs w:val="26"/>
        </w:rPr>
        <w:t>, Staff Initial Brief at 67.</w:t>
      </w:r>
    </w:p>
    <w:p w14:paraId="05CEDC4D" w14:textId="77777777" w:rsidR="00824130" w:rsidRPr="009053EE" w:rsidRDefault="00824130">
      <w:pPr>
        <w:pStyle w:val="FootnoteText"/>
        <w:rPr>
          <w:szCs w:val="26"/>
        </w:rPr>
      </w:pPr>
    </w:p>
  </w:footnote>
  <w:footnote w:id="163">
    <w:p w14:paraId="6BE62074" w14:textId="77777777" w:rsidR="00824130" w:rsidRPr="009053EE" w:rsidRDefault="00824130">
      <w:pPr>
        <w:pStyle w:val="FootnoteText"/>
        <w:rPr>
          <w:szCs w:val="26"/>
        </w:rPr>
      </w:pPr>
      <w:r w:rsidRPr="009053EE">
        <w:rPr>
          <w:rStyle w:val="FootnoteReference"/>
        </w:rPr>
        <w:footnoteRef/>
      </w:r>
      <w:r w:rsidRPr="009053EE">
        <w:rPr>
          <w:szCs w:val="26"/>
        </w:rPr>
        <w:t xml:space="preserve"> Pacific Gas &amp; Elec. Co.</w:t>
      </w:r>
      <w:r w:rsidRPr="009053EE">
        <w:rPr>
          <w:i/>
          <w:szCs w:val="26"/>
        </w:rPr>
        <w:t xml:space="preserve">, </w:t>
      </w:r>
      <w:r w:rsidRPr="009053EE">
        <w:rPr>
          <w:szCs w:val="26"/>
        </w:rPr>
        <w:t>80 FERC ¶ 61,128 at 61,429-30 (1997).</w:t>
      </w:r>
    </w:p>
    <w:p w14:paraId="767801F7" w14:textId="77777777" w:rsidR="00824130" w:rsidRPr="009053EE" w:rsidRDefault="00824130">
      <w:pPr>
        <w:pStyle w:val="FootnoteText"/>
        <w:rPr>
          <w:szCs w:val="26"/>
        </w:rPr>
      </w:pPr>
    </w:p>
  </w:footnote>
  <w:footnote w:id="164">
    <w:p w14:paraId="74F05C6F" w14:textId="77777777" w:rsidR="00824130" w:rsidRPr="009053EE" w:rsidRDefault="00824130">
      <w:pPr>
        <w:pStyle w:val="FootnoteText"/>
        <w:rPr>
          <w:szCs w:val="26"/>
        </w:rPr>
      </w:pPr>
      <w:r w:rsidRPr="009053EE">
        <w:rPr>
          <w:rStyle w:val="FootnoteReference"/>
        </w:rPr>
        <w:footnoteRef/>
      </w:r>
      <w:r w:rsidRPr="009053EE">
        <w:rPr>
          <w:szCs w:val="26"/>
        </w:rPr>
        <w:t xml:space="preserve"> </w:t>
      </w:r>
      <w:r w:rsidRPr="009053EE">
        <w:rPr>
          <w:szCs w:val="26"/>
          <w:u w:val="single"/>
        </w:rPr>
        <w:t>See</w:t>
      </w:r>
      <w:r w:rsidRPr="009053EE">
        <w:rPr>
          <w:szCs w:val="26"/>
        </w:rPr>
        <w:t xml:space="preserve"> Staff Reply Brief at 50.  </w:t>
      </w:r>
    </w:p>
  </w:footnote>
  <w:footnote w:id="165">
    <w:p w14:paraId="44170A55" w14:textId="77777777" w:rsidR="00824130" w:rsidRPr="009053EE" w:rsidRDefault="00824130">
      <w:pPr>
        <w:pStyle w:val="FootnoteText"/>
        <w:rPr>
          <w:szCs w:val="26"/>
        </w:rPr>
      </w:pPr>
      <w:r w:rsidRPr="009053EE">
        <w:rPr>
          <w:rStyle w:val="FootnoteReference"/>
        </w:rPr>
        <w:footnoteRef/>
      </w:r>
      <w:r w:rsidRPr="009053EE">
        <w:rPr>
          <w:szCs w:val="26"/>
        </w:rPr>
        <w:t xml:space="preserve"> This proceeding will not decide the issues in the ISO’s Comprehensive Market Redesign Proposal 2002, known as MD02.  The Commission is considering those issues in Docket No. ER02-1656-000 and its various subdockets.  MD02 may alter some features of the TAC as it is currently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104B" w14:textId="77777777" w:rsidR="00824130" w:rsidRDefault="008241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B03C9" w14:textId="77777777" w:rsidR="00824130" w:rsidRDefault="008241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6703" w14:textId="77777777" w:rsidR="00824130" w:rsidRDefault="008241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E00">
      <w:rPr>
        <w:rStyle w:val="PageNumber"/>
        <w:noProof/>
      </w:rPr>
      <w:t>112</w:t>
    </w:r>
    <w:r>
      <w:rPr>
        <w:rStyle w:val="PageNumber"/>
      </w:rPr>
      <w:fldChar w:fldCharType="end"/>
    </w:r>
  </w:p>
  <w:p w14:paraId="66C7C09E" w14:textId="77777777" w:rsidR="00824130" w:rsidRDefault="00824130">
    <w:pPr>
      <w:pStyle w:val="Header"/>
      <w:ind w:right="360"/>
    </w:pPr>
    <w:r>
      <w:rPr>
        <w:rFonts w:hAnsi="Times New Roman Bold"/>
        <w:szCs w:val="26"/>
      </w:rPr>
      <w:t xml:space="preserve">Docket No.  ER00-2019-006, </w:t>
    </w:r>
    <w:r>
      <w:rPr>
        <w:rFonts w:hAnsi="Times New Roman Bold"/>
        <w:i/>
        <w:szCs w:val="26"/>
        <w:u w:val="single"/>
      </w:rPr>
      <w:t>et</w:t>
    </w:r>
    <w:r>
      <w:rPr>
        <w:rFonts w:hAnsi="Times New Roman Bold"/>
        <w:i/>
        <w:szCs w:val="26"/>
      </w:rPr>
      <w:t xml:space="preserve"> </w:t>
    </w:r>
    <w:r>
      <w:rPr>
        <w:rFonts w:hAnsi="Times New Roman Bold"/>
        <w:i/>
        <w:szCs w:val="26"/>
        <w:u w:val="single"/>
      </w:rP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087E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46B6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79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0CB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443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C98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A88B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FE8D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56B9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CA16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42313"/>
    <w:multiLevelType w:val="hybridMultilevel"/>
    <w:tmpl w:val="CB7843C8"/>
    <w:lvl w:ilvl="0" w:tplc="298C26FA">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E0742C6"/>
    <w:multiLevelType w:val="hybridMultilevel"/>
    <w:tmpl w:val="676ADA22"/>
    <w:lvl w:ilvl="0" w:tplc="BEDC8E9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14765"/>
    <w:multiLevelType w:val="hybridMultilevel"/>
    <w:tmpl w:val="9738D43E"/>
    <w:lvl w:ilvl="0" w:tplc="DD2C95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8E1608"/>
    <w:multiLevelType w:val="hybridMultilevel"/>
    <w:tmpl w:val="C4741F26"/>
    <w:lvl w:ilvl="0" w:tplc="98CC6EF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87503F"/>
    <w:multiLevelType w:val="hybridMultilevel"/>
    <w:tmpl w:val="24BA761C"/>
    <w:lvl w:ilvl="0" w:tplc="7B66605E">
      <w:start w:val="1"/>
      <w:numFmt w:val="upperRoman"/>
      <w:lvlText w:val="%1."/>
      <w:lvlJc w:val="left"/>
      <w:pPr>
        <w:tabs>
          <w:tab w:val="num" w:pos="1080"/>
        </w:tabs>
        <w:ind w:left="1080" w:hanging="720"/>
      </w:pPr>
      <w:rPr>
        <w:rFonts w:ascii="Times New Roman Bold" w:hAnsi="Times New Roman Bold" w:hint="default"/>
        <w:b/>
      </w:rPr>
    </w:lvl>
    <w:lvl w:ilvl="1" w:tplc="321CE596">
      <w:start w:val="1"/>
      <w:numFmt w:val="upperLetter"/>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3A853AE5"/>
    <w:multiLevelType w:val="hybridMultilevel"/>
    <w:tmpl w:val="5D9ECF02"/>
    <w:lvl w:ilvl="0" w:tplc="346A1328">
      <w:start w:val="1"/>
      <w:numFmt w:val="decimal"/>
      <w:lvlText w:val="%1."/>
      <w:lvlJc w:val="left"/>
      <w:pPr>
        <w:tabs>
          <w:tab w:val="num" w:pos="1010"/>
        </w:tabs>
        <w:ind w:left="1010" w:hanging="360"/>
      </w:pPr>
      <w:rPr>
        <w:rFonts w:ascii="Times New Roman Bold" w:hAnsi="Times New Roman Bold" w:hint="default"/>
        <w:b/>
      </w:rPr>
    </w:lvl>
    <w:lvl w:ilvl="1" w:tplc="04090019" w:tentative="1">
      <w:start w:val="1"/>
      <w:numFmt w:val="lowerLetter"/>
      <w:lvlText w:val="%2."/>
      <w:lvlJc w:val="left"/>
      <w:pPr>
        <w:tabs>
          <w:tab w:val="num" w:pos="1730"/>
        </w:tabs>
        <w:ind w:left="1730" w:hanging="360"/>
      </w:p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17" w15:restartNumberingAfterBreak="0">
    <w:nsid w:val="44CD2D43"/>
    <w:multiLevelType w:val="hybridMultilevel"/>
    <w:tmpl w:val="FD66F108"/>
    <w:lvl w:ilvl="0" w:tplc="C748BF00">
      <w:start w:val="6"/>
      <w:numFmt w:val="upperRoman"/>
      <w:lvlText w:val="%1."/>
      <w:lvlJc w:val="left"/>
      <w:pPr>
        <w:tabs>
          <w:tab w:val="num" w:pos="1080"/>
        </w:tabs>
        <w:ind w:left="1080" w:hanging="720"/>
      </w:pPr>
      <w:rPr>
        <w:rFonts w:hint="default"/>
      </w:rPr>
    </w:lvl>
    <w:lvl w:ilvl="1" w:tplc="04090019">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E1EC3"/>
    <w:multiLevelType w:val="hybridMultilevel"/>
    <w:tmpl w:val="41FE2D52"/>
    <w:lvl w:ilvl="0" w:tplc="C748BF00">
      <w:start w:val="2"/>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1C53365"/>
    <w:multiLevelType w:val="hybridMultilevel"/>
    <w:tmpl w:val="9476E960"/>
    <w:lvl w:ilvl="0" w:tplc="C748BF00">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CF099A"/>
    <w:multiLevelType w:val="hybridMultilevel"/>
    <w:tmpl w:val="BDD07CE2"/>
    <w:lvl w:ilvl="0" w:tplc="C748BF0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DE565E"/>
    <w:multiLevelType w:val="hybridMultilevel"/>
    <w:tmpl w:val="7AA8F1DE"/>
    <w:lvl w:ilvl="0" w:tplc="BAE44F62">
      <w:start w:val="7"/>
      <w:numFmt w:val="upperRoman"/>
      <w:lvlText w:val="%1."/>
      <w:lvlJc w:val="left"/>
      <w:pPr>
        <w:tabs>
          <w:tab w:val="num" w:pos="1080"/>
        </w:tabs>
        <w:ind w:left="1080" w:hanging="720"/>
      </w:pPr>
      <w:rPr>
        <w:rFonts w:hint="default"/>
      </w:rPr>
    </w:lvl>
    <w:lvl w:ilvl="1" w:tplc="7FAC857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E7DE6"/>
    <w:multiLevelType w:val="hybridMultilevel"/>
    <w:tmpl w:val="986C144A"/>
    <w:lvl w:ilvl="0" w:tplc="1E586E7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8D403A"/>
    <w:multiLevelType w:val="hybridMultilevel"/>
    <w:tmpl w:val="E760E370"/>
    <w:lvl w:ilvl="0" w:tplc="B76C34A2">
      <w:start w:val="8"/>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054688"/>
    <w:multiLevelType w:val="hybridMultilevel"/>
    <w:tmpl w:val="EDF44D1E"/>
    <w:lvl w:ilvl="0" w:tplc="586A5FC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012260"/>
    <w:multiLevelType w:val="hybridMultilevel"/>
    <w:tmpl w:val="8E0CC65C"/>
    <w:lvl w:ilvl="0" w:tplc="0122DB3E">
      <w:start w:val="1"/>
      <w:numFmt w:val="decimal"/>
      <w:lvlText w:val="%1."/>
      <w:lvlJc w:val="left"/>
      <w:pPr>
        <w:tabs>
          <w:tab w:val="num" w:pos="1010"/>
        </w:tabs>
        <w:ind w:left="1010" w:hanging="360"/>
      </w:pPr>
      <w:rPr>
        <w:rFonts w:hint="default"/>
      </w:rPr>
    </w:lvl>
    <w:lvl w:ilvl="1" w:tplc="04090019" w:tentative="1">
      <w:start w:val="1"/>
      <w:numFmt w:val="lowerLetter"/>
      <w:lvlText w:val="%2."/>
      <w:lvlJc w:val="left"/>
      <w:pPr>
        <w:tabs>
          <w:tab w:val="num" w:pos="1730"/>
        </w:tabs>
        <w:ind w:left="1730" w:hanging="360"/>
      </w:p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26" w15:restartNumberingAfterBreak="0">
    <w:nsid w:val="6981561B"/>
    <w:multiLevelType w:val="hybridMultilevel"/>
    <w:tmpl w:val="8C482E16"/>
    <w:lvl w:ilvl="0" w:tplc="2FD69A72">
      <w:start w:val="2"/>
      <w:numFmt w:val="upperRoman"/>
      <w:lvlText w:val="%1."/>
      <w:lvlJc w:val="left"/>
      <w:pPr>
        <w:tabs>
          <w:tab w:val="num" w:pos="1080"/>
        </w:tabs>
        <w:ind w:left="1080" w:hanging="720"/>
      </w:pPr>
      <w:rPr>
        <w:rFonts w:hint="default"/>
      </w:rPr>
    </w:lvl>
    <w:lvl w:ilvl="1" w:tplc="04090019">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DF6786"/>
    <w:multiLevelType w:val="multilevel"/>
    <w:tmpl w:val="C8504EC8"/>
    <w:lvl w:ilvl="0">
      <w:start w:val="1"/>
      <w:numFmt w:val="upperRoman"/>
      <w:lvlRestart w:val="0"/>
      <w:pStyle w:val="Heading1"/>
      <w:lvlText w:val="%1."/>
      <w:lvlJc w:val="left"/>
      <w:pPr>
        <w:tabs>
          <w:tab w:val="num" w:pos="720"/>
        </w:tabs>
        <w:ind w:left="720" w:hanging="720"/>
      </w:pPr>
      <w:rPr>
        <w:rFonts w:ascii="Times New Roman" w:hAnsi="Times New Roman" w:cs="Arial" w:hint="default"/>
        <w:b/>
        <w:i w:val="0"/>
        <w:caps w:val="0"/>
        <w:strike w:val="0"/>
        <w:dstrike w:val="0"/>
        <w:vanish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Heading2"/>
      <w:lvlText w:val="%2."/>
      <w:lvlJc w:val="left"/>
      <w:pPr>
        <w:tabs>
          <w:tab w:val="num" w:pos="1440"/>
        </w:tabs>
        <w:ind w:left="1440" w:hanging="720"/>
      </w:pPr>
      <w:rPr>
        <w:rFonts w:ascii="Times New Roman" w:hAnsi="Times New Roman" w:cs="Arial" w:hint="default"/>
        <w:b/>
        <w:i w:val="0"/>
        <w:caps w:val="0"/>
        <w:strike w:val="0"/>
        <w:dstrike w:val="0"/>
        <w:vanish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3."/>
      <w:lvlJc w:val="left"/>
      <w:pPr>
        <w:tabs>
          <w:tab w:val="num" w:pos="2160"/>
        </w:tabs>
        <w:ind w:left="2160" w:hanging="720"/>
      </w:pPr>
      <w:rPr>
        <w:rFonts w:ascii="Times New Roman" w:hAnsi="Times New Roman" w:cs="Arial" w:hint="default"/>
        <w:b w:val="0"/>
        <w:i w:val="0"/>
        <w:caps w:val="0"/>
        <w:strike w:val="0"/>
        <w:dstrike w:val="0"/>
        <w:vanish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Heading4"/>
      <w:lvlText w:val="%4."/>
      <w:lvlJc w:val="left"/>
      <w:pPr>
        <w:tabs>
          <w:tab w:val="num" w:pos="2880"/>
        </w:tabs>
        <w:ind w:left="2880" w:hanging="720"/>
      </w:pPr>
      <w:rPr>
        <w:rFonts w:ascii="Arial" w:hAnsi="Arial" w:cs="Arial" w:hint="default"/>
        <w:b/>
        <w:i w:val="0"/>
        <w:caps w:val="0"/>
        <w:strike w:val="0"/>
        <w:dstrike w:val="0"/>
        <w:vanish w:val="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7AF60EE2"/>
    <w:multiLevelType w:val="hybridMultilevel"/>
    <w:tmpl w:val="032619EE"/>
    <w:lvl w:ilvl="0" w:tplc="13E83300">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D82A567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1027D6"/>
    <w:multiLevelType w:val="hybridMultilevel"/>
    <w:tmpl w:val="E1529CCE"/>
    <w:lvl w:ilvl="0" w:tplc="410E3EF0">
      <w:start w:val="1"/>
      <w:numFmt w:val="decimal"/>
      <w:lvlText w:val="%1."/>
      <w:lvlJc w:val="left"/>
      <w:pPr>
        <w:tabs>
          <w:tab w:val="num" w:pos="1010"/>
        </w:tabs>
        <w:ind w:left="1010" w:hanging="360"/>
      </w:pPr>
      <w:rPr>
        <w:rFonts w:hint="default"/>
      </w:rPr>
    </w:lvl>
    <w:lvl w:ilvl="1" w:tplc="04090019" w:tentative="1">
      <w:start w:val="1"/>
      <w:numFmt w:val="lowerLetter"/>
      <w:lvlText w:val="%2."/>
      <w:lvlJc w:val="left"/>
      <w:pPr>
        <w:tabs>
          <w:tab w:val="num" w:pos="1730"/>
        </w:tabs>
        <w:ind w:left="1730" w:hanging="360"/>
      </w:p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30" w15:restartNumberingAfterBreak="0">
    <w:nsid w:val="7E4E4DD3"/>
    <w:multiLevelType w:val="hybridMultilevel"/>
    <w:tmpl w:val="DFBE2616"/>
    <w:lvl w:ilvl="0" w:tplc="9892C39C">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AF3298"/>
    <w:multiLevelType w:val="multilevel"/>
    <w:tmpl w:val="750A8A8C"/>
    <w:lvl w:ilvl="0">
      <w:start w:val="1"/>
      <w:numFmt w:val="upperRoman"/>
      <w:pStyle w:val="OutHead1"/>
      <w:lvlText w:val="%1."/>
      <w:lvlJc w:val="left"/>
      <w:pPr>
        <w:tabs>
          <w:tab w:val="num" w:pos="720"/>
        </w:tabs>
        <w:ind w:left="720" w:hanging="720"/>
      </w:pPr>
      <w:rPr>
        <w:rFonts w:ascii="Times New (W1)" w:hAnsi="Times New (W1)" w:hint="default"/>
        <w:b w:val="0"/>
        <w:i w:val="0"/>
        <w:caps/>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Head2"/>
      <w:lvlText w:val="%2."/>
      <w:lvlJc w:val="left"/>
      <w:pPr>
        <w:tabs>
          <w:tab w:val="num" w:pos="1440"/>
        </w:tabs>
        <w:ind w:left="1440" w:hanging="720"/>
      </w:pPr>
      <w:rPr>
        <w:rFonts w:ascii="Times New (W1)" w:hAnsi="Times New (W1)" w:hint="default"/>
        <w:b w:val="0"/>
        <w:i w:val="0"/>
        <w: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3."/>
      <w:lvlJc w:val="left"/>
      <w:pPr>
        <w:tabs>
          <w:tab w:val="num" w:pos="720"/>
        </w:tabs>
        <w:ind w:left="0" w:firstLine="1440"/>
      </w:pPr>
      <w:rPr>
        <w:rFonts w:ascii="Times New Roman" w:hAnsi="Times New Roman" w:hint="default"/>
        <w:b w:val="0"/>
        <w:i w:val="0"/>
        <w:caps w:val="0"/>
        <w:smallCaps w:val="0"/>
        <w:strike w:val="0"/>
        <w:dstrike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OutHead4"/>
      <w:lvlText w:val="%4)"/>
      <w:lvlJc w:val="left"/>
      <w:pPr>
        <w:tabs>
          <w:tab w:val="num" w:pos="2880"/>
        </w:tabs>
        <w:ind w:left="2880" w:hanging="720"/>
      </w:pPr>
      <w:rPr>
        <w:rFonts w:ascii="Times New Roman" w:hAnsi="Times New Roman" w:hint="default"/>
        <w:b w:val="0"/>
        <w:i w:val="0"/>
        <w:caps w:val="0"/>
        <w:smallCaps w:val="0"/>
        <w:strike w:val="0"/>
        <w:dstrike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Head5"/>
      <w:lvlText w:val="%5)"/>
      <w:lvlJc w:val="left"/>
      <w:pPr>
        <w:tabs>
          <w:tab w:val="num" w:pos="3600"/>
        </w:tabs>
        <w:ind w:left="3600" w:hanging="720"/>
      </w:pPr>
      <w:rPr>
        <w:rFonts w:ascii="Times New Roman" w:hAnsi="Times New Roman" w:hint="default"/>
        <w:b w:val="0"/>
        <w:i w:val="0"/>
        <w:caps w:val="0"/>
        <w:smallCaps w:val="0"/>
        <w:strike w:val="0"/>
        <w:dstrike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Head6"/>
      <w:lvlText w:val="(%6)"/>
      <w:lvlJc w:val="left"/>
      <w:pPr>
        <w:tabs>
          <w:tab w:val="num" w:pos="4320"/>
        </w:tabs>
        <w:ind w:left="432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OutHead7"/>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Head8"/>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num w:numId="1" w16cid:durableId="477193122">
    <w:abstractNumId w:val="15"/>
  </w:num>
  <w:num w:numId="2" w16cid:durableId="324011313">
    <w:abstractNumId w:val="30"/>
  </w:num>
  <w:num w:numId="3" w16cid:durableId="1802070122">
    <w:abstractNumId w:val="9"/>
  </w:num>
  <w:num w:numId="4" w16cid:durableId="2099327769">
    <w:abstractNumId w:val="7"/>
  </w:num>
  <w:num w:numId="5" w16cid:durableId="33239334">
    <w:abstractNumId w:val="6"/>
  </w:num>
  <w:num w:numId="6" w16cid:durableId="1053043458">
    <w:abstractNumId w:val="5"/>
  </w:num>
  <w:num w:numId="7" w16cid:durableId="821198047">
    <w:abstractNumId w:val="4"/>
  </w:num>
  <w:num w:numId="8" w16cid:durableId="1302423004">
    <w:abstractNumId w:val="8"/>
  </w:num>
  <w:num w:numId="9" w16cid:durableId="860335">
    <w:abstractNumId w:val="3"/>
  </w:num>
  <w:num w:numId="10" w16cid:durableId="181825088">
    <w:abstractNumId w:val="2"/>
  </w:num>
  <w:num w:numId="11" w16cid:durableId="1716346492">
    <w:abstractNumId w:val="1"/>
  </w:num>
  <w:num w:numId="12" w16cid:durableId="2110352403">
    <w:abstractNumId w:val="0"/>
  </w:num>
  <w:num w:numId="13" w16cid:durableId="1667397689">
    <w:abstractNumId w:val="31"/>
  </w:num>
  <w:num w:numId="14" w16cid:durableId="1971547049">
    <w:abstractNumId w:val="27"/>
  </w:num>
  <w:num w:numId="15" w16cid:durableId="2126998191">
    <w:abstractNumId w:val="14"/>
  </w:num>
  <w:num w:numId="16" w16cid:durableId="2115130206">
    <w:abstractNumId w:val="31"/>
    <w:lvlOverride w:ilvl="0"/>
  </w:num>
  <w:num w:numId="17" w16cid:durableId="67654365">
    <w:abstractNumId w:val="20"/>
  </w:num>
  <w:num w:numId="18" w16cid:durableId="994719855">
    <w:abstractNumId w:val="26"/>
  </w:num>
  <w:num w:numId="19" w16cid:durableId="1097755238">
    <w:abstractNumId w:val="13"/>
  </w:num>
  <w:num w:numId="20" w16cid:durableId="138807019">
    <w:abstractNumId w:val="10"/>
  </w:num>
  <w:num w:numId="21" w16cid:durableId="195120993">
    <w:abstractNumId w:val="12"/>
  </w:num>
  <w:num w:numId="22" w16cid:durableId="1975794625">
    <w:abstractNumId w:val="18"/>
  </w:num>
  <w:num w:numId="23" w16cid:durableId="636422926">
    <w:abstractNumId w:val="24"/>
  </w:num>
  <w:num w:numId="24" w16cid:durableId="1397439408">
    <w:abstractNumId w:val="17"/>
  </w:num>
  <w:num w:numId="25" w16cid:durableId="114907509">
    <w:abstractNumId w:val="21"/>
  </w:num>
  <w:num w:numId="26" w16cid:durableId="800921833">
    <w:abstractNumId w:val="23"/>
  </w:num>
  <w:num w:numId="27" w16cid:durableId="1767536029">
    <w:abstractNumId w:val="28"/>
  </w:num>
  <w:num w:numId="28" w16cid:durableId="1766655246">
    <w:abstractNumId w:val="19"/>
  </w:num>
  <w:num w:numId="29" w16cid:durableId="370301283">
    <w:abstractNumId w:val="22"/>
  </w:num>
  <w:num w:numId="30" w16cid:durableId="1932280217">
    <w:abstractNumId w:val="31"/>
    <w:lvlOverride w:ilvl="0">
      <w:startOverride w:val="3"/>
    </w:lvlOverride>
  </w:num>
  <w:num w:numId="31" w16cid:durableId="1282803648">
    <w:abstractNumId w:val="31"/>
    <w:lvlOverride w:ilvl="0">
      <w:startOverride w:val="5"/>
    </w:lvlOverride>
  </w:num>
  <w:num w:numId="32" w16cid:durableId="2096393284">
    <w:abstractNumId w:val="11"/>
  </w:num>
  <w:num w:numId="33" w16cid:durableId="710541445">
    <w:abstractNumId w:val="16"/>
  </w:num>
  <w:num w:numId="34" w16cid:durableId="625739699">
    <w:abstractNumId w:val="29"/>
  </w:num>
  <w:num w:numId="35" w16cid:durableId="3921223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B7"/>
    <w:rsid w:val="00086E00"/>
    <w:rsid w:val="00824130"/>
    <w:rsid w:val="00AA4428"/>
    <w:rsid w:val="00C05FC1"/>
    <w:rsid w:val="00D5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2C63C098"/>
  <w15:chartTrackingRefBased/>
  <w15:docId w15:val="{D739DCDB-8E42-4FD5-A18E-20110951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Normal"/>
    <w:qFormat/>
    <w:pPr>
      <w:keepNext/>
      <w:widowControl/>
      <w:numPr>
        <w:numId w:val="14"/>
      </w:numPr>
      <w:autoSpaceDE/>
      <w:autoSpaceDN/>
      <w:adjustRightInd/>
      <w:spacing w:after="240"/>
      <w:outlineLvl w:val="0"/>
    </w:pPr>
    <w:rPr>
      <w:rFonts w:ascii="Times New Roman Bold" w:hAnsi="Times New Roman Bold" w:cs="Arial"/>
      <w:b/>
      <w:szCs w:val="26"/>
    </w:rPr>
  </w:style>
  <w:style w:type="paragraph" w:styleId="Heading2">
    <w:name w:val="heading 2"/>
    <w:basedOn w:val="Normal"/>
    <w:next w:val="Normal"/>
    <w:autoRedefine/>
    <w:qFormat/>
    <w:pPr>
      <w:keepNext/>
      <w:keepLines/>
      <w:autoSpaceDE/>
      <w:autoSpaceDN/>
      <w:adjustRightInd/>
      <w:ind w:left="720"/>
      <w:outlineLvl w:val="1"/>
    </w:pPr>
    <w:rPr>
      <w:rFonts w:ascii="Times New Roman Bold" w:hAnsi="Times New Roman Bold" w:cs="Arial"/>
      <w:b/>
      <w:szCs w:val="26"/>
    </w:rPr>
  </w:style>
  <w:style w:type="paragraph" w:styleId="Heading3">
    <w:name w:val="heading 3"/>
    <w:basedOn w:val="Normal"/>
    <w:next w:val="BodyTextFirstIndentD"/>
    <w:qFormat/>
    <w:pPr>
      <w:widowControl/>
      <w:numPr>
        <w:ilvl w:val="2"/>
        <w:numId w:val="14"/>
      </w:numPr>
      <w:autoSpaceDE/>
      <w:autoSpaceDN/>
      <w:adjustRightInd/>
      <w:spacing w:after="240"/>
      <w:outlineLvl w:val="2"/>
    </w:pPr>
    <w:rPr>
      <w:rFonts w:ascii="Times New Roman Bold" w:hAnsi="Times New Roman Bold" w:cs="Arial"/>
      <w:b/>
      <w:bCs/>
      <w:szCs w:val="26"/>
      <w:u w:val="single"/>
    </w:rPr>
  </w:style>
  <w:style w:type="paragraph" w:styleId="Heading4">
    <w:name w:val="heading 4"/>
    <w:basedOn w:val="Normal"/>
    <w:next w:val="BodyTextFirstIndentD"/>
    <w:qFormat/>
    <w:pPr>
      <w:widowControl/>
      <w:numPr>
        <w:ilvl w:val="3"/>
        <w:numId w:val="14"/>
      </w:numPr>
      <w:autoSpaceDE/>
      <w:autoSpaceDN/>
      <w:adjustRightInd/>
      <w:spacing w:after="240"/>
      <w:outlineLvl w:val="3"/>
    </w:pPr>
    <w:rPr>
      <w:rFonts w:ascii="Arial" w:hAnsi="Arial" w:cs="Arial"/>
      <w:bCs/>
      <w:sz w:val="28"/>
      <w:szCs w:val="28"/>
      <w:u w:val="single"/>
    </w:rPr>
  </w:style>
  <w:style w:type="paragraph" w:styleId="Heading5">
    <w:name w:val="heading 5"/>
    <w:basedOn w:val="Normal"/>
    <w:next w:val="BodyText"/>
    <w:qFormat/>
    <w:pPr>
      <w:widowControl/>
      <w:numPr>
        <w:ilvl w:val="4"/>
        <w:numId w:val="14"/>
      </w:numPr>
      <w:autoSpaceDE/>
      <w:autoSpaceDN/>
      <w:adjustRightInd/>
      <w:spacing w:after="240"/>
      <w:outlineLvl w:val="4"/>
    </w:pPr>
    <w:rPr>
      <w:bCs/>
      <w:iCs/>
      <w:sz w:val="24"/>
      <w:szCs w:val="26"/>
    </w:rPr>
  </w:style>
  <w:style w:type="paragraph" w:styleId="Heading6">
    <w:name w:val="heading 6"/>
    <w:basedOn w:val="Normal"/>
    <w:next w:val="BodyText"/>
    <w:qFormat/>
    <w:pPr>
      <w:widowControl/>
      <w:numPr>
        <w:ilvl w:val="5"/>
        <w:numId w:val="14"/>
      </w:numPr>
      <w:autoSpaceDE/>
      <w:autoSpaceDN/>
      <w:adjustRightInd/>
      <w:spacing w:after="240"/>
      <w:outlineLvl w:val="5"/>
    </w:pPr>
    <w:rPr>
      <w:bCs/>
      <w:sz w:val="24"/>
      <w:szCs w:val="22"/>
    </w:rPr>
  </w:style>
  <w:style w:type="paragraph" w:styleId="Heading7">
    <w:name w:val="heading 7"/>
    <w:basedOn w:val="Normal"/>
    <w:next w:val="BodyText"/>
    <w:qFormat/>
    <w:pPr>
      <w:widowControl/>
      <w:numPr>
        <w:ilvl w:val="6"/>
        <w:numId w:val="14"/>
      </w:numPr>
      <w:autoSpaceDE/>
      <w:autoSpaceDN/>
      <w:adjustRightInd/>
      <w:spacing w:after="240"/>
      <w:outlineLvl w:val="6"/>
    </w:pPr>
    <w:rPr>
      <w:sz w:val="24"/>
    </w:rPr>
  </w:style>
  <w:style w:type="paragraph" w:styleId="Heading8">
    <w:name w:val="heading 8"/>
    <w:basedOn w:val="Normal"/>
    <w:next w:val="BodyText"/>
    <w:qFormat/>
    <w:pPr>
      <w:widowControl/>
      <w:numPr>
        <w:ilvl w:val="7"/>
        <w:numId w:val="14"/>
      </w:numPr>
      <w:autoSpaceDE/>
      <w:autoSpaceDN/>
      <w:adjustRightInd/>
      <w:spacing w:after="240"/>
      <w:outlineLvl w:val="7"/>
    </w:pPr>
    <w:rPr>
      <w:iCs/>
      <w:sz w:val="24"/>
    </w:rPr>
  </w:style>
  <w:style w:type="paragraph" w:styleId="Heading9">
    <w:name w:val="heading 9"/>
    <w:basedOn w:val="Normal"/>
    <w:next w:val="BodyText"/>
    <w:qFormat/>
    <w:pPr>
      <w:widowControl/>
      <w:numPr>
        <w:ilvl w:val="8"/>
        <w:numId w:val="14"/>
      </w:numPr>
      <w:autoSpaceDE/>
      <w:autoSpaceDN/>
      <w:adjustRightInd/>
      <w:spacing w:after="240"/>
      <w:outlineLvl w:val="8"/>
    </w:pPr>
    <w:rPr>
      <w:sz w:val="24"/>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Footnote">
    <w:name w:val="Body Footnote"/>
    <w:basedOn w:val="FootnoteText"/>
    <w:autoRedefine/>
    <w:rPr>
      <w:szCs w:val="26"/>
    </w:rPr>
  </w:style>
  <w:style w:type="paragraph" w:styleId="FootnoteText">
    <w:name w:val="footnote text"/>
    <w:aliases w:val="Footnote Text Char1,Footnote Text Char Char"/>
    <w:basedOn w:val="Normal"/>
    <w:link w:val="FootnoteTextChar"/>
    <w:autoRedefine/>
    <w:pPr>
      <w:ind w:firstLine="720"/>
    </w:pPr>
    <w:rPr>
      <w:szCs w:val="20"/>
    </w:rPr>
  </w:style>
  <w:style w:type="paragraph" w:styleId="BodyText">
    <w:name w:val="Body Text"/>
    <w:aliases w:val="b"/>
    <w:basedOn w:val="Normal"/>
    <w:pPr>
      <w:widowControl/>
      <w:autoSpaceDE/>
      <w:autoSpaceDN/>
      <w:adjustRightInd/>
    </w:pPr>
    <w:rPr>
      <w:sz w:val="24"/>
    </w:rPr>
  </w:style>
  <w:style w:type="character" w:styleId="FootnoteReference">
    <w:name w:val="footnote reference"/>
    <w:basedOn w:val="DefaultParagraphFont"/>
    <w:semiHidden/>
    <w:rPr>
      <w:rFonts w:ascii="Times New Roman" w:hAnsi="Times New Roman"/>
      <w:b/>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LegalFormat">
    <w:name w:val="Legal Format"/>
    <w:basedOn w:val="ListContinue"/>
    <w:autoRedefine/>
    <w:pPr>
      <w:numPr>
        <w:numId w:val="1"/>
      </w:numPr>
      <w:tabs>
        <w:tab w:val="clear" w:pos="360"/>
        <w:tab w:val="num" w:pos="720"/>
      </w:tabs>
      <w:spacing w:after="0"/>
      <w:ind w:left="720" w:hanging="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FERCparanumber">
    <w:name w:val="FERC paranumber"/>
    <w:basedOn w:val="Normal"/>
    <w:pPr>
      <w:numPr>
        <w:numId w:val="2"/>
      </w:numPr>
    </w:pPr>
  </w:style>
  <w:style w:type="paragraph" w:customStyle="1" w:styleId="BodyTextFirstIndentD">
    <w:name w:val="Body Text First Indent D"/>
    <w:aliases w:val="btfd"/>
    <w:basedOn w:val="Normal"/>
    <w:pPr>
      <w:widowControl/>
      <w:autoSpaceDE/>
      <w:autoSpaceDN/>
      <w:adjustRightInd/>
      <w:spacing w:line="480" w:lineRule="auto"/>
      <w:ind w:firstLine="720"/>
    </w:pPr>
    <w:rPr>
      <w:szCs w:val="26"/>
    </w:rPr>
  </w:style>
  <w:style w:type="paragraph" w:customStyle="1" w:styleId="OutHead1">
    <w:name w:val="OutHead1"/>
    <w:basedOn w:val="Normal"/>
    <w:pPr>
      <w:widowControl/>
      <w:numPr>
        <w:numId w:val="13"/>
      </w:numPr>
      <w:autoSpaceDE/>
      <w:autoSpaceDN/>
      <w:adjustRightInd/>
    </w:pPr>
    <w:rPr>
      <w:sz w:val="24"/>
    </w:rPr>
  </w:style>
  <w:style w:type="paragraph" w:customStyle="1" w:styleId="OutHead2">
    <w:name w:val="OutHead2"/>
    <w:basedOn w:val="Normal"/>
    <w:pPr>
      <w:widowControl/>
      <w:numPr>
        <w:ilvl w:val="1"/>
        <w:numId w:val="13"/>
      </w:numPr>
      <w:autoSpaceDE/>
      <w:autoSpaceDN/>
      <w:adjustRightInd/>
    </w:pPr>
    <w:rPr>
      <w:sz w:val="24"/>
    </w:rPr>
  </w:style>
  <w:style w:type="paragraph" w:customStyle="1" w:styleId="OutHead3">
    <w:name w:val="OutHead3"/>
    <w:basedOn w:val="Normal"/>
    <w:pPr>
      <w:widowControl/>
      <w:numPr>
        <w:ilvl w:val="2"/>
        <w:numId w:val="13"/>
      </w:numPr>
      <w:autoSpaceDE/>
      <w:autoSpaceDN/>
      <w:adjustRightInd/>
    </w:pPr>
    <w:rPr>
      <w:sz w:val="24"/>
    </w:rPr>
  </w:style>
  <w:style w:type="paragraph" w:customStyle="1" w:styleId="OutHead4">
    <w:name w:val="OutHead4"/>
    <w:basedOn w:val="Normal"/>
    <w:pPr>
      <w:widowControl/>
      <w:numPr>
        <w:ilvl w:val="3"/>
        <w:numId w:val="13"/>
      </w:numPr>
      <w:autoSpaceDE/>
      <w:autoSpaceDN/>
      <w:adjustRightInd/>
    </w:pPr>
    <w:rPr>
      <w:sz w:val="24"/>
    </w:rPr>
  </w:style>
  <w:style w:type="paragraph" w:customStyle="1" w:styleId="OutHead5">
    <w:name w:val="OutHead5"/>
    <w:basedOn w:val="Normal"/>
    <w:pPr>
      <w:widowControl/>
      <w:numPr>
        <w:ilvl w:val="4"/>
        <w:numId w:val="13"/>
      </w:numPr>
      <w:autoSpaceDE/>
      <w:autoSpaceDN/>
      <w:adjustRightInd/>
    </w:pPr>
    <w:rPr>
      <w:sz w:val="24"/>
    </w:rPr>
  </w:style>
  <w:style w:type="paragraph" w:customStyle="1" w:styleId="OutHead6">
    <w:name w:val="OutHead6"/>
    <w:basedOn w:val="Normal"/>
    <w:pPr>
      <w:widowControl/>
      <w:numPr>
        <w:ilvl w:val="5"/>
        <w:numId w:val="13"/>
      </w:numPr>
      <w:autoSpaceDE/>
      <w:autoSpaceDN/>
      <w:adjustRightInd/>
    </w:pPr>
    <w:rPr>
      <w:sz w:val="24"/>
    </w:rPr>
  </w:style>
  <w:style w:type="paragraph" w:customStyle="1" w:styleId="OutHead7">
    <w:name w:val="OutHead7"/>
    <w:basedOn w:val="Normal"/>
    <w:pPr>
      <w:widowControl/>
      <w:numPr>
        <w:ilvl w:val="6"/>
        <w:numId w:val="13"/>
      </w:numPr>
      <w:autoSpaceDE/>
      <w:autoSpaceDN/>
      <w:adjustRightInd/>
    </w:pPr>
    <w:rPr>
      <w:sz w:val="24"/>
    </w:rPr>
  </w:style>
  <w:style w:type="paragraph" w:customStyle="1" w:styleId="OutHead8">
    <w:name w:val="OutHead8"/>
    <w:basedOn w:val="Normal"/>
    <w:pPr>
      <w:widowControl/>
      <w:numPr>
        <w:ilvl w:val="7"/>
        <w:numId w:val="13"/>
      </w:numPr>
      <w:autoSpaceDE/>
      <w:autoSpaceDN/>
      <w:adjustRightInd/>
    </w:pPr>
    <w:rPr>
      <w:sz w:val="24"/>
    </w:rPr>
  </w:style>
  <w:style w:type="paragraph" w:styleId="Caption">
    <w:name w:val="caption"/>
    <w:basedOn w:val="Normal"/>
    <w:next w:val="Normal"/>
    <w:qFormat/>
    <w:pPr>
      <w:widowControl/>
      <w:autoSpaceDE/>
      <w:autoSpaceDN/>
      <w:adjustRightInd/>
      <w:spacing w:before="360" w:after="480"/>
      <w:ind w:left="720" w:hanging="720"/>
      <w:jc w:val="center"/>
    </w:pPr>
    <w:rPr>
      <w:rFonts w:ascii="Arial Narrow" w:hAnsi="Arial Narrow"/>
      <w:b/>
      <w:sz w:val="24"/>
    </w:rPr>
  </w:style>
  <w:style w:type="paragraph" w:customStyle="1" w:styleId="Heading1A">
    <w:name w:val="Heading 1A"/>
    <w:basedOn w:val="Heading1"/>
    <w:pPr>
      <w:numPr>
        <w:numId w:val="22"/>
      </w:numPr>
    </w:pPr>
    <w:rPr>
      <w:rFonts w:ascii="Times New Roman" w:hAnsi="Times New Roman"/>
      <w:b w:val="0"/>
    </w:rPr>
  </w:style>
  <w:style w:type="paragraph" w:customStyle="1" w:styleId="footnotetex">
    <w:name w:val="footnote tex"/>
    <w:basedOn w:val="Normal"/>
    <w:pPr>
      <w:jc w:val="both"/>
    </w:pPr>
    <w:rPr>
      <w:rFonts w:ascii="Courier New" w:hAnsi="Courier New" w:cs="Courier New"/>
      <w:sz w:val="24"/>
    </w:rPr>
  </w:style>
  <w:style w:type="character" w:customStyle="1" w:styleId="FootnoteTextChar">
    <w:name w:val="Footnote Text Char"/>
    <w:aliases w:val="Footnote Text Char1 Char,Footnote Text Char Char Char"/>
    <w:basedOn w:val="DefaultParagraphFont"/>
    <w:link w:val="FootnoteText"/>
    <w:rPr>
      <w:sz w:val="26"/>
      <w:lang w:val="en-US" w:eastAsia="en-US" w:bidi="ar-SA"/>
    </w:rPr>
  </w:style>
  <w:style w:type="paragraph" w:styleId="BodyTextFirstIndent">
    <w:name w:val="Body Text First Indent"/>
    <w:basedOn w:val="BodyText"/>
    <w:pPr>
      <w:widowControl w:val="0"/>
      <w:autoSpaceDE w:val="0"/>
      <w:autoSpaceDN w:val="0"/>
      <w:adjustRightInd w:val="0"/>
      <w:spacing w:after="120"/>
      <w:ind w:firstLine="210"/>
    </w:pPr>
    <w:rPr>
      <w:sz w:val="26"/>
    </w:rPr>
  </w:style>
  <w:style w:type="paragraph" w:styleId="BodyTextIndent">
    <w:name w:val="Body Text Indent"/>
    <w:basedOn w:val="Normal"/>
    <w:pPr>
      <w:spacing w:after="120"/>
      <w:ind w:left="360"/>
    </w:pPr>
  </w:style>
  <w:style w:type="paragraph" w:styleId="Quote">
    <w:name w:val="Quote"/>
    <w:basedOn w:val="BlockText"/>
    <w:next w:val="Normal"/>
    <w:qFormat/>
    <w:pPr>
      <w:widowControl/>
      <w:autoSpaceDE/>
      <w:autoSpaceDN/>
      <w:adjustRightInd/>
      <w:spacing w:after="240"/>
    </w:pPr>
    <w:rPr>
      <w:szCs w:val="26"/>
    </w:rPr>
  </w:style>
  <w:style w:type="paragraph" w:customStyle="1" w:styleId="BodyTextD">
    <w:name w:val="Body Text D"/>
    <w:aliases w:val="btd"/>
    <w:basedOn w:val="Normal"/>
    <w:next w:val="BodyTextFirstIndentD"/>
    <w:pPr>
      <w:widowControl/>
      <w:autoSpaceDE/>
      <w:autoSpaceDN/>
      <w:adjustRightInd/>
      <w:spacing w:line="480" w:lineRule="auto"/>
    </w:pPr>
    <w:rPr>
      <w:szCs w:val="26"/>
    </w:rPr>
  </w:style>
  <w:style w:type="paragraph" w:customStyle="1" w:styleId="Text-FERCPleading">
    <w:name w:val="Text-FERC Pleading"/>
    <w:basedOn w:val="Normal"/>
    <w:autoRedefine/>
    <w:pPr>
      <w:widowControl/>
      <w:autoSpaceDE/>
      <w:autoSpaceDN/>
      <w:adjustRightInd/>
      <w:spacing w:line="480" w:lineRule="auto"/>
      <w:ind w:firstLine="720"/>
    </w:pPr>
    <w:rPr>
      <w:rFonts w:ascii="Arial" w:hAnsi="Arial"/>
      <w:szCs w:val="26"/>
    </w:rPr>
  </w:style>
  <w:style w:type="paragraph" w:styleId="BlockText">
    <w:name w:val="Block Text"/>
    <w:basedOn w:val="Normal"/>
    <w:pPr>
      <w:spacing w:after="120"/>
      <w:ind w:left="1440" w:right="1440"/>
    </w:pPr>
  </w:style>
  <w:style w:type="character" w:styleId="Hyperlink">
    <w:name w:val="Hyperlink"/>
    <w:basedOn w:val="DefaultParagraphFont"/>
    <w:rPr>
      <w:color w:val="0000FF"/>
      <w:u w:val="single"/>
    </w:rPr>
  </w:style>
  <w:style w:type="paragraph" w:styleId="NormalWeb">
    <w:name w:val="Normal (Web)"/>
    <w:basedOn w:val="Normal"/>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ind w:firstLine="650"/>
      <w:jc w:val="center"/>
    </w:pPr>
    <w:rPr>
      <w:b/>
      <w:color w:val="000000"/>
      <w:szCs w:val="26"/>
    </w:rPr>
  </w:style>
  <w:style w:type="character" w:customStyle="1" w:styleId="StyleBold">
    <w:name w:val="Style Bold"/>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caiso.com/docs/2003/03/18/2003031815303519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12;#Rules|a943be70-f149-4589-84df-0bab8e11b6eb;#2082;#Amendment 27 Docket No. ER00-2019-000 (TAC)|8aa96136-51f8-425c-96cb-45c72b5a4e6d;#3;#Archived|0019c6e1-8c5e-460c-a653-a944372c5015;#2090;#Amendment 27 Docket No. ER00-2019-000 (TAC)|fff71d16-2c34-4428-8c81-0af149da06c5]]></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29110-188B-4A7E-957A-1E9E0D476883}"/>
</file>

<file path=customXml/itemProps2.xml><?xml version="1.0" encoding="utf-8"?>
<ds:datastoreItem xmlns:ds="http://schemas.openxmlformats.org/officeDocument/2006/customXml" ds:itemID="{17E8B251-59A1-4E32-B1D2-D5A6069F85B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4C2616F-D974-4FF2-A539-188A0BC7ADD9}"/>
</file>

<file path=customXml/itemProps4.xml><?xml version="1.0" encoding="utf-8"?>
<ds:datastoreItem xmlns:ds="http://schemas.openxmlformats.org/officeDocument/2006/customXml" ds:itemID="{14AA58C1-EB0C-4174-AF9C-39D2B0DBE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42319</Words>
  <Characters>241220</Characters>
  <Application>Microsoft Office Word</Application>
  <DocSecurity>0</DocSecurity>
  <Lines>2010</Lines>
  <Paragraphs>565</Paragraphs>
  <ScaleCrop>false</ScaleCrop>
  <HeadingPairs>
    <vt:vector size="2" baseType="variant">
      <vt:variant>
        <vt:lpstr>Title</vt:lpstr>
      </vt:variant>
      <vt:variant>
        <vt:i4>1</vt:i4>
      </vt:variant>
    </vt:vector>
  </HeadingPairs>
  <TitlesOfParts>
    <vt:vector size="1" baseType="lpstr">
      <vt:lpstr>UNITED STATES OF AMERICA</vt:lpstr>
    </vt:vector>
  </TitlesOfParts>
  <Manager/>
  <Company/>
  <LinksUpToDate>false</LinksUpToDate>
  <CharactersWithSpaces>282974</CharactersWithSpaces>
  <SharedDoc>false</SharedDoc>
  <HyperlinkBase/>
  <HLinks>
    <vt:vector size="6" baseType="variant">
      <vt:variant>
        <vt:i4>6619183</vt:i4>
      </vt:variant>
      <vt:variant>
        <vt:i4>0</vt:i4>
      </vt:variant>
      <vt:variant>
        <vt:i4>0</vt:i4>
      </vt:variant>
      <vt:variant>
        <vt:i4>5</vt:i4>
      </vt:variant>
      <vt:variant>
        <vt:lpwstr>http://www2.caiso.com/docs/2003/03/18/2003031815303519270.html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Decision in Docket Nos. ER00-2019-006, et al. (California ISO/Amendment No. 27 - TAC)</dc:title>
  <dc:subject/>
  <dc:creator>Valladares, Angela</dc:creator>
  <cp:keywords/>
  <dc:description/>
  <cp:lastModifiedBy>Valladares, Angela</cp:lastModifiedBy>
  <cp:revision>2</cp:revision>
  <cp:lastPrinted>2004-03-10T19:46:00Z</cp:lastPrinted>
  <dcterms:created xsi:type="dcterms:W3CDTF">2025-09-19T21:43:00Z</dcterms:created>
  <dcterms:modified xsi:type="dcterms:W3CDTF">2025-09-19T21:43:00Z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2004-03-10T16:36:24Z</vt:lpwstr>
  </property>
  <property fmtid="{D5CDD505-2E9C-101B-9397-08002B2CF9AE}" pid="3" name="ISOKeywords">
    <vt:lpwstr/>
  </property>
  <property fmtid="{D5CDD505-2E9C-101B-9397-08002B2CF9AE}" pid="4" name="ISOGroup">
    <vt:lpwstr>2082;#Amendment 27 Docket No. ER00-2019-000 (TAC)|8aa96136-51f8-425c-96cb-45c72b5a4e6d;#2090;#Amendment 27 Docket No. ER00-2019-000 (TAC)|fff71d16-2c34-4428-8c81-0af149da06c5</vt:lpwstr>
  </property>
  <property fmtid="{D5CDD505-2E9C-101B-9397-08002B2CF9AE}" pid="5" name="ISOTopic">
    <vt:lpwstr>12;#Rules|a943be70-f149-4589-84df-0bab8e11b6eb</vt:lpwstr>
  </property>
  <property fmtid="{D5CDD505-2E9C-101B-9397-08002B2CF9AE}" pid="6" name="Order">
    <vt:lpwstr>24425600.0000000</vt:lpwstr>
  </property>
  <property fmtid="{D5CDD505-2E9C-101B-9397-08002B2CF9AE}" pid="7" name="ISOArchive">
    <vt:lpwstr>3;#Archived|0019c6e1-8c5e-460c-a653-a944372c5015</vt:lpwstr>
  </property>
  <property fmtid="{D5CDD505-2E9C-101B-9397-08002B2CF9AE}" pid="8" name="OriginalUriCopy">
    <vt:lpwstr>http://www.caiso.com/docs/2004/03/10/200403101624533737.doc, http://www.caiso.com/docs/2004/03/10/200403101624533737.doc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http://www.caiso.com/docs/2004/03/10/200403101624533737.doc, /docs/2004/03/10/200403101624533737.doc</vt:lpwstr>
  </property>
  <property fmtid="{D5CDD505-2E9C-101B-9397-08002B2CF9AE}" pid="12" name="ContentTypeId">
    <vt:lpwstr>0x010100776092249CC62C48AA17033F357BFB4B</vt:lpwstr>
  </property>
</Properties>
</file>