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98"/>
        <w:gridCol w:w="1278"/>
        <w:gridCol w:w="1199"/>
        <w:gridCol w:w="12090"/>
      </w:tblGrid>
      <w:tr w:rsidR="002A22F5" w:rsidRPr="003E660A" w14:paraId="24BE7116" w14:textId="77777777" w:rsidTr="002A22F5">
        <w:trPr>
          <w:tblHeader/>
        </w:trPr>
        <w:tc>
          <w:tcPr>
            <w:tcW w:w="0" w:type="auto"/>
            <w:shd w:val="clear" w:color="auto" w:fill="F2F2F2"/>
          </w:tcPr>
          <w:p w14:paraId="423F4CF5" w14:textId="77777777" w:rsidR="002A22F5" w:rsidRPr="003E660A" w:rsidRDefault="002A22F5" w:rsidP="00AA755B">
            <w:pPr>
              <w:spacing w:before="120" w:after="120"/>
              <w:jc w:val="center"/>
              <w:rPr>
                <w:rFonts w:ascii="Calibri" w:hAnsi="Calibri" w:cs="Arial"/>
                <w:b/>
                <w:i/>
                <w:sz w:val="20"/>
                <w:szCs w:val="20"/>
              </w:rPr>
            </w:pPr>
            <w:r w:rsidRPr="003E660A">
              <w:rPr>
                <w:rFonts w:ascii="Calibri" w:hAnsi="Calibri" w:cs="Arial"/>
                <w:b/>
                <w:i/>
                <w:sz w:val="20"/>
                <w:szCs w:val="20"/>
              </w:rPr>
              <w:t>NUM</w:t>
            </w:r>
          </w:p>
        </w:tc>
        <w:tc>
          <w:tcPr>
            <w:tcW w:w="0" w:type="auto"/>
            <w:shd w:val="clear" w:color="auto" w:fill="F2F2F2"/>
          </w:tcPr>
          <w:p w14:paraId="11782487" w14:textId="77777777" w:rsidR="002A22F5" w:rsidRPr="003E660A" w:rsidRDefault="002A22F5" w:rsidP="00AA755B">
            <w:pPr>
              <w:spacing w:before="120" w:after="120"/>
              <w:jc w:val="center"/>
              <w:rPr>
                <w:rFonts w:ascii="Calibri" w:hAnsi="Calibri" w:cs="Arial"/>
                <w:b/>
                <w:i/>
                <w:sz w:val="20"/>
                <w:szCs w:val="20"/>
              </w:rPr>
            </w:pPr>
            <w:r w:rsidRPr="003E660A">
              <w:rPr>
                <w:rFonts w:ascii="Calibri" w:hAnsi="Calibri" w:cs="Arial"/>
                <w:b/>
                <w:i/>
                <w:sz w:val="20"/>
                <w:szCs w:val="20"/>
              </w:rPr>
              <w:t>Company</w:t>
            </w:r>
          </w:p>
        </w:tc>
        <w:tc>
          <w:tcPr>
            <w:tcW w:w="1278" w:type="dxa"/>
            <w:shd w:val="clear" w:color="auto" w:fill="F2F2F2"/>
          </w:tcPr>
          <w:p w14:paraId="491E1A7F" w14:textId="77777777" w:rsidR="002A22F5" w:rsidRPr="003E660A" w:rsidRDefault="002A22F5" w:rsidP="00AA755B">
            <w:pPr>
              <w:spacing w:before="120" w:after="120"/>
              <w:ind w:left="-108" w:firstLine="108"/>
              <w:jc w:val="center"/>
              <w:rPr>
                <w:rFonts w:ascii="Calibri" w:hAnsi="Calibri" w:cs="Arial"/>
                <w:b/>
                <w:i/>
                <w:sz w:val="20"/>
                <w:szCs w:val="20"/>
              </w:rPr>
            </w:pPr>
            <w:r w:rsidRPr="003E660A">
              <w:rPr>
                <w:rFonts w:ascii="Calibri" w:hAnsi="Calibri" w:cs="Arial"/>
                <w:b/>
                <w:i/>
                <w:sz w:val="20"/>
                <w:szCs w:val="20"/>
              </w:rPr>
              <w:t>Related Tariff Section</w:t>
            </w:r>
          </w:p>
        </w:tc>
        <w:tc>
          <w:tcPr>
            <w:tcW w:w="1199" w:type="dxa"/>
            <w:shd w:val="clear" w:color="auto" w:fill="F2F2F2"/>
          </w:tcPr>
          <w:p w14:paraId="22EB509B" w14:textId="77777777" w:rsidR="002A22F5" w:rsidRPr="003E660A" w:rsidRDefault="002A22F5" w:rsidP="00AA755B">
            <w:pPr>
              <w:spacing w:before="120" w:after="120"/>
              <w:ind w:left="-108" w:firstLine="108"/>
              <w:jc w:val="center"/>
              <w:rPr>
                <w:rFonts w:ascii="Calibri" w:hAnsi="Calibri" w:cs="Arial"/>
                <w:b/>
                <w:i/>
                <w:sz w:val="20"/>
                <w:szCs w:val="20"/>
              </w:rPr>
            </w:pPr>
            <w:r w:rsidRPr="003E660A">
              <w:rPr>
                <w:rFonts w:ascii="Calibri" w:hAnsi="Calibri" w:cs="Arial"/>
                <w:b/>
                <w:i/>
                <w:sz w:val="20"/>
                <w:szCs w:val="20"/>
              </w:rPr>
              <w:t>Date of Comments</w:t>
            </w:r>
          </w:p>
        </w:tc>
        <w:tc>
          <w:tcPr>
            <w:tcW w:w="12090" w:type="dxa"/>
            <w:shd w:val="clear" w:color="auto" w:fill="F2F2F2"/>
          </w:tcPr>
          <w:p w14:paraId="38801550" w14:textId="77777777" w:rsidR="002A22F5" w:rsidRPr="003E660A" w:rsidRDefault="002A22F5" w:rsidP="00AA755B">
            <w:pPr>
              <w:spacing w:before="120" w:after="120"/>
              <w:jc w:val="center"/>
              <w:rPr>
                <w:rFonts w:ascii="Calibri" w:hAnsi="Calibri" w:cs="Arial"/>
                <w:b/>
                <w:i/>
                <w:sz w:val="20"/>
                <w:szCs w:val="20"/>
              </w:rPr>
            </w:pPr>
            <w:r w:rsidRPr="003E660A">
              <w:rPr>
                <w:rFonts w:ascii="Calibri" w:hAnsi="Calibri" w:cs="Arial"/>
                <w:b/>
                <w:i/>
                <w:sz w:val="20"/>
                <w:szCs w:val="20"/>
              </w:rPr>
              <w:t>Comments</w:t>
            </w:r>
          </w:p>
        </w:tc>
      </w:tr>
      <w:tr w:rsidR="002A22F5" w:rsidRPr="003E660A" w14:paraId="227B1FD3" w14:textId="77777777" w:rsidTr="002A22F5">
        <w:trPr>
          <w:tblHeader/>
        </w:trPr>
        <w:tc>
          <w:tcPr>
            <w:tcW w:w="0" w:type="auto"/>
          </w:tcPr>
          <w:p w14:paraId="3905165C"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3379833"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Six Cities</w:t>
            </w:r>
          </w:p>
        </w:tc>
        <w:tc>
          <w:tcPr>
            <w:tcW w:w="1278" w:type="dxa"/>
          </w:tcPr>
          <w:p w14:paraId="56D688A9" w14:textId="77777777" w:rsidR="002A22F5" w:rsidRPr="003E660A" w:rsidRDefault="002A22F5" w:rsidP="007E01B0">
            <w:pPr>
              <w:spacing w:before="120" w:after="120"/>
              <w:jc w:val="center"/>
              <w:rPr>
                <w:rFonts w:ascii="Calibri" w:hAnsi="Calibri" w:cs="Arial"/>
                <w:i/>
                <w:sz w:val="20"/>
                <w:szCs w:val="20"/>
              </w:rPr>
            </w:pPr>
            <w:r w:rsidRPr="003E660A">
              <w:rPr>
                <w:rFonts w:ascii="Calibri" w:hAnsi="Calibri" w:cs="Arial"/>
                <w:i/>
                <w:sz w:val="20"/>
                <w:szCs w:val="20"/>
              </w:rPr>
              <w:t>34.9</w:t>
            </w:r>
          </w:p>
        </w:tc>
        <w:tc>
          <w:tcPr>
            <w:tcW w:w="1199" w:type="dxa"/>
          </w:tcPr>
          <w:p w14:paraId="7F4594B5"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2B66D160"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In Draft Section 34.9, in the shaded language added to the second half of the section, the phrase “is likely to” should be changed to “may”.</w:t>
            </w:r>
          </w:p>
        </w:tc>
      </w:tr>
      <w:tr w:rsidR="002A22F5" w:rsidRPr="003E660A" w14:paraId="016EC3A6" w14:textId="77777777" w:rsidTr="002A22F5">
        <w:trPr>
          <w:tblHeader/>
        </w:trPr>
        <w:tc>
          <w:tcPr>
            <w:tcW w:w="0" w:type="auto"/>
          </w:tcPr>
          <w:p w14:paraId="6880B439"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C8ECEF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SCE</w:t>
            </w:r>
          </w:p>
        </w:tc>
        <w:tc>
          <w:tcPr>
            <w:tcW w:w="1278" w:type="dxa"/>
          </w:tcPr>
          <w:p w14:paraId="7DA7A968"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34.9</w:t>
            </w:r>
          </w:p>
        </w:tc>
        <w:tc>
          <w:tcPr>
            <w:tcW w:w="1199" w:type="dxa"/>
          </w:tcPr>
          <w:p w14:paraId="241AF165"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38AB77D9" w14:textId="77777777" w:rsidR="002A22F5" w:rsidRPr="003E660A" w:rsidRDefault="002A22F5" w:rsidP="008D54AE">
            <w:pPr>
              <w:pStyle w:val="Default"/>
              <w:rPr>
                <w:rFonts w:ascii="Calibri" w:hAnsi="Calibri"/>
                <w:sz w:val="20"/>
                <w:szCs w:val="20"/>
              </w:rPr>
            </w:pPr>
            <w:r w:rsidRPr="003E660A">
              <w:rPr>
                <w:rFonts w:ascii="Calibri" w:hAnsi="Calibri"/>
                <w:b/>
                <w:sz w:val="20"/>
                <w:szCs w:val="20"/>
              </w:rPr>
              <w:t>Section 34.9</w:t>
            </w:r>
            <w:r w:rsidRPr="003E660A">
              <w:rPr>
                <w:rFonts w:ascii="Calibri" w:hAnsi="Calibri"/>
                <w:sz w:val="20"/>
                <w:szCs w:val="20"/>
              </w:rPr>
              <w:t>: Request clarification</w:t>
            </w:r>
          </w:p>
          <w:p w14:paraId="2521969A" w14:textId="77777777" w:rsidR="002A22F5" w:rsidRPr="003E660A" w:rsidRDefault="002A22F5" w:rsidP="008D54AE">
            <w:pPr>
              <w:pStyle w:val="Default"/>
              <w:rPr>
                <w:rFonts w:ascii="Calibri" w:hAnsi="Calibri"/>
                <w:sz w:val="20"/>
                <w:szCs w:val="20"/>
              </w:rPr>
            </w:pPr>
            <w:r w:rsidRPr="003E660A">
              <w:rPr>
                <w:rFonts w:ascii="Calibri" w:hAnsi="Calibri"/>
                <w:sz w:val="20"/>
                <w:szCs w:val="20"/>
              </w:rPr>
              <w:t xml:space="preserve">The second paragraph contains: </w:t>
            </w:r>
          </w:p>
          <w:p w14:paraId="149B5276" w14:textId="77777777" w:rsidR="002A22F5" w:rsidRPr="003E660A" w:rsidRDefault="002A22F5" w:rsidP="008D54AE">
            <w:pPr>
              <w:pStyle w:val="Default"/>
              <w:ind w:left="720"/>
              <w:rPr>
                <w:rFonts w:ascii="Calibri" w:hAnsi="Calibri"/>
                <w:sz w:val="20"/>
                <w:szCs w:val="20"/>
              </w:rPr>
            </w:pPr>
            <w:r w:rsidRPr="003E660A">
              <w:rPr>
                <w:rFonts w:ascii="Calibri" w:hAnsi="Calibri"/>
                <w:sz w:val="20"/>
                <w:szCs w:val="20"/>
              </w:rPr>
              <w:t>“If the Exceptional Dispatch is likely to trigger a CPM designation, …”.</w:t>
            </w:r>
          </w:p>
          <w:p w14:paraId="25B73B68" w14:textId="77777777" w:rsidR="002A22F5" w:rsidRPr="003E660A" w:rsidRDefault="002A22F5" w:rsidP="008D54AE">
            <w:pPr>
              <w:pStyle w:val="Default"/>
              <w:rPr>
                <w:rFonts w:ascii="Calibri" w:hAnsi="Calibri"/>
                <w:sz w:val="20"/>
                <w:szCs w:val="20"/>
              </w:rPr>
            </w:pPr>
            <w:r w:rsidRPr="003E660A">
              <w:rPr>
                <w:rFonts w:ascii="Calibri" w:hAnsi="Calibri"/>
                <w:sz w:val="20"/>
                <w:szCs w:val="20"/>
              </w:rPr>
              <w:t xml:space="preserve">Will the CAISO please clarify/provide examples of Exceptional Dispatches that may not trigger a CPM designation?  Are these potentially non-CPM’ed Exceptional Dispatches limited to resources that already have RA, RMR, CPM contracts or to resources which have previously stated a preference to receive supplemental revenues rather than a CPM contract?  Or are there examples of a non-RA resource that has not selected the supplemental revenue option being Exceptionally Dispatched that could not result in a CPM designation?  </w:t>
            </w:r>
          </w:p>
        </w:tc>
      </w:tr>
      <w:tr w:rsidR="002A22F5" w:rsidRPr="003E660A" w14:paraId="2247A060" w14:textId="77777777" w:rsidTr="002A22F5">
        <w:trPr>
          <w:tblHeader/>
        </w:trPr>
        <w:tc>
          <w:tcPr>
            <w:tcW w:w="0" w:type="auto"/>
          </w:tcPr>
          <w:p w14:paraId="115479FE"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0D8D213"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CPUC</w:t>
            </w:r>
          </w:p>
        </w:tc>
        <w:tc>
          <w:tcPr>
            <w:tcW w:w="1278" w:type="dxa"/>
          </w:tcPr>
          <w:p w14:paraId="49000F36"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34.9</w:t>
            </w:r>
          </w:p>
        </w:tc>
        <w:tc>
          <w:tcPr>
            <w:tcW w:w="1199" w:type="dxa"/>
          </w:tcPr>
          <w:p w14:paraId="225466DB"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1AFAAA0A" w14:textId="77777777" w:rsidR="002A22F5" w:rsidRPr="003E660A" w:rsidRDefault="002A22F5" w:rsidP="003E660A">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With the revisions to section 34.9, the CAISO appears to be removing the obligation to utilize exceptional dispatch efficiently if the dispatch does not require CPM payments.  Regardless of any CPM designation associated with Exceptional Dispatch, the CAISO should continue to utilize Exceptional Dispatch in a cost effective manner.</w:t>
            </w:r>
          </w:p>
          <w:p w14:paraId="1D5A0A3E" w14:textId="77777777" w:rsidR="002A22F5" w:rsidRPr="003E660A" w:rsidRDefault="002A22F5" w:rsidP="003E660A">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The CPUC Staff again emphasizes that the CAISO’s proposal goes beyond the conventional understanding of the purpose and function of the backstop, by allowing up to a 12-month CPM designation contract for generation units that the CAISO believes are needed for reliability, but may shut down due to insufficient revenues.  This conflicts with State and federal law directing that California’s long-term procurement and resource adequacy requirements are established by State laws and policies.  The CPUC has established and operated a successful RA program that has resulted in drastic reductions in CAISO out-of-market procurement.  The CPM should be used only for incremental or unanticipated reliability needs that are not fulfilled through the CPUC’s RA procurement process.</w:t>
            </w:r>
          </w:p>
        </w:tc>
      </w:tr>
      <w:tr w:rsidR="002A22F5" w:rsidRPr="003E660A" w14:paraId="3E396905" w14:textId="77777777" w:rsidTr="002A22F5">
        <w:trPr>
          <w:tblHeader/>
        </w:trPr>
        <w:tc>
          <w:tcPr>
            <w:tcW w:w="0" w:type="auto"/>
          </w:tcPr>
          <w:p w14:paraId="30E05107"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8913E54"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CPUC</w:t>
            </w:r>
          </w:p>
        </w:tc>
        <w:tc>
          <w:tcPr>
            <w:tcW w:w="1278" w:type="dxa"/>
          </w:tcPr>
          <w:p w14:paraId="6710EC9D"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39.10</w:t>
            </w:r>
          </w:p>
        </w:tc>
        <w:tc>
          <w:tcPr>
            <w:tcW w:w="1199" w:type="dxa"/>
          </w:tcPr>
          <w:p w14:paraId="0F52238C"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5D2A6389" w14:textId="77777777" w:rsidR="002A22F5" w:rsidRPr="003E660A" w:rsidRDefault="002A22F5" w:rsidP="003E660A">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 xml:space="preserve">The CAISO should not remove the language in section 39.10 that provides for mitigation measures.  </w:t>
            </w:r>
          </w:p>
        </w:tc>
      </w:tr>
      <w:tr w:rsidR="002A22F5" w:rsidRPr="003E660A" w14:paraId="7B37D14E" w14:textId="77777777" w:rsidTr="002A22F5">
        <w:trPr>
          <w:tblHeader/>
        </w:trPr>
        <w:tc>
          <w:tcPr>
            <w:tcW w:w="0" w:type="auto"/>
          </w:tcPr>
          <w:p w14:paraId="3B7EAE06"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5E6E16B"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Six Cities</w:t>
            </w:r>
          </w:p>
        </w:tc>
        <w:tc>
          <w:tcPr>
            <w:tcW w:w="1278" w:type="dxa"/>
          </w:tcPr>
          <w:p w14:paraId="0562730F"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 (3)</w:t>
            </w:r>
          </w:p>
        </w:tc>
        <w:tc>
          <w:tcPr>
            <w:tcW w:w="1199" w:type="dxa"/>
          </w:tcPr>
          <w:p w14:paraId="2CE4A7D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5B08C9F0"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In Draft Section 43.2(3), “and” should be changed to “an”.</w:t>
            </w:r>
          </w:p>
        </w:tc>
      </w:tr>
      <w:tr w:rsidR="002A22F5" w:rsidRPr="003E660A" w14:paraId="53A72874" w14:textId="77777777" w:rsidTr="002A22F5">
        <w:trPr>
          <w:tblHeader/>
        </w:trPr>
        <w:tc>
          <w:tcPr>
            <w:tcW w:w="0" w:type="auto"/>
          </w:tcPr>
          <w:p w14:paraId="2765845D"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C93B454"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CDWR SWP</w:t>
            </w:r>
          </w:p>
        </w:tc>
        <w:tc>
          <w:tcPr>
            <w:tcW w:w="1278" w:type="dxa"/>
          </w:tcPr>
          <w:p w14:paraId="497A04D5"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43.2.6</w:t>
            </w:r>
          </w:p>
        </w:tc>
        <w:tc>
          <w:tcPr>
            <w:tcW w:w="1199" w:type="dxa"/>
          </w:tcPr>
          <w:p w14:paraId="69184534"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6323D652" w14:textId="77777777" w:rsidR="002A22F5" w:rsidRPr="003E660A" w:rsidRDefault="002A22F5" w:rsidP="008D54AE">
            <w:pPr>
              <w:spacing w:line="276" w:lineRule="auto"/>
              <w:rPr>
                <w:rFonts w:ascii="Calibri" w:hAnsi="Calibri"/>
                <w:color w:val="0070C0"/>
                <w:sz w:val="20"/>
                <w:szCs w:val="20"/>
              </w:rPr>
            </w:pPr>
            <w:r w:rsidRPr="003E660A">
              <w:rPr>
                <w:rFonts w:ascii="Calibri" w:eastAsia="Arial" w:hAnsi="Calibri" w:cs="Arial"/>
                <w:b/>
                <w:color w:val="000000"/>
                <w:sz w:val="20"/>
                <w:szCs w:val="20"/>
              </w:rPr>
              <w:t>43.2.6 Capacity</w:t>
            </w:r>
            <w:r w:rsidRPr="003E660A">
              <w:rPr>
                <w:rFonts w:ascii="Calibri" w:hAnsi="Calibri" w:cs="Arial"/>
                <w:b/>
                <w:sz w:val="20"/>
                <w:szCs w:val="20"/>
              </w:rPr>
              <w:t xml:space="preserve"> At Risk Of Retirement Needed For Reliability, subsection (5) </w:t>
            </w:r>
            <w:r w:rsidRPr="003E660A">
              <w:rPr>
                <w:rFonts w:ascii="Calibri" w:hAnsi="Calibri"/>
                <w:color w:val="0070C0"/>
                <w:sz w:val="20"/>
                <w:szCs w:val="20"/>
              </w:rPr>
              <w:t>indicates that the resource owner submits request for CPM procurement.</w:t>
            </w:r>
            <w:r w:rsidRPr="003E660A">
              <w:rPr>
                <w:rFonts w:ascii="Calibri" w:hAnsi="Calibri" w:cs="Arial"/>
                <w:b/>
                <w:color w:val="0070C0"/>
                <w:sz w:val="20"/>
                <w:szCs w:val="20"/>
              </w:rPr>
              <w:t xml:space="preserve"> </w:t>
            </w:r>
            <w:r w:rsidRPr="003E660A">
              <w:rPr>
                <w:rFonts w:ascii="Calibri" w:hAnsi="Calibri"/>
                <w:color w:val="0070C0"/>
                <w:sz w:val="20"/>
                <w:szCs w:val="20"/>
              </w:rPr>
              <w:t>Does the CAISO first need to inform this resource owner that its resource would be needed under the risk of retirement CPM prior to the submittal of request for CPM? Would this condition be better if modified to “ISO informs such owner and the resource owner submits the request for CPM”.</w:t>
            </w:r>
          </w:p>
          <w:p w14:paraId="70E20059" w14:textId="77777777" w:rsidR="002A22F5" w:rsidRPr="003E660A" w:rsidRDefault="002A22F5" w:rsidP="008D54AE">
            <w:pPr>
              <w:spacing w:line="276" w:lineRule="auto"/>
              <w:rPr>
                <w:rFonts w:ascii="Calibri" w:eastAsia="Arial" w:hAnsi="Calibri" w:cs="Arial"/>
                <w:b/>
                <w:color w:val="000000"/>
                <w:sz w:val="20"/>
                <w:szCs w:val="20"/>
              </w:rPr>
            </w:pPr>
          </w:p>
          <w:p w14:paraId="29343A23" w14:textId="77777777" w:rsidR="002A22F5" w:rsidRPr="003E660A" w:rsidRDefault="002A22F5" w:rsidP="008D54AE">
            <w:pPr>
              <w:spacing w:line="276" w:lineRule="auto"/>
              <w:rPr>
                <w:rFonts w:ascii="Calibri" w:hAnsi="Calibri"/>
                <w:sz w:val="20"/>
                <w:szCs w:val="20"/>
              </w:rPr>
            </w:pPr>
            <w:r w:rsidRPr="003E660A">
              <w:rPr>
                <w:rFonts w:ascii="Calibri" w:eastAsia="Arial" w:hAnsi="Calibri" w:cs="Arial"/>
                <w:b/>
                <w:color w:val="000000"/>
                <w:sz w:val="20"/>
                <w:szCs w:val="20"/>
              </w:rPr>
              <w:t xml:space="preserve">43.2.6  </w:t>
            </w:r>
            <w:r w:rsidRPr="003E660A">
              <w:rPr>
                <w:rFonts w:ascii="Calibri" w:hAnsi="Calibri" w:cs="Arial"/>
                <w:b/>
                <w:sz w:val="20"/>
                <w:szCs w:val="20"/>
              </w:rPr>
              <w:t xml:space="preserve">Capacity At Risk Of Retirement Needed For Reliability </w:t>
            </w:r>
            <w:r w:rsidRPr="003E660A">
              <w:rPr>
                <w:rFonts w:ascii="Calibri" w:hAnsi="Calibri"/>
                <w:color w:val="0070C0"/>
                <w:sz w:val="20"/>
                <w:szCs w:val="20"/>
              </w:rPr>
              <w:t>states</w:t>
            </w:r>
            <w:r w:rsidRPr="003E660A">
              <w:rPr>
                <w:rFonts w:ascii="Calibri" w:hAnsi="Calibri"/>
                <w:sz w:val="20"/>
                <w:szCs w:val="20"/>
              </w:rPr>
              <w:t xml:space="preserve"> “</w:t>
            </w:r>
            <w:r w:rsidRPr="003E660A">
              <w:rPr>
                <w:rFonts w:ascii="Calibri" w:hAnsi="Calibri" w:cs="Arial"/>
                <w:i/>
                <w:sz w:val="20"/>
                <w:szCs w:val="20"/>
              </w:rPr>
              <w:t>The CAISO shall post the report on the CAISO’s Website and allow an opportunity of no less than seven (7) days for stakeholders to review and submit comments on the report</w:t>
            </w:r>
            <w:r w:rsidRPr="003E660A">
              <w:rPr>
                <w:rFonts w:ascii="Calibri" w:hAnsi="Calibri" w:cs="Arial"/>
                <w:sz w:val="20"/>
                <w:szCs w:val="20"/>
              </w:rPr>
              <w:t xml:space="preserve">”. </w:t>
            </w:r>
            <w:r w:rsidRPr="003E660A">
              <w:rPr>
                <w:rFonts w:ascii="Calibri" w:hAnsi="Calibri"/>
                <w:color w:val="0070C0"/>
                <w:sz w:val="20"/>
                <w:szCs w:val="20"/>
              </w:rPr>
              <w:t>What happens if the stakeholders do not agree with the CAISO procurement proposal? What steps are contemplated to reconcile stakeholder views with a CAISO decision whether to pursue capacity procurement?</w:t>
            </w:r>
          </w:p>
        </w:tc>
      </w:tr>
      <w:tr w:rsidR="002A22F5" w:rsidRPr="003E660A" w14:paraId="773D6BA8" w14:textId="77777777" w:rsidTr="002A22F5">
        <w:trPr>
          <w:tblHeader/>
        </w:trPr>
        <w:tc>
          <w:tcPr>
            <w:tcW w:w="0" w:type="auto"/>
          </w:tcPr>
          <w:p w14:paraId="4EC7DEE1"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4BE376D"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70613AB2"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5D15A04B"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21B3512A"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NRG has attached proposed changes to Section 43.2.6, regarding the ability of the ISO procure capacity from units in danger of retiring.  Put simply, the mechanism currently proposed by the ISO is unworkable for a number of reasons and should be modified.  The overarching theme of these comments is that generator owners need a level of certainty before making critical decisions as to whether to shutter an existing power plant.  The 2</w:t>
            </w:r>
            <w:r w:rsidRPr="00241ABD">
              <w:rPr>
                <w:rFonts w:ascii="Calibri" w:hAnsi="Calibri"/>
                <w:sz w:val="20"/>
                <w:szCs w:val="20"/>
                <w:vertAlign w:val="superscript"/>
              </w:rPr>
              <w:t>nd</w:t>
            </w:r>
            <w:r w:rsidRPr="00241ABD">
              <w:rPr>
                <w:rFonts w:ascii="Calibri" w:hAnsi="Calibri"/>
                <w:sz w:val="20"/>
                <w:szCs w:val="20"/>
              </w:rPr>
              <w:t xml:space="preserve"> Modified Tariff Language does not provide a generator owner the information that it requires to make a reasoned and supportable decision as to whether to seek a CPM designation under Section 43.2.6.  Given the likely increase in the need for flexible gas fired generation as renewable penetration increases, and the fact that such resource attributes are not currently compensated under the CAISO or CPUC market structures, this is a very real problem.  The problem becomes even more acute as we consider the environmental capital expenditures that are likely to be imposed on existing gas-fired generation resources, including 316(b) “Once-Through Cooling” compliance costs.  </w:t>
            </w:r>
          </w:p>
        </w:tc>
      </w:tr>
      <w:tr w:rsidR="002A22F5" w:rsidRPr="003E660A" w14:paraId="505B6FEB" w14:textId="77777777" w:rsidTr="002A22F5">
        <w:trPr>
          <w:tblHeader/>
        </w:trPr>
        <w:tc>
          <w:tcPr>
            <w:tcW w:w="0" w:type="auto"/>
          </w:tcPr>
          <w:p w14:paraId="0A57FD1A"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C9585AA"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3F35C5F1"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0CF779B5"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0D04CF5A" w14:textId="77777777" w:rsidR="002A22F5" w:rsidRPr="00241ABD" w:rsidRDefault="002A22F5" w:rsidP="00241ABD">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Major problems include:</w:t>
            </w:r>
          </w:p>
          <w:p w14:paraId="0C9364D3" w14:textId="77777777" w:rsidR="002A22F5" w:rsidRPr="00241ABD" w:rsidRDefault="002A22F5" w:rsidP="00241ABD">
            <w:pPr>
              <w:numPr>
                <w:ilvl w:val="0"/>
                <w:numId w:val="33"/>
              </w:numPr>
              <w:tabs>
                <w:tab w:val="left" w:pos="2525"/>
              </w:tabs>
              <w:autoSpaceDE w:val="0"/>
              <w:autoSpaceDN w:val="0"/>
              <w:adjustRightInd w:val="0"/>
              <w:spacing w:before="120" w:after="120"/>
              <w:rPr>
                <w:rFonts w:ascii="Calibri" w:hAnsi="Calibri"/>
                <w:sz w:val="20"/>
                <w:szCs w:val="20"/>
              </w:rPr>
            </w:pPr>
            <w:r w:rsidRPr="00241ABD">
              <w:rPr>
                <w:rFonts w:ascii="Calibri" w:hAnsi="Calibri"/>
                <w:b/>
                <w:sz w:val="20"/>
                <w:szCs w:val="20"/>
              </w:rPr>
              <w:t xml:space="preserve">Public Notification of Financial Distress Makes the Proposal Unworkable. </w:t>
            </w:r>
            <w:r w:rsidRPr="00241ABD">
              <w:rPr>
                <w:rFonts w:ascii="Calibri" w:hAnsi="Calibri"/>
                <w:sz w:val="20"/>
                <w:szCs w:val="20"/>
              </w:rPr>
              <w:t xml:space="preserve"> </w:t>
            </w:r>
          </w:p>
          <w:p w14:paraId="0D8F9DD0" w14:textId="77777777" w:rsidR="002A22F5" w:rsidRPr="00241ABD" w:rsidRDefault="002A22F5" w:rsidP="00241ABD">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The proposal to make public that a particular plant is considering retirement prior to issuing a CPM designation is a fatal flaw.  A proposal that would require plant employees to hear that his or her employer is considering retiring the plant from the ISO via a market notice is untenable.  Moreover, publically notifying contractors, power off-takers, natural gas suppliers, or other entities with which the plant has a commercial relationship, that the plant is facing imminent shutdown risks potential termination of existing contracts, massively increased collateral costs, and other undesirable side effects.  </w:t>
            </w:r>
          </w:p>
          <w:p w14:paraId="59A60004"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It is not necessary to require a generation owner to gamble in this manner.  Instead, NRG proposes an alternative timeline in the attached redline that would (i) allow the ISO to determine whether the plant is needed for reliability in advance of making any public announcement or binding declaration; (ii) provide LSEs an opportunity to provide the affected facility with an RA designation immediately after the issuance of CPM designation under Section 43.2.6; and (iii) provide for the confidential treatment such resources require.  All of these goals can be accomplished while ensuring that only units able to demonstrate their lack of financial viability are able to receive CPM designations under Section 43.2.6. </w:t>
            </w:r>
          </w:p>
        </w:tc>
      </w:tr>
      <w:tr w:rsidR="002A22F5" w:rsidRPr="003E660A" w14:paraId="20C641E4" w14:textId="77777777" w:rsidTr="002A22F5">
        <w:trPr>
          <w:tblHeader/>
        </w:trPr>
        <w:tc>
          <w:tcPr>
            <w:tcW w:w="0" w:type="auto"/>
          </w:tcPr>
          <w:p w14:paraId="5EE17BBC"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B54D4AF"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506FFAF1"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72FAC052"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18B102A7" w14:textId="77777777" w:rsidR="002A22F5" w:rsidRPr="00241ABD" w:rsidRDefault="002A22F5" w:rsidP="00241ABD">
            <w:pPr>
              <w:numPr>
                <w:ilvl w:val="0"/>
                <w:numId w:val="33"/>
              </w:numPr>
              <w:tabs>
                <w:tab w:val="left" w:pos="2525"/>
              </w:tabs>
              <w:autoSpaceDE w:val="0"/>
              <w:autoSpaceDN w:val="0"/>
              <w:adjustRightInd w:val="0"/>
              <w:spacing w:before="120" w:after="120"/>
              <w:rPr>
                <w:rFonts w:ascii="Calibri" w:hAnsi="Calibri"/>
                <w:sz w:val="20"/>
                <w:szCs w:val="20"/>
              </w:rPr>
            </w:pPr>
            <w:r w:rsidRPr="00241ABD">
              <w:rPr>
                <w:rFonts w:ascii="Calibri" w:hAnsi="Calibri"/>
                <w:b/>
                <w:sz w:val="20"/>
                <w:szCs w:val="20"/>
              </w:rPr>
              <w:t>Binding Commitments to Retire the Facility if it is not Provided a CPM Designation are Unworkable.</w:t>
            </w:r>
          </w:p>
          <w:p w14:paraId="59BF73B1"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It is not in the best interests of generators, load serving entities or the CAISO to require a generator to make a binding commitment to retire without understanding the compensation options open to it.  To avoid this problem, the NRG proposed tariff language would permit a generator to seek a determination from the ISO as to whether the unit would qualify for a CPM designation through 43.2.6 </w:t>
            </w:r>
            <w:r w:rsidRPr="00241ABD">
              <w:rPr>
                <w:rFonts w:ascii="Calibri" w:hAnsi="Calibri"/>
                <w:i/>
                <w:sz w:val="20"/>
                <w:szCs w:val="20"/>
              </w:rPr>
              <w:t>prior</w:t>
            </w:r>
            <w:r w:rsidRPr="00241ABD">
              <w:rPr>
                <w:rFonts w:ascii="Calibri" w:hAnsi="Calibri"/>
                <w:sz w:val="20"/>
                <w:szCs w:val="20"/>
              </w:rPr>
              <w:t xml:space="preserve"> to making the final decision to retire.  Once the ISO has made such a determination, the generator can then make an educated decision as to whether to continue operating the unit, or seek to retire it and accept a CPM designation.  Under NRG’s proposal, the generation owner would still have to demonstrate, to the reasonable satisfaction of the ISO and DMM that the facility is not economically tenable without the additional compensation.  Because of the “all or nothing” nature of the current proposal, it is unlikely any responsible generator owner would be able to take advantage of the system as it is currently proposed.  </w:t>
            </w:r>
          </w:p>
        </w:tc>
      </w:tr>
      <w:tr w:rsidR="002A22F5" w:rsidRPr="003E660A" w14:paraId="3D8CBDB4" w14:textId="77777777" w:rsidTr="002A22F5">
        <w:trPr>
          <w:tblHeader/>
        </w:trPr>
        <w:tc>
          <w:tcPr>
            <w:tcW w:w="0" w:type="auto"/>
          </w:tcPr>
          <w:p w14:paraId="70DA9394"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C5C871C"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54B7F7D7"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30ABD590"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4B2CC2B7" w14:textId="77777777" w:rsidR="002A22F5" w:rsidRPr="00241ABD" w:rsidRDefault="002A22F5" w:rsidP="00241ABD">
            <w:pPr>
              <w:numPr>
                <w:ilvl w:val="0"/>
                <w:numId w:val="33"/>
              </w:numPr>
              <w:tabs>
                <w:tab w:val="left" w:pos="2525"/>
              </w:tabs>
              <w:autoSpaceDE w:val="0"/>
              <w:autoSpaceDN w:val="0"/>
              <w:adjustRightInd w:val="0"/>
              <w:spacing w:before="120" w:after="120"/>
              <w:rPr>
                <w:rFonts w:ascii="Calibri" w:hAnsi="Calibri"/>
                <w:sz w:val="20"/>
                <w:szCs w:val="20"/>
              </w:rPr>
            </w:pPr>
            <w:r w:rsidRPr="00241ABD">
              <w:rPr>
                <w:rFonts w:ascii="Calibri" w:hAnsi="Calibri"/>
                <w:b/>
                <w:sz w:val="20"/>
                <w:szCs w:val="20"/>
              </w:rPr>
              <w:t xml:space="preserve">A 180-Day Notice Requirement, Combined with a Same-Year-Only RA Designation, Leaves no Time for a Unit to Earn Revenues.  </w:t>
            </w:r>
          </w:p>
          <w:p w14:paraId="0F36B250" w14:textId="77777777" w:rsidR="002A22F5" w:rsidRPr="00241ABD" w:rsidRDefault="002A22F5" w:rsidP="00241ABD">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As NRG understand the current proposal, a unit is only eligible for an RA designation for the remainder of the current RA compliance year.  Given that RA designations are typically provided in October/November of the year preceding the RA compliance year, a 180 day notice provision means that a unit could only receive a CPM designation under 43.2.6 for approximately 6 months before the end of the compliance year.  Such a program is unlikely to achieve the desired effect.  Instead, NRG proposes allowing a unit to pre-determine whether it is needed for reliability purposes, and also proposes extending the period of the CPM designation for a total of 24 months after the CPM designation is approved.  </w:t>
            </w:r>
          </w:p>
          <w:p w14:paraId="406353A5"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LSE concerns that such a program would require it to incur additional costs not contemplated by the CPUC program are misguided.  The relevant LSE would be free to designate the resource as an RA resource for the remainder of the current compliance year, and would then have the </w:t>
            </w:r>
            <w:r w:rsidRPr="00241ABD">
              <w:rPr>
                <w:rFonts w:ascii="Calibri" w:hAnsi="Calibri"/>
                <w:i/>
                <w:sz w:val="20"/>
                <w:szCs w:val="20"/>
              </w:rPr>
              <w:t>option</w:t>
            </w:r>
            <w:r w:rsidRPr="00241ABD">
              <w:rPr>
                <w:rFonts w:ascii="Calibri" w:hAnsi="Calibri"/>
                <w:sz w:val="20"/>
                <w:szCs w:val="20"/>
              </w:rPr>
              <w:t xml:space="preserve"> of procuring the unit’s capacity attributes as part of its next year’s compliance program.  The LSE would not be required to do so, but would be free to.  </w:t>
            </w:r>
          </w:p>
        </w:tc>
      </w:tr>
      <w:tr w:rsidR="002A22F5" w:rsidRPr="003E660A" w14:paraId="30650BE0" w14:textId="77777777" w:rsidTr="002A22F5">
        <w:trPr>
          <w:tblHeader/>
        </w:trPr>
        <w:tc>
          <w:tcPr>
            <w:tcW w:w="0" w:type="auto"/>
          </w:tcPr>
          <w:p w14:paraId="5B567748"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F2AFDA5"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Six Cities</w:t>
            </w:r>
          </w:p>
        </w:tc>
        <w:tc>
          <w:tcPr>
            <w:tcW w:w="1278" w:type="dxa"/>
          </w:tcPr>
          <w:p w14:paraId="4F51596A"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43.2.6</w:t>
            </w:r>
          </w:p>
        </w:tc>
        <w:tc>
          <w:tcPr>
            <w:tcW w:w="1199" w:type="dxa"/>
          </w:tcPr>
          <w:p w14:paraId="7EE0135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7553F182"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3E660A">
              <w:rPr>
                <w:rFonts w:ascii="Calibri" w:hAnsi="Calibri"/>
                <w:sz w:val="20"/>
                <w:szCs w:val="20"/>
              </w:rPr>
              <w:t xml:space="preserve">The final paragraph of Draft Section 43.2.6 provides that prior to issuing a CPM designation for a resource at risk of retirement, the ISO will prepare a report explaining the need for the designation and allow no less than 7 days for stakeholders to review and comment on the report and no less than 30 days for an LSE to procure Capacity from the resource.  The Cities remain concerned that these periods are too brief to allow meaningful comment on the ISO’s report or adequate time to arrange to procure capacity from the resource.  Without waiving objections to designation of CPM capacity for resources at risk of retirement and as an alternative to extending the time periods for stakeholder input or procurement following the ISO’s report on a request for a CPM designation, the Cities suggest that the ISO post a market notice of a request for a CPM designation, with the supporting information, within five days after the request for a CPM designation is submitted.  This will allow stakeholders to evaluate the designation request and to pursue alternative possibilities for procurement of capacity in parallel with the ISO’s analysis of the request. </w:t>
            </w:r>
          </w:p>
        </w:tc>
      </w:tr>
      <w:tr w:rsidR="002A22F5" w:rsidRPr="003E660A" w14:paraId="4CB9A30C" w14:textId="77777777" w:rsidTr="002A22F5">
        <w:trPr>
          <w:tblHeader/>
        </w:trPr>
        <w:tc>
          <w:tcPr>
            <w:tcW w:w="0" w:type="auto"/>
          </w:tcPr>
          <w:p w14:paraId="2F856FC3"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D1D4815"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576328F7"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43.2.6.1</w:t>
            </w:r>
          </w:p>
        </w:tc>
        <w:tc>
          <w:tcPr>
            <w:tcW w:w="1199" w:type="dxa"/>
          </w:tcPr>
          <w:p w14:paraId="122775AF"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0EDA67E9" w14:textId="77777777" w:rsidR="002A22F5" w:rsidRPr="00241ABD" w:rsidRDefault="002A22F5" w:rsidP="00241ABD">
            <w:pPr>
              <w:numPr>
                <w:ilvl w:val="0"/>
                <w:numId w:val="33"/>
              </w:numPr>
              <w:tabs>
                <w:tab w:val="left" w:pos="2525"/>
              </w:tabs>
              <w:autoSpaceDE w:val="0"/>
              <w:autoSpaceDN w:val="0"/>
              <w:adjustRightInd w:val="0"/>
              <w:spacing w:before="120" w:after="120"/>
              <w:rPr>
                <w:rFonts w:ascii="Calibri" w:hAnsi="Calibri"/>
                <w:sz w:val="20"/>
                <w:szCs w:val="20"/>
              </w:rPr>
            </w:pPr>
            <w:r w:rsidRPr="00241ABD">
              <w:rPr>
                <w:rFonts w:ascii="Calibri" w:hAnsi="Calibri"/>
                <w:b/>
                <w:sz w:val="20"/>
                <w:szCs w:val="20"/>
              </w:rPr>
              <w:t>Issuing a CPM Designation “Subject to Refund” is Unworkable.</w:t>
            </w:r>
          </w:p>
          <w:p w14:paraId="6BD104FF"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241ABD">
              <w:rPr>
                <w:rFonts w:ascii="Calibri" w:hAnsi="Calibri"/>
                <w:sz w:val="20"/>
                <w:szCs w:val="20"/>
              </w:rPr>
              <w:t xml:space="preserve">Section 43.2.6.1 is also unworkable because it exposes the generator to continued uncertainty and risk with no end date.  Indeed, under the proposal, a unit could be kept waiting until the day before the end of the compensation period to find out whether the additional revenues it is counting on will have to be repaid.  This level of uncertainty is also unnecessary.  The alternative tariff language submitted by NRG avoids this problem entirely by allowing the CAISO to reach its decision on whether to issue a CPM designation ahead of time.  </w:t>
            </w:r>
          </w:p>
        </w:tc>
      </w:tr>
      <w:tr w:rsidR="002A22F5" w:rsidRPr="003E660A" w14:paraId="1616E03A" w14:textId="77777777" w:rsidTr="002A22F5">
        <w:trPr>
          <w:tblHeader/>
        </w:trPr>
        <w:tc>
          <w:tcPr>
            <w:tcW w:w="0" w:type="auto"/>
          </w:tcPr>
          <w:p w14:paraId="08B0D94E"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38D45E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SCE</w:t>
            </w:r>
          </w:p>
        </w:tc>
        <w:tc>
          <w:tcPr>
            <w:tcW w:w="1278" w:type="dxa"/>
          </w:tcPr>
          <w:p w14:paraId="5DC05E9A"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43.2.6 (6) and (7)</w:t>
            </w:r>
          </w:p>
        </w:tc>
        <w:tc>
          <w:tcPr>
            <w:tcW w:w="1199" w:type="dxa"/>
          </w:tcPr>
          <w:p w14:paraId="37FA1B0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10ECAB26" w14:textId="77777777" w:rsidR="002A22F5" w:rsidRPr="003E660A" w:rsidRDefault="002A22F5" w:rsidP="008D54AE">
            <w:pPr>
              <w:pStyle w:val="Default"/>
              <w:rPr>
                <w:rFonts w:ascii="Calibri" w:hAnsi="Calibri"/>
                <w:bCs/>
                <w:sz w:val="20"/>
                <w:szCs w:val="20"/>
              </w:rPr>
            </w:pPr>
            <w:r w:rsidRPr="003E660A">
              <w:rPr>
                <w:rFonts w:ascii="Calibri" w:hAnsi="Calibri"/>
                <w:bCs/>
                <w:sz w:val="20"/>
                <w:szCs w:val="20"/>
              </w:rPr>
              <w:t>Nov 9 version:</w:t>
            </w:r>
          </w:p>
          <w:p w14:paraId="626E9A15" w14:textId="77777777" w:rsidR="002A22F5" w:rsidRPr="003E660A" w:rsidRDefault="002A22F5" w:rsidP="008D54AE">
            <w:pPr>
              <w:tabs>
                <w:tab w:val="left" w:pos="1440"/>
              </w:tabs>
              <w:ind w:left="1440" w:right="720" w:hanging="720"/>
              <w:rPr>
                <w:rFonts w:ascii="Calibri" w:hAnsi="Calibri" w:cs="Arial"/>
                <w:sz w:val="20"/>
                <w:szCs w:val="20"/>
              </w:rPr>
            </w:pPr>
            <w:r w:rsidRPr="003E660A">
              <w:rPr>
                <w:rFonts w:ascii="Calibri" w:hAnsi="Calibri" w:cs="Arial"/>
                <w:sz w:val="20"/>
                <w:szCs w:val="20"/>
              </w:rPr>
              <w:t>(6)</w:t>
            </w:r>
            <w:r w:rsidRPr="003E660A">
              <w:rPr>
                <w:rFonts w:ascii="Calibri" w:hAnsi="Calibri" w:cs="Arial"/>
                <w:sz w:val="20"/>
                <w:szCs w:val="20"/>
              </w:rPr>
              <w:tab/>
              <w:t xml:space="preserve">the CAISO reviews the affidavit and supporting financial information and documentation submitted by the resource owner </w:t>
            </w:r>
            <w:r w:rsidRPr="003E660A">
              <w:rPr>
                <w:rFonts w:ascii="Calibri" w:hAnsi="Calibri" w:cs="Arial"/>
                <w:color w:val="0000FF"/>
                <w:sz w:val="20"/>
                <w:szCs w:val="20"/>
              </w:rPr>
              <w:t xml:space="preserve">pursuant to Section 43.2.6(5) </w:t>
            </w:r>
            <w:r w:rsidRPr="003E660A">
              <w:rPr>
                <w:rFonts w:ascii="Calibri" w:hAnsi="Calibri" w:cs="Arial"/>
                <w:strike/>
                <w:color w:val="FF0000"/>
                <w:sz w:val="20"/>
                <w:szCs w:val="20"/>
              </w:rPr>
              <w:t xml:space="preserve">and performs due diligence to assess the resource’s financial circumstances, and which as part of its review shall consider the results of any analysis performed by the CAISO’s </w:t>
            </w:r>
            <w:smartTag w:uri="urn:schemas-microsoft-com:office:smarttags" w:element="stockticker">
              <w:r w:rsidRPr="003E660A">
                <w:rPr>
                  <w:rFonts w:ascii="Calibri" w:hAnsi="Calibri" w:cs="Arial"/>
                  <w:strike/>
                  <w:color w:val="FF0000"/>
                  <w:sz w:val="20"/>
                  <w:szCs w:val="20"/>
                </w:rPr>
                <w:t>DMM</w:t>
              </w:r>
            </w:smartTag>
            <w:r w:rsidRPr="003E660A">
              <w:rPr>
                <w:rFonts w:ascii="Calibri" w:hAnsi="Calibri" w:cs="Arial"/>
                <w:strike/>
                <w:color w:val="FF0000"/>
                <w:sz w:val="20"/>
                <w:szCs w:val="20"/>
              </w:rPr>
              <w:t xml:space="preserve"> of the affidavit and supporting financial information and documentation to assess the accuracy of the information submitted, the reasonableness of the representations and conclusions contained in the submission, and the appropriateness of the </w:t>
            </w:r>
            <w:r w:rsidRPr="003E660A">
              <w:rPr>
                <w:rFonts w:ascii="Calibri" w:hAnsi="Calibri" w:cs="Arial"/>
                <w:strike/>
                <w:color w:val="FF0000"/>
                <w:sz w:val="20"/>
                <w:szCs w:val="20"/>
                <w:highlight w:val="yellow"/>
              </w:rPr>
              <w:t>resource’s conduct and efforts to sell Capacity in the bilateral market</w:t>
            </w:r>
            <w:r w:rsidRPr="003E660A">
              <w:rPr>
                <w:rFonts w:ascii="Calibri" w:hAnsi="Calibri" w:cs="Arial"/>
                <w:strike/>
                <w:color w:val="FF0000"/>
                <w:sz w:val="20"/>
                <w:szCs w:val="20"/>
              </w:rPr>
              <w:t>;</w:t>
            </w:r>
            <w:r w:rsidRPr="003E660A">
              <w:rPr>
                <w:rFonts w:ascii="Calibri" w:hAnsi="Calibri" w:cs="Arial"/>
                <w:sz w:val="20"/>
                <w:szCs w:val="20"/>
              </w:rPr>
              <w:t xml:space="preserve"> and  </w:t>
            </w:r>
          </w:p>
          <w:p w14:paraId="481A0A32" w14:textId="77777777" w:rsidR="002A22F5" w:rsidRPr="003E660A" w:rsidRDefault="002A22F5" w:rsidP="008D54AE">
            <w:pPr>
              <w:tabs>
                <w:tab w:val="left" w:pos="1440"/>
              </w:tabs>
              <w:ind w:left="1440" w:hanging="720"/>
              <w:rPr>
                <w:rFonts w:ascii="Calibri" w:hAnsi="Calibri" w:cs="Arial"/>
                <w:sz w:val="20"/>
                <w:szCs w:val="20"/>
              </w:rPr>
            </w:pPr>
            <w:r w:rsidRPr="003E660A">
              <w:rPr>
                <w:rFonts w:ascii="Calibri" w:hAnsi="Calibri" w:cs="Arial"/>
                <w:strike/>
                <w:color w:val="FF0000"/>
                <w:sz w:val="20"/>
                <w:szCs w:val="20"/>
              </w:rPr>
              <w:t>(7)</w:t>
            </w:r>
            <w:r w:rsidRPr="003E660A">
              <w:rPr>
                <w:rFonts w:ascii="Calibri" w:hAnsi="Calibri" w:cs="Arial"/>
                <w:strike/>
                <w:color w:val="FF0000"/>
                <w:sz w:val="20"/>
                <w:szCs w:val="20"/>
              </w:rPr>
              <w:tab/>
              <w:t>the CAISO</w:t>
            </w:r>
            <w:r w:rsidRPr="003E660A">
              <w:rPr>
                <w:rFonts w:ascii="Calibri" w:hAnsi="Calibri" w:cs="Arial"/>
                <w:sz w:val="20"/>
                <w:szCs w:val="20"/>
              </w:rPr>
              <w:t xml:space="preserve"> determines that the expectation of losses and likely retirement of the resource are reasonable and supported by fact.     </w:t>
            </w:r>
          </w:p>
          <w:p w14:paraId="2A05EF97" w14:textId="77777777" w:rsidR="002A22F5" w:rsidRPr="003E660A" w:rsidRDefault="002A22F5" w:rsidP="008D54AE">
            <w:pPr>
              <w:pStyle w:val="Default"/>
              <w:rPr>
                <w:rFonts w:ascii="Calibri" w:hAnsi="Calibri"/>
                <w:bCs/>
                <w:sz w:val="20"/>
                <w:szCs w:val="20"/>
              </w:rPr>
            </w:pPr>
          </w:p>
          <w:p w14:paraId="40C53C03" w14:textId="77777777" w:rsidR="002A22F5" w:rsidRPr="003E660A" w:rsidRDefault="002A22F5" w:rsidP="008D54AE">
            <w:pPr>
              <w:pStyle w:val="Default"/>
              <w:rPr>
                <w:rFonts w:ascii="Calibri" w:hAnsi="Calibri"/>
                <w:bCs/>
                <w:sz w:val="20"/>
                <w:szCs w:val="20"/>
              </w:rPr>
            </w:pPr>
            <w:r w:rsidRPr="003E660A">
              <w:rPr>
                <w:rFonts w:ascii="Calibri" w:hAnsi="Calibri"/>
                <w:bCs/>
                <w:sz w:val="20"/>
                <w:szCs w:val="20"/>
              </w:rPr>
              <w:t xml:space="preserve">Will the CAISO please provide some background regarding their decision to remove language (highlighted in yellow) from the tariff that would require a resource to include, within their notice, a description of their conduct and efforts to sell Capacity in the bilateral market?  </w:t>
            </w:r>
          </w:p>
          <w:p w14:paraId="699C15DB" w14:textId="77777777" w:rsidR="002A22F5" w:rsidRPr="003E660A" w:rsidRDefault="002A22F5" w:rsidP="008D54AE">
            <w:pPr>
              <w:pStyle w:val="Default"/>
              <w:rPr>
                <w:rFonts w:ascii="Calibri" w:hAnsi="Calibri"/>
                <w:bCs/>
                <w:sz w:val="20"/>
                <w:szCs w:val="20"/>
              </w:rPr>
            </w:pPr>
          </w:p>
          <w:p w14:paraId="23FF5970" w14:textId="77777777" w:rsidR="002A22F5" w:rsidRPr="003E660A" w:rsidRDefault="002A22F5" w:rsidP="008D54AE">
            <w:pPr>
              <w:pStyle w:val="Default"/>
              <w:rPr>
                <w:rFonts w:ascii="Calibri" w:hAnsi="Calibri"/>
                <w:b/>
                <w:bCs/>
                <w:color w:val="800000"/>
                <w:sz w:val="20"/>
                <w:szCs w:val="20"/>
              </w:rPr>
            </w:pPr>
            <w:r w:rsidRPr="003E660A">
              <w:rPr>
                <w:rFonts w:ascii="Calibri" w:hAnsi="Calibri"/>
                <w:bCs/>
                <w:sz w:val="20"/>
                <w:szCs w:val="20"/>
              </w:rPr>
              <w:t xml:space="preserve">SCE is concerned that removal of this requirement, a requirement that was specifically mentioned by CAISO personnel during the Aug 23 workshop and which we did not see comments suggesting removal, may give a resource the ability to request and receive a CPM designation without first duly attempting to sell their Capacity via the bilateral market, thus in effect use the CAISO’s Capacity Procurement Mechanism to bypass the established RA procurement process. </w:t>
            </w:r>
          </w:p>
        </w:tc>
      </w:tr>
      <w:tr w:rsidR="002A22F5" w:rsidRPr="003E660A" w14:paraId="3ADA0212" w14:textId="77777777" w:rsidTr="002A22F5">
        <w:trPr>
          <w:tblHeader/>
        </w:trPr>
        <w:tc>
          <w:tcPr>
            <w:tcW w:w="0" w:type="auto"/>
          </w:tcPr>
          <w:p w14:paraId="06A4CFF0"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BC9ECDF"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SCE</w:t>
            </w:r>
          </w:p>
        </w:tc>
        <w:tc>
          <w:tcPr>
            <w:tcW w:w="1278" w:type="dxa"/>
          </w:tcPr>
          <w:p w14:paraId="0C911A2E" w14:textId="77777777" w:rsidR="002A22F5" w:rsidRPr="003E660A" w:rsidRDefault="002A22F5" w:rsidP="00DE2F8B">
            <w:pPr>
              <w:spacing w:before="120" w:after="120"/>
              <w:jc w:val="center"/>
              <w:rPr>
                <w:rFonts w:ascii="Calibri" w:hAnsi="Calibri" w:cs="Arial"/>
                <w:i/>
                <w:sz w:val="20"/>
                <w:szCs w:val="20"/>
              </w:rPr>
            </w:pPr>
            <w:r w:rsidRPr="003E660A">
              <w:rPr>
                <w:rFonts w:ascii="Calibri" w:hAnsi="Calibri" w:cs="Arial"/>
                <w:i/>
                <w:sz w:val="20"/>
                <w:szCs w:val="20"/>
              </w:rPr>
              <w:t>43.2.6</w:t>
            </w:r>
          </w:p>
        </w:tc>
        <w:tc>
          <w:tcPr>
            <w:tcW w:w="1199" w:type="dxa"/>
          </w:tcPr>
          <w:p w14:paraId="35A6113B"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3EEFD8F4" w14:textId="77777777" w:rsidR="002A22F5" w:rsidRPr="003E660A" w:rsidRDefault="002A22F5" w:rsidP="008D54AE">
            <w:pPr>
              <w:pStyle w:val="Default"/>
              <w:rPr>
                <w:rFonts w:ascii="Calibri" w:hAnsi="Calibri"/>
                <w:bCs/>
                <w:sz w:val="20"/>
                <w:szCs w:val="20"/>
              </w:rPr>
            </w:pPr>
            <w:r w:rsidRPr="003E660A">
              <w:rPr>
                <w:rFonts w:ascii="Calibri" w:hAnsi="Calibri"/>
                <w:b/>
                <w:bCs/>
                <w:sz w:val="20"/>
                <w:szCs w:val="20"/>
              </w:rPr>
              <w:t>Section 43.2.6</w:t>
            </w:r>
            <w:r w:rsidRPr="003E660A">
              <w:rPr>
                <w:rFonts w:ascii="Calibri" w:hAnsi="Calibri"/>
                <w:bCs/>
                <w:sz w:val="20"/>
                <w:szCs w:val="20"/>
              </w:rPr>
              <w:t>: Request clarification</w:t>
            </w:r>
          </w:p>
          <w:p w14:paraId="1262DE49" w14:textId="77777777" w:rsidR="002A22F5" w:rsidRPr="003E660A" w:rsidRDefault="002A22F5" w:rsidP="008D54AE">
            <w:pPr>
              <w:rPr>
                <w:rFonts w:ascii="Calibri" w:hAnsi="Calibri" w:cs="Arial"/>
                <w:sz w:val="20"/>
                <w:szCs w:val="20"/>
              </w:rPr>
            </w:pPr>
            <w:r w:rsidRPr="003E660A">
              <w:rPr>
                <w:rFonts w:ascii="Calibri" w:hAnsi="Calibri" w:cs="Arial"/>
                <w:sz w:val="20"/>
                <w:szCs w:val="20"/>
              </w:rPr>
              <w:t>The last paragraph includes</w:t>
            </w:r>
          </w:p>
          <w:p w14:paraId="75F66198" w14:textId="77777777" w:rsidR="002A22F5" w:rsidRPr="003E660A" w:rsidRDefault="002A22F5" w:rsidP="008D54AE">
            <w:pPr>
              <w:rPr>
                <w:rFonts w:ascii="Calibri" w:hAnsi="Calibri" w:cs="Arial"/>
                <w:sz w:val="20"/>
                <w:szCs w:val="20"/>
              </w:rPr>
            </w:pPr>
          </w:p>
          <w:p w14:paraId="080B0493" w14:textId="77777777" w:rsidR="002A22F5" w:rsidRPr="003E660A" w:rsidRDefault="002A22F5" w:rsidP="008D54AE">
            <w:pPr>
              <w:ind w:left="720" w:right="720"/>
              <w:rPr>
                <w:rFonts w:ascii="Calibri" w:hAnsi="Calibri" w:cs="Arial"/>
                <w:sz w:val="20"/>
                <w:szCs w:val="20"/>
              </w:rPr>
            </w:pPr>
            <w:r w:rsidRPr="003E660A">
              <w:rPr>
                <w:rFonts w:ascii="Calibri" w:hAnsi="Calibri" w:cs="Arial"/>
                <w:sz w:val="20"/>
                <w:szCs w:val="20"/>
              </w:rPr>
              <w:t xml:space="preserve">“Prior to issuing the CPM designation, the CAISO shall prepare a report that explains the basis and need for the CPM designation.  The CAISO shall post the report on the CAISO’s Website and allow an opportunity of no less than seven (7) days for stakeholders to review and submit comments on the report and no less than thirty (30) days for an LSE to procure Capacity from the resource.” </w:t>
            </w:r>
          </w:p>
          <w:p w14:paraId="29BB34B9" w14:textId="77777777" w:rsidR="002A22F5" w:rsidRPr="003E660A" w:rsidRDefault="002A22F5" w:rsidP="008D54AE">
            <w:pPr>
              <w:rPr>
                <w:rFonts w:ascii="Calibri" w:hAnsi="Calibri" w:cs="Arial"/>
                <w:sz w:val="20"/>
                <w:szCs w:val="20"/>
              </w:rPr>
            </w:pPr>
          </w:p>
          <w:p w14:paraId="0DE27553" w14:textId="77777777" w:rsidR="002A22F5" w:rsidRPr="003E660A" w:rsidRDefault="002A22F5" w:rsidP="008D54AE">
            <w:pPr>
              <w:autoSpaceDE w:val="0"/>
              <w:autoSpaceDN w:val="0"/>
              <w:adjustRightInd w:val="0"/>
              <w:ind w:left="360" w:hanging="360"/>
              <w:rPr>
                <w:rFonts w:ascii="Calibri" w:hAnsi="Calibri" w:cs="Arial"/>
                <w:bCs/>
                <w:sz w:val="20"/>
                <w:szCs w:val="20"/>
              </w:rPr>
            </w:pPr>
            <w:r w:rsidRPr="003E660A">
              <w:rPr>
                <w:rFonts w:ascii="Calibri" w:hAnsi="Calibri" w:cs="Arial"/>
                <w:sz w:val="20"/>
                <w:szCs w:val="20"/>
              </w:rPr>
              <w:t xml:space="preserve">A) </w:t>
            </w:r>
            <w:r w:rsidRPr="003E660A">
              <w:rPr>
                <w:rFonts w:ascii="Calibri" w:hAnsi="Calibri" w:cs="Arial"/>
                <w:sz w:val="20"/>
                <w:szCs w:val="20"/>
              </w:rPr>
              <w:tab/>
            </w:r>
            <w:r w:rsidRPr="003E660A">
              <w:rPr>
                <w:rFonts w:ascii="Calibri" w:hAnsi="Calibri" w:cs="Arial"/>
                <w:bCs/>
                <w:sz w:val="20"/>
                <w:szCs w:val="20"/>
              </w:rPr>
              <w:t xml:space="preserve">Will the CAISO please clarify/confirm that a Market Notice will be issued prior to the posting of the CPM report and that language to this effect will remain in the final </w:t>
            </w:r>
            <w:smartTag w:uri="urn:schemas-microsoft-com:office:smarttags" w:element="stockticker">
              <w:r w:rsidRPr="003E660A">
                <w:rPr>
                  <w:rFonts w:ascii="Calibri" w:hAnsi="Calibri" w:cs="Arial"/>
                  <w:bCs/>
                  <w:sz w:val="20"/>
                  <w:szCs w:val="20"/>
                </w:rPr>
                <w:t>BRS</w:t>
              </w:r>
            </w:smartTag>
            <w:r w:rsidRPr="003E660A">
              <w:rPr>
                <w:rFonts w:ascii="Calibri" w:hAnsi="Calibri" w:cs="Arial"/>
                <w:bCs/>
                <w:sz w:val="20"/>
                <w:szCs w:val="20"/>
              </w:rPr>
              <w:t xml:space="preserve"> or be included within the Tariff language.  </w:t>
            </w:r>
          </w:p>
          <w:p w14:paraId="43BBBC01" w14:textId="77777777" w:rsidR="002A22F5" w:rsidRPr="003E660A" w:rsidRDefault="002A22F5" w:rsidP="008D54AE">
            <w:pPr>
              <w:autoSpaceDE w:val="0"/>
              <w:autoSpaceDN w:val="0"/>
              <w:adjustRightInd w:val="0"/>
              <w:ind w:left="360"/>
              <w:rPr>
                <w:rFonts w:ascii="Calibri" w:hAnsi="Calibri" w:cs="Arial"/>
                <w:bCs/>
                <w:sz w:val="20"/>
                <w:szCs w:val="20"/>
              </w:rPr>
            </w:pPr>
            <w:bookmarkStart w:id="0" w:name="OLE_LINK27"/>
            <w:r w:rsidRPr="003E660A">
              <w:rPr>
                <w:rFonts w:ascii="Calibri" w:hAnsi="Calibri" w:cs="Arial"/>
                <w:bCs/>
                <w:sz w:val="20"/>
                <w:szCs w:val="20"/>
              </w:rPr>
              <w:t>Note: This clarification is a repeat from our initial comments.</w:t>
            </w:r>
            <w:bookmarkEnd w:id="0"/>
          </w:p>
          <w:p w14:paraId="14285DD0" w14:textId="77777777" w:rsidR="002A22F5" w:rsidRPr="003E660A" w:rsidRDefault="002A22F5" w:rsidP="008D54AE">
            <w:pPr>
              <w:rPr>
                <w:rFonts w:ascii="Calibri" w:hAnsi="Calibri" w:cs="Arial"/>
                <w:bCs/>
                <w:sz w:val="20"/>
                <w:szCs w:val="20"/>
              </w:rPr>
            </w:pPr>
          </w:p>
          <w:p w14:paraId="6BA3BA2B" w14:textId="77777777" w:rsidR="002A22F5" w:rsidRPr="003E660A" w:rsidRDefault="002A22F5" w:rsidP="008D54AE">
            <w:pPr>
              <w:ind w:left="360" w:hanging="360"/>
              <w:rPr>
                <w:rFonts w:ascii="Calibri" w:hAnsi="Calibri" w:cs="Arial"/>
                <w:bCs/>
                <w:sz w:val="20"/>
                <w:szCs w:val="20"/>
              </w:rPr>
            </w:pPr>
            <w:r w:rsidRPr="003E660A">
              <w:rPr>
                <w:rFonts w:ascii="Calibri" w:hAnsi="Calibri" w:cs="Arial"/>
                <w:bCs/>
                <w:sz w:val="20"/>
                <w:szCs w:val="20"/>
              </w:rPr>
              <w:t>B)</w:t>
            </w:r>
            <w:r w:rsidRPr="003E660A">
              <w:rPr>
                <w:rFonts w:ascii="Calibri" w:hAnsi="Calibri" w:cs="Arial"/>
                <w:bCs/>
                <w:sz w:val="20"/>
                <w:szCs w:val="20"/>
              </w:rPr>
              <w:tab/>
              <w:t xml:space="preserve">Will the CAISO please clarify if a maximum number of days has been discuss by when a stakeholder can submit comments on the report and by when an LSE can procure Capacity? </w:t>
            </w:r>
          </w:p>
          <w:p w14:paraId="0329FA03" w14:textId="77777777" w:rsidR="002A22F5" w:rsidRPr="003E660A" w:rsidRDefault="002A22F5" w:rsidP="008D54AE">
            <w:pPr>
              <w:rPr>
                <w:rFonts w:ascii="Calibri" w:hAnsi="Calibri" w:cs="Arial"/>
                <w:bCs/>
                <w:sz w:val="20"/>
                <w:szCs w:val="20"/>
              </w:rPr>
            </w:pPr>
            <w:r w:rsidRPr="003E660A">
              <w:rPr>
                <w:rFonts w:ascii="Calibri" w:hAnsi="Calibri" w:cs="Arial"/>
                <w:bCs/>
                <w:sz w:val="20"/>
                <w:szCs w:val="20"/>
              </w:rPr>
              <w:t xml:space="preserve"> </w:t>
            </w:r>
          </w:p>
          <w:p w14:paraId="7C68F843" w14:textId="77777777" w:rsidR="002A22F5" w:rsidRPr="003E660A" w:rsidRDefault="002A22F5" w:rsidP="008D54AE">
            <w:pPr>
              <w:ind w:left="360" w:hanging="360"/>
              <w:rPr>
                <w:rFonts w:ascii="Calibri" w:hAnsi="Calibri" w:cs="Arial"/>
                <w:sz w:val="20"/>
                <w:szCs w:val="20"/>
              </w:rPr>
            </w:pPr>
            <w:r w:rsidRPr="003E660A">
              <w:rPr>
                <w:rFonts w:ascii="Calibri" w:hAnsi="Calibri" w:cs="Arial"/>
                <w:bCs/>
                <w:sz w:val="20"/>
                <w:szCs w:val="20"/>
              </w:rPr>
              <w:t>C)</w:t>
            </w:r>
            <w:r w:rsidRPr="003E660A">
              <w:rPr>
                <w:rFonts w:ascii="Calibri" w:hAnsi="Calibri" w:cs="Arial"/>
                <w:bCs/>
                <w:sz w:val="20"/>
                <w:szCs w:val="20"/>
              </w:rPr>
              <w:tab/>
              <w:t xml:space="preserve">Will the CAISO please clarify if it is be possible for the identified amount of needed capacity to be less than the resource’s full capacity, and if so, will the CPM Report identify only the amount of capacity needed for reliability purposes or will the CPM Report identify the resource’s full capacity as being needed?   If the full capacity is not needed, would the CAISO declare a CPM designation for only the amount of capacity that is needed or would the CPM designation be for the resource’s full capacity? </w:t>
            </w:r>
          </w:p>
          <w:p w14:paraId="620924DE" w14:textId="77777777" w:rsidR="002A22F5" w:rsidRPr="003E660A" w:rsidRDefault="002A22F5" w:rsidP="008D54AE">
            <w:pPr>
              <w:pStyle w:val="Default"/>
              <w:ind w:firstLine="360"/>
              <w:rPr>
                <w:rFonts w:ascii="Calibri" w:hAnsi="Calibri"/>
                <w:b/>
                <w:bCs/>
                <w:color w:val="800000"/>
                <w:sz w:val="20"/>
                <w:szCs w:val="20"/>
              </w:rPr>
            </w:pPr>
            <w:bookmarkStart w:id="1" w:name="OLE_LINK28"/>
            <w:r w:rsidRPr="003E660A">
              <w:rPr>
                <w:rFonts w:ascii="Calibri" w:hAnsi="Calibri"/>
                <w:bCs/>
                <w:sz w:val="20"/>
                <w:szCs w:val="20"/>
              </w:rPr>
              <w:t>Note: This clarification is a repeat from our initial comments.</w:t>
            </w:r>
          </w:p>
          <w:bookmarkEnd w:id="1"/>
          <w:p w14:paraId="13D8333D" w14:textId="77777777" w:rsidR="002A22F5" w:rsidRPr="003E660A" w:rsidRDefault="002A22F5" w:rsidP="008D54AE">
            <w:pPr>
              <w:ind w:left="720"/>
              <w:rPr>
                <w:rFonts w:ascii="Calibri" w:hAnsi="Calibri" w:cs="Arial"/>
                <w:sz w:val="20"/>
                <w:szCs w:val="20"/>
              </w:rPr>
            </w:pPr>
          </w:p>
          <w:p w14:paraId="683275C9" w14:textId="77777777" w:rsidR="002A22F5" w:rsidRPr="003E660A" w:rsidRDefault="002A22F5" w:rsidP="008D54AE">
            <w:pPr>
              <w:autoSpaceDE w:val="0"/>
              <w:autoSpaceDN w:val="0"/>
              <w:adjustRightInd w:val="0"/>
              <w:ind w:left="360" w:hanging="360"/>
              <w:rPr>
                <w:rFonts w:ascii="Calibri" w:hAnsi="Calibri" w:cs="Arial"/>
                <w:sz w:val="20"/>
                <w:szCs w:val="20"/>
              </w:rPr>
            </w:pPr>
            <w:r w:rsidRPr="003E660A">
              <w:rPr>
                <w:rFonts w:ascii="Calibri" w:hAnsi="Calibri" w:cs="Arial"/>
                <w:sz w:val="20"/>
                <w:szCs w:val="20"/>
              </w:rPr>
              <w:t>D)</w:t>
            </w:r>
            <w:r w:rsidRPr="003E660A">
              <w:rPr>
                <w:rFonts w:ascii="Calibri" w:hAnsi="Calibri" w:cs="Arial"/>
                <w:sz w:val="20"/>
                <w:szCs w:val="20"/>
              </w:rPr>
              <w:tab/>
              <w:t>Will the CAISO please clarify the process a stakeholder should use to question the results of the CAISO’s technical assessment, to obtain information/assumptions used in the CAISO’s technical assessment, and what tariff language can a stakeholder reference to contest a CPM designation for a resource that threatened retirement?</w:t>
            </w:r>
          </w:p>
          <w:p w14:paraId="72DD9CEC" w14:textId="77777777" w:rsidR="002A22F5" w:rsidRPr="003E660A" w:rsidRDefault="002A22F5" w:rsidP="008D54AE">
            <w:pPr>
              <w:pStyle w:val="Default"/>
              <w:ind w:firstLine="360"/>
              <w:rPr>
                <w:rFonts w:ascii="Calibri" w:hAnsi="Calibri"/>
                <w:b/>
                <w:bCs/>
                <w:color w:val="800000"/>
                <w:sz w:val="20"/>
                <w:szCs w:val="20"/>
              </w:rPr>
            </w:pPr>
            <w:r w:rsidRPr="003E660A">
              <w:rPr>
                <w:rFonts w:ascii="Calibri" w:hAnsi="Calibri"/>
                <w:bCs/>
                <w:sz w:val="20"/>
                <w:szCs w:val="20"/>
              </w:rPr>
              <w:t>Note: This clarification is a repeat from our initial comments.</w:t>
            </w:r>
          </w:p>
        </w:tc>
      </w:tr>
      <w:tr w:rsidR="002A22F5" w:rsidRPr="003E660A" w14:paraId="28491CF3" w14:textId="77777777" w:rsidTr="002A22F5">
        <w:trPr>
          <w:tblHeader/>
        </w:trPr>
        <w:tc>
          <w:tcPr>
            <w:tcW w:w="0" w:type="auto"/>
          </w:tcPr>
          <w:p w14:paraId="588E3B96"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390DB88"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CPUC</w:t>
            </w:r>
          </w:p>
        </w:tc>
        <w:tc>
          <w:tcPr>
            <w:tcW w:w="1278" w:type="dxa"/>
          </w:tcPr>
          <w:p w14:paraId="4742DBC7"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43.2.6</w:t>
            </w:r>
          </w:p>
        </w:tc>
        <w:tc>
          <w:tcPr>
            <w:tcW w:w="1199" w:type="dxa"/>
          </w:tcPr>
          <w:p w14:paraId="6AF6464B"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04F3A5C2" w14:textId="77777777" w:rsidR="002A22F5" w:rsidRPr="003E660A" w:rsidRDefault="002A22F5" w:rsidP="003E660A">
            <w:pPr>
              <w:pStyle w:val="CommentText"/>
              <w:numPr>
                <w:ilvl w:val="0"/>
                <w:numId w:val="32"/>
              </w:numPr>
              <w:ind w:left="372"/>
              <w:rPr>
                <w:rFonts w:ascii="Calibri" w:hAnsi="Calibri" w:cs="Arial"/>
                <w:bCs/>
                <w:iCs/>
              </w:rPr>
            </w:pPr>
            <w:r w:rsidRPr="003E660A">
              <w:rPr>
                <w:rFonts w:ascii="Calibri" w:hAnsi="Calibri" w:cs="Arial"/>
                <w:bCs/>
                <w:iCs/>
              </w:rPr>
              <w:t xml:space="preserve">In Section 43.2.6, , the minimum review and comment period for the CAISO’s report has been shortened to 7 days from 30 days.  This creates a barrier to meaningful comment, particularly given that the resource must give the CAISO 180 days notice of its planned retirement and request for a CPM designation.  The comment period must allow a reasonable time for analysis and discovery regarding the CAISO’s determination of need and the selection of a particular unit for CPM designation over other available units.  </w:t>
            </w:r>
          </w:p>
          <w:p w14:paraId="122AB65B" w14:textId="77777777" w:rsidR="002A22F5" w:rsidRPr="003E660A" w:rsidRDefault="002A22F5" w:rsidP="003E660A">
            <w:pPr>
              <w:pStyle w:val="CommentText"/>
              <w:numPr>
                <w:ilvl w:val="0"/>
                <w:numId w:val="30"/>
              </w:numPr>
              <w:rPr>
                <w:rFonts w:ascii="Calibri" w:hAnsi="Calibri" w:cs="Arial"/>
                <w:bCs/>
                <w:iCs/>
              </w:rPr>
            </w:pPr>
            <w:r w:rsidRPr="003E660A">
              <w:rPr>
                <w:rFonts w:ascii="Calibri" w:hAnsi="Calibri" w:cs="Arial"/>
                <w:bCs/>
                <w:iCs/>
              </w:rPr>
              <w:t xml:space="preserve">The CPUC Staff previously expressed concerns regarding the lack of standards and the ability of DMM to perform due diligence regarding the economic claims of resources leaving the market.  These concerns have not been adequately addressed by the changes to the proposed tariff language in section 43.2.6.  It remains unclear how the CAISO will determine that the decision to retire is definite and the financial claims of the resource are reasonable and supported by fact.   </w:t>
            </w:r>
          </w:p>
          <w:p w14:paraId="0BA2815A" w14:textId="77777777" w:rsidR="002A22F5" w:rsidRPr="003E660A" w:rsidRDefault="002A22F5" w:rsidP="003E660A">
            <w:pPr>
              <w:pStyle w:val="CommentText"/>
              <w:numPr>
                <w:ilvl w:val="0"/>
                <w:numId w:val="30"/>
              </w:numPr>
              <w:rPr>
                <w:rFonts w:ascii="Calibri" w:hAnsi="Calibri" w:cs="Arial"/>
                <w:bCs/>
                <w:iCs/>
              </w:rPr>
            </w:pPr>
            <w:r w:rsidRPr="003E660A">
              <w:rPr>
                <w:rFonts w:ascii="Calibri" w:hAnsi="Calibri" w:cs="Arial"/>
                <w:bCs/>
                <w:iCs/>
              </w:rPr>
              <w:t>The changes to the proposed tariff language in 43.2.6 do not eliminate or sufficiently reduce the gaming opportunity for a plant seeking to leverage a CPM designation through a threat of retirement of the unit.</w:t>
            </w:r>
            <w:r w:rsidRPr="003E660A">
              <w:rPr>
                <w:rFonts w:ascii="Calibri" w:hAnsi="Calibri" w:cs="Arial"/>
                <w:bCs/>
                <w:iCs/>
                <w:vertAlign w:val="superscript"/>
              </w:rPr>
              <w:footnoteReference w:id="1"/>
            </w:r>
            <w:r w:rsidRPr="003E660A">
              <w:rPr>
                <w:rFonts w:ascii="Calibri" w:hAnsi="Calibri" w:cs="Arial"/>
                <w:bCs/>
                <w:iCs/>
              </w:rPr>
              <w:t xml:space="preserve">  A generator may be able to predict its importance to the grid based on past history, its location in a Local Area or Subarea, or information from the various planning processes.  A generator could then threaten to retire in order to receive a CPM designation at a price higher than the current market for capacity.  In the present market, some generators are currently willing to enter in Resource Adequacy (RA) contracts with LSEs below the current $41/kw-yr backstop price, let alone the $55/kw-yr proposed for CPM.  The CAISO’s Market Surveillance Committee has acknowledged that a 12-month designation can create an incentive for units to threaten to retire and the “CPM payment can influence RA prices.”</w:t>
            </w:r>
            <w:r w:rsidRPr="003E660A">
              <w:rPr>
                <w:rFonts w:ascii="Calibri" w:hAnsi="Calibri" w:cs="Arial"/>
                <w:bCs/>
                <w:iCs/>
                <w:vertAlign w:val="superscript"/>
              </w:rPr>
              <w:footnoteReference w:id="2"/>
            </w:r>
          </w:p>
          <w:p w14:paraId="74490753" w14:textId="77777777" w:rsidR="002A22F5" w:rsidRPr="003E660A" w:rsidRDefault="002A22F5" w:rsidP="003E660A">
            <w:pPr>
              <w:pStyle w:val="CommentText"/>
              <w:numPr>
                <w:ilvl w:val="0"/>
                <w:numId w:val="30"/>
              </w:numPr>
              <w:rPr>
                <w:rFonts w:ascii="Calibri" w:hAnsi="Calibri" w:cs="Arial"/>
                <w:bCs/>
                <w:iCs/>
              </w:rPr>
            </w:pPr>
            <w:r w:rsidRPr="003E660A">
              <w:rPr>
                <w:rFonts w:ascii="Calibri" w:hAnsi="Calibri" w:cs="Arial"/>
                <w:bCs/>
                <w:iCs/>
              </w:rPr>
              <w:t xml:space="preserve">In addition, many generating resources, particularly older and less efficient ones in Local Areas, are typically part of a fleet of resources owned by affiliated companies.  Affiliated companies could assign ownership of an individual resource to a particular entity to support a claim for economic subsidy, regardless of the overall profitability of other resources owned or operated by affiliated entities.  </w:t>
            </w:r>
          </w:p>
          <w:p w14:paraId="30AAECBF" w14:textId="77777777" w:rsidR="002A22F5" w:rsidRPr="003E660A" w:rsidRDefault="002A22F5" w:rsidP="003E660A">
            <w:pPr>
              <w:pStyle w:val="CommentText"/>
              <w:numPr>
                <w:ilvl w:val="0"/>
                <w:numId w:val="30"/>
              </w:numPr>
              <w:rPr>
                <w:rFonts w:ascii="Calibri" w:hAnsi="Calibri" w:cs="Arial"/>
                <w:b/>
                <w:bCs/>
                <w:iCs/>
              </w:rPr>
            </w:pPr>
            <w:r w:rsidRPr="003E660A">
              <w:rPr>
                <w:rFonts w:ascii="Calibri" w:hAnsi="Calibri" w:cs="Arial"/>
                <w:bCs/>
                <w:iCs/>
              </w:rPr>
              <w:t xml:space="preserve">The language changes regarding the timing of the CPM designation relative to future need are not sufficiently clear to ensure that the CAISO can accurately predict what capacity will be needed for the next RA compliance year to justify up to a 12-month CPM designation without relying on data from the year’s Local Capacity Technical Analysis (LCR) study, which is typically performed in April and finalized in May of the previous RA compliance year, and thus may not be available at the time the CAISO makes the determination of whether to offer a CPM designation.  The LCR study provides the basis for single-year Local RA obligations for the next compliance year (starting in October.)   </w:t>
            </w:r>
          </w:p>
        </w:tc>
      </w:tr>
      <w:tr w:rsidR="002A22F5" w:rsidRPr="003E660A" w14:paraId="2F1728DE" w14:textId="77777777" w:rsidTr="002A22F5">
        <w:trPr>
          <w:tblHeader/>
        </w:trPr>
        <w:tc>
          <w:tcPr>
            <w:tcW w:w="0" w:type="auto"/>
          </w:tcPr>
          <w:p w14:paraId="17E86DA6"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AC324D6"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CPUC</w:t>
            </w:r>
          </w:p>
        </w:tc>
        <w:tc>
          <w:tcPr>
            <w:tcW w:w="1278" w:type="dxa"/>
          </w:tcPr>
          <w:p w14:paraId="3B69140A"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43.2.6 (6)</w:t>
            </w:r>
          </w:p>
        </w:tc>
        <w:tc>
          <w:tcPr>
            <w:tcW w:w="1199" w:type="dxa"/>
          </w:tcPr>
          <w:p w14:paraId="4932857F"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32382604" w14:textId="77777777" w:rsidR="002A22F5" w:rsidRPr="003E660A" w:rsidRDefault="002A22F5" w:rsidP="003E660A">
            <w:pPr>
              <w:pStyle w:val="CommentText"/>
              <w:numPr>
                <w:ilvl w:val="0"/>
                <w:numId w:val="30"/>
              </w:numPr>
              <w:rPr>
                <w:rFonts w:ascii="Calibri" w:hAnsi="Calibri" w:cs="Arial"/>
                <w:bCs/>
                <w:iCs/>
              </w:rPr>
            </w:pPr>
            <w:r w:rsidRPr="003E660A">
              <w:rPr>
                <w:rFonts w:ascii="Calibri" w:hAnsi="Calibri" w:cs="Arial"/>
                <w:bCs/>
                <w:iCs/>
              </w:rPr>
              <w:t xml:space="preserve">In the prior section 43.2.6(6), the CAISO was required to consider any analysis performed by DMM before issuing its report regarding the need for a CPM designation.  That requirement has been eliminated in section 43.2.6.1.   </w:t>
            </w:r>
          </w:p>
        </w:tc>
      </w:tr>
      <w:tr w:rsidR="002A22F5" w:rsidRPr="003E660A" w14:paraId="768878A0" w14:textId="77777777" w:rsidTr="002A22F5">
        <w:trPr>
          <w:tblHeader/>
        </w:trPr>
        <w:tc>
          <w:tcPr>
            <w:tcW w:w="0" w:type="auto"/>
          </w:tcPr>
          <w:p w14:paraId="26879614"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A955768"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SDG&amp;E</w:t>
            </w:r>
          </w:p>
        </w:tc>
        <w:tc>
          <w:tcPr>
            <w:tcW w:w="1278" w:type="dxa"/>
          </w:tcPr>
          <w:p w14:paraId="0E46F7F7"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53A387A3"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16, 2010</w:t>
            </w:r>
          </w:p>
        </w:tc>
        <w:tc>
          <w:tcPr>
            <w:tcW w:w="12090" w:type="dxa"/>
            <w:shd w:val="clear" w:color="auto" w:fill="auto"/>
          </w:tcPr>
          <w:p w14:paraId="439747F0" w14:textId="77777777" w:rsidR="002A22F5" w:rsidRPr="005C5939" w:rsidRDefault="002A22F5" w:rsidP="005C5939">
            <w:pPr>
              <w:pStyle w:val="CommentText"/>
              <w:ind w:left="192"/>
              <w:rPr>
                <w:rFonts w:ascii="Calibri" w:hAnsi="Calibri" w:cs="Arial"/>
                <w:bCs/>
                <w:iCs/>
              </w:rPr>
            </w:pPr>
            <w:r w:rsidRPr="005C5939">
              <w:rPr>
                <w:rFonts w:ascii="Calibri" w:hAnsi="Calibri" w:cs="Arial"/>
                <w:bCs/>
                <w:iCs/>
              </w:rPr>
              <w:t xml:space="preserve">Without waiving its general objection to all provisions of the draft CPM tariff pertaining to generating unit retirement matters (section 43.2.6), SDG&amp;E proffers two comments on the most recent tariff language.  First, section 43.2.6 (3) should be revised to require the CAISO to offer its “technical assessments” on unit retirements in the CPUC’s LTPP/RA proceedings. Delivering these technical assessments too late for market participants to act renders it useless.  The CAISO should move from a </w:t>
            </w:r>
            <w:r w:rsidRPr="005C5939">
              <w:rPr>
                <w:rFonts w:ascii="Calibri" w:hAnsi="Calibri" w:cs="Arial"/>
                <w:bCs/>
                <w:i/>
                <w:iCs/>
              </w:rPr>
              <w:t>reactive</w:t>
            </w:r>
            <w:r w:rsidRPr="005C5939">
              <w:rPr>
                <w:rFonts w:ascii="Calibri" w:hAnsi="Calibri" w:cs="Arial"/>
                <w:bCs/>
                <w:iCs/>
              </w:rPr>
              <w:t xml:space="preserve"> mode triggered by a generator giving notice to retire to a </w:t>
            </w:r>
            <w:r w:rsidRPr="005C5939">
              <w:rPr>
                <w:rFonts w:ascii="Calibri" w:hAnsi="Calibri" w:cs="Arial"/>
                <w:bCs/>
                <w:i/>
                <w:iCs/>
              </w:rPr>
              <w:t xml:space="preserve">proactive </w:t>
            </w:r>
            <w:r w:rsidRPr="005C5939">
              <w:rPr>
                <w:rFonts w:ascii="Calibri" w:hAnsi="Calibri" w:cs="Arial"/>
                <w:bCs/>
                <w:iCs/>
              </w:rPr>
              <w:t xml:space="preserve">mode of providing information related to retirement earlier in the LTPP and RA proceedings so that an efficient market-based solution can emerge.  </w:t>
            </w:r>
          </w:p>
          <w:p w14:paraId="1DAFA638" w14:textId="77777777" w:rsidR="002A22F5" w:rsidRPr="003E660A" w:rsidRDefault="002A22F5" w:rsidP="005C5939">
            <w:pPr>
              <w:pStyle w:val="CommentText"/>
              <w:ind w:left="192"/>
              <w:rPr>
                <w:rFonts w:ascii="Calibri" w:hAnsi="Calibri" w:cs="Arial"/>
                <w:bCs/>
                <w:iCs/>
              </w:rPr>
            </w:pPr>
            <w:r w:rsidRPr="005C5939">
              <w:rPr>
                <w:rFonts w:ascii="Calibri" w:hAnsi="Calibri" w:cs="Arial"/>
                <w:bCs/>
                <w:iCs/>
              </w:rPr>
              <w:t xml:space="preserve">The CAISO already provides a similar analysis when it determines annually how much capacity is needed in a local area and what generation is effective in meeting that need.  The CAISO should expand this analysis to identify the extent to which certain units are likely to be needed in meeting future (projected) local capacity requirements, say the next 3-5 years, thereby allowing market participants to negotiate commercial arrangements while there may still be time to consider alternative solutions.  Giving load-serving entities less than 90 days to procure capacity that now knows it will be getting a CPM designation makes a mockery of the LTPP and RA mechanisms.  The CAISO should instead use its on-going analysis of all aspects of the system, including transmission upgrades and projected levels of load and supply, to apprize market participants of projected needs in capacity constrained regions so that market participants can negotiate economically efficient outcomes for units that are in the closing years of their useful life.  </w:t>
            </w:r>
          </w:p>
        </w:tc>
      </w:tr>
      <w:tr w:rsidR="002A22F5" w:rsidRPr="003E660A" w14:paraId="1CF1FB9C" w14:textId="77777777" w:rsidTr="002A22F5">
        <w:trPr>
          <w:tblHeader/>
        </w:trPr>
        <w:tc>
          <w:tcPr>
            <w:tcW w:w="0" w:type="auto"/>
          </w:tcPr>
          <w:p w14:paraId="6C887A7F"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AD05B63" w14:textId="77777777" w:rsidR="002A22F5" w:rsidRDefault="002A22F5" w:rsidP="00AA755B">
            <w:pPr>
              <w:spacing w:before="120" w:after="120"/>
              <w:jc w:val="center"/>
              <w:rPr>
                <w:rFonts w:ascii="Calibri" w:hAnsi="Calibri" w:cs="Arial"/>
                <w:i/>
                <w:sz w:val="20"/>
                <w:szCs w:val="20"/>
              </w:rPr>
            </w:pPr>
            <w:r>
              <w:rPr>
                <w:rFonts w:ascii="Calibri" w:hAnsi="Calibri" w:cs="Arial"/>
                <w:i/>
                <w:sz w:val="20"/>
                <w:szCs w:val="20"/>
              </w:rPr>
              <w:t>SDG&amp;E</w:t>
            </w:r>
          </w:p>
        </w:tc>
        <w:tc>
          <w:tcPr>
            <w:tcW w:w="1278" w:type="dxa"/>
          </w:tcPr>
          <w:p w14:paraId="364ECB8B" w14:textId="77777777" w:rsidR="002A22F5" w:rsidRDefault="002A22F5" w:rsidP="00AA755B">
            <w:pPr>
              <w:spacing w:before="120" w:after="120"/>
              <w:jc w:val="center"/>
              <w:rPr>
                <w:rFonts w:ascii="Calibri" w:hAnsi="Calibri" w:cs="Arial"/>
                <w:i/>
                <w:sz w:val="20"/>
                <w:szCs w:val="20"/>
              </w:rPr>
            </w:pPr>
            <w:r>
              <w:rPr>
                <w:rFonts w:ascii="Calibri" w:hAnsi="Calibri" w:cs="Arial"/>
                <w:i/>
                <w:sz w:val="20"/>
                <w:szCs w:val="20"/>
              </w:rPr>
              <w:t>43.2.6 (5)</w:t>
            </w:r>
          </w:p>
        </w:tc>
        <w:tc>
          <w:tcPr>
            <w:tcW w:w="1199" w:type="dxa"/>
          </w:tcPr>
          <w:p w14:paraId="07E36087" w14:textId="77777777" w:rsidR="002A22F5" w:rsidRDefault="002A22F5" w:rsidP="00AA755B">
            <w:pPr>
              <w:spacing w:before="120" w:after="120"/>
              <w:jc w:val="center"/>
              <w:rPr>
                <w:rFonts w:ascii="Calibri" w:hAnsi="Calibri" w:cs="Arial"/>
                <w:i/>
                <w:sz w:val="20"/>
                <w:szCs w:val="20"/>
              </w:rPr>
            </w:pPr>
            <w:r>
              <w:rPr>
                <w:rFonts w:ascii="Calibri" w:hAnsi="Calibri" w:cs="Arial"/>
                <w:i/>
                <w:sz w:val="20"/>
                <w:szCs w:val="20"/>
              </w:rPr>
              <w:t>November 16, 2010</w:t>
            </w:r>
          </w:p>
        </w:tc>
        <w:tc>
          <w:tcPr>
            <w:tcW w:w="12090" w:type="dxa"/>
            <w:shd w:val="clear" w:color="auto" w:fill="auto"/>
          </w:tcPr>
          <w:p w14:paraId="38FAC408" w14:textId="77777777" w:rsidR="002A22F5" w:rsidRPr="005C5939" w:rsidRDefault="002A22F5" w:rsidP="005C5939">
            <w:pPr>
              <w:pStyle w:val="CommentText"/>
              <w:ind w:left="192"/>
              <w:rPr>
                <w:rFonts w:ascii="Calibri" w:hAnsi="Calibri" w:cs="Arial"/>
                <w:bCs/>
                <w:iCs/>
              </w:rPr>
            </w:pPr>
            <w:r w:rsidRPr="005C5939">
              <w:rPr>
                <w:rFonts w:ascii="Calibri" w:hAnsi="Calibri" w:cs="Arial"/>
                <w:bCs/>
                <w:iCs/>
              </w:rPr>
              <w:t xml:space="preserve">Second, section 43.2.6 (5) should be clarified by adding the words “without the revenues from CPM” to the end of that section after the word “definite”.  The suggested edit is designed to remove the current ambiguity created by the notion that a officer is being required to swear that retirement of a unit is “definite” even as that same officer is making a voluntary request for a CPM designation to keep the unit operating.       </w:t>
            </w:r>
          </w:p>
          <w:p w14:paraId="073F2819" w14:textId="77777777" w:rsidR="002A22F5" w:rsidRPr="005C5939" w:rsidRDefault="002A22F5" w:rsidP="005C5939">
            <w:pPr>
              <w:pStyle w:val="CommentText"/>
              <w:rPr>
                <w:rFonts w:ascii="Calibri" w:hAnsi="Calibri" w:cs="Arial"/>
                <w:bCs/>
                <w:iCs/>
              </w:rPr>
            </w:pPr>
          </w:p>
        </w:tc>
      </w:tr>
      <w:tr w:rsidR="002A22F5" w:rsidRPr="003E660A" w14:paraId="5303064E" w14:textId="77777777" w:rsidTr="002A22F5">
        <w:trPr>
          <w:tblHeader/>
        </w:trPr>
        <w:tc>
          <w:tcPr>
            <w:tcW w:w="0" w:type="auto"/>
          </w:tcPr>
          <w:p w14:paraId="0A4E4FD0"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958A49E"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CDWR SWP</w:t>
            </w:r>
          </w:p>
        </w:tc>
        <w:tc>
          <w:tcPr>
            <w:tcW w:w="1278" w:type="dxa"/>
          </w:tcPr>
          <w:p w14:paraId="58B03B3B"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43.4</w:t>
            </w:r>
          </w:p>
        </w:tc>
        <w:tc>
          <w:tcPr>
            <w:tcW w:w="1199" w:type="dxa"/>
          </w:tcPr>
          <w:p w14:paraId="7BDD2DC2"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6F3157D2" w14:textId="77777777" w:rsidR="002A22F5" w:rsidRPr="003E660A" w:rsidRDefault="002A22F5" w:rsidP="008D54AE">
            <w:pPr>
              <w:pStyle w:val="CommentText"/>
              <w:spacing w:line="276" w:lineRule="auto"/>
              <w:rPr>
                <w:rFonts w:ascii="Calibri" w:hAnsi="Calibri"/>
                <w:color w:val="0070C0"/>
              </w:rPr>
            </w:pPr>
            <w:bookmarkStart w:id="2" w:name="65477abd-c05c-4fb8-a373-6ff6b5ba1d4a"/>
            <w:r w:rsidRPr="003E660A">
              <w:rPr>
                <w:rFonts w:ascii="Calibri" w:hAnsi="Calibri" w:cs="Arial"/>
                <w:b/>
                <w:bCs/>
                <w:iCs/>
              </w:rPr>
              <w:t>43.4 Selection of Eligible Capacity under the CPM</w:t>
            </w:r>
            <w:bookmarkEnd w:id="2"/>
            <w:r w:rsidRPr="003E660A">
              <w:rPr>
                <w:rFonts w:ascii="Calibri" w:hAnsi="Calibri"/>
                <w:i/>
              </w:rPr>
              <w:t xml:space="preserve">, </w:t>
            </w:r>
            <w:r w:rsidRPr="003E660A">
              <w:rPr>
                <w:rFonts w:ascii="Calibri" w:hAnsi="Calibri" w:cs="Arial"/>
                <w:b/>
                <w:bCs/>
                <w:iCs/>
              </w:rPr>
              <w:t>subsection (5)</w:t>
            </w:r>
            <w:r w:rsidRPr="003E660A">
              <w:rPr>
                <w:rFonts w:ascii="Calibri" w:hAnsi="Calibri"/>
                <w:i/>
              </w:rPr>
              <w:t xml:space="preserve"> </w:t>
            </w:r>
            <w:r w:rsidRPr="003E660A">
              <w:rPr>
                <w:rFonts w:ascii="Calibri" w:hAnsi="Calibri"/>
                <w:color w:val="0070C0"/>
              </w:rPr>
              <w:t>states that criteria for resource selection include “whether the resource is subject to restrictions as a Use-Limited Resource”.</w:t>
            </w:r>
            <w:r w:rsidRPr="003E660A">
              <w:rPr>
                <w:rFonts w:ascii="Calibri" w:hAnsi="Calibri"/>
                <w:b/>
                <w:bCs/>
                <w:iCs/>
              </w:rPr>
              <w:t xml:space="preserve"> </w:t>
            </w:r>
            <w:r w:rsidRPr="003E660A">
              <w:rPr>
                <w:rFonts w:ascii="Calibri" w:hAnsi="Calibri"/>
                <w:bCs/>
                <w:iCs/>
              </w:rPr>
              <w:t>CAISO application of this criterion should be clarified.</w:t>
            </w:r>
            <w:r w:rsidRPr="003E660A">
              <w:rPr>
                <w:rFonts w:ascii="Calibri" w:hAnsi="Calibri"/>
                <w:b/>
                <w:bCs/>
                <w:iCs/>
              </w:rPr>
              <w:t xml:space="preserve"> </w:t>
            </w:r>
            <w:r w:rsidRPr="003E660A">
              <w:rPr>
                <w:rFonts w:ascii="Calibri" w:hAnsi="Calibri"/>
                <w:color w:val="0070C0"/>
              </w:rPr>
              <w:t>Does this mean that non-Use Limited Resources (non-ULR) have priority over ULR? Does this also mean that ULRs are not qualified for CPM?</w:t>
            </w:r>
          </w:p>
        </w:tc>
      </w:tr>
      <w:tr w:rsidR="002A22F5" w:rsidRPr="003E660A" w14:paraId="01C9CD9E" w14:textId="77777777" w:rsidTr="002A22F5">
        <w:trPr>
          <w:tblHeader/>
        </w:trPr>
        <w:tc>
          <w:tcPr>
            <w:tcW w:w="0" w:type="auto"/>
          </w:tcPr>
          <w:p w14:paraId="3615B148"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93EF3EA"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CDWR SWP</w:t>
            </w:r>
          </w:p>
        </w:tc>
        <w:tc>
          <w:tcPr>
            <w:tcW w:w="1278" w:type="dxa"/>
          </w:tcPr>
          <w:p w14:paraId="7F205343"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43.7.3</w:t>
            </w:r>
          </w:p>
        </w:tc>
        <w:tc>
          <w:tcPr>
            <w:tcW w:w="1199" w:type="dxa"/>
          </w:tcPr>
          <w:p w14:paraId="162729E7"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777F406E" w14:textId="77777777" w:rsidR="002A22F5" w:rsidRPr="003E660A" w:rsidRDefault="002A22F5" w:rsidP="008D54AE">
            <w:pPr>
              <w:autoSpaceDE w:val="0"/>
              <w:autoSpaceDN w:val="0"/>
              <w:adjustRightInd w:val="0"/>
              <w:rPr>
                <w:rFonts w:ascii="Calibri" w:hAnsi="Calibri"/>
                <w:color w:val="0070C0"/>
                <w:sz w:val="20"/>
                <w:szCs w:val="20"/>
              </w:rPr>
            </w:pPr>
            <w:r w:rsidRPr="003E660A">
              <w:rPr>
                <w:rFonts w:ascii="Calibri" w:hAnsi="Calibri"/>
                <w:color w:val="0070C0"/>
                <w:sz w:val="20"/>
                <w:szCs w:val="20"/>
              </w:rPr>
              <w:t xml:space="preserve">The CAISO also allocates costs of its backstop procurement to address shortfalls using this coincident peak method (§ 43.7.3). SWP is aware of no reason for a departure from this approach when allocating an anticipated shortfall attributed to generator retirement. </w:t>
            </w:r>
          </w:p>
          <w:p w14:paraId="67D7C108" w14:textId="77777777" w:rsidR="002A22F5" w:rsidRPr="003E660A" w:rsidRDefault="002A22F5" w:rsidP="008D54AE">
            <w:pPr>
              <w:autoSpaceDE w:val="0"/>
              <w:autoSpaceDN w:val="0"/>
              <w:adjustRightInd w:val="0"/>
              <w:rPr>
                <w:rFonts w:ascii="Calibri" w:hAnsi="Calibri"/>
                <w:color w:val="0070C0"/>
                <w:sz w:val="20"/>
                <w:szCs w:val="20"/>
              </w:rPr>
            </w:pPr>
            <w:r w:rsidRPr="003E660A">
              <w:rPr>
                <w:rFonts w:ascii="Calibri" w:hAnsi="Calibri"/>
                <w:color w:val="0070C0"/>
                <w:sz w:val="20"/>
                <w:szCs w:val="20"/>
              </w:rPr>
              <w:t>The following are the tariff provisions on allocation of obligation based on coincident peak share:</w:t>
            </w:r>
          </w:p>
          <w:p w14:paraId="5B154086" w14:textId="77777777" w:rsidR="002A22F5" w:rsidRPr="003E660A" w:rsidRDefault="002A22F5" w:rsidP="008D54AE">
            <w:pPr>
              <w:autoSpaceDE w:val="0"/>
              <w:autoSpaceDN w:val="0"/>
              <w:adjustRightInd w:val="0"/>
              <w:ind w:left="282"/>
              <w:rPr>
                <w:rFonts w:ascii="Calibri" w:eastAsia="Calibri" w:hAnsi="Calibri" w:cs="Arial"/>
                <w:b/>
                <w:bCs/>
                <w:i/>
                <w:sz w:val="20"/>
                <w:szCs w:val="20"/>
              </w:rPr>
            </w:pPr>
            <w:r w:rsidRPr="003E660A">
              <w:rPr>
                <w:rFonts w:ascii="Calibri" w:eastAsia="Calibri" w:hAnsi="Calibri" w:cs="Arial"/>
                <w:b/>
                <w:bCs/>
                <w:i/>
                <w:sz w:val="20"/>
                <w:szCs w:val="20"/>
              </w:rPr>
              <w:t>43.7.3 Collective Deficiency In Local Capacity Area Resources</w:t>
            </w:r>
          </w:p>
          <w:p w14:paraId="59592EBE" w14:textId="77777777" w:rsidR="002A22F5" w:rsidRPr="003E660A" w:rsidRDefault="002A22F5" w:rsidP="008D54AE">
            <w:pPr>
              <w:autoSpaceDE w:val="0"/>
              <w:autoSpaceDN w:val="0"/>
              <w:adjustRightInd w:val="0"/>
              <w:ind w:left="282"/>
              <w:rPr>
                <w:rFonts w:ascii="Calibri" w:eastAsia="Calibri" w:hAnsi="Calibri" w:cs="Arial"/>
                <w:i/>
                <w:sz w:val="20"/>
                <w:szCs w:val="20"/>
              </w:rPr>
            </w:pPr>
            <w:r w:rsidRPr="003E660A">
              <w:rPr>
                <w:rFonts w:ascii="Calibri" w:eastAsia="Calibri" w:hAnsi="Calibri" w:cs="Arial"/>
                <w:i/>
                <w:sz w:val="20"/>
                <w:szCs w:val="20"/>
              </w:rPr>
              <w:t>If the CAISO makes designations under Section 43.1.2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43.1.2.1 on a proportionate basis, to the extent of their additional procurement.</w:t>
            </w:r>
          </w:p>
          <w:p w14:paraId="4D63159A" w14:textId="77777777" w:rsidR="002A22F5" w:rsidRPr="003E660A" w:rsidRDefault="002A22F5" w:rsidP="008D54AE">
            <w:pPr>
              <w:autoSpaceDE w:val="0"/>
              <w:autoSpaceDN w:val="0"/>
              <w:adjustRightInd w:val="0"/>
              <w:ind w:left="282"/>
              <w:rPr>
                <w:rFonts w:ascii="Calibri" w:eastAsia="Calibri" w:hAnsi="Calibri" w:cs="Arial"/>
                <w:b/>
                <w:bCs/>
                <w:i/>
                <w:sz w:val="20"/>
                <w:szCs w:val="20"/>
              </w:rPr>
            </w:pPr>
            <w:r w:rsidRPr="003E660A">
              <w:rPr>
                <w:rFonts w:ascii="Calibri" w:eastAsia="Calibri" w:hAnsi="Calibri" w:cs="Arial"/>
                <w:b/>
                <w:bCs/>
                <w:i/>
                <w:sz w:val="20"/>
                <w:szCs w:val="20"/>
              </w:rPr>
              <w:t>40.3.2 Allocation Of Local Capacity Area Resource Obligations</w:t>
            </w:r>
          </w:p>
          <w:p w14:paraId="6D4081F8" w14:textId="77777777" w:rsidR="002A22F5" w:rsidRPr="003E660A" w:rsidRDefault="002A22F5" w:rsidP="008D54AE">
            <w:pPr>
              <w:autoSpaceDE w:val="0"/>
              <w:autoSpaceDN w:val="0"/>
              <w:adjustRightInd w:val="0"/>
              <w:ind w:left="282"/>
              <w:rPr>
                <w:rFonts w:ascii="Calibri" w:eastAsia="Calibri" w:hAnsi="Calibri" w:cs="Arial"/>
                <w:i/>
                <w:sz w:val="20"/>
                <w:szCs w:val="20"/>
              </w:rPr>
            </w:pPr>
            <w:r w:rsidRPr="003E660A">
              <w:rPr>
                <w:rFonts w:ascii="Calibri" w:eastAsia="Calibri" w:hAnsi="Calibri" w:cs="Arial"/>
                <w:i/>
                <w:sz w:val="20"/>
                <w:szCs w:val="20"/>
              </w:rPr>
              <w:t>The CAISO will allocate responsibility for Local Capacity Area Resources to Scheduling Coordinators for Load Serving Entities in the following sequential manner:</w:t>
            </w:r>
          </w:p>
          <w:p w14:paraId="5EC6FCCE"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(a) The responsibility for the aggregate Local Capacity Area Resources required for</w:t>
            </w:r>
          </w:p>
          <w:p w14:paraId="12DD5277"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all Local Capacity Areas within each TAC Area as determined by the Local</w:t>
            </w:r>
          </w:p>
          <w:p w14:paraId="4FB15AB9"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Capacity Technical Study will be allocated to all Scheduling Coordinators for</w:t>
            </w:r>
          </w:p>
          <w:p w14:paraId="61F24D96"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Load Serving Entities that serve Load in the TAC Area in accordance with the</w:t>
            </w:r>
          </w:p>
          <w:p w14:paraId="2797604A" w14:textId="77777777" w:rsidR="002A22F5" w:rsidRPr="003E660A" w:rsidRDefault="002A22F5" w:rsidP="008D54AE">
            <w:pPr>
              <w:autoSpaceDE w:val="0"/>
              <w:autoSpaceDN w:val="0"/>
              <w:adjustRightInd w:val="0"/>
              <w:ind w:left="642"/>
              <w:rPr>
                <w:rFonts w:ascii="Calibri" w:eastAsia="Calibri" w:hAnsi="Calibri" w:cs="Arial"/>
                <w:i/>
                <w:sz w:val="20"/>
                <w:szCs w:val="20"/>
                <w:u w:val="single"/>
              </w:rPr>
            </w:pPr>
            <w:r w:rsidRPr="003E660A">
              <w:rPr>
                <w:rFonts w:ascii="Calibri" w:eastAsia="Calibri" w:hAnsi="Calibri" w:cs="Arial"/>
                <w:i/>
                <w:sz w:val="20"/>
                <w:szCs w:val="20"/>
                <w:u w:val="single"/>
              </w:rPr>
              <w:t>Load Serving Entity’s proportionate share of the LSE’s TAC Area Load at the</w:t>
            </w:r>
          </w:p>
          <w:p w14:paraId="7555C6D4" w14:textId="77777777" w:rsidR="002A22F5" w:rsidRPr="003E660A" w:rsidRDefault="002A22F5" w:rsidP="008D54AE">
            <w:pPr>
              <w:autoSpaceDE w:val="0"/>
              <w:autoSpaceDN w:val="0"/>
              <w:adjustRightInd w:val="0"/>
              <w:ind w:left="642"/>
              <w:rPr>
                <w:rFonts w:ascii="Calibri" w:eastAsia="Calibri" w:hAnsi="Calibri" w:cs="Arial"/>
                <w:i/>
                <w:sz w:val="20"/>
                <w:szCs w:val="20"/>
                <w:u w:val="single"/>
              </w:rPr>
            </w:pPr>
            <w:r w:rsidRPr="003E660A">
              <w:rPr>
                <w:rFonts w:ascii="Calibri" w:eastAsia="Calibri" w:hAnsi="Calibri" w:cs="Arial"/>
                <w:i/>
                <w:sz w:val="20"/>
                <w:szCs w:val="20"/>
                <w:u w:val="single"/>
              </w:rPr>
              <w:t>time of the CAISO’s annual coincident peak Demand set forth in the annual peak</w:t>
            </w:r>
          </w:p>
          <w:p w14:paraId="76B9ABF2"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u w:val="single"/>
              </w:rPr>
              <w:t>Demand Forecast for the next Resource Adequacy Compliance</w:t>
            </w:r>
            <w:r w:rsidRPr="003E660A">
              <w:rPr>
                <w:rFonts w:ascii="Calibri" w:eastAsia="Calibri" w:hAnsi="Calibri" w:cs="Arial"/>
                <w:i/>
                <w:sz w:val="20"/>
                <w:szCs w:val="20"/>
              </w:rPr>
              <w:t xml:space="preserve"> Year as</w:t>
            </w:r>
          </w:p>
          <w:p w14:paraId="4C0669B6"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determined by the California Energy Commission. Expressed as a formula, the</w:t>
            </w:r>
          </w:p>
          <w:p w14:paraId="2D123C44"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allocation of Local Area Capacity Resource obligations will be as follows: (Σ</w:t>
            </w:r>
          </w:p>
          <w:p w14:paraId="2F9ECBAE"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Local Capacity Area MW in TAC Area from the Local Capacity Technical Study) * (LSE Demand in TAC Area at CAISO annual coincident peak Demand)/(Total</w:t>
            </w:r>
          </w:p>
          <w:p w14:paraId="79F896EB"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TAC Area Demand at the time of CAISO annual coincident peak Demand). This</w:t>
            </w:r>
          </w:p>
          <w:p w14:paraId="50C2A4DD"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will result in a MW responsibility for each Load Serving Entity for each TAC Area</w:t>
            </w:r>
          </w:p>
          <w:p w14:paraId="563B96EA"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in which the LSE serves Load. The LSE may meet its MW responsibility, as</w:t>
            </w:r>
          </w:p>
          <w:p w14:paraId="471966AC"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assigned under this Section, for each TAC Area in which the LSE serves Load by</w:t>
            </w:r>
          </w:p>
          <w:p w14:paraId="3484C241"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procurement of that MW quantity in any Local Capacity Area in the TAC Area.</w:t>
            </w:r>
          </w:p>
          <w:p w14:paraId="641D156C" w14:textId="77777777" w:rsidR="002A22F5" w:rsidRPr="003E660A" w:rsidRDefault="002A22F5" w:rsidP="008D54AE">
            <w:pPr>
              <w:autoSpaceDE w:val="0"/>
              <w:autoSpaceDN w:val="0"/>
              <w:adjustRightInd w:val="0"/>
              <w:ind w:left="282"/>
              <w:rPr>
                <w:rFonts w:ascii="Calibri" w:eastAsia="Calibri" w:hAnsi="Calibri" w:cs="Arial"/>
                <w:i/>
                <w:sz w:val="20"/>
                <w:szCs w:val="20"/>
              </w:rPr>
            </w:pPr>
          </w:p>
          <w:p w14:paraId="4ACBB9F5"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(b) For Scheduling Coordinators for Non-CPUC Load Serving Entities, the Local</w:t>
            </w:r>
          </w:p>
          <w:p w14:paraId="04A9D129" w14:textId="77777777" w:rsidR="002A22F5" w:rsidRPr="003E660A" w:rsidRDefault="002A22F5" w:rsidP="008D54AE">
            <w:pPr>
              <w:autoSpaceDE w:val="0"/>
              <w:autoSpaceDN w:val="0"/>
              <w:adjustRightInd w:val="0"/>
              <w:ind w:left="642"/>
              <w:rPr>
                <w:rFonts w:ascii="Calibri" w:eastAsia="Calibri" w:hAnsi="Calibri" w:cs="Arial"/>
                <w:i/>
                <w:sz w:val="20"/>
                <w:szCs w:val="20"/>
              </w:rPr>
            </w:pPr>
            <w:r w:rsidRPr="003E660A">
              <w:rPr>
                <w:rFonts w:ascii="Calibri" w:eastAsia="Calibri" w:hAnsi="Calibri" w:cs="Arial"/>
                <w:i/>
                <w:sz w:val="20"/>
                <w:szCs w:val="20"/>
              </w:rPr>
              <w:t>Capacity Area Resource obligation will be allocated based on Section 40.3.2(a) above.</w:t>
            </w:r>
          </w:p>
        </w:tc>
      </w:tr>
      <w:tr w:rsidR="002A22F5" w:rsidRPr="003E660A" w14:paraId="067D67C8" w14:textId="77777777" w:rsidTr="002A22F5">
        <w:trPr>
          <w:tblHeader/>
        </w:trPr>
        <w:tc>
          <w:tcPr>
            <w:tcW w:w="0" w:type="auto"/>
          </w:tcPr>
          <w:p w14:paraId="35E1D0F5"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31A2771"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CDWR SWP</w:t>
            </w:r>
          </w:p>
        </w:tc>
        <w:tc>
          <w:tcPr>
            <w:tcW w:w="1278" w:type="dxa"/>
          </w:tcPr>
          <w:p w14:paraId="0D67DBC4"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43.8.7</w:t>
            </w:r>
          </w:p>
        </w:tc>
        <w:tc>
          <w:tcPr>
            <w:tcW w:w="1199" w:type="dxa"/>
          </w:tcPr>
          <w:p w14:paraId="6466AD24"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520D2E18" w14:textId="77777777" w:rsidR="002A22F5" w:rsidRPr="003E660A" w:rsidRDefault="002A22F5" w:rsidP="008D54AE">
            <w:pPr>
              <w:autoSpaceDE w:val="0"/>
              <w:autoSpaceDN w:val="0"/>
              <w:adjustRightInd w:val="0"/>
              <w:rPr>
                <w:rFonts w:ascii="Calibri" w:hAnsi="Calibri"/>
                <w:color w:val="0070C0"/>
                <w:sz w:val="20"/>
                <w:szCs w:val="20"/>
              </w:rPr>
            </w:pPr>
            <w:r w:rsidRPr="003E660A">
              <w:rPr>
                <w:rFonts w:ascii="Calibri" w:eastAsia="Arial" w:hAnsi="Calibri" w:cs="Arial"/>
                <w:b/>
                <w:color w:val="000000"/>
                <w:sz w:val="20"/>
                <w:szCs w:val="20"/>
              </w:rPr>
              <w:t>43.8.7 Allocation of CPM Costs For Resources At Risk of Retirement Needed for Reliability</w:t>
            </w:r>
            <w:r w:rsidRPr="003E660A">
              <w:rPr>
                <w:rFonts w:ascii="Calibri" w:hAnsi="Calibri"/>
                <w:color w:val="0070C0"/>
                <w:sz w:val="20"/>
                <w:szCs w:val="20"/>
              </w:rPr>
              <w:t xml:space="preserve"> indicates that allocation of CPM costs is based on the LSE’s actual TAC area load share percentage. Does the actual load as used for determining this allocation correspond to on-peak period or for the whole month? Given that RA obligations to acquire capacity are based on the need to meet peak loads, on-peak period load would be a better factor for allocation of CAISO-acquired capacity than socialization over total load in a TAC area. Because CAISO tariff provisions establish LSE capacity obligations in terms of contribution to coincident peak (§§ 40.2.2.3, 40.2.3.3), and generators’ capacity requirements are measured in on-peak period performance (</w:t>
            </w:r>
            <w:r w:rsidRPr="003E660A">
              <w:rPr>
                <w:rFonts w:ascii="Calibri" w:hAnsi="Calibri"/>
                <w:i/>
                <w:color w:val="0070C0"/>
                <w:sz w:val="20"/>
                <w:szCs w:val="20"/>
              </w:rPr>
              <w:t>e.g.,</w:t>
            </w:r>
            <w:r w:rsidRPr="003E660A">
              <w:rPr>
                <w:rFonts w:ascii="Calibri" w:hAnsi="Calibri"/>
                <w:color w:val="0070C0"/>
                <w:sz w:val="20"/>
                <w:szCs w:val="20"/>
              </w:rPr>
              <w:t xml:space="preserve"> § 40.9.3), allocation based on loads’ contribution to peak would reflect cost causation more accurately. </w:t>
            </w:r>
          </w:p>
          <w:p w14:paraId="5EAE3DC3" w14:textId="77777777" w:rsidR="002A22F5" w:rsidRPr="003E660A" w:rsidRDefault="002A22F5" w:rsidP="008D54AE">
            <w:pPr>
              <w:autoSpaceDE w:val="0"/>
              <w:autoSpaceDN w:val="0"/>
              <w:adjustRightInd w:val="0"/>
              <w:rPr>
                <w:rFonts w:ascii="Calibri" w:hAnsi="Calibri"/>
                <w:color w:val="0070C0"/>
                <w:sz w:val="20"/>
                <w:szCs w:val="20"/>
              </w:rPr>
            </w:pPr>
            <w:r w:rsidRPr="003E660A">
              <w:rPr>
                <w:rFonts w:ascii="Calibri" w:hAnsi="Calibri"/>
                <w:color w:val="0070C0"/>
                <w:sz w:val="20"/>
                <w:szCs w:val="20"/>
              </w:rPr>
              <w:t>A decision to avert generator retirement via CAISO backstop capacity purchases is one of system planning. It is not a short term capacity purchase to address an unexpected emergency situation. In this respect, CAISO CPM costs associated with resources at risk for retirement fall into the same category as Resource Adequacy backstop procurement, which anticipates resources needed to meet coincident peaks of the system.</w:t>
            </w:r>
          </w:p>
          <w:p w14:paraId="5D844305" w14:textId="77777777" w:rsidR="002A22F5" w:rsidRPr="003E660A" w:rsidRDefault="002A22F5" w:rsidP="008D54AE">
            <w:pPr>
              <w:autoSpaceDE w:val="0"/>
              <w:autoSpaceDN w:val="0"/>
              <w:adjustRightInd w:val="0"/>
              <w:rPr>
                <w:rFonts w:ascii="Calibri" w:hAnsi="Calibri"/>
                <w:color w:val="0070C0"/>
                <w:sz w:val="20"/>
                <w:szCs w:val="20"/>
              </w:rPr>
            </w:pPr>
          </w:p>
          <w:p w14:paraId="360C0736" w14:textId="77777777" w:rsidR="002A22F5" w:rsidRPr="003E660A" w:rsidRDefault="002A22F5" w:rsidP="008D54AE">
            <w:pPr>
              <w:tabs>
                <w:tab w:val="left" w:pos="2525"/>
              </w:tabs>
              <w:autoSpaceDE w:val="0"/>
              <w:autoSpaceDN w:val="0"/>
              <w:adjustRightInd w:val="0"/>
              <w:spacing w:before="120" w:after="120"/>
              <w:rPr>
                <w:rFonts w:ascii="Calibri" w:hAnsi="Calibri"/>
                <w:sz w:val="20"/>
                <w:szCs w:val="20"/>
              </w:rPr>
            </w:pPr>
            <w:r w:rsidRPr="003E660A">
              <w:rPr>
                <w:rFonts w:ascii="Calibri" w:hAnsi="Calibri"/>
                <w:color w:val="0070C0"/>
                <w:sz w:val="20"/>
                <w:szCs w:val="20"/>
              </w:rPr>
              <w:t>Allocation of the cost of CAISO capacity procurement from resources at risk of retirement should be based on contribution to coincident peak loads in order to be consistent with the CAISO’s allocation of RA local area resources procurement responsibility. This responsibility is applied “to all Scheduling Coordinators for Load Serving Entities that serve Load in the TAC Area in accordance with the Load Serving Entity’s proportionate share of the LSE’s TAC Area Load at the time of the CAISO’s annual coincident peak Demand set forth in the annual peak Demand Forecast for the next Resource Adequacy Compliance Year as determined by the California Energy Commission.” (§ 40.3.2)</w:t>
            </w:r>
          </w:p>
        </w:tc>
      </w:tr>
      <w:tr w:rsidR="002A22F5" w:rsidRPr="003E660A" w14:paraId="29AF2B84" w14:textId="77777777" w:rsidTr="002A22F5">
        <w:trPr>
          <w:tblHeader/>
        </w:trPr>
        <w:tc>
          <w:tcPr>
            <w:tcW w:w="0" w:type="auto"/>
          </w:tcPr>
          <w:p w14:paraId="140309DF"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39E7BEA"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NRG</w:t>
            </w:r>
          </w:p>
        </w:tc>
        <w:tc>
          <w:tcPr>
            <w:tcW w:w="1278" w:type="dxa"/>
          </w:tcPr>
          <w:p w14:paraId="020499ED"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Appendix A</w:t>
            </w:r>
          </w:p>
        </w:tc>
        <w:tc>
          <w:tcPr>
            <w:tcW w:w="1199" w:type="dxa"/>
          </w:tcPr>
          <w:p w14:paraId="0591CB61"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17, 2010</w:t>
            </w:r>
          </w:p>
        </w:tc>
        <w:tc>
          <w:tcPr>
            <w:tcW w:w="12090" w:type="dxa"/>
            <w:shd w:val="clear" w:color="auto" w:fill="auto"/>
          </w:tcPr>
          <w:p w14:paraId="4533F725" w14:textId="77777777" w:rsidR="002A22F5" w:rsidRPr="00241ABD" w:rsidRDefault="002A22F5" w:rsidP="00241ABD">
            <w:pPr>
              <w:numPr>
                <w:ilvl w:val="0"/>
                <w:numId w:val="33"/>
              </w:numPr>
              <w:tabs>
                <w:tab w:val="left" w:pos="2525"/>
              </w:tabs>
              <w:autoSpaceDE w:val="0"/>
              <w:autoSpaceDN w:val="0"/>
              <w:adjustRightInd w:val="0"/>
              <w:spacing w:before="120" w:after="120"/>
              <w:rPr>
                <w:rFonts w:ascii="Calibri" w:hAnsi="Calibri"/>
                <w:bCs/>
                <w:sz w:val="20"/>
                <w:szCs w:val="20"/>
              </w:rPr>
            </w:pPr>
            <w:r w:rsidRPr="00241ABD">
              <w:rPr>
                <w:rFonts w:ascii="Calibri" w:hAnsi="Calibri"/>
                <w:b/>
                <w:bCs/>
                <w:sz w:val="20"/>
                <w:szCs w:val="20"/>
              </w:rPr>
              <w:t>The Term “Resource” Does Not Appear in Appendix A.</w:t>
            </w:r>
          </w:p>
          <w:p w14:paraId="759D2C08" w14:textId="77777777" w:rsidR="002A22F5" w:rsidRPr="003E660A" w:rsidRDefault="002A22F5" w:rsidP="003E660A">
            <w:pPr>
              <w:tabs>
                <w:tab w:val="left" w:pos="2525"/>
              </w:tabs>
              <w:autoSpaceDE w:val="0"/>
              <w:autoSpaceDN w:val="0"/>
              <w:adjustRightInd w:val="0"/>
              <w:spacing w:before="120" w:after="120"/>
              <w:rPr>
                <w:rFonts w:ascii="Calibri" w:hAnsi="Calibri"/>
                <w:bCs/>
                <w:sz w:val="20"/>
                <w:szCs w:val="20"/>
              </w:rPr>
            </w:pPr>
            <w:r w:rsidRPr="00241ABD">
              <w:rPr>
                <w:rFonts w:ascii="Calibri" w:hAnsi="Calibri"/>
                <w:bCs/>
                <w:sz w:val="20"/>
                <w:szCs w:val="20"/>
              </w:rPr>
              <w:t xml:space="preserve">Because “resource” is not defined in the definitions section, NRG proposed substituting the defined term “Generating Unit” instead.  </w:t>
            </w:r>
          </w:p>
        </w:tc>
      </w:tr>
      <w:tr w:rsidR="002A22F5" w:rsidRPr="003E660A" w14:paraId="38929C83" w14:textId="77777777" w:rsidTr="002A22F5">
        <w:trPr>
          <w:tblHeader/>
        </w:trPr>
        <w:tc>
          <w:tcPr>
            <w:tcW w:w="0" w:type="auto"/>
          </w:tcPr>
          <w:p w14:paraId="40251D20"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ADB3AFA"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CPUC</w:t>
            </w:r>
          </w:p>
        </w:tc>
        <w:tc>
          <w:tcPr>
            <w:tcW w:w="1278" w:type="dxa"/>
          </w:tcPr>
          <w:p w14:paraId="7772674D"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General</w:t>
            </w:r>
          </w:p>
        </w:tc>
        <w:tc>
          <w:tcPr>
            <w:tcW w:w="1199" w:type="dxa"/>
          </w:tcPr>
          <w:p w14:paraId="7AF1F71F" w14:textId="77777777" w:rsidR="002A22F5" w:rsidRPr="003E660A" w:rsidRDefault="002A22F5" w:rsidP="00AA755B">
            <w:pPr>
              <w:spacing w:before="120" w:after="120"/>
              <w:jc w:val="center"/>
              <w:rPr>
                <w:rFonts w:ascii="Calibri" w:hAnsi="Calibri" w:cs="Arial"/>
                <w:i/>
                <w:sz w:val="20"/>
                <w:szCs w:val="20"/>
              </w:rPr>
            </w:pPr>
            <w:r w:rsidRPr="003E660A">
              <w:rPr>
                <w:rFonts w:ascii="Calibri" w:hAnsi="Calibri" w:cs="Arial"/>
                <w:i/>
                <w:sz w:val="20"/>
                <w:szCs w:val="20"/>
              </w:rPr>
              <w:t>November 16, 2010</w:t>
            </w:r>
          </w:p>
        </w:tc>
        <w:tc>
          <w:tcPr>
            <w:tcW w:w="12090" w:type="dxa"/>
            <w:shd w:val="clear" w:color="auto" w:fill="auto"/>
          </w:tcPr>
          <w:p w14:paraId="2FA24DBC" w14:textId="77777777" w:rsidR="002A22F5" w:rsidRPr="003E660A" w:rsidRDefault="002A22F5" w:rsidP="003E660A">
            <w:pPr>
              <w:tabs>
                <w:tab w:val="left" w:pos="2525"/>
              </w:tabs>
              <w:autoSpaceDE w:val="0"/>
              <w:autoSpaceDN w:val="0"/>
              <w:adjustRightInd w:val="0"/>
              <w:spacing w:before="120" w:after="120"/>
              <w:rPr>
                <w:rFonts w:ascii="Calibri" w:hAnsi="Calibri"/>
                <w:bCs/>
                <w:sz w:val="20"/>
                <w:szCs w:val="20"/>
              </w:rPr>
            </w:pPr>
            <w:r w:rsidRPr="003E660A">
              <w:rPr>
                <w:rFonts w:ascii="Calibri" w:hAnsi="Calibri"/>
                <w:bCs/>
                <w:sz w:val="20"/>
                <w:szCs w:val="20"/>
              </w:rPr>
              <w:t>The CAISO’s modifications to the proposed tariff language continue to lack sufficient clarity.</w:t>
            </w:r>
          </w:p>
          <w:p w14:paraId="008CE750" w14:textId="77777777" w:rsidR="002A22F5" w:rsidRPr="003E660A" w:rsidRDefault="002A22F5" w:rsidP="003E660A">
            <w:pPr>
              <w:tabs>
                <w:tab w:val="left" w:pos="2525"/>
              </w:tabs>
              <w:autoSpaceDE w:val="0"/>
              <w:autoSpaceDN w:val="0"/>
              <w:adjustRightInd w:val="0"/>
              <w:spacing w:before="120" w:after="120"/>
              <w:rPr>
                <w:rFonts w:ascii="Calibri" w:hAnsi="Calibri"/>
                <w:bCs/>
                <w:sz w:val="20"/>
                <w:szCs w:val="20"/>
              </w:rPr>
            </w:pPr>
            <w:r w:rsidRPr="003E660A">
              <w:rPr>
                <w:rFonts w:ascii="Calibri" w:hAnsi="Calibri"/>
                <w:bCs/>
                <w:sz w:val="20"/>
                <w:szCs w:val="20"/>
              </w:rPr>
              <w:t xml:space="preserve">For the above reasons, the CPUC continues to respectfully requests that the CAISO withdraw sections 43.2.6, 43.3.7, and 43.8.7 of its Draft Tariff Language before submitting to FERC for approval.  </w:t>
            </w:r>
          </w:p>
        </w:tc>
      </w:tr>
      <w:tr w:rsidR="002A22F5" w:rsidRPr="003E660A" w14:paraId="50B12263" w14:textId="77777777" w:rsidTr="002A22F5">
        <w:trPr>
          <w:tblHeader/>
        </w:trPr>
        <w:tc>
          <w:tcPr>
            <w:tcW w:w="0" w:type="auto"/>
          </w:tcPr>
          <w:p w14:paraId="6B8B2D1F" w14:textId="77777777" w:rsidR="002A22F5" w:rsidRPr="003E660A" w:rsidRDefault="002A22F5"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54EFA44"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SDG&amp;E</w:t>
            </w:r>
          </w:p>
        </w:tc>
        <w:tc>
          <w:tcPr>
            <w:tcW w:w="1278" w:type="dxa"/>
          </w:tcPr>
          <w:p w14:paraId="51E3F438"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General</w:t>
            </w:r>
          </w:p>
        </w:tc>
        <w:tc>
          <w:tcPr>
            <w:tcW w:w="1199" w:type="dxa"/>
          </w:tcPr>
          <w:p w14:paraId="311CE94D" w14:textId="77777777" w:rsidR="002A22F5" w:rsidRPr="003E660A" w:rsidRDefault="002A22F5" w:rsidP="00AA755B">
            <w:pPr>
              <w:spacing w:before="120" w:after="120"/>
              <w:jc w:val="center"/>
              <w:rPr>
                <w:rFonts w:ascii="Calibri" w:hAnsi="Calibri" w:cs="Arial"/>
                <w:i/>
                <w:sz w:val="20"/>
                <w:szCs w:val="20"/>
              </w:rPr>
            </w:pPr>
            <w:r>
              <w:rPr>
                <w:rFonts w:ascii="Calibri" w:hAnsi="Calibri" w:cs="Arial"/>
                <w:i/>
                <w:sz w:val="20"/>
                <w:szCs w:val="20"/>
              </w:rPr>
              <w:t>November 16, 2010</w:t>
            </w:r>
          </w:p>
        </w:tc>
        <w:tc>
          <w:tcPr>
            <w:tcW w:w="12090" w:type="dxa"/>
            <w:shd w:val="clear" w:color="auto" w:fill="auto"/>
          </w:tcPr>
          <w:p w14:paraId="3D2F0A76" w14:textId="77777777" w:rsidR="002A22F5" w:rsidRPr="003E660A" w:rsidRDefault="002A22F5" w:rsidP="003E660A">
            <w:pPr>
              <w:tabs>
                <w:tab w:val="left" w:pos="2525"/>
              </w:tabs>
              <w:autoSpaceDE w:val="0"/>
              <w:autoSpaceDN w:val="0"/>
              <w:adjustRightInd w:val="0"/>
              <w:spacing w:before="120" w:after="120"/>
              <w:rPr>
                <w:rFonts w:ascii="Calibri" w:hAnsi="Calibri"/>
                <w:bCs/>
                <w:sz w:val="20"/>
                <w:szCs w:val="20"/>
              </w:rPr>
            </w:pPr>
            <w:r w:rsidRPr="005C5939">
              <w:rPr>
                <w:rFonts w:ascii="Calibri" w:hAnsi="Calibri"/>
                <w:bCs/>
                <w:sz w:val="20"/>
                <w:szCs w:val="20"/>
              </w:rPr>
              <w:t>As a general comment, SDG&amp;E continues to protest the CAISO’s decision to expand the CPM tariff to include authority for the CAISO to offer CPM contracts to generating units that the CAISO believes may be needed for reliability purposes in years beyond the current one-year resource adequacy (RA) compliance year.  The CAISO has not demonstrated that this potential problem cannot be solved within the context of the CPUC’s bilateral Long Term Procurement Plan (LTPP) and (RA) proceedings.  SDG&amp;E believes the CPUC has primary authority over LTPP/RA matters, and that the burden is on the CAISO to demonstrate that the bilateral LTPP/RA markets will fail to promote an orderly and economic exit for units nearing the end of their useful life.  The CAISO has made no attempt to demonstrate that bilateral market failure is highly probable, so SDG&amp;E views the CAISO’s request for authority to intervene in bilateral negotiations to meet the CPUC’s LTPP/RA requirements as unnecessary and counterproductive.  Indeed, the mere possession of such authority by the CAISO would distort negotiation incentives between LTPP/RA sellers and buyers.</w:t>
            </w:r>
          </w:p>
        </w:tc>
      </w:tr>
    </w:tbl>
    <w:p w14:paraId="368121C8" w14:textId="77777777" w:rsidR="00BF611F" w:rsidRDefault="00BF611F" w:rsidP="001F109D">
      <w:pPr>
        <w:rPr>
          <w:rFonts w:ascii="Arial" w:hAnsi="Arial" w:cs="Arial"/>
          <w:sz w:val="16"/>
          <w:szCs w:val="16"/>
        </w:rPr>
      </w:pPr>
    </w:p>
    <w:p w14:paraId="12F9CC20" w14:textId="77777777" w:rsidR="00D94BB1" w:rsidRPr="00E93739" w:rsidRDefault="00AA755B" w:rsidP="001F109D">
      <w:pPr>
        <w:rPr>
          <w:rFonts w:ascii="Arial" w:hAnsi="Arial" w:cs="Arial"/>
          <w:sz w:val="16"/>
          <w:szCs w:val="16"/>
        </w:rPr>
      </w:pPr>
      <w:r>
        <w:rPr>
          <w:rFonts w:ascii="Arial" w:hAnsi="Arial" w:cs="Arial"/>
          <w:sz w:val="16"/>
          <w:szCs w:val="16"/>
        </w:rPr>
        <w:br w:type="textWrapping" w:clear="all"/>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p>
    <w:sectPr w:rsidR="00D94BB1" w:rsidRPr="00E93739" w:rsidSect="00E104F1">
      <w:headerReference w:type="default" r:id="rId12"/>
      <w:footerReference w:type="default" r:id="rId13"/>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FE48" w14:textId="77777777" w:rsidR="00303C5C" w:rsidRDefault="00303C5C" w:rsidP="00833950">
      <w:r>
        <w:separator/>
      </w:r>
    </w:p>
  </w:endnote>
  <w:endnote w:type="continuationSeparator" w:id="0">
    <w:p w14:paraId="485E1C4B" w14:textId="77777777" w:rsidR="00303C5C" w:rsidRDefault="00303C5C" w:rsidP="0083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1331" w14:textId="77777777" w:rsidR="008D54AE" w:rsidRDefault="00AD26D7">
    <w:pPr>
      <w:pStyle w:val="Footer"/>
      <w:jc w:val="center"/>
    </w:pPr>
    <w:r w:rsidRPr="0066796D">
      <w:rPr>
        <w:rFonts w:ascii="Arial" w:hAnsi="Arial" w:cs="Arial"/>
        <w:sz w:val="20"/>
        <w:szCs w:val="20"/>
      </w:rPr>
      <w:fldChar w:fldCharType="begin"/>
    </w:r>
    <w:r w:rsidR="008D54AE" w:rsidRPr="0066796D">
      <w:rPr>
        <w:rFonts w:ascii="Arial" w:hAnsi="Arial" w:cs="Arial"/>
        <w:sz w:val="20"/>
        <w:szCs w:val="20"/>
      </w:rPr>
      <w:instrText xml:space="preserve"> PAGE   \* MERGEFORMAT </w:instrText>
    </w:r>
    <w:r w:rsidRPr="0066796D">
      <w:rPr>
        <w:rFonts w:ascii="Arial" w:hAnsi="Arial" w:cs="Arial"/>
        <w:sz w:val="20"/>
        <w:szCs w:val="20"/>
      </w:rPr>
      <w:fldChar w:fldCharType="separate"/>
    </w:r>
    <w:r w:rsidR="006C5E33">
      <w:rPr>
        <w:rFonts w:ascii="Arial" w:hAnsi="Arial" w:cs="Arial"/>
        <w:noProof/>
        <w:sz w:val="20"/>
        <w:szCs w:val="20"/>
      </w:rPr>
      <w:t>1</w:t>
    </w:r>
    <w:r w:rsidRPr="0066796D">
      <w:rPr>
        <w:rFonts w:ascii="Arial" w:hAnsi="Arial" w:cs="Arial"/>
        <w:sz w:val="20"/>
        <w:szCs w:val="20"/>
      </w:rPr>
      <w:fldChar w:fldCharType="end"/>
    </w:r>
  </w:p>
  <w:p w14:paraId="42C9F3B3" w14:textId="77777777" w:rsidR="008D54AE" w:rsidRDefault="008D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67F5" w14:textId="77777777" w:rsidR="00303C5C" w:rsidRDefault="00303C5C" w:rsidP="00833950">
      <w:r>
        <w:separator/>
      </w:r>
    </w:p>
  </w:footnote>
  <w:footnote w:type="continuationSeparator" w:id="0">
    <w:p w14:paraId="705A8EC9" w14:textId="77777777" w:rsidR="00303C5C" w:rsidRDefault="00303C5C" w:rsidP="00833950">
      <w:r>
        <w:continuationSeparator/>
      </w:r>
    </w:p>
  </w:footnote>
  <w:footnote w:id="1">
    <w:p w14:paraId="79FDA7AC" w14:textId="77777777" w:rsidR="002A22F5" w:rsidRDefault="002A22F5" w:rsidP="003E660A">
      <w:pPr>
        <w:pStyle w:val="FootnoteText"/>
      </w:pPr>
      <w:r>
        <w:rPr>
          <w:rStyle w:val="FootnoteReference"/>
        </w:rPr>
        <w:footnoteRef/>
      </w:r>
      <w:r>
        <w:t xml:space="preserve"> </w:t>
      </w:r>
      <w:r>
        <w:rPr>
          <w:i/>
        </w:rPr>
        <w:t>See also</w:t>
      </w:r>
      <w:r>
        <w:t xml:space="preserve"> the Opinion on the Capacity Procurement Mechanism and Compensation and Bid Mitigation for Exceptional Dispatch, F. Wolak, J. Bushnell, B. Hobbs, CAISO Market Surveillance Committee (October 18, 2010) p. 4.  </w:t>
      </w:r>
    </w:p>
  </w:footnote>
  <w:footnote w:id="2">
    <w:p w14:paraId="13165BF6" w14:textId="77777777" w:rsidR="002A22F5" w:rsidRDefault="002A22F5" w:rsidP="003E660A">
      <w:pPr>
        <w:pStyle w:val="FootnoteText"/>
      </w:pPr>
      <w:r>
        <w:rPr>
          <w:rStyle w:val="FootnoteReference"/>
        </w:rPr>
        <w:footnoteRef/>
      </w:r>
      <w:r>
        <w:t xml:space="preserve"> Market Surveillance Committee Opinion, </w:t>
      </w:r>
      <w:r>
        <w:rPr>
          <w:i/>
        </w:rPr>
        <w:t>supra</w:t>
      </w:r>
      <w:r>
        <w:t>, (Oct. 18, 2010), pp.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C26E" w14:textId="77777777" w:rsidR="008D54AE" w:rsidRDefault="006C5E33" w:rsidP="00EA2608">
    <w:pPr>
      <w:rPr>
        <w:rFonts w:ascii="Arial" w:hAnsi="Arial" w:cs="Arial"/>
        <w:b/>
        <w:sz w:val="16"/>
        <w:szCs w:val="16"/>
      </w:rPr>
    </w:pPr>
    <w:r w:rsidRPr="006C5E33">
      <w:rPr>
        <w:rFonts w:ascii="Arial" w:hAnsi="Arial" w:cs="Arial"/>
        <w:b/>
        <w:noProof/>
        <w:sz w:val="16"/>
        <w:szCs w:val="16"/>
      </w:rPr>
      <w:pict w14:anchorId="2C956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9.4pt;height:39.9pt;visibility:visible">
          <v:imagedata r:id="rId1" o:title=""/>
        </v:shape>
      </w:pict>
    </w:r>
  </w:p>
  <w:p w14:paraId="4CB2C9BB" w14:textId="77777777" w:rsidR="008D54AE" w:rsidRPr="00E93739" w:rsidRDefault="008D54AE" w:rsidP="00926D10">
    <w:pPr>
      <w:jc w:val="center"/>
      <w:rPr>
        <w:rFonts w:ascii="Arial" w:hAnsi="Arial" w:cs="Arial"/>
        <w:b/>
        <w:sz w:val="16"/>
        <w:szCs w:val="16"/>
      </w:rPr>
    </w:pPr>
  </w:p>
  <w:p w14:paraId="01F1E7A0" w14:textId="77777777" w:rsidR="008D54AE" w:rsidRDefault="008D54AE" w:rsidP="00926D10">
    <w:pPr>
      <w:jc w:val="center"/>
      <w:rPr>
        <w:rFonts w:ascii="Arial" w:hAnsi="Arial" w:cs="Arial"/>
        <w:b/>
        <w:sz w:val="16"/>
        <w:szCs w:val="16"/>
      </w:rPr>
    </w:pPr>
  </w:p>
  <w:p w14:paraId="384F8CB0" w14:textId="77777777" w:rsidR="008D54AE" w:rsidRDefault="008D54AE" w:rsidP="00926D10">
    <w:pPr>
      <w:jc w:val="center"/>
      <w:rPr>
        <w:rFonts w:ascii="Arial" w:hAnsi="Arial" w:cs="Arial"/>
        <w:b/>
        <w:sz w:val="16"/>
        <w:szCs w:val="16"/>
      </w:rPr>
    </w:pPr>
  </w:p>
  <w:p w14:paraId="5ED5122E" w14:textId="77777777" w:rsidR="008D54AE" w:rsidRDefault="008D54AE" w:rsidP="00926D10">
    <w:pPr>
      <w:jc w:val="center"/>
      <w:rPr>
        <w:rFonts w:ascii="Arial" w:hAnsi="Arial" w:cs="Arial"/>
        <w:b/>
        <w:sz w:val="16"/>
        <w:szCs w:val="16"/>
      </w:rPr>
    </w:pPr>
    <w:r>
      <w:rPr>
        <w:rFonts w:ascii="Arial" w:hAnsi="Arial" w:cs="Arial"/>
        <w:sz w:val="20"/>
        <w:szCs w:val="20"/>
      </w:rPr>
      <w:t>Capacity Procurement Mechanism Draft Tariff Modifications Stakeholder Comments and ISO Responses</w:t>
    </w:r>
  </w:p>
  <w:p w14:paraId="2F27622D" w14:textId="77777777" w:rsidR="008D54AE" w:rsidRDefault="008D54AE" w:rsidP="00926D10">
    <w:pP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9A9"/>
    <w:multiLevelType w:val="hybridMultilevel"/>
    <w:tmpl w:val="AEE066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B4CA8"/>
    <w:multiLevelType w:val="hybridMultilevel"/>
    <w:tmpl w:val="88DA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2AB9"/>
    <w:multiLevelType w:val="hybridMultilevel"/>
    <w:tmpl w:val="C89A4A1A"/>
    <w:lvl w:ilvl="0" w:tplc="6CE642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04A"/>
    <w:multiLevelType w:val="multilevel"/>
    <w:tmpl w:val="7124E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45744A"/>
    <w:multiLevelType w:val="hybridMultilevel"/>
    <w:tmpl w:val="FD52F974"/>
    <w:lvl w:ilvl="0" w:tplc="C6B0CB9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6D02FE"/>
    <w:multiLevelType w:val="hybridMultilevel"/>
    <w:tmpl w:val="09D2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54E"/>
    <w:multiLevelType w:val="hybridMultilevel"/>
    <w:tmpl w:val="0B90F632"/>
    <w:lvl w:ilvl="0" w:tplc="41AA6B20">
      <w:start w:val="1"/>
      <w:numFmt w:val="decimal"/>
      <w:lvlText w:val="%1."/>
      <w:lvlJc w:val="left"/>
      <w:pPr>
        <w:ind w:left="360" w:hanging="360"/>
      </w:pPr>
      <w:rPr>
        <w:rFonts w:cs="Times New Roman"/>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BB59BD"/>
    <w:multiLevelType w:val="hybridMultilevel"/>
    <w:tmpl w:val="35C0509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BC209A4"/>
    <w:multiLevelType w:val="hybridMultilevel"/>
    <w:tmpl w:val="2D66227E"/>
    <w:lvl w:ilvl="0" w:tplc="F348B4F8">
      <w:start w:val="3"/>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B3209D"/>
    <w:multiLevelType w:val="hybridMultilevel"/>
    <w:tmpl w:val="C3343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F0134"/>
    <w:multiLevelType w:val="hybridMultilevel"/>
    <w:tmpl w:val="B1D0E7AC"/>
    <w:lvl w:ilvl="0" w:tplc="460CC8F0">
      <w:start w:val="1"/>
      <w:numFmt w:val="bullet"/>
      <w:lvlText w:val=""/>
      <w:lvlJc w:val="left"/>
      <w:pPr>
        <w:tabs>
          <w:tab w:val="num" w:pos="360"/>
        </w:tabs>
        <w:ind w:left="360" w:hanging="360"/>
      </w:pPr>
      <w:rPr>
        <w:rFonts w:ascii="Symbol" w:hAnsi="Symbol" w:hint="default"/>
      </w:rPr>
    </w:lvl>
    <w:lvl w:ilvl="1" w:tplc="14D48EA2">
      <w:start w:val="1"/>
      <w:numFmt w:val="bullet"/>
      <w:lvlText w:val="o"/>
      <w:lvlJc w:val="left"/>
      <w:pPr>
        <w:tabs>
          <w:tab w:val="num" w:pos="1080"/>
        </w:tabs>
        <w:ind w:left="1080" w:hanging="360"/>
      </w:pPr>
      <w:rPr>
        <w:rFonts w:ascii="Courier New" w:hAnsi="Courier New" w:cs="Courier New" w:hint="default"/>
      </w:rPr>
    </w:lvl>
    <w:lvl w:ilvl="2" w:tplc="470E5486" w:tentative="1">
      <w:start w:val="1"/>
      <w:numFmt w:val="bullet"/>
      <w:lvlText w:val=""/>
      <w:lvlJc w:val="left"/>
      <w:pPr>
        <w:tabs>
          <w:tab w:val="num" w:pos="1800"/>
        </w:tabs>
        <w:ind w:left="1800" w:hanging="360"/>
      </w:pPr>
      <w:rPr>
        <w:rFonts w:ascii="Wingdings" w:hAnsi="Wingdings" w:hint="default"/>
      </w:rPr>
    </w:lvl>
    <w:lvl w:ilvl="3" w:tplc="094C0818" w:tentative="1">
      <w:start w:val="1"/>
      <w:numFmt w:val="bullet"/>
      <w:lvlText w:val=""/>
      <w:lvlJc w:val="left"/>
      <w:pPr>
        <w:tabs>
          <w:tab w:val="num" w:pos="2520"/>
        </w:tabs>
        <w:ind w:left="2520" w:hanging="360"/>
      </w:pPr>
      <w:rPr>
        <w:rFonts w:ascii="Symbol" w:hAnsi="Symbol" w:hint="default"/>
      </w:rPr>
    </w:lvl>
    <w:lvl w:ilvl="4" w:tplc="F82C5CA6" w:tentative="1">
      <w:start w:val="1"/>
      <w:numFmt w:val="bullet"/>
      <w:lvlText w:val="o"/>
      <w:lvlJc w:val="left"/>
      <w:pPr>
        <w:tabs>
          <w:tab w:val="num" w:pos="3240"/>
        </w:tabs>
        <w:ind w:left="3240" w:hanging="360"/>
      </w:pPr>
      <w:rPr>
        <w:rFonts w:ascii="Courier New" w:hAnsi="Courier New" w:cs="Courier New" w:hint="default"/>
      </w:rPr>
    </w:lvl>
    <w:lvl w:ilvl="5" w:tplc="B1F48D9C" w:tentative="1">
      <w:start w:val="1"/>
      <w:numFmt w:val="bullet"/>
      <w:lvlText w:val=""/>
      <w:lvlJc w:val="left"/>
      <w:pPr>
        <w:tabs>
          <w:tab w:val="num" w:pos="3960"/>
        </w:tabs>
        <w:ind w:left="3960" w:hanging="360"/>
      </w:pPr>
      <w:rPr>
        <w:rFonts w:ascii="Wingdings" w:hAnsi="Wingdings" w:hint="default"/>
      </w:rPr>
    </w:lvl>
    <w:lvl w:ilvl="6" w:tplc="068A3522" w:tentative="1">
      <w:start w:val="1"/>
      <w:numFmt w:val="bullet"/>
      <w:lvlText w:val=""/>
      <w:lvlJc w:val="left"/>
      <w:pPr>
        <w:tabs>
          <w:tab w:val="num" w:pos="4680"/>
        </w:tabs>
        <w:ind w:left="4680" w:hanging="360"/>
      </w:pPr>
      <w:rPr>
        <w:rFonts w:ascii="Symbol" w:hAnsi="Symbol" w:hint="default"/>
      </w:rPr>
    </w:lvl>
    <w:lvl w:ilvl="7" w:tplc="BD864E54" w:tentative="1">
      <w:start w:val="1"/>
      <w:numFmt w:val="bullet"/>
      <w:lvlText w:val="o"/>
      <w:lvlJc w:val="left"/>
      <w:pPr>
        <w:tabs>
          <w:tab w:val="num" w:pos="5400"/>
        </w:tabs>
        <w:ind w:left="5400" w:hanging="360"/>
      </w:pPr>
      <w:rPr>
        <w:rFonts w:ascii="Courier New" w:hAnsi="Courier New" w:cs="Courier New" w:hint="default"/>
      </w:rPr>
    </w:lvl>
    <w:lvl w:ilvl="8" w:tplc="805010B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B40A3D"/>
    <w:multiLevelType w:val="hybridMultilevel"/>
    <w:tmpl w:val="CCD0C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470D60"/>
    <w:multiLevelType w:val="hybridMultilevel"/>
    <w:tmpl w:val="94B4298C"/>
    <w:lvl w:ilvl="0" w:tplc="6C36EA7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3463FD7"/>
    <w:multiLevelType w:val="hybridMultilevel"/>
    <w:tmpl w:val="9962BF0E"/>
    <w:lvl w:ilvl="0" w:tplc="73760F1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23788"/>
    <w:multiLevelType w:val="hybridMultilevel"/>
    <w:tmpl w:val="1D74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413C5"/>
    <w:multiLevelType w:val="hybridMultilevel"/>
    <w:tmpl w:val="DDD85468"/>
    <w:lvl w:ilvl="0" w:tplc="3CE8F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85D22"/>
    <w:multiLevelType w:val="hybridMultilevel"/>
    <w:tmpl w:val="FF1EA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860971"/>
    <w:multiLevelType w:val="hybridMultilevel"/>
    <w:tmpl w:val="C0FE511C"/>
    <w:lvl w:ilvl="0" w:tplc="47EC9D16">
      <w:start w:val="1"/>
      <w:numFmt w:val="bullet"/>
      <w:lvlText w:val=""/>
      <w:lvlJc w:val="left"/>
      <w:pPr>
        <w:tabs>
          <w:tab w:val="num" w:pos="1440"/>
        </w:tabs>
        <w:ind w:left="1512"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7074C7"/>
    <w:multiLevelType w:val="hybridMultilevel"/>
    <w:tmpl w:val="B8B690F6"/>
    <w:lvl w:ilvl="0" w:tplc="AFC4944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C005B"/>
    <w:multiLevelType w:val="hybridMultilevel"/>
    <w:tmpl w:val="26E0D96C"/>
    <w:lvl w:ilvl="0" w:tplc="B6A08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60B29"/>
    <w:multiLevelType w:val="hybridMultilevel"/>
    <w:tmpl w:val="6E902756"/>
    <w:lvl w:ilvl="0" w:tplc="28324A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70228F4"/>
    <w:multiLevelType w:val="hybridMultilevel"/>
    <w:tmpl w:val="CE5EAC40"/>
    <w:lvl w:ilvl="0" w:tplc="B9102E5C">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8D1657"/>
    <w:multiLevelType w:val="hybridMultilevel"/>
    <w:tmpl w:val="ECA04B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02EFC"/>
    <w:multiLevelType w:val="hybridMultilevel"/>
    <w:tmpl w:val="EBAA8346"/>
    <w:lvl w:ilvl="0" w:tplc="0A385900">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F668EB"/>
    <w:multiLevelType w:val="hybridMultilevel"/>
    <w:tmpl w:val="12B2A7F0"/>
    <w:lvl w:ilvl="0" w:tplc="4CDC1E3A">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9C630BA"/>
    <w:multiLevelType w:val="hybridMultilevel"/>
    <w:tmpl w:val="A920DB40"/>
    <w:lvl w:ilvl="0" w:tplc="A0D216B6">
      <w:start w:val="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67D00"/>
    <w:multiLevelType w:val="hybridMultilevel"/>
    <w:tmpl w:val="99802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71DF3A45"/>
    <w:multiLevelType w:val="hybridMultilevel"/>
    <w:tmpl w:val="D346C2C0"/>
    <w:lvl w:ilvl="0" w:tplc="AA32E4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46E59"/>
    <w:multiLevelType w:val="hybridMultilevel"/>
    <w:tmpl w:val="A2181778"/>
    <w:lvl w:ilvl="0" w:tplc="96A0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40034"/>
    <w:multiLevelType w:val="hybridMultilevel"/>
    <w:tmpl w:val="3AD43DE2"/>
    <w:lvl w:ilvl="0" w:tplc="D05A9DDC">
      <w:start w:val="2"/>
      <w:numFmt w:val="decimal"/>
      <w:lvlText w:val="%1."/>
      <w:lvlJc w:val="left"/>
      <w:pPr>
        <w:tabs>
          <w:tab w:val="num" w:pos="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585FC4"/>
    <w:multiLevelType w:val="hybridMultilevel"/>
    <w:tmpl w:val="B694FD38"/>
    <w:lvl w:ilvl="0" w:tplc="EB3C0AFC">
      <w:start w:val="3"/>
      <w:numFmt w:val="bullet"/>
      <w:lvlText w:val=""/>
      <w:lvlJc w:val="left"/>
      <w:pPr>
        <w:tabs>
          <w:tab w:val="num" w:pos="810"/>
        </w:tabs>
        <w:ind w:left="810" w:hanging="360"/>
      </w:pPr>
      <w:rPr>
        <w:rFonts w:ascii="Wingdings" w:eastAsia="Times New Roman"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1893080907">
    <w:abstractNumId w:val="11"/>
  </w:num>
  <w:num w:numId="2" w16cid:durableId="836651416">
    <w:abstractNumId w:val="31"/>
  </w:num>
  <w:num w:numId="3" w16cid:durableId="558052178">
    <w:abstractNumId w:val="6"/>
  </w:num>
  <w:num w:numId="4" w16cid:durableId="2114668659">
    <w:abstractNumId w:val="0"/>
  </w:num>
  <w:num w:numId="5" w16cid:durableId="644549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564034">
    <w:abstractNumId w:val="15"/>
  </w:num>
  <w:num w:numId="7" w16cid:durableId="1113860364">
    <w:abstractNumId w:val="2"/>
  </w:num>
  <w:num w:numId="8" w16cid:durableId="2057242597">
    <w:abstractNumId w:val="30"/>
  </w:num>
  <w:num w:numId="9" w16cid:durableId="2090731179">
    <w:abstractNumId w:val="3"/>
  </w:num>
  <w:num w:numId="10" w16cid:durableId="2011518083">
    <w:abstractNumId w:val="1"/>
  </w:num>
  <w:num w:numId="11" w16cid:durableId="1599168539">
    <w:abstractNumId w:val="17"/>
  </w:num>
  <w:num w:numId="12" w16cid:durableId="754476869">
    <w:abstractNumId w:val="13"/>
  </w:num>
  <w:num w:numId="13" w16cid:durableId="2100984645">
    <w:abstractNumId w:val="24"/>
  </w:num>
  <w:num w:numId="14" w16cid:durableId="1376273070">
    <w:abstractNumId w:val="32"/>
  </w:num>
  <w:num w:numId="15" w16cid:durableId="1175916771">
    <w:abstractNumId w:val="21"/>
  </w:num>
  <w:num w:numId="16" w16cid:durableId="412746850">
    <w:abstractNumId w:val="18"/>
  </w:num>
  <w:num w:numId="17" w16cid:durableId="1145700518">
    <w:abstractNumId w:val="26"/>
  </w:num>
  <w:num w:numId="18" w16cid:durableId="195389698">
    <w:abstractNumId w:val="22"/>
  </w:num>
  <w:num w:numId="19" w16cid:durableId="1270896685">
    <w:abstractNumId w:val="27"/>
  </w:num>
  <w:num w:numId="20" w16cid:durableId="1843935045">
    <w:abstractNumId w:val="7"/>
  </w:num>
  <w:num w:numId="21" w16cid:durableId="2131431910">
    <w:abstractNumId w:val="9"/>
  </w:num>
  <w:num w:numId="22" w16cid:durableId="1361471616">
    <w:abstractNumId w:val="19"/>
  </w:num>
  <w:num w:numId="23" w16cid:durableId="982545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6970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1867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863499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879649">
    <w:abstractNumId w:val="29"/>
  </w:num>
  <w:num w:numId="28" w16cid:durableId="1868522862">
    <w:abstractNumId w:val="16"/>
  </w:num>
  <w:num w:numId="29" w16cid:durableId="40904385">
    <w:abstractNumId w:val="20"/>
  </w:num>
  <w:num w:numId="30" w16cid:durableId="2069259234">
    <w:abstractNumId w:val="10"/>
  </w:num>
  <w:num w:numId="31" w16cid:durableId="422992417">
    <w:abstractNumId w:val="14"/>
  </w:num>
  <w:num w:numId="32" w16cid:durableId="1601647987">
    <w:abstractNumId w:val="5"/>
  </w:num>
  <w:num w:numId="33" w16cid:durableId="978146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B67"/>
    <w:rsid w:val="00000C7E"/>
    <w:rsid w:val="000011F3"/>
    <w:rsid w:val="000017E9"/>
    <w:rsid w:val="00002494"/>
    <w:rsid w:val="00002CFF"/>
    <w:rsid w:val="00002DEE"/>
    <w:rsid w:val="0000356B"/>
    <w:rsid w:val="00003D12"/>
    <w:rsid w:val="0000429B"/>
    <w:rsid w:val="00004C9C"/>
    <w:rsid w:val="00004CCB"/>
    <w:rsid w:val="00004DE9"/>
    <w:rsid w:val="000052F1"/>
    <w:rsid w:val="00005442"/>
    <w:rsid w:val="000056AB"/>
    <w:rsid w:val="0000597E"/>
    <w:rsid w:val="00006071"/>
    <w:rsid w:val="00006A1C"/>
    <w:rsid w:val="00006CB4"/>
    <w:rsid w:val="00010D63"/>
    <w:rsid w:val="000113C7"/>
    <w:rsid w:val="00011B99"/>
    <w:rsid w:val="00012980"/>
    <w:rsid w:val="00012CDD"/>
    <w:rsid w:val="00013C63"/>
    <w:rsid w:val="000144DE"/>
    <w:rsid w:val="000146E2"/>
    <w:rsid w:val="000147E6"/>
    <w:rsid w:val="00014E2B"/>
    <w:rsid w:val="0001523C"/>
    <w:rsid w:val="000152FD"/>
    <w:rsid w:val="00015B6C"/>
    <w:rsid w:val="00015BE3"/>
    <w:rsid w:val="00015BF4"/>
    <w:rsid w:val="00015F21"/>
    <w:rsid w:val="00016096"/>
    <w:rsid w:val="000160F6"/>
    <w:rsid w:val="00016143"/>
    <w:rsid w:val="000165AA"/>
    <w:rsid w:val="00016781"/>
    <w:rsid w:val="00016B1B"/>
    <w:rsid w:val="00016F67"/>
    <w:rsid w:val="000202DC"/>
    <w:rsid w:val="00020609"/>
    <w:rsid w:val="00020834"/>
    <w:rsid w:val="00020E07"/>
    <w:rsid w:val="0002119E"/>
    <w:rsid w:val="000212C5"/>
    <w:rsid w:val="00022A86"/>
    <w:rsid w:val="0002374A"/>
    <w:rsid w:val="00023908"/>
    <w:rsid w:val="00023C49"/>
    <w:rsid w:val="00024C02"/>
    <w:rsid w:val="00024C2C"/>
    <w:rsid w:val="00025150"/>
    <w:rsid w:val="000256D4"/>
    <w:rsid w:val="0002659B"/>
    <w:rsid w:val="0002737B"/>
    <w:rsid w:val="000274FD"/>
    <w:rsid w:val="00027C32"/>
    <w:rsid w:val="00030136"/>
    <w:rsid w:val="00031085"/>
    <w:rsid w:val="000310EF"/>
    <w:rsid w:val="00031259"/>
    <w:rsid w:val="00031CCB"/>
    <w:rsid w:val="00032200"/>
    <w:rsid w:val="00032B78"/>
    <w:rsid w:val="000332F9"/>
    <w:rsid w:val="00033F39"/>
    <w:rsid w:val="000344E2"/>
    <w:rsid w:val="00034F6B"/>
    <w:rsid w:val="000351F0"/>
    <w:rsid w:val="0003624C"/>
    <w:rsid w:val="000368D1"/>
    <w:rsid w:val="000403ED"/>
    <w:rsid w:val="000416CB"/>
    <w:rsid w:val="00041ACB"/>
    <w:rsid w:val="00041C99"/>
    <w:rsid w:val="000421D2"/>
    <w:rsid w:val="0004231D"/>
    <w:rsid w:val="00042537"/>
    <w:rsid w:val="00043158"/>
    <w:rsid w:val="00043E17"/>
    <w:rsid w:val="00044DC4"/>
    <w:rsid w:val="00045007"/>
    <w:rsid w:val="00045364"/>
    <w:rsid w:val="00045739"/>
    <w:rsid w:val="000457AA"/>
    <w:rsid w:val="0004587D"/>
    <w:rsid w:val="00046359"/>
    <w:rsid w:val="000468D3"/>
    <w:rsid w:val="00046FF1"/>
    <w:rsid w:val="000471CE"/>
    <w:rsid w:val="00047400"/>
    <w:rsid w:val="00047491"/>
    <w:rsid w:val="00050672"/>
    <w:rsid w:val="00050B9A"/>
    <w:rsid w:val="00052966"/>
    <w:rsid w:val="0005313D"/>
    <w:rsid w:val="00053189"/>
    <w:rsid w:val="000532E5"/>
    <w:rsid w:val="00053499"/>
    <w:rsid w:val="000536C8"/>
    <w:rsid w:val="000537B3"/>
    <w:rsid w:val="00053881"/>
    <w:rsid w:val="00053EE4"/>
    <w:rsid w:val="00054370"/>
    <w:rsid w:val="0005483B"/>
    <w:rsid w:val="00055139"/>
    <w:rsid w:val="000561DB"/>
    <w:rsid w:val="00056323"/>
    <w:rsid w:val="00056635"/>
    <w:rsid w:val="00056FB6"/>
    <w:rsid w:val="000577D7"/>
    <w:rsid w:val="000578B1"/>
    <w:rsid w:val="000605E4"/>
    <w:rsid w:val="000605FF"/>
    <w:rsid w:val="00060848"/>
    <w:rsid w:val="00060A76"/>
    <w:rsid w:val="00060FF5"/>
    <w:rsid w:val="0006176D"/>
    <w:rsid w:val="00062216"/>
    <w:rsid w:val="000622EB"/>
    <w:rsid w:val="00063713"/>
    <w:rsid w:val="00063923"/>
    <w:rsid w:val="000642DD"/>
    <w:rsid w:val="0006450B"/>
    <w:rsid w:val="000650A3"/>
    <w:rsid w:val="00065894"/>
    <w:rsid w:val="00066959"/>
    <w:rsid w:val="00066C58"/>
    <w:rsid w:val="00066CC2"/>
    <w:rsid w:val="00067627"/>
    <w:rsid w:val="00067908"/>
    <w:rsid w:val="00067B12"/>
    <w:rsid w:val="0007009A"/>
    <w:rsid w:val="000710AD"/>
    <w:rsid w:val="00071935"/>
    <w:rsid w:val="000726CA"/>
    <w:rsid w:val="000726D3"/>
    <w:rsid w:val="00072A3E"/>
    <w:rsid w:val="00072EDA"/>
    <w:rsid w:val="00073190"/>
    <w:rsid w:val="0007352F"/>
    <w:rsid w:val="0007369C"/>
    <w:rsid w:val="00073EAC"/>
    <w:rsid w:val="00074540"/>
    <w:rsid w:val="00074D1F"/>
    <w:rsid w:val="000755BB"/>
    <w:rsid w:val="00075AD4"/>
    <w:rsid w:val="000762B2"/>
    <w:rsid w:val="00077028"/>
    <w:rsid w:val="0007706F"/>
    <w:rsid w:val="000770C0"/>
    <w:rsid w:val="0007712E"/>
    <w:rsid w:val="0007761F"/>
    <w:rsid w:val="0007762C"/>
    <w:rsid w:val="0008092F"/>
    <w:rsid w:val="00081016"/>
    <w:rsid w:val="000814E3"/>
    <w:rsid w:val="00081662"/>
    <w:rsid w:val="00083234"/>
    <w:rsid w:val="00084330"/>
    <w:rsid w:val="000845AE"/>
    <w:rsid w:val="00084B94"/>
    <w:rsid w:val="000853B0"/>
    <w:rsid w:val="000856B1"/>
    <w:rsid w:val="00086E1E"/>
    <w:rsid w:val="00087C35"/>
    <w:rsid w:val="000901C7"/>
    <w:rsid w:val="00090D3B"/>
    <w:rsid w:val="000911BD"/>
    <w:rsid w:val="000919AB"/>
    <w:rsid w:val="00091F4E"/>
    <w:rsid w:val="00092560"/>
    <w:rsid w:val="00092761"/>
    <w:rsid w:val="0009298C"/>
    <w:rsid w:val="00092990"/>
    <w:rsid w:val="0009299C"/>
    <w:rsid w:val="00093485"/>
    <w:rsid w:val="00093DD1"/>
    <w:rsid w:val="0009406F"/>
    <w:rsid w:val="000946B6"/>
    <w:rsid w:val="00094B1C"/>
    <w:rsid w:val="00095600"/>
    <w:rsid w:val="00095678"/>
    <w:rsid w:val="000967EF"/>
    <w:rsid w:val="00096F0F"/>
    <w:rsid w:val="0009756D"/>
    <w:rsid w:val="00097BDE"/>
    <w:rsid w:val="000A1497"/>
    <w:rsid w:val="000A19A4"/>
    <w:rsid w:val="000A255C"/>
    <w:rsid w:val="000A2583"/>
    <w:rsid w:val="000A295E"/>
    <w:rsid w:val="000A37BC"/>
    <w:rsid w:val="000A3E2D"/>
    <w:rsid w:val="000A4044"/>
    <w:rsid w:val="000A43BC"/>
    <w:rsid w:val="000A4CF3"/>
    <w:rsid w:val="000A4D7A"/>
    <w:rsid w:val="000A4E26"/>
    <w:rsid w:val="000A510B"/>
    <w:rsid w:val="000A5981"/>
    <w:rsid w:val="000A6385"/>
    <w:rsid w:val="000A654B"/>
    <w:rsid w:val="000A688C"/>
    <w:rsid w:val="000A6D61"/>
    <w:rsid w:val="000A6E91"/>
    <w:rsid w:val="000A7A00"/>
    <w:rsid w:val="000A7A06"/>
    <w:rsid w:val="000A7BBD"/>
    <w:rsid w:val="000A7D3C"/>
    <w:rsid w:val="000A7ED2"/>
    <w:rsid w:val="000B0A7E"/>
    <w:rsid w:val="000B0F11"/>
    <w:rsid w:val="000B1549"/>
    <w:rsid w:val="000B1642"/>
    <w:rsid w:val="000B17D1"/>
    <w:rsid w:val="000B1E42"/>
    <w:rsid w:val="000B2192"/>
    <w:rsid w:val="000B2524"/>
    <w:rsid w:val="000B36D0"/>
    <w:rsid w:val="000B4866"/>
    <w:rsid w:val="000B4A8B"/>
    <w:rsid w:val="000B4C3F"/>
    <w:rsid w:val="000B4F1D"/>
    <w:rsid w:val="000B5735"/>
    <w:rsid w:val="000B6D97"/>
    <w:rsid w:val="000B706C"/>
    <w:rsid w:val="000B7661"/>
    <w:rsid w:val="000C1745"/>
    <w:rsid w:val="000C18C1"/>
    <w:rsid w:val="000C1B65"/>
    <w:rsid w:val="000C204C"/>
    <w:rsid w:val="000C388B"/>
    <w:rsid w:val="000C3E13"/>
    <w:rsid w:val="000C60EC"/>
    <w:rsid w:val="000C61EC"/>
    <w:rsid w:val="000C637F"/>
    <w:rsid w:val="000C63E5"/>
    <w:rsid w:val="000C65D7"/>
    <w:rsid w:val="000C6DB2"/>
    <w:rsid w:val="000C7147"/>
    <w:rsid w:val="000C7B6D"/>
    <w:rsid w:val="000D0198"/>
    <w:rsid w:val="000D071B"/>
    <w:rsid w:val="000D1463"/>
    <w:rsid w:val="000D17FB"/>
    <w:rsid w:val="000D1866"/>
    <w:rsid w:val="000D189D"/>
    <w:rsid w:val="000D253B"/>
    <w:rsid w:val="000D2677"/>
    <w:rsid w:val="000D33F3"/>
    <w:rsid w:val="000D3402"/>
    <w:rsid w:val="000D366D"/>
    <w:rsid w:val="000D3987"/>
    <w:rsid w:val="000D3ACB"/>
    <w:rsid w:val="000D429F"/>
    <w:rsid w:val="000D4878"/>
    <w:rsid w:val="000D4D2E"/>
    <w:rsid w:val="000D4D51"/>
    <w:rsid w:val="000D538B"/>
    <w:rsid w:val="000D5AE4"/>
    <w:rsid w:val="000D5EC2"/>
    <w:rsid w:val="000D6705"/>
    <w:rsid w:val="000D670A"/>
    <w:rsid w:val="000D68D7"/>
    <w:rsid w:val="000D69EA"/>
    <w:rsid w:val="000D6C02"/>
    <w:rsid w:val="000D6C51"/>
    <w:rsid w:val="000D6EB6"/>
    <w:rsid w:val="000D724D"/>
    <w:rsid w:val="000D73B2"/>
    <w:rsid w:val="000D78C0"/>
    <w:rsid w:val="000E0A13"/>
    <w:rsid w:val="000E0A9E"/>
    <w:rsid w:val="000E18D2"/>
    <w:rsid w:val="000E190A"/>
    <w:rsid w:val="000E28A4"/>
    <w:rsid w:val="000E2AD0"/>
    <w:rsid w:val="000E3374"/>
    <w:rsid w:val="000E4140"/>
    <w:rsid w:val="000E439E"/>
    <w:rsid w:val="000E45D1"/>
    <w:rsid w:val="000E4738"/>
    <w:rsid w:val="000E48FA"/>
    <w:rsid w:val="000E49BC"/>
    <w:rsid w:val="000E5140"/>
    <w:rsid w:val="000E5633"/>
    <w:rsid w:val="000E59AE"/>
    <w:rsid w:val="000E7E34"/>
    <w:rsid w:val="000F0315"/>
    <w:rsid w:val="000F04AC"/>
    <w:rsid w:val="000F0F53"/>
    <w:rsid w:val="000F1019"/>
    <w:rsid w:val="000F18F8"/>
    <w:rsid w:val="000F215D"/>
    <w:rsid w:val="000F3DEF"/>
    <w:rsid w:val="000F49ED"/>
    <w:rsid w:val="000F5BAE"/>
    <w:rsid w:val="000F632F"/>
    <w:rsid w:val="000F6E8D"/>
    <w:rsid w:val="000F71DF"/>
    <w:rsid w:val="000F7B60"/>
    <w:rsid w:val="000F7DD8"/>
    <w:rsid w:val="000F7E25"/>
    <w:rsid w:val="000F7F2B"/>
    <w:rsid w:val="00101D88"/>
    <w:rsid w:val="00102434"/>
    <w:rsid w:val="001031D3"/>
    <w:rsid w:val="001038D4"/>
    <w:rsid w:val="00104973"/>
    <w:rsid w:val="0010497E"/>
    <w:rsid w:val="00104BE9"/>
    <w:rsid w:val="00104E5C"/>
    <w:rsid w:val="00104FCD"/>
    <w:rsid w:val="00105080"/>
    <w:rsid w:val="00107531"/>
    <w:rsid w:val="001108B6"/>
    <w:rsid w:val="001119D6"/>
    <w:rsid w:val="00111B51"/>
    <w:rsid w:val="00112022"/>
    <w:rsid w:val="001124EC"/>
    <w:rsid w:val="0011280D"/>
    <w:rsid w:val="00112AA5"/>
    <w:rsid w:val="00112F2A"/>
    <w:rsid w:val="0011594A"/>
    <w:rsid w:val="0011596E"/>
    <w:rsid w:val="00115F23"/>
    <w:rsid w:val="00116655"/>
    <w:rsid w:val="00116E9A"/>
    <w:rsid w:val="001177DF"/>
    <w:rsid w:val="00120094"/>
    <w:rsid w:val="0012030E"/>
    <w:rsid w:val="00120472"/>
    <w:rsid w:val="001209E5"/>
    <w:rsid w:val="00121911"/>
    <w:rsid w:val="00121B4A"/>
    <w:rsid w:val="00122080"/>
    <w:rsid w:val="00122D02"/>
    <w:rsid w:val="00123502"/>
    <w:rsid w:val="0012355C"/>
    <w:rsid w:val="00123FFF"/>
    <w:rsid w:val="001240A6"/>
    <w:rsid w:val="0012431E"/>
    <w:rsid w:val="0012465C"/>
    <w:rsid w:val="00124B36"/>
    <w:rsid w:val="00125835"/>
    <w:rsid w:val="00125901"/>
    <w:rsid w:val="001259A2"/>
    <w:rsid w:val="00125F89"/>
    <w:rsid w:val="00126E06"/>
    <w:rsid w:val="00126F1C"/>
    <w:rsid w:val="00127439"/>
    <w:rsid w:val="00127488"/>
    <w:rsid w:val="00127BAD"/>
    <w:rsid w:val="00127C96"/>
    <w:rsid w:val="001300AB"/>
    <w:rsid w:val="00131174"/>
    <w:rsid w:val="00131778"/>
    <w:rsid w:val="001318A7"/>
    <w:rsid w:val="00131B67"/>
    <w:rsid w:val="00132457"/>
    <w:rsid w:val="00132480"/>
    <w:rsid w:val="00133137"/>
    <w:rsid w:val="0013403B"/>
    <w:rsid w:val="001346B2"/>
    <w:rsid w:val="00134EF8"/>
    <w:rsid w:val="00135053"/>
    <w:rsid w:val="00135182"/>
    <w:rsid w:val="0013654C"/>
    <w:rsid w:val="001368BD"/>
    <w:rsid w:val="00136F9A"/>
    <w:rsid w:val="001371A0"/>
    <w:rsid w:val="00137363"/>
    <w:rsid w:val="001375D4"/>
    <w:rsid w:val="00137968"/>
    <w:rsid w:val="00137ADD"/>
    <w:rsid w:val="00137B52"/>
    <w:rsid w:val="00140591"/>
    <w:rsid w:val="0014097E"/>
    <w:rsid w:val="00141996"/>
    <w:rsid w:val="001425DE"/>
    <w:rsid w:val="0014291D"/>
    <w:rsid w:val="00143DE7"/>
    <w:rsid w:val="00143ED3"/>
    <w:rsid w:val="00144371"/>
    <w:rsid w:val="00145897"/>
    <w:rsid w:val="0014591C"/>
    <w:rsid w:val="00145ABA"/>
    <w:rsid w:val="00145BA9"/>
    <w:rsid w:val="00145D98"/>
    <w:rsid w:val="001462C7"/>
    <w:rsid w:val="0014671F"/>
    <w:rsid w:val="00147480"/>
    <w:rsid w:val="0015010C"/>
    <w:rsid w:val="00150B24"/>
    <w:rsid w:val="00151C4E"/>
    <w:rsid w:val="00151C86"/>
    <w:rsid w:val="00151D1F"/>
    <w:rsid w:val="001526ED"/>
    <w:rsid w:val="00152D02"/>
    <w:rsid w:val="00153514"/>
    <w:rsid w:val="001537BB"/>
    <w:rsid w:val="0015380F"/>
    <w:rsid w:val="00153843"/>
    <w:rsid w:val="00153F53"/>
    <w:rsid w:val="00154CA0"/>
    <w:rsid w:val="001556EC"/>
    <w:rsid w:val="001558D3"/>
    <w:rsid w:val="00156DC9"/>
    <w:rsid w:val="0015784C"/>
    <w:rsid w:val="001601FB"/>
    <w:rsid w:val="001603AA"/>
    <w:rsid w:val="00162609"/>
    <w:rsid w:val="00163566"/>
    <w:rsid w:val="00163C10"/>
    <w:rsid w:val="001641D1"/>
    <w:rsid w:val="00164668"/>
    <w:rsid w:val="00164AC3"/>
    <w:rsid w:val="0016565C"/>
    <w:rsid w:val="00165BDF"/>
    <w:rsid w:val="0016737C"/>
    <w:rsid w:val="00167FF6"/>
    <w:rsid w:val="001700A8"/>
    <w:rsid w:val="001702BE"/>
    <w:rsid w:val="00170305"/>
    <w:rsid w:val="001703E0"/>
    <w:rsid w:val="00171FA1"/>
    <w:rsid w:val="00172185"/>
    <w:rsid w:val="00172AD5"/>
    <w:rsid w:val="00173665"/>
    <w:rsid w:val="00173723"/>
    <w:rsid w:val="00173C74"/>
    <w:rsid w:val="00174C63"/>
    <w:rsid w:val="00174D27"/>
    <w:rsid w:val="00175632"/>
    <w:rsid w:val="00175DD6"/>
    <w:rsid w:val="001760BA"/>
    <w:rsid w:val="0017721A"/>
    <w:rsid w:val="001774AE"/>
    <w:rsid w:val="001800D5"/>
    <w:rsid w:val="001806F2"/>
    <w:rsid w:val="001808CA"/>
    <w:rsid w:val="001820A8"/>
    <w:rsid w:val="00182235"/>
    <w:rsid w:val="001832D9"/>
    <w:rsid w:val="00183C1B"/>
    <w:rsid w:val="00184008"/>
    <w:rsid w:val="001841D7"/>
    <w:rsid w:val="001842C2"/>
    <w:rsid w:val="0018475F"/>
    <w:rsid w:val="00184771"/>
    <w:rsid w:val="00185493"/>
    <w:rsid w:val="00185567"/>
    <w:rsid w:val="001858D5"/>
    <w:rsid w:val="00185C24"/>
    <w:rsid w:val="001869E1"/>
    <w:rsid w:val="001876DA"/>
    <w:rsid w:val="0019006F"/>
    <w:rsid w:val="00190447"/>
    <w:rsid w:val="00190581"/>
    <w:rsid w:val="00190C65"/>
    <w:rsid w:val="00190D91"/>
    <w:rsid w:val="0019106E"/>
    <w:rsid w:val="00192402"/>
    <w:rsid w:val="00193174"/>
    <w:rsid w:val="0019381F"/>
    <w:rsid w:val="00193AB2"/>
    <w:rsid w:val="00194580"/>
    <w:rsid w:val="001946C3"/>
    <w:rsid w:val="001949C8"/>
    <w:rsid w:val="00194FFF"/>
    <w:rsid w:val="00197D02"/>
    <w:rsid w:val="00197F12"/>
    <w:rsid w:val="001A039E"/>
    <w:rsid w:val="001A046C"/>
    <w:rsid w:val="001A0549"/>
    <w:rsid w:val="001A13B3"/>
    <w:rsid w:val="001A1DF1"/>
    <w:rsid w:val="001A29F8"/>
    <w:rsid w:val="001A349A"/>
    <w:rsid w:val="001A36DD"/>
    <w:rsid w:val="001A6816"/>
    <w:rsid w:val="001A6C7E"/>
    <w:rsid w:val="001A7646"/>
    <w:rsid w:val="001A7B30"/>
    <w:rsid w:val="001A7E5E"/>
    <w:rsid w:val="001B0237"/>
    <w:rsid w:val="001B03C0"/>
    <w:rsid w:val="001B03DC"/>
    <w:rsid w:val="001B0436"/>
    <w:rsid w:val="001B04E3"/>
    <w:rsid w:val="001B0857"/>
    <w:rsid w:val="001B0FA0"/>
    <w:rsid w:val="001B1374"/>
    <w:rsid w:val="001B1490"/>
    <w:rsid w:val="001B175A"/>
    <w:rsid w:val="001B1854"/>
    <w:rsid w:val="001B1D46"/>
    <w:rsid w:val="001B1E9D"/>
    <w:rsid w:val="001B25AB"/>
    <w:rsid w:val="001B27DA"/>
    <w:rsid w:val="001B30E7"/>
    <w:rsid w:val="001B3D2B"/>
    <w:rsid w:val="001B4240"/>
    <w:rsid w:val="001B49A0"/>
    <w:rsid w:val="001B4C50"/>
    <w:rsid w:val="001B4CE9"/>
    <w:rsid w:val="001B4E09"/>
    <w:rsid w:val="001B4EDC"/>
    <w:rsid w:val="001B5210"/>
    <w:rsid w:val="001B5296"/>
    <w:rsid w:val="001B5954"/>
    <w:rsid w:val="001B60AD"/>
    <w:rsid w:val="001B627D"/>
    <w:rsid w:val="001B6313"/>
    <w:rsid w:val="001B6C67"/>
    <w:rsid w:val="001B706C"/>
    <w:rsid w:val="001C16AD"/>
    <w:rsid w:val="001C1958"/>
    <w:rsid w:val="001C271D"/>
    <w:rsid w:val="001C2B4C"/>
    <w:rsid w:val="001C36EB"/>
    <w:rsid w:val="001C3959"/>
    <w:rsid w:val="001C3F81"/>
    <w:rsid w:val="001C3FA4"/>
    <w:rsid w:val="001C466C"/>
    <w:rsid w:val="001C46C2"/>
    <w:rsid w:val="001C4ABB"/>
    <w:rsid w:val="001C522A"/>
    <w:rsid w:val="001C5310"/>
    <w:rsid w:val="001C58F8"/>
    <w:rsid w:val="001C590C"/>
    <w:rsid w:val="001C5B11"/>
    <w:rsid w:val="001C5B77"/>
    <w:rsid w:val="001C60C1"/>
    <w:rsid w:val="001C6144"/>
    <w:rsid w:val="001C69BA"/>
    <w:rsid w:val="001C7226"/>
    <w:rsid w:val="001C7ED4"/>
    <w:rsid w:val="001C7F72"/>
    <w:rsid w:val="001C7FF2"/>
    <w:rsid w:val="001D010B"/>
    <w:rsid w:val="001D02A2"/>
    <w:rsid w:val="001D0828"/>
    <w:rsid w:val="001D0FE2"/>
    <w:rsid w:val="001D11C9"/>
    <w:rsid w:val="001D13C4"/>
    <w:rsid w:val="001D14C7"/>
    <w:rsid w:val="001D1A0C"/>
    <w:rsid w:val="001D1BC3"/>
    <w:rsid w:val="001D27BA"/>
    <w:rsid w:val="001D327D"/>
    <w:rsid w:val="001D3557"/>
    <w:rsid w:val="001D3703"/>
    <w:rsid w:val="001D37A6"/>
    <w:rsid w:val="001D3ABB"/>
    <w:rsid w:val="001D50C7"/>
    <w:rsid w:val="001D5409"/>
    <w:rsid w:val="001D55E4"/>
    <w:rsid w:val="001D5B45"/>
    <w:rsid w:val="001D7BBD"/>
    <w:rsid w:val="001D7D11"/>
    <w:rsid w:val="001E000F"/>
    <w:rsid w:val="001E05B6"/>
    <w:rsid w:val="001E0D48"/>
    <w:rsid w:val="001E0E9A"/>
    <w:rsid w:val="001E2043"/>
    <w:rsid w:val="001E247C"/>
    <w:rsid w:val="001E25E8"/>
    <w:rsid w:val="001E2700"/>
    <w:rsid w:val="001E3651"/>
    <w:rsid w:val="001E36BE"/>
    <w:rsid w:val="001E38A5"/>
    <w:rsid w:val="001E3CF4"/>
    <w:rsid w:val="001E3DE7"/>
    <w:rsid w:val="001E40B1"/>
    <w:rsid w:val="001E454B"/>
    <w:rsid w:val="001E513C"/>
    <w:rsid w:val="001E5D57"/>
    <w:rsid w:val="001E63E2"/>
    <w:rsid w:val="001E6D65"/>
    <w:rsid w:val="001E6E5E"/>
    <w:rsid w:val="001E71D8"/>
    <w:rsid w:val="001E7AEC"/>
    <w:rsid w:val="001E7F68"/>
    <w:rsid w:val="001F0EBF"/>
    <w:rsid w:val="001F109D"/>
    <w:rsid w:val="001F261F"/>
    <w:rsid w:val="001F2A7E"/>
    <w:rsid w:val="001F2E23"/>
    <w:rsid w:val="001F2E2D"/>
    <w:rsid w:val="001F3695"/>
    <w:rsid w:val="001F39CA"/>
    <w:rsid w:val="001F3A41"/>
    <w:rsid w:val="001F3B80"/>
    <w:rsid w:val="001F3EB4"/>
    <w:rsid w:val="001F4888"/>
    <w:rsid w:val="001F4913"/>
    <w:rsid w:val="001F4EC0"/>
    <w:rsid w:val="001F520B"/>
    <w:rsid w:val="001F5333"/>
    <w:rsid w:val="001F5835"/>
    <w:rsid w:val="001F591F"/>
    <w:rsid w:val="001F5F8E"/>
    <w:rsid w:val="001F63ED"/>
    <w:rsid w:val="001F79AC"/>
    <w:rsid w:val="001F7C67"/>
    <w:rsid w:val="001F7DC5"/>
    <w:rsid w:val="00201123"/>
    <w:rsid w:val="002013EE"/>
    <w:rsid w:val="002019EA"/>
    <w:rsid w:val="00201E5D"/>
    <w:rsid w:val="0020278D"/>
    <w:rsid w:val="00202DFF"/>
    <w:rsid w:val="00202ED8"/>
    <w:rsid w:val="00202F8D"/>
    <w:rsid w:val="002049AE"/>
    <w:rsid w:val="00205541"/>
    <w:rsid w:val="00205762"/>
    <w:rsid w:val="002059AA"/>
    <w:rsid w:val="00205A97"/>
    <w:rsid w:val="002060B8"/>
    <w:rsid w:val="00206692"/>
    <w:rsid w:val="00206888"/>
    <w:rsid w:val="002069C8"/>
    <w:rsid w:val="00206A56"/>
    <w:rsid w:val="00206A57"/>
    <w:rsid w:val="00206D5A"/>
    <w:rsid w:val="00207681"/>
    <w:rsid w:val="00210E9D"/>
    <w:rsid w:val="00211607"/>
    <w:rsid w:val="00212972"/>
    <w:rsid w:val="00212E93"/>
    <w:rsid w:val="002136E8"/>
    <w:rsid w:val="002147A8"/>
    <w:rsid w:val="00214D1D"/>
    <w:rsid w:val="00215797"/>
    <w:rsid w:val="00215EE8"/>
    <w:rsid w:val="00216864"/>
    <w:rsid w:val="00216A0E"/>
    <w:rsid w:val="00216EEC"/>
    <w:rsid w:val="00217019"/>
    <w:rsid w:val="00217524"/>
    <w:rsid w:val="002209C8"/>
    <w:rsid w:val="00220A71"/>
    <w:rsid w:val="00221130"/>
    <w:rsid w:val="00221E24"/>
    <w:rsid w:val="002221A3"/>
    <w:rsid w:val="00222204"/>
    <w:rsid w:val="002231B3"/>
    <w:rsid w:val="00223676"/>
    <w:rsid w:val="0022392C"/>
    <w:rsid w:val="00223D64"/>
    <w:rsid w:val="00223E54"/>
    <w:rsid w:val="00224CFA"/>
    <w:rsid w:val="00224D36"/>
    <w:rsid w:val="00224D9A"/>
    <w:rsid w:val="00224EB8"/>
    <w:rsid w:val="00226006"/>
    <w:rsid w:val="0022614F"/>
    <w:rsid w:val="00226828"/>
    <w:rsid w:val="00226C8A"/>
    <w:rsid w:val="00226D0F"/>
    <w:rsid w:val="00230CE0"/>
    <w:rsid w:val="00231261"/>
    <w:rsid w:val="00231DA6"/>
    <w:rsid w:val="00232238"/>
    <w:rsid w:val="0023288F"/>
    <w:rsid w:val="00233469"/>
    <w:rsid w:val="002334E7"/>
    <w:rsid w:val="0023377E"/>
    <w:rsid w:val="00234527"/>
    <w:rsid w:val="00234CE8"/>
    <w:rsid w:val="00235064"/>
    <w:rsid w:val="0023565F"/>
    <w:rsid w:val="0023566E"/>
    <w:rsid w:val="002356E2"/>
    <w:rsid w:val="00235B1B"/>
    <w:rsid w:val="00235B7C"/>
    <w:rsid w:val="00235D0C"/>
    <w:rsid w:val="00235E63"/>
    <w:rsid w:val="00236155"/>
    <w:rsid w:val="0023659C"/>
    <w:rsid w:val="002366CB"/>
    <w:rsid w:val="00236D7A"/>
    <w:rsid w:val="00237673"/>
    <w:rsid w:val="00237CB3"/>
    <w:rsid w:val="00240530"/>
    <w:rsid w:val="00240D44"/>
    <w:rsid w:val="00241A7E"/>
    <w:rsid w:val="00241ABD"/>
    <w:rsid w:val="002438D7"/>
    <w:rsid w:val="00243933"/>
    <w:rsid w:val="002440BC"/>
    <w:rsid w:val="00244850"/>
    <w:rsid w:val="0024509F"/>
    <w:rsid w:val="00245763"/>
    <w:rsid w:val="00245766"/>
    <w:rsid w:val="002457FC"/>
    <w:rsid w:val="0024654D"/>
    <w:rsid w:val="002469C8"/>
    <w:rsid w:val="002474EB"/>
    <w:rsid w:val="00247A1A"/>
    <w:rsid w:val="00247AC3"/>
    <w:rsid w:val="0025088F"/>
    <w:rsid w:val="0025207D"/>
    <w:rsid w:val="00254530"/>
    <w:rsid w:val="0025540B"/>
    <w:rsid w:val="00255526"/>
    <w:rsid w:val="00255807"/>
    <w:rsid w:val="002558D0"/>
    <w:rsid w:val="00255AF0"/>
    <w:rsid w:val="00255C7C"/>
    <w:rsid w:val="00255D10"/>
    <w:rsid w:val="00255DEA"/>
    <w:rsid w:val="00256C99"/>
    <w:rsid w:val="0025749E"/>
    <w:rsid w:val="00257D61"/>
    <w:rsid w:val="002602E4"/>
    <w:rsid w:val="002607CD"/>
    <w:rsid w:val="00260B12"/>
    <w:rsid w:val="0026135E"/>
    <w:rsid w:val="00261685"/>
    <w:rsid w:val="002619A6"/>
    <w:rsid w:val="002619BE"/>
    <w:rsid w:val="0026204A"/>
    <w:rsid w:val="002643C5"/>
    <w:rsid w:val="002648C0"/>
    <w:rsid w:val="00264C71"/>
    <w:rsid w:val="0026600C"/>
    <w:rsid w:val="00266B22"/>
    <w:rsid w:val="00266EF1"/>
    <w:rsid w:val="0026725E"/>
    <w:rsid w:val="002700EA"/>
    <w:rsid w:val="002704C0"/>
    <w:rsid w:val="00271228"/>
    <w:rsid w:val="00271620"/>
    <w:rsid w:val="0027261C"/>
    <w:rsid w:val="00272BB7"/>
    <w:rsid w:val="00272BC7"/>
    <w:rsid w:val="0027399C"/>
    <w:rsid w:val="0027455D"/>
    <w:rsid w:val="00275115"/>
    <w:rsid w:val="00275FAB"/>
    <w:rsid w:val="002760E6"/>
    <w:rsid w:val="00276FB1"/>
    <w:rsid w:val="00277264"/>
    <w:rsid w:val="00277579"/>
    <w:rsid w:val="00277906"/>
    <w:rsid w:val="00280308"/>
    <w:rsid w:val="002807C6"/>
    <w:rsid w:val="00280BCB"/>
    <w:rsid w:val="00280E72"/>
    <w:rsid w:val="0028150F"/>
    <w:rsid w:val="00281C45"/>
    <w:rsid w:val="00282A90"/>
    <w:rsid w:val="002830F2"/>
    <w:rsid w:val="002833B6"/>
    <w:rsid w:val="002837E8"/>
    <w:rsid w:val="00283E52"/>
    <w:rsid w:val="00284181"/>
    <w:rsid w:val="002845D9"/>
    <w:rsid w:val="00284678"/>
    <w:rsid w:val="00284C2F"/>
    <w:rsid w:val="00284C31"/>
    <w:rsid w:val="0028576D"/>
    <w:rsid w:val="00285DC3"/>
    <w:rsid w:val="00286099"/>
    <w:rsid w:val="00286364"/>
    <w:rsid w:val="00287365"/>
    <w:rsid w:val="00287CDE"/>
    <w:rsid w:val="00287EF7"/>
    <w:rsid w:val="00290291"/>
    <w:rsid w:val="00290E27"/>
    <w:rsid w:val="00291397"/>
    <w:rsid w:val="002914C2"/>
    <w:rsid w:val="002915C1"/>
    <w:rsid w:val="0029187C"/>
    <w:rsid w:val="00291EA3"/>
    <w:rsid w:val="002920CB"/>
    <w:rsid w:val="002922B5"/>
    <w:rsid w:val="002928B1"/>
    <w:rsid w:val="002928D8"/>
    <w:rsid w:val="00292B62"/>
    <w:rsid w:val="0029380A"/>
    <w:rsid w:val="002938D9"/>
    <w:rsid w:val="002938E9"/>
    <w:rsid w:val="00294834"/>
    <w:rsid w:val="00294849"/>
    <w:rsid w:val="00295073"/>
    <w:rsid w:val="002955DE"/>
    <w:rsid w:val="002969AA"/>
    <w:rsid w:val="00297308"/>
    <w:rsid w:val="00297A9D"/>
    <w:rsid w:val="00297CAA"/>
    <w:rsid w:val="002A0512"/>
    <w:rsid w:val="002A0729"/>
    <w:rsid w:val="002A0A9F"/>
    <w:rsid w:val="002A0C5A"/>
    <w:rsid w:val="002A0D55"/>
    <w:rsid w:val="002A0F6E"/>
    <w:rsid w:val="002A1171"/>
    <w:rsid w:val="002A168C"/>
    <w:rsid w:val="002A1D10"/>
    <w:rsid w:val="002A1FAD"/>
    <w:rsid w:val="002A1FBE"/>
    <w:rsid w:val="002A22F5"/>
    <w:rsid w:val="002A234D"/>
    <w:rsid w:val="002A25B9"/>
    <w:rsid w:val="002A2AF5"/>
    <w:rsid w:val="002A2BF1"/>
    <w:rsid w:val="002A2C3A"/>
    <w:rsid w:val="002A2EFD"/>
    <w:rsid w:val="002A307E"/>
    <w:rsid w:val="002A3930"/>
    <w:rsid w:val="002A5326"/>
    <w:rsid w:val="002A5A31"/>
    <w:rsid w:val="002A627D"/>
    <w:rsid w:val="002A716B"/>
    <w:rsid w:val="002A7976"/>
    <w:rsid w:val="002A7DC6"/>
    <w:rsid w:val="002B060A"/>
    <w:rsid w:val="002B10E2"/>
    <w:rsid w:val="002B11A4"/>
    <w:rsid w:val="002B132F"/>
    <w:rsid w:val="002B274B"/>
    <w:rsid w:val="002B28FD"/>
    <w:rsid w:val="002B2D9A"/>
    <w:rsid w:val="002B31DF"/>
    <w:rsid w:val="002B390E"/>
    <w:rsid w:val="002B5247"/>
    <w:rsid w:val="002B5332"/>
    <w:rsid w:val="002B5935"/>
    <w:rsid w:val="002B7333"/>
    <w:rsid w:val="002B7F64"/>
    <w:rsid w:val="002C0477"/>
    <w:rsid w:val="002C0654"/>
    <w:rsid w:val="002C08D3"/>
    <w:rsid w:val="002C0DA9"/>
    <w:rsid w:val="002C15F6"/>
    <w:rsid w:val="002C1764"/>
    <w:rsid w:val="002C1E25"/>
    <w:rsid w:val="002C1E2A"/>
    <w:rsid w:val="002C2461"/>
    <w:rsid w:val="002C380C"/>
    <w:rsid w:val="002C3CA1"/>
    <w:rsid w:val="002C3EF7"/>
    <w:rsid w:val="002C4197"/>
    <w:rsid w:val="002C46F2"/>
    <w:rsid w:val="002C484E"/>
    <w:rsid w:val="002C48C8"/>
    <w:rsid w:val="002C50F1"/>
    <w:rsid w:val="002C6311"/>
    <w:rsid w:val="002C67B6"/>
    <w:rsid w:val="002C6C7D"/>
    <w:rsid w:val="002C78A6"/>
    <w:rsid w:val="002D019B"/>
    <w:rsid w:val="002D0B34"/>
    <w:rsid w:val="002D0CF5"/>
    <w:rsid w:val="002D1347"/>
    <w:rsid w:val="002D1434"/>
    <w:rsid w:val="002D1C67"/>
    <w:rsid w:val="002D2D56"/>
    <w:rsid w:val="002D402F"/>
    <w:rsid w:val="002D436F"/>
    <w:rsid w:val="002D4718"/>
    <w:rsid w:val="002D4A0B"/>
    <w:rsid w:val="002D5076"/>
    <w:rsid w:val="002D5958"/>
    <w:rsid w:val="002D6255"/>
    <w:rsid w:val="002D632E"/>
    <w:rsid w:val="002D6855"/>
    <w:rsid w:val="002D687B"/>
    <w:rsid w:val="002D7BE1"/>
    <w:rsid w:val="002D7C02"/>
    <w:rsid w:val="002D7DBF"/>
    <w:rsid w:val="002E1EFC"/>
    <w:rsid w:val="002E25BB"/>
    <w:rsid w:val="002E2741"/>
    <w:rsid w:val="002E2D26"/>
    <w:rsid w:val="002E34DA"/>
    <w:rsid w:val="002E44B3"/>
    <w:rsid w:val="002E5241"/>
    <w:rsid w:val="002E553B"/>
    <w:rsid w:val="002E55DF"/>
    <w:rsid w:val="002E5D93"/>
    <w:rsid w:val="002E6E28"/>
    <w:rsid w:val="002E6F9D"/>
    <w:rsid w:val="002E70A8"/>
    <w:rsid w:val="002E7698"/>
    <w:rsid w:val="002F0397"/>
    <w:rsid w:val="002F05F8"/>
    <w:rsid w:val="002F0D6E"/>
    <w:rsid w:val="002F1BC4"/>
    <w:rsid w:val="002F2FB6"/>
    <w:rsid w:val="002F2FCA"/>
    <w:rsid w:val="002F3750"/>
    <w:rsid w:val="002F380B"/>
    <w:rsid w:val="002F3820"/>
    <w:rsid w:val="002F38FB"/>
    <w:rsid w:val="002F5128"/>
    <w:rsid w:val="002F53CA"/>
    <w:rsid w:val="002F53E3"/>
    <w:rsid w:val="002F5B18"/>
    <w:rsid w:val="002F6E33"/>
    <w:rsid w:val="002F73B6"/>
    <w:rsid w:val="00300064"/>
    <w:rsid w:val="00300594"/>
    <w:rsid w:val="00300ACB"/>
    <w:rsid w:val="003018FC"/>
    <w:rsid w:val="00301C2A"/>
    <w:rsid w:val="00301C53"/>
    <w:rsid w:val="0030210A"/>
    <w:rsid w:val="00302758"/>
    <w:rsid w:val="003028F6"/>
    <w:rsid w:val="00303112"/>
    <w:rsid w:val="0030316E"/>
    <w:rsid w:val="00303C5C"/>
    <w:rsid w:val="00303DF9"/>
    <w:rsid w:val="00303E7F"/>
    <w:rsid w:val="00303FF3"/>
    <w:rsid w:val="003047E3"/>
    <w:rsid w:val="003060EA"/>
    <w:rsid w:val="003068D6"/>
    <w:rsid w:val="00306E2F"/>
    <w:rsid w:val="00307119"/>
    <w:rsid w:val="00307A6B"/>
    <w:rsid w:val="00307E27"/>
    <w:rsid w:val="00310642"/>
    <w:rsid w:val="00311995"/>
    <w:rsid w:val="0031243C"/>
    <w:rsid w:val="00313672"/>
    <w:rsid w:val="00313FA1"/>
    <w:rsid w:val="0031515F"/>
    <w:rsid w:val="0031521D"/>
    <w:rsid w:val="00315334"/>
    <w:rsid w:val="003153DD"/>
    <w:rsid w:val="003154A7"/>
    <w:rsid w:val="003156E0"/>
    <w:rsid w:val="00316685"/>
    <w:rsid w:val="003167CE"/>
    <w:rsid w:val="00316C12"/>
    <w:rsid w:val="00316EC9"/>
    <w:rsid w:val="00317104"/>
    <w:rsid w:val="0031798B"/>
    <w:rsid w:val="00317C8C"/>
    <w:rsid w:val="003203A9"/>
    <w:rsid w:val="00320F02"/>
    <w:rsid w:val="003216E5"/>
    <w:rsid w:val="0032196C"/>
    <w:rsid w:val="00321A79"/>
    <w:rsid w:val="00321D70"/>
    <w:rsid w:val="00321F10"/>
    <w:rsid w:val="00322180"/>
    <w:rsid w:val="003228E7"/>
    <w:rsid w:val="003228FC"/>
    <w:rsid w:val="0032339B"/>
    <w:rsid w:val="00324464"/>
    <w:rsid w:val="003245AE"/>
    <w:rsid w:val="0032590A"/>
    <w:rsid w:val="00325C02"/>
    <w:rsid w:val="003260C1"/>
    <w:rsid w:val="00326BDD"/>
    <w:rsid w:val="00326DE3"/>
    <w:rsid w:val="003277D5"/>
    <w:rsid w:val="0032784D"/>
    <w:rsid w:val="00330348"/>
    <w:rsid w:val="00330D64"/>
    <w:rsid w:val="00331500"/>
    <w:rsid w:val="00331977"/>
    <w:rsid w:val="003321DB"/>
    <w:rsid w:val="00332EA7"/>
    <w:rsid w:val="00332EBF"/>
    <w:rsid w:val="003330CD"/>
    <w:rsid w:val="00334107"/>
    <w:rsid w:val="003341D5"/>
    <w:rsid w:val="00334769"/>
    <w:rsid w:val="00335268"/>
    <w:rsid w:val="0033539D"/>
    <w:rsid w:val="00335805"/>
    <w:rsid w:val="00335A26"/>
    <w:rsid w:val="00335E34"/>
    <w:rsid w:val="0033631A"/>
    <w:rsid w:val="00336DFD"/>
    <w:rsid w:val="00337268"/>
    <w:rsid w:val="003372C8"/>
    <w:rsid w:val="0033781E"/>
    <w:rsid w:val="00337B9B"/>
    <w:rsid w:val="00337FB5"/>
    <w:rsid w:val="0034022F"/>
    <w:rsid w:val="0034024A"/>
    <w:rsid w:val="00340ED0"/>
    <w:rsid w:val="003416F4"/>
    <w:rsid w:val="00341AA9"/>
    <w:rsid w:val="00341B0A"/>
    <w:rsid w:val="00341EF3"/>
    <w:rsid w:val="0034221D"/>
    <w:rsid w:val="003425DB"/>
    <w:rsid w:val="00342669"/>
    <w:rsid w:val="00342858"/>
    <w:rsid w:val="00342A27"/>
    <w:rsid w:val="003434A8"/>
    <w:rsid w:val="00343E88"/>
    <w:rsid w:val="0034416E"/>
    <w:rsid w:val="00344B35"/>
    <w:rsid w:val="00344E2C"/>
    <w:rsid w:val="00345AE9"/>
    <w:rsid w:val="00345EBE"/>
    <w:rsid w:val="00346343"/>
    <w:rsid w:val="00346384"/>
    <w:rsid w:val="0034663C"/>
    <w:rsid w:val="003469FF"/>
    <w:rsid w:val="00346CEA"/>
    <w:rsid w:val="0034707B"/>
    <w:rsid w:val="00347399"/>
    <w:rsid w:val="003473AA"/>
    <w:rsid w:val="0034746E"/>
    <w:rsid w:val="003478A9"/>
    <w:rsid w:val="00347F08"/>
    <w:rsid w:val="00347F3F"/>
    <w:rsid w:val="00350814"/>
    <w:rsid w:val="00350EFD"/>
    <w:rsid w:val="00350F3C"/>
    <w:rsid w:val="00351E40"/>
    <w:rsid w:val="0035237E"/>
    <w:rsid w:val="003533DD"/>
    <w:rsid w:val="0035432C"/>
    <w:rsid w:val="00354665"/>
    <w:rsid w:val="0035531A"/>
    <w:rsid w:val="00357010"/>
    <w:rsid w:val="00357F4D"/>
    <w:rsid w:val="003600B7"/>
    <w:rsid w:val="003611B9"/>
    <w:rsid w:val="003614ED"/>
    <w:rsid w:val="003617E5"/>
    <w:rsid w:val="0036215D"/>
    <w:rsid w:val="00362CB1"/>
    <w:rsid w:val="00362FCC"/>
    <w:rsid w:val="003630EF"/>
    <w:rsid w:val="00363635"/>
    <w:rsid w:val="003637AA"/>
    <w:rsid w:val="003637CD"/>
    <w:rsid w:val="00363A2F"/>
    <w:rsid w:val="00363BF0"/>
    <w:rsid w:val="00364588"/>
    <w:rsid w:val="003646FD"/>
    <w:rsid w:val="00365187"/>
    <w:rsid w:val="00365393"/>
    <w:rsid w:val="00366D74"/>
    <w:rsid w:val="00367409"/>
    <w:rsid w:val="003706A6"/>
    <w:rsid w:val="003706E9"/>
    <w:rsid w:val="0037080E"/>
    <w:rsid w:val="00370840"/>
    <w:rsid w:val="003713E9"/>
    <w:rsid w:val="00371B3B"/>
    <w:rsid w:val="00371D4F"/>
    <w:rsid w:val="0037233B"/>
    <w:rsid w:val="003723DE"/>
    <w:rsid w:val="00372710"/>
    <w:rsid w:val="0037343A"/>
    <w:rsid w:val="00373793"/>
    <w:rsid w:val="0037386C"/>
    <w:rsid w:val="00373B9A"/>
    <w:rsid w:val="003746A0"/>
    <w:rsid w:val="00374734"/>
    <w:rsid w:val="003747AF"/>
    <w:rsid w:val="00374F18"/>
    <w:rsid w:val="003751D3"/>
    <w:rsid w:val="003752D0"/>
    <w:rsid w:val="003756B9"/>
    <w:rsid w:val="00377104"/>
    <w:rsid w:val="00377289"/>
    <w:rsid w:val="0037743B"/>
    <w:rsid w:val="0037752D"/>
    <w:rsid w:val="00377909"/>
    <w:rsid w:val="003801AE"/>
    <w:rsid w:val="00380856"/>
    <w:rsid w:val="0038087A"/>
    <w:rsid w:val="003811C4"/>
    <w:rsid w:val="003823C4"/>
    <w:rsid w:val="003823CD"/>
    <w:rsid w:val="00382FDA"/>
    <w:rsid w:val="00383481"/>
    <w:rsid w:val="003835FB"/>
    <w:rsid w:val="00384253"/>
    <w:rsid w:val="00385412"/>
    <w:rsid w:val="00385643"/>
    <w:rsid w:val="00385719"/>
    <w:rsid w:val="00385F26"/>
    <w:rsid w:val="003863A3"/>
    <w:rsid w:val="00386CC4"/>
    <w:rsid w:val="0038723E"/>
    <w:rsid w:val="00387860"/>
    <w:rsid w:val="0038796C"/>
    <w:rsid w:val="00387BF4"/>
    <w:rsid w:val="00387C57"/>
    <w:rsid w:val="00387F88"/>
    <w:rsid w:val="00390085"/>
    <w:rsid w:val="0039035D"/>
    <w:rsid w:val="003909E8"/>
    <w:rsid w:val="00390DA0"/>
    <w:rsid w:val="00391139"/>
    <w:rsid w:val="003911FF"/>
    <w:rsid w:val="0039131E"/>
    <w:rsid w:val="00391533"/>
    <w:rsid w:val="0039159A"/>
    <w:rsid w:val="003924AD"/>
    <w:rsid w:val="00392B5E"/>
    <w:rsid w:val="003931D5"/>
    <w:rsid w:val="003942BB"/>
    <w:rsid w:val="0039432A"/>
    <w:rsid w:val="00394490"/>
    <w:rsid w:val="00394B8B"/>
    <w:rsid w:val="0039532E"/>
    <w:rsid w:val="00395C21"/>
    <w:rsid w:val="0039647D"/>
    <w:rsid w:val="0039681B"/>
    <w:rsid w:val="00396D9B"/>
    <w:rsid w:val="0039763A"/>
    <w:rsid w:val="00397769"/>
    <w:rsid w:val="003979F6"/>
    <w:rsid w:val="00397B32"/>
    <w:rsid w:val="003A08D6"/>
    <w:rsid w:val="003A16E1"/>
    <w:rsid w:val="003A257D"/>
    <w:rsid w:val="003A2641"/>
    <w:rsid w:val="003A2801"/>
    <w:rsid w:val="003A2D04"/>
    <w:rsid w:val="003A31F5"/>
    <w:rsid w:val="003A3A49"/>
    <w:rsid w:val="003A40AF"/>
    <w:rsid w:val="003A4622"/>
    <w:rsid w:val="003A4858"/>
    <w:rsid w:val="003A49D2"/>
    <w:rsid w:val="003A4C52"/>
    <w:rsid w:val="003A5AB6"/>
    <w:rsid w:val="003A5AE0"/>
    <w:rsid w:val="003A6E7A"/>
    <w:rsid w:val="003A70DB"/>
    <w:rsid w:val="003A79E0"/>
    <w:rsid w:val="003A7ECD"/>
    <w:rsid w:val="003B074D"/>
    <w:rsid w:val="003B2234"/>
    <w:rsid w:val="003B2B96"/>
    <w:rsid w:val="003B339B"/>
    <w:rsid w:val="003B4032"/>
    <w:rsid w:val="003B4482"/>
    <w:rsid w:val="003B4B5C"/>
    <w:rsid w:val="003B51E8"/>
    <w:rsid w:val="003B57C2"/>
    <w:rsid w:val="003B5CDA"/>
    <w:rsid w:val="003B68CD"/>
    <w:rsid w:val="003B76D6"/>
    <w:rsid w:val="003B7FA2"/>
    <w:rsid w:val="003C02BB"/>
    <w:rsid w:val="003C03B1"/>
    <w:rsid w:val="003C2DCE"/>
    <w:rsid w:val="003C2FCD"/>
    <w:rsid w:val="003C2FEF"/>
    <w:rsid w:val="003C3591"/>
    <w:rsid w:val="003C5144"/>
    <w:rsid w:val="003C5627"/>
    <w:rsid w:val="003C596A"/>
    <w:rsid w:val="003C599C"/>
    <w:rsid w:val="003C6706"/>
    <w:rsid w:val="003C6C06"/>
    <w:rsid w:val="003C7B73"/>
    <w:rsid w:val="003C7D17"/>
    <w:rsid w:val="003D049A"/>
    <w:rsid w:val="003D1458"/>
    <w:rsid w:val="003D4EE3"/>
    <w:rsid w:val="003D64A4"/>
    <w:rsid w:val="003D6654"/>
    <w:rsid w:val="003D679B"/>
    <w:rsid w:val="003D6969"/>
    <w:rsid w:val="003D6B8D"/>
    <w:rsid w:val="003D7424"/>
    <w:rsid w:val="003E09D0"/>
    <w:rsid w:val="003E09ED"/>
    <w:rsid w:val="003E0AD3"/>
    <w:rsid w:val="003E0F0A"/>
    <w:rsid w:val="003E12F3"/>
    <w:rsid w:val="003E1E67"/>
    <w:rsid w:val="003E20E9"/>
    <w:rsid w:val="003E25F0"/>
    <w:rsid w:val="003E2D23"/>
    <w:rsid w:val="003E2EA5"/>
    <w:rsid w:val="003E2FCE"/>
    <w:rsid w:val="003E3B16"/>
    <w:rsid w:val="003E3C76"/>
    <w:rsid w:val="003E4BDD"/>
    <w:rsid w:val="003E4C74"/>
    <w:rsid w:val="003E56C0"/>
    <w:rsid w:val="003E5995"/>
    <w:rsid w:val="003E5A16"/>
    <w:rsid w:val="003E5DE9"/>
    <w:rsid w:val="003E660A"/>
    <w:rsid w:val="003E696F"/>
    <w:rsid w:val="003E73BA"/>
    <w:rsid w:val="003E7EFC"/>
    <w:rsid w:val="003F01ED"/>
    <w:rsid w:val="003F03A0"/>
    <w:rsid w:val="003F0637"/>
    <w:rsid w:val="003F15E8"/>
    <w:rsid w:val="003F1A66"/>
    <w:rsid w:val="003F1D04"/>
    <w:rsid w:val="003F1FA2"/>
    <w:rsid w:val="003F247F"/>
    <w:rsid w:val="003F2979"/>
    <w:rsid w:val="003F2A6B"/>
    <w:rsid w:val="003F3038"/>
    <w:rsid w:val="003F37B3"/>
    <w:rsid w:val="003F41E9"/>
    <w:rsid w:val="003F4698"/>
    <w:rsid w:val="003F489E"/>
    <w:rsid w:val="003F4B74"/>
    <w:rsid w:val="003F4BEA"/>
    <w:rsid w:val="003F50F1"/>
    <w:rsid w:val="003F69EA"/>
    <w:rsid w:val="003F7421"/>
    <w:rsid w:val="003F7798"/>
    <w:rsid w:val="004004C8"/>
    <w:rsid w:val="00400857"/>
    <w:rsid w:val="00400B32"/>
    <w:rsid w:val="00401361"/>
    <w:rsid w:val="00401620"/>
    <w:rsid w:val="00401A22"/>
    <w:rsid w:val="0040210C"/>
    <w:rsid w:val="00402383"/>
    <w:rsid w:val="00402D10"/>
    <w:rsid w:val="00402FC2"/>
    <w:rsid w:val="004034BA"/>
    <w:rsid w:val="00404027"/>
    <w:rsid w:val="0040426B"/>
    <w:rsid w:val="0040487F"/>
    <w:rsid w:val="004048B3"/>
    <w:rsid w:val="00405028"/>
    <w:rsid w:val="004053D1"/>
    <w:rsid w:val="004056CE"/>
    <w:rsid w:val="0040585D"/>
    <w:rsid w:val="00405899"/>
    <w:rsid w:val="004063E0"/>
    <w:rsid w:val="004065F4"/>
    <w:rsid w:val="004067C6"/>
    <w:rsid w:val="0040697B"/>
    <w:rsid w:val="0040708A"/>
    <w:rsid w:val="00407B5D"/>
    <w:rsid w:val="00407B7A"/>
    <w:rsid w:val="00410527"/>
    <w:rsid w:val="004109F5"/>
    <w:rsid w:val="00410AEA"/>
    <w:rsid w:val="00411135"/>
    <w:rsid w:val="00411DB9"/>
    <w:rsid w:val="00411F53"/>
    <w:rsid w:val="004128A5"/>
    <w:rsid w:val="0041303D"/>
    <w:rsid w:val="00413796"/>
    <w:rsid w:val="00413B40"/>
    <w:rsid w:val="00413D84"/>
    <w:rsid w:val="00413ED6"/>
    <w:rsid w:val="004144C5"/>
    <w:rsid w:val="00414AFF"/>
    <w:rsid w:val="00414EC4"/>
    <w:rsid w:val="00414F02"/>
    <w:rsid w:val="0041509E"/>
    <w:rsid w:val="00415142"/>
    <w:rsid w:val="004159CE"/>
    <w:rsid w:val="004162FF"/>
    <w:rsid w:val="00416DAA"/>
    <w:rsid w:val="00416DFA"/>
    <w:rsid w:val="00416E68"/>
    <w:rsid w:val="00416F8E"/>
    <w:rsid w:val="004170ED"/>
    <w:rsid w:val="00417AB5"/>
    <w:rsid w:val="00417CAE"/>
    <w:rsid w:val="00420930"/>
    <w:rsid w:val="00421068"/>
    <w:rsid w:val="004212B0"/>
    <w:rsid w:val="00421A4E"/>
    <w:rsid w:val="00421AE8"/>
    <w:rsid w:val="00421BAD"/>
    <w:rsid w:val="004226BD"/>
    <w:rsid w:val="00422900"/>
    <w:rsid w:val="00423C38"/>
    <w:rsid w:val="00424679"/>
    <w:rsid w:val="00425A32"/>
    <w:rsid w:val="00425E23"/>
    <w:rsid w:val="004268AF"/>
    <w:rsid w:val="0042784B"/>
    <w:rsid w:val="00427BFA"/>
    <w:rsid w:val="00427E45"/>
    <w:rsid w:val="004300BD"/>
    <w:rsid w:val="004303D7"/>
    <w:rsid w:val="00430998"/>
    <w:rsid w:val="00430C8E"/>
    <w:rsid w:val="00431340"/>
    <w:rsid w:val="004315EC"/>
    <w:rsid w:val="004315F5"/>
    <w:rsid w:val="0043230E"/>
    <w:rsid w:val="00432411"/>
    <w:rsid w:val="004325CB"/>
    <w:rsid w:val="00432F46"/>
    <w:rsid w:val="004341FF"/>
    <w:rsid w:val="00435158"/>
    <w:rsid w:val="0043529E"/>
    <w:rsid w:val="00435F27"/>
    <w:rsid w:val="00435FD6"/>
    <w:rsid w:val="00436179"/>
    <w:rsid w:val="00436A04"/>
    <w:rsid w:val="00436CB7"/>
    <w:rsid w:val="00436E14"/>
    <w:rsid w:val="00436FF2"/>
    <w:rsid w:val="004378A1"/>
    <w:rsid w:val="00437C4F"/>
    <w:rsid w:val="00440702"/>
    <w:rsid w:val="00440AB3"/>
    <w:rsid w:val="00440AC5"/>
    <w:rsid w:val="00440BAA"/>
    <w:rsid w:val="00440E7E"/>
    <w:rsid w:val="00441D59"/>
    <w:rsid w:val="00441D77"/>
    <w:rsid w:val="00441F22"/>
    <w:rsid w:val="004421D6"/>
    <w:rsid w:val="004424CC"/>
    <w:rsid w:val="004426FD"/>
    <w:rsid w:val="004444BF"/>
    <w:rsid w:val="004449BA"/>
    <w:rsid w:val="00444D69"/>
    <w:rsid w:val="0044507C"/>
    <w:rsid w:val="00445586"/>
    <w:rsid w:val="00445667"/>
    <w:rsid w:val="00445AEF"/>
    <w:rsid w:val="00450369"/>
    <w:rsid w:val="004504A6"/>
    <w:rsid w:val="00450A19"/>
    <w:rsid w:val="00450A43"/>
    <w:rsid w:val="00450E5E"/>
    <w:rsid w:val="00451030"/>
    <w:rsid w:val="0045204B"/>
    <w:rsid w:val="00452B52"/>
    <w:rsid w:val="00452EE1"/>
    <w:rsid w:val="004533CC"/>
    <w:rsid w:val="00455CD1"/>
    <w:rsid w:val="004562B5"/>
    <w:rsid w:val="00456511"/>
    <w:rsid w:val="0045691F"/>
    <w:rsid w:val="004575FD"/>
    <w:rsid w:val="004579FA"/>
    <w:rsid w:val="00457E4E"/>
    <w:rsid w:val="00457F1B"/>
    <w:rsid w:val="00460B18"/>
    <w:rsid w:val="00460B3A"/>
    <w:rsid w:val="00460DC1"/>
    <w:rsid w:val="00461638"/>
    <w:rsid w:val="0046248C"/>
    <w:rsid w:val="00462683"/>
    <w:rsid w:val="00464E99"/>
    <w:rsid w:val="00465022"/>
    <w:rsid w:val="004653C1"/>
    <w:rsid w:val="00465D56"/>
    <w:rsid w:val="004667E7"/>
    <w:rsid w:val="00466807"/>
    <w:rsid w:val="00467E33"/>
    <w:rsid w:val="004707C6"/>
    <w:rsid w:val="00470B41"/>
    <w:rsid w:val="00470CC5"/>
    <w:rsid w:val="00470FBD"/>
    <w:rsid w:val="004711A5"/>
    <w:rsid w:val="00472603"/>
    <w:rsid w:val="004729F1"/>
    <w:rsid w:val="004731E6"/>
    <w:rsid w:val="00473B43"/>
    <w:rsid w:val="00473B54"/>
    <w:rsid w:val="004742B9"/>
    <w:rsid w:val="00474407"/>
    <w:rsid w:val="00474608"/>
    <w:rsid w:val="00474E9A"/>
    <w:rsid w:val="00475098"/>
    <w:rsid w:val="00475599"/>
    <w:rsid w:val="00476593"/>
    <w:rsid w:val="00476756"/>
    <w:rsid w:val="0047693C"/>
    <w:rsid w:val="004772E1"/>
    <w:rsid w:val="00480031"/>
    <w:rsid w:val="00480587"/>
    <w:rsid w:val="0048090D"/>
    <w:rsid w:val="00480FE8"/>
    <w:rsid w:val="00481775"/>
    <w:rsid w:val="0048248E"/>
    <w:rsid w:val="004834EE"/>
    <w:rsid w:val="00484154"/>
    <w:rsid w:val="00484623"/>
    <w:rsid w:val="004846F8"/>
    <w:rsid w:val="00484C81"/>
    <w:rsid w:val="00484DA7"/>
    <w:rsid w:val="0048534C"/>
    <w:rsid w:val="00485715"/>
    <w:rsid w:val="0048633F"/>
    <w:rsid w:val="004868E4"/>
    <w:rsid w:val="00487343"/>
    <w:rsid w:val="0048748C"/>
    <w:rsid w:val="00487743"/>
    <w:rsid w:val="00487E7D"/>
    <w:rsid w:val="00490530"/>
    <w:rsid w:val="00490976"/>
    <w:rsid w:val="004909D6"/>
    <w:rsid w:val="00490CF5"/>
    <w:rsid w:val="004912BA"/>
    <w:rsid w:val="004926A8"/>
    <w:rsid w:val="0049383C"/>
    <w:rsid w:val="0049389D"/>
    <w:rsid w:val="00493E39"/>
    <w:rsid w:val="00494302"/>
    <w:rsid w:val="00494C80"/>
    <w:rsid w:val="00494D78"/>
    <w:rsid w:val="004951D5"/>
    <w:rsid w:val="00495353"/>
    <w:rsid w:val="00495F30"/>
    <w:rsid w:val="00496238"/>
    <w:rsid w:val="0049682E"/>
    <w:rsid w:val="00496BDE"/>
    <w:rsid w:val="00496C76"/>
    <w:rsid w:val="00497062"/>
    <w:rsid w:val="00497707"/>
    <w:rsid w:val="00497A90"/>
    <w:rsid w:val="004A0462"/>
    <w:rsid w:val="004A1D50"/>
    <w:rsid w:val="004A1E03"/>
    <w:rsid w:val="004A1F5E"/>
    <w:rsid w:val="004A3962"/>
    <w:rsid w:val="004A39D0"/>
    <w:rsid w:val="004A3D71"/>
    <w:rsid w:val="004A47CF"/>
    <w:rsid w:val="004A4930"/>
    <w:rsid w:val="004A6720"/>
    <w:rsid w:val="004A6A8C"/>
    <w:rsid w:val="004A6B07"/>
    <w:rsid w:val="004A6BE8"/>
    <w:rsid w:val="004A7083"/>
    <w:rsid w:val="004A7DE5"/>
    <w:rsid w:val="004B0574"/>
    <w:rsid w:val="004B2B17"/>
    <w:rsid w:val="004B316F"/>
    <w:rsid w:val="004B355F"/>
    <w:rsid w:val="004B3BA5"/>
    <w:rsid w:val="004B485D"/>
    <w:rsid w:val="004B4928"/>
    <w:rsid w:val="004B4C03"/>
    <w:rsid w:val="004B4CDF"/>
    <w:rsid w:val="004B5FFA"/>
    <w:rsid w:val="004C0573"/>
    <w:rsid w:val="004C0943"/>
    <w:rsid w:val="004C0CE2"/>
    <w:rsid w:val="004C1734"/>
    <w:rsid w:val="004C1943"/>
    <w:rsid w:val="004C1EC5"/>
    <w:rsid w:val="004C2403"/>
    <w:rsid w:val="004C307C"/>
    <w:rsid w:val="004C372D"/>
    <w:rsid w:val="004C407D"/>
    <w:rsid w:val="004C4ADC"/>
    <w:rsid w:val="004C4EDE"/>
    <w:rsid w:val="004C4F5E"/>
    <w:rsid w:val="004C57B9"/>
    <w:rsid w:val="004C5912"/>
    <w:rsid w:val="004C689A"/>
    <w:rsid w:val="004C69C4"/>
    <w:rsid w:val="004C6AC4"/>
    <w:rsid w:val="004C7DD3"/>
    <w:rsid w:val="004C7FA4"/>
    <w:rsid w:val="004D0A8A"/>
    <w:rsid w:val="004D1A06"/>
    <w:rsid w:val="004D3434"/>
    <w:rsid w:val="004D4573"/>
    <w:rsid w:val="004D4F93"/>
    <w:rsid w:val="004D508A"/>
    <w:rsid w:val="004D58A4"/>
    <w:rsid w:val="004D5E5A"/>
    <w:rsid w:val="004D5FA8"/>
    <w:rsid w:val="004D608E"/>
    <w:rsid w:val="004D66DB"/>
    <w:rsid w:val="004D6BF5"/>
    <w:rsid w:val="004D6CCE"/>
    <w:rsid w:val="004D6E63"/>
    <w:rsid w:val="004D7064"/>
    <w:rsid w:val="004D7D7A"/>
    <w:rsid w:val="004E0553"/>
    <w:rsid w:val="004E0E95"/>
    <w:rsid w:val="004E109D"/>
    <w:rsid w:val="004E17E2"/>
    <w:rsid w:val="004E2252"/>
    <w:rsid w:val="004E3018"/>
    <w:rsid w:val="004E42C9"/>
    <w:rsid w:val="004E437F"/>
    <w:rsid w:val="004E50A3"/>
    <w:rsid w:val="004E58D8"/>
    <w:rsid w:val="004E5C9B"/>
    <w:rsid w:val="004E6083"/>
    <w:rsid w:val="004E6647"/>
    <w:rsid w:val="004E6728"/>
    <w:rsid w:val="004E6CA4"/>
    <w:rsid w:val="004E70F2"/>
    <w:rsid w:val="004E71D3"/>
    <w:rsid w:val="004E778F"/>
    <w:rsid w:val="004E787F"/>
    <w:rsid w:val="004F0881"/>
    <w:rsid w:val="004F0BB5"/>
    <w:rsid w:val="004F1191"/>
    <w:rsid w:val="004F1C20"/>
    <w:rsid w:val="004F233D"/>
    <w:rsid w:val="004F25B5"/>
    <w:rsid w:val="004F2816"/>
    <w:rsid w:val="004F2906"/>
    <w:rsid w:val="004F2DE3"/>
    <w:rsid w:val="004F2E28"/>
    <w:rsid w:val="004F3D2C"/>
    <w:rsid w:val="004F432B"/>
    <w:rsid w:val="004F4AED"/>
    <w:rsid w:val="004F4B09"/>
    <w:rsid w:val="004F525D"/>
    <w:rsid w:val="004F631E"/>
    <w:rsid w:val="004F666E"/>
    <w:rsid w:val="004F68FD"/>
    <w:rsid w:val="004F7521"/>
    <w:rsid w:val="004F7F64"/>
    <w:rsid w:val="005009C8"/>
    <w:rsid w:val="00500EBB"/>
    <w:rsid w:val="005012BA"/>
    <w:rsid w:val="0050154F"/>
    <w:rsid w:val="0050189D"/>
    <w:rsid w:val="00501C30"/>
    <w:rsid w:val="00502093"/>
    <w:rsid w:val="0050230B"/>
    <w:rsid w:val="0050249A"/>
    <w:rsid w:val="005027FD"/>
    <w:rsid w:val="00502EBD"/>
    <w:rsid w:val="005032B8"/>
    <w:rsid w:val="005033E1"/>
    <w:rsid w:val="00503558"/>
    <w:rsid w:val="00503651"/>
    <w:rsid w:val="00504066"/>
    <w:rsid w:val="00505A61"/>
    <w:rsid w:val="00505C70"/>
    <w:rsid w:val="00505EE7"/>
    <w:rsid w:val="0050603F"/>
    <w:rsid w:val="0050651D"/>
    <w:rsid w:val="00506561"/>
    <w:rsid w:val="00507113"/>
    <w:rsid w:val="00507298"/>
    <w:rsid w:val="005077A2"/>
    <w:rsid w:val="00507C4D"/>
    <w:rsid w:val="00510689"/>
    <w:rsid w:val="0051099F"/>
    <w:rsid w:val="00510A42"/>
    <w:rsid w:val="0051137F"/>
    <w:rsid w:val="00511644"/>
    <w:rsid w:val="00511C37"/>
    <w:rsid w:val="0051330B"/>
    <w:rsid w:val="00514B54"/>
    <w:rsid w:val="00515913"/>
    <w:rsid w:val="00515CF7"/>
    <w:rsid w:val="005167A5"/>
    <w:rsid w:val="00517D42"/>
    <w:rsid w:val="0052020E"/>
    <w:rsid w:val="00520DE7"/>
    <w:rsid w:val="00520EB2"/>
    <w:rsid w:val="0052110B"/>
    <w:rsid w:val="00521636"/>
    <w:rsid w:val="0052165B"/>
    <w:rsid w:val="00521D61"/>
    <w:rsid w:val="00521F44"/>
    <w:rsid w:val="0052204A"/>
    <w:rsid w:val="0052264F"/>
    <w:rsid w:val="00522894"/>
    <w:rsid w:val="00522E85"/>
    <w:rsid w:val="005234A7"/>
    <w:rsid w:val="00524B12"/>
    <w:rsid w:val="00524CAA"/>
    <w:rsid w:val="00525621"/>
    <w:rsid w:val="0052570B"/>
    <w:rsid w:val="005264D2"/>
    <w:rsid w:val="00526E42"/>
    <w:rsid w:val="00530596"/>
    <w:rsid w:val="00530723"/>
    <w:rsid w:val="00530CF6"/>
    <w:rsid w:val="00531415"/>
    <w:rsid w:val="005322E2"/>
    <w:rsid w:val="00532861"/>
    <w:rsid w:val="00532EBC"/>
    <w:rsid w:val="00533A04"/>
    <w:rsid w:val="00533AC6"/>
    <w:rsid w:val="00534056"/>
    <w:rsid w:val="005340FE"/>
    <w:rsid w:val="00534A82"/>
    <w:rsid w:val="005353AF"/>
    <w:rsid w:val="0053672E"/>
    <w:rsid w:val="00536AA3"/>
    <w:rsid w:val="005376CB"/>
    <w:rsid w:val="005401A8"/>
    <w:rsid w:val="005409AE"/>
    <w:rsid w:val="00540A6F"/>
    <w:rsid w:val="00540C8F"/>
    <w:rsid w:val="0054261C"/>
    <w:rsid w:val="005442BB"/>
    <w:rsid w:val="005442D2"/>
    <w:rsid w:val="005444E0"/>
    <w:rsid w:val="005449FB"/>
    <w:rsid w:val="00544B3C"/>
    <w:rsid w:val="00544E6E"/>
    <w:rsid w:val="00544F60"/>
    <w:rsid w:val="00545268"/>
    <w:rsid w:val="00545B13"/>
    <w:rsid w:val="00545E52"/>
    <w:rsid w:val="005466CD"/>
    <w:rsid w:val="005467DC"/>
    <w:rsid w:val="005468C0"/>
    <w:rsid w:val="00546EA3"/>
    <w:rsid w:val="00546FD2"/>
    <w:rsid w:val="005473A4"/>
    <w:rsid w:val="00547813"/>
    <w:rsid w:val="00547E28"/>
    <w:rsid w:val="00550251"/>
    <w:rsid w:val="005503E5"/>
    <w:rsid w:val="00550DD6"/>
    <w:rsid w:val="00551293"/>
    <w:rsid w:val="00551B2E"/>
    <w:rsid w:val="00552285"/>
    <w:rsid w:val="005523A8"/>
    <w:rsid w:val="00552788"/>
    <w:rsid w:val="00553463"/>
    <w:rsid w:val="005540D1"/>
    <w:rsid w:val="0055439A"/>
    <w:rsid w:val="00554D96"/>
    <w:rsid w:val="005554CA"/>
    <w:rsid w:val="00555C9A"/>
    <w:rsid w:val="00556448"/>
    <w:rsid w:val="005568F1"/>
    <w:rsid w:val="005569C1"/>
    <w:rsid w:val="00556C36"/>
    <w:rsid w:val="005608A1"/>
    <w:rsid w:val="00560C5B"/>
    <w:rsid w:val="00561001"/>
    <w:rsid w:val="0056195D"/>
    <w:rsid w:val="00561AE2"/>
    <w:rsid w:val="00561C80"/>
    <w:rsid w:val="00562DF9"/>
    <w:rsid w:val="0056332E"/>
    <w:rsid w:val="00563D49"/>
    <w:rsid w:val="00564044"/>
    <w:rsid w:val="005642E8"/>
    <w:rsid w:val="00564F05"/>
    <w:rsid w:val="00564F7C"/>
    <w:rsid w:val="00565342"/>
    <w:rsid w:val="00565444"/>
    <w:rsid w:val="00565578"/>
    <w:rsid w:val="00565EA9"/>
    <w:rsid w:val="00565FE5"/>
    <w:rsid w:val="0056616B"/>
    <w:rsid w:val="005667FB"/>
    <w:rsid w:val="00566828"/>
    <w:rsid w:val="00567E4E"/>
    <w:rsid w:val="0057049F"/>
    <w:rsid w:val="00572779"/>
    <w:rsid w:val="0057278D"/>
    <w:rsid w:val="0057395F"/>
    <w:rsid w:val="00573A2E"/>
    <w:rsid w:val="00573DBD"/>
    <w:rsid w:val="00574073"/>
    <w:rsid w:val="005740FD"/>
    <w:rsid w:val="00575181"/>
    <w:rsid w:val="005752FB"/>
    <w:rsid w:val="00575EB9"/>
    <w:rsid w:val="0057677A"/>
    <w:rsid w:val="00576E12"/>
    <w:rsid w:val="005775C3"/>
    <w:rsid w:val="00577DD2"/>
    <w:rsid w:val="0058054A"/>
    <w:rsid w:val="00580A3A"/>
    <w:rsid w:val="00580D2C"/>
    <w:rsid w:val="00581626"/>
    <w:rsid w:val="005819AE"/>
    <w:rsid w:val="00582A37"/>
    <w:rsid w:val="00583259"/>
    <w:rsid w:val="0058349F"/>
    <w:rsid w:val="00583CAF"/>
    <w:rsid w:val="00583D1D"/>
    <w:rsid w:val="005844A7"/>
    <w:rsid w:val="00585232"/>
    <w:rsid w:val="00585519"/>
    <w:rsid w:val="00585823"/>
    <w:rsid w:val="005863E1"/>
    <w:rsid w:val="005864EA"/>
    <w:rsid w:val="0058662A"/>
    <w:rsid w:val="00586941"/>
    <w:rsid w:val="00587384"/>
    <w:rsid w:val="00587DF4"/>
    <w:rsid w:val="00587E3C"/>
    <w:rsid w:val="00587F7B"/>
    <w:rsid w:val="00587FEA"/>
    <w:rsid w:val="00590178"/>
    <w:rsid w:val="005909CA"/>
    <w:rsid w:val="00590C83"/>
    <w:rsid w:val="00591007"/>
    <w:rsid w:val="00591464"/>
    <w:rsid w:val="0059173A"/>
    <w:rsid w:val="00593752"/>
    <w:rsid w:val="00593DD6"/>
    <w:rsid w:val="00594017"/>
    <w:rsid w:val="00594140"/>
    <w:rsid w:val="0059449C"/>
    <w:rsid w:val="00594551"/>
    <w:rsid w:val="00594FBE"/>
    <w:rsid w:val="00595235"/>
    <w:rsid w:val="0059599F"/>
    <w:rsid w:val="00595B3D"/>
    <w:rsid w:val="00595CFC"/>
    <w:rsid w:val="00596344"/>
    <w:rsid w:val="00596D7B"/>
    <w:rsid w:val="00596EE1"/>
    <w:rsid w:val="005976F4"/>
    <w:rsid w:val="00597B5D"/>
    <w:rsid w:val="00597CF3"/>
    <w:rsid w:val="005A120F"/>
    <w:rsid w:val="005A1465"/>
    <w:rsid w:val="005A17AE"/>
    <w:rsid w:val="005A22CD"/>
    <w:rsid w:val="005A24EC"/>
    <w:rsid w:val="005A34CE"/>
    <w:rsid w:val="005A3975"/>
    <w:rsid w:val="005A3FB7"/>
    <w:rsid w:val="005A3FE3"/>
    <w:rsid w:val="005A3FFD"/>
    <w:rsid w:val="005A44DB"/>
    <w:rsid w:val="005A49E2"/>
    <w:rsid w:val="005A559B"/>
    <w:rsid w:val="005A5830"/>
    <w:rsid w:val="005A65F7"/>
    <w:rsid w:val="005A6875"/>
    <w:rsid w:val="005A6B3A"/>
    <w:rsid w:val="005A789E"/>
    <w:rsid w:val="005A7AB5"/>
    <w:rsid w:val="005A7E42"/>
    <w:rsid w:val="005A7FE9"/>
    <w:rsid w:val="005B1076"/>
    <w:rsid w:val="005B13B9"/>
    <w:rsid w:val="005B2841"/>
    <w:rsid w:val="005B2BA3"/>
    <w:rsid w:val="005B3190"/>
    <w:rsid w:val="005B3371"/>
    <w:rsid w:val="005B3B86"/>
    <w:rsid w:val="005B4255"/>
    <w:rsid w:val="005B54F9"/>
    <w:rsid w:val="005B65D4"/>
    <w:rsid w:val="005B772D"/>
    <w:rsid w:val="005B7AE9"/>
    <w:rsid w:val="005B7E52"/>
    <w:rsid w:val="005C0A28"/>
    <w:rsid w:val="005C0CFD"/>
    <w:rsid w:val="005C136B"/>
    <w:rsid w:val="005C139A"/>
    <w:rsid w:val="005C13E3"/>
    <w:rsid w:val="005C14EA"/>
    <w:rsid w:val="005C198A"/>
    <w:rsid w:val="005C1A73"/>
    <w:rsid w:val="005C1CDA"/>
    <w:rsid w:val="005C1EC1"/>
    <w:rsid w:val="005C2311"/>
    <w:rsid w:val="005C23B2"/>
    <w:rsid w:val="005C251E"/>
    <w:rsid w:val="005C2664"/>
    <w:rsid w:val="005C27C3"/>
    <w:rsid w:val="005C2A0F"/>
    <w:rsid w:val="005C3F6E"/>
    <w:rsid w:val="005C4901"/>
    <w:rsid w:val="005C4903"/>
    <w:rsid w:val="005C4FCC"/>
    <w:rsid w:val="005C553A"/>
    <w:rsid w:val="005C5721"/>
    <w:rsid w:val="005C5939"/>
    <w:rsid w:val="005C6044"/>
    <w:rsid w:val="005C6246"/>
    <w:rsid w:val="005C62B6"/>
    <w:rsid w:val="005C713A"/>
    <w:rsid w:val="005C75A4"/>
    <w:rsid w:val="005D057C"/>
    <w:rsid w:val="005D0791"/>
    <w:rsid w:val="005D1755"/>
    <w:rsid w:val="005D1A51"/>
    <w:rsid w:val="005D241F"/>
    <w:rsid w:val="005D28E2"/>
    <w:rsid w:val="005D29DC"/>
    <w:rsid w:val="005D2C34"/>
    <w:rsid w:val="005D33BC"/>
    <w:rsid w:val="005D3F75"/>
    <w:rsid w:val="005D402C"/>
    <w:rsid w:val="005D5297"/>
    <w:rsid w:val="005D55E9"/>
    <w:rsid w:val="005D5CEB"/>
    <w:rsid w:val="005D65E5"/>
    <w:rsid w:val="005D6828"/>
    <w:rsid w:val="005D749D"/>
    <w:rsid w:val="005D7BB7"/>
    <w:rsid w:val="005D7EAC"/>
    <w:rsid w:val="005E021E"/>
    <w:rsid w:val="005E0774"/>
    <w:rsid w:val="005E07A9"/>
    <w:rsid w:val="005E0B65"/>
    <w:rsid w:val="005E0BB4"/>
    <w:rsid w:val="005E1166"/>
    <w:rsid w:val="005E18F5"/>
    <w:rsid w:val="005E1B42"/>
    <w:rsid w:val="005E2185"/>
    <w:rsid w:val="005E2319"/>
    <w:rsid w:val="005E2F58"/>
    <w:rsid w:val="005E307C"/>
    <w:rsid w:val="005E455C"/>
    <w:rsid w:val="005E4CDE"/>
    <w:rsid w:val="005E4F5A"/>
    <w:rsid w:val="005E4F7B"/>
    <w:rsid w:val="005E586F"/>
    <w:rsid w:val="005E5B88"/>
    <w:rsid w:val="005E63DB"/>
    <w:rsid w:val="005E70DA"/>
    <w:rsid w:val="005E7947"/>
    <w:rsid w:val="005E7A3F"/>
    <w:rsid w:val="005F0C41"/>
    <w:rsid w:val="005F1F15"/>
    <w:rsid w:val="005F20F2"/>
    <w:rsid w:val="005F235D"/>
    <w:rsid w:val="005F2C29"/>
    <w:rsid w:val="005F2DC2"/>
    <w:rsid w:val="005F3FC0"/>
    <w:rsid w:val="005F47BD"/>
    <w:rsid w:val="005F491B"/>
    <w:rsid w:val="005F4A17"/>
    <w:rsid w:val="005F4CD5"/>
    <w:rsid w:val="005F50F4"/>
    <w:rsid w:val="005F552E"/>
    <w:rsid w:val="005F56F3"/>
    <w:rsid w:val="005F5E59"/>
    <w:rsid w:val="005F60A9"/>
    <w:rsid w:val="005F6B42"/>
    <w:rsid w:val="005F6D5C"/>
    <w:rsid w:val="005F6FB9"/>
    <w:rsid w:val="005F7485"/>
    <w:rsid w:val="005F76DC"/>
    <w:rsid w:val="005F770F"/>
    <w:rsid w:val="006008A9"/>
    <w:rsid w:val="006010DD"/>
    <w:rsid w:val="0060147F"/>
    <w:rsid w:val="006014E3"/>
    <w:rsid w:val="0060170D"/>
    <w:rsid w:val="00602EC8"/>
    <w:rsid w:val="00602F37"/>
    <w:rsid w:val="00603C40"/>
    <w:rsid w:val="00603C8C"/>
    <w:rsid w:val="006041DE"/>
    <w:rsid w:val="0060423E"/>
    <w:rsid w:val="006042C0"/>
    <w:rsid w:val="006044A7"/>
    <w:rsid w:val="00604795"/>
    <w:rsid w:val="00604B17"/>
    <w:rsid w:val="00605693"/>
    <w:rsid w:val="00605C37"/>
    <w:rsid w:val="0060706C"/>
    <w:rsid w:val="00607873"/>
    <w:rsid w:val="00607F39"/>
    <w:rsid w:val="00610543"/>
    <w:rsid w:val="00610674"/>
    <w:rsid w:val="00611151"/>
    <w:rsid w:val="0061120B"/>
    <w:rsid w:val="0061292B"/>
    <w:rsid w:val="0061341A"/>
    <w:rsid w:val="0061372B"/>
    <w:rsid w:val="00615801"/>
    <w:rsid w:val="00615CE3"/>
    <w:rsid w:val="006165CA"/>
    <w:rsid w:val="00616C43"/>
    <w:rsid w:val="00616E1D"/>
    <w:rsid w:val="00616F9C"/>
    <w:rsid w:val="00617ED3"/>
    <w:rsid w:val="006206D9"/>
    <w:rsid w:val="00620769"/>
    <w:rsid w:val="00620C24"/>
    <w:rsid w:val="0062102F"/>
    <w:rsid w:val="00621178"/>
    <w:rsid w:val="00621A68"/>
    <w:rsid w:val="006228DA"/>
    <w:rsid w:val="00623647"/>
    <w:rsid w:val="0062376F"/>
    <w:rsid w:val="00624064"/>
    <w:rsid w:val="0062427F"/>
    <w:rsid w:val="0062428D"/>
    <w:rsid w:val="006248E2"/>
    <w:rsid w:val="00624F06"/>
    <w:rsid w:val="0062502B"/>
    <w:rsid w:val="006250D0"/>
    <w:rsid w:val="0062561C"/>
    <w:rsid w:val="00625B49"/>
    <w:rsid w:val="00625E56"/>
    <w:rsid w:val="00626487"/>
    <w:rsid w:val="00626536"/>
    <w:rsid w:val="0062715F"/>
    <w:rsid w:val="00627EDB"/>
    <w:rsid w:val="00631490"/>
    <w:rsid w:val="006317B8"/>
    <w:rsid w:val="006319AF"/>
    <w:rsid w:val="00631D4D"/>
    <w:rsid w:val="00632026"/>
    <w:rsid w:val="00632609"/>
    <w:rsid w:val="0063266D"/>
    <w:rsid w:val="00632FB9"/>
    <w:rsid w:val="0063311B"/>
    <w:rsid w:val="0063417D"/>
    <w:rsid w:val="0063438E"/>
    <w:rsid w:val="00634BE2"/>
    <w:rsid w:val="006351AE"/>
    <w:rsid w:val="00635436"/>
    <w:rsid w:val="00635874"/>
    <w:rsid w:val="00636008"/>
    <w:rsid w:val="006362C6"/>
    <w:rsid w:val="00636397"/>
    <w:rsid w:val="006372D3"/>
    <w:rsid w:val="00637CD9"/>
    <w:rsid w:val="00637FF8"/>
    <w:rsid w:val="00640233"/>
    <w:rsid w:val="0064044F"/>
    <w:rsid w:val="00640975"/>
    <w:rsid w:val="00641079"/>
    <w:rsid w:val="00641B52"/>
    <w:rsid w:val="00642808"/>
    <w:rsid w:val="00642A85"/>
    <w:rsid w:val="00642C4C"/>
    <w:rsid w:val="00642FD5"/>
    <w:rsid w:val="006435E1"/>
    <w:rsid w:val="006462E7"/>
    <w:rsid w:val="0064635C"/>
    <w:rsid w:val="006463AB"/>
    <w:rsid w:val="0064672A"/>
    <w:rsid w:val="00646850"/>
    <w:rsid w:val="0064697B"/>
    <w:rsid w:val="006471D4"/>
    <w:rsid w:val="00647376"/>
    <w:rsid w:val="00647531"/>
    <w:rsid w:val="00647774"/>
    <w:rsid w:val="00647B83"/>
    <w:rsid w:val="0065015D"/>
    <w:rsid w:val="00650788"/>
    <w:rsid w:val="00650D9D"/>
    <w:rsid w:val="00650EEC"/>
    <w:rsid w:val="00650F4F"/>
    <w:rsid w:val="00651BAB"/>
    <w:rsid w:val="00651BFA"/>
    <w:rsid w:val="00651E3E"/>
    <w:rsid w:val="00652550"/>
    <w:rsid w:val="00652598"/>
    <w:rsid w:val="006525E6"/>
    <w:rsid w:val="00652646"/>
    <w:rsid w:val="006527D7"/>
    <w:rsid w:val="00652C3A"/>
    <w:rsid w:val="0065378B"/>
    <w:rsid w:val="006537FA"/>
    <w:rsid w:val="006539D6"/>
    <w:rsid w:val="00653C42"/>
    <w:rsid w:val="00655BE1"/>
    <w:rsid w:val="00655C67"/>
    <w:rsid w:val="00656B85"/>
    <w:rsid w:val="00656EB0"/>
    <w:rsid w:val="006574E0"/>
    <w:rsid w:val="00657A36"/>
    <w:rsid w:val="0066099F"/>
    <w:rsid w:val="00661082"/>
    <w:rsid w:val="006614D8"/>
    <w:rsid w:val="00663144"/>
    <w:rsid w:val="00663EC2"/>
    <w:rsid w:val="00663FDC"/>
    <w:rsid w:val="006641D0"/>
    <w:rsid w:val="00664356"/>
    <w:rsid w:val="006643BD"/>
    <w:rsid w:val="0066462F"/>
    <w:rsid w:val="006646AC"/>
    <w:rsid w:val="00664B48"/>
    <w:rsid w:val="00665FA0"/>
    <w:rsid w:val="00666E8D"/>
    <w:rsid w:val="0066796D"/>
    <w:rsid w:val="006704B0"/>
    <w:rsid w:val="0067064F"/>
    <w:rsid w:val="00670BA6"/>
    <w:rsid w:val="00671022"/>
    <w:rsid w:val="006718DE"/>
    <w:rsid w:val="00671BA6"/>
    <w:rsid w:val="00671BC4"/>
    <w:rsid w:val="00672434"/>
    <w:rsid w:val="00672CDA"/>
    <w:rsid w:val="00672FE7"/>
    <w:rsid w:val="00673649"/>
    <w:rsid w:val="0067378B"/>
    <w:rsid w:val="00673EB9"/>
    <w:rsid w:val="00674349"/>
    <w:rsid w:val="00675CF3"/>
    <w:rsid w:val="00676043"/>
    <w:rsid w:val="006763FB"/>
    <w:rsid w:val="006773C5"/>
    <w:rsid w:val="00677609"/>
    <w:rsid w:val="006777B4"/>
    <w:rsid w:val="00680029"/>
    <w:rsid w:val="00680D03"/>
    <w:rsid w:val="00681149"/>
    <w:rsid w:val="00681881"/>
    <w:rsid w:val="00681960"/>
    <w:rsid w:val="0068210E"/>
    <w:rsid w:val="00682BA6"/>
    <w:rsid w:val="0068382C"/>
    <w:rsid w:val="0068474A"/>
    <w:rsid w:val="006848A1"/>
    <w:rsid w:val="00684C75"/>
    <w:rsid w:val="006860DB"/>
    <w:rsid w:val="00686A5E"/>
    <w:rsid w:val="00687233"/>
    <w:rsid w:val="00690876"/>
    <w:rsid w:val="006909D5"/>
    <w:rsid w:val="00691354"/>
    <w:rsid w:val="0069139B"/>
    <w:rsid w:val="00692081"/>
    <w:rsid w:val="006926D9"/>
    <w:rsid w:val="00692891"/>
    <w:rsid w:val="00692FC9"/>
    <w:rsid w:val="006933AE"/>
    <w:rsid w:val="00693641"/>
    <w:rsid w:val="006936B9"/>
    <w:rsid w:val="006939E2"/>
    <w:rsid w:val="00693CA7"/>
    <w:rsid w:val="00693EC7"/>
    <w:rsid w:val="00694617"/>
    <w:rsid w:val="00694B10"/>
    <w:rsid w:val="00694B66"/>
    <w:rsid w:val="00695272"/>
    <w:rsid w:val="00695BFF"/>
    <w:rsid w:val="00696CD3"/>
    <w:rsid w:val="006A1EC8"/>
    <w:rsid w:val="006A3208"/>
    <w:rsid w:val="006A3445"/>
    <w:rsid w:val="006A4C19"/>
    <w:rsid w:val="006A4DAC"/>
    <w:rsid w:val="006A4DF0"/>
    <w:rsid w:val="006A558B"/>
    <w:rsid w:val="006A5681"/>
    <w:rsid w:val="006A5AF2"/>
    <w:rsid w:val="006A6851"/>
    <w:rsid w:val="006B05BD"/>
    <w:rsid w:val="006B0B08"/>
    <w:rsid w:val="006B0B5B"/>
    <w:rsid w:val="006B10DD"/>
    <w:rsid w:val="006B14F9"/>
    <w:rsid w:val="006B1C93"/>
    <w:rsid w:val="006B2128"/>
    <w:rsid w:val="006B29F3"/>
    <w:rsid w:val="006B2EAB"/>
    <w:rsid w:val="006B3349"/>
    <w:rsid w:val="006B340D"/>
    <w:rsid w:val="006B38C1"/>
    <w:rsid w:val="006B4162"/>
    <w:rsid w:val="006B4812"/>
    <w:rsid w:val="006B55E2"/>
    <w:rsid w:val="006B5BC6"/>
    <w:rsid w:val="006B5E10"/>
    <w:rsid w:val="006B5E74"/>
    <w:rsid w:val="006B5F9E"/>
    <w:rsid w:val="006B5FAC"/>
    <w:rsid w:val="006B6A23"/>
    <w:rsid w:val="006B6D5D"/>
    <w:rsid w:val="006B7004"/>
    <w:rsid w:val="006C00C3"/>
    <w:rsid w:val="006C0A3D"/>
    <w:rsid w:val="006C0C05"/>
    <w:rsid w:val="006C0F0D"/>
    <w:rsid w:val="006C147F"/>
    <w:rsid w:val="006C1FD8"/>
    <w:rsid w:val="006C214E"/>
    <w:rsid w:val="006C2B11"/>
    <w:rsid w:val="006C3CB5"/>
    <w:rsid w:val="006C5916"/>
    <w:rsid w:val="006C5E33"/>
    <w:rsid w:val="006C661E"/>
    <w:rsid w:val="006C79FD"/>
    <w:rsid w:val="006C7B8A"/>
    <w:rsid w:val="006C7F37"/>
    <w:rsid w:val="006D179A"/>
    <w:rsid w:val="006D17C2"/>
    <w:rsid w:val="006D1FF4"/>
    <w:rsid w:val="006D3EAF"/>
    <w:rsid w:val="006D4321"/>
    <w:rsid w:val="006D4701"/>
    <w:rsid w:val="006D4E96"/>
    <w:rsid w:val="006D54E4"/>
    <w:rsid w:val="006D5B46"/>
    <w:rsid w:val="006D5C3C"/>
    <w:rsid w:val="006D5F61"/>
    <w:rsid w:val="006D62A3"/>
    <w:rsid w:val="006D6759"/>
    <w:rsid w:val="006D744F"/>
    <w:rsid w:val="006D7BFD"/>
    <w:rsid w:val="006D7C0F"/>
    <w:rsid w:val="006E090B"/>
    <w:rsid w:val="006E093B"/>
    <w:rsid w:val="006E0A94"/>
    <w:rsid w:val="006E0EA6"/>
    <w:rsid w:val="006E1A5F"/>
    <w:rsid w:val="006E2186"/>
    <w:rsid w:val="006E2B3F"/>
    <w:rsid w:val="006E3E83"/>
    <w:rsid w:val="006E43C5"/>
    <w:rsid w:val="006E4552"/>
    <w:rsid w:val="006E48C9"/>
    <w:rsid w:val="006E4B70"/>
    <w:rsid w:val="006E5889"/>
    <w:rsid w:val="006E588A"/>
    <w:rsid w:val="006E5B59"/>
    <w:rsid w:val="006E6572"/>
    <w:rsid w:val="006E6AF8"/>
    <w:rsid w:val="006E6C29"/>
    <w:rsid w:val="006E73DD"/>
    <w:rsid w:val="006E78F1"/>
    <w:rsid w:val="006E7B28"/>
    <w:rsid w:val="006F1103"/>
    <w:rsid w:val="006F19F5"/>
    <w:rsid w:val="006F1EF1"/>
    <w:rsid w:val="006F288E"/>
    <w:rsid w:val="006F2AC0"/>
    <w:rsid w:val="006F2C97"/>
    <w:rsid w:val="006F2CD3"/>
    <w:rsid w:val="006F2E8E"/>
    <w:rsid w:val="006F36B1"/>
    <w:rsid w:val="006F36EA"/>
    <w:rsid w:val="006F3FEC"/>
    <w:rsid w:val="006F42C4"/>
    <w:rsid w:val="006F4771"/>
    <w:rsid w:val="006F4A2E"/>
    <w:rsid w:val="006F4B64"/>
    <w:rsid w:val="006F6392"/>
    <w:rsid w:val="006F6D5D"/>
    <w:rsid w:val="006F7DCD"/>
    <w:rsid w:val="007002CF"/>
    <w:rsid w:val="0070052E"/>
    <w:rsid w:val="0070145B"/>
    <w:rsid w:val="00702467"/>
    <w:rsid w:val="00702CB5"/>
    <w:rsid w:val="0070306E"/>
    <w:rsid w:val="00703366"/>
    <w:rsid w:val="00703956"/>
    <w:rsid w:val="00703FD1"/>
    <w:rsid w:val="0070572D"/>
    <w:rsid w:val="007058F9"/>
    <w:rsid w:val="00705957"/>
    <w:rsid w:val="00705D5B"/>
    <w:rsid w:val="007075E9"/>
    <w:rsid w:val="007116DD"/>
    <w:rsid w:val="00712EA1"/>
    <w:rsid w:val="00713ED6"/>
    <w:rsid w:val="00713F5D"/>
    <w:rsid w:val="00714575"/>
    <w:rsid w:val="007145A0"/>
    <w:rsid w:val="00714999"/>
    <w:rsid w:val="00715582"/>
    <w:rsid w:val="0071633A"/>
    <w:rsid w:val="007169AA"/>
    <w:rsid w:val="00716D7A"/>
    <w:rsid w:val="00716E26"/>
    <w:rsid w:val="00717216"/>
    <w:rsid w:val="00717726"/>
    <w:rsid w:val="00717971"/>
    <w:rsid w:val="00717B83"/>
    <w:rsid w:val="00720221"/>
    <w:rsid w:val="007213C3"/>
    <w:rsid w:val="007217EC"/>
    <w:rsid w:val="00722128"/>
    <w:rsid w:val="00722FFE"/>
    <w:rsid w:val="00723385"/>
    <w:rsid w:val="00724293"/>
    <w:rsid w:val="00724331"/>
    <w:rsid w:val="00725048"/>
    <w:rsid w:val="007250ED"/>
    <w:rsid w:val="00725320"/>
    <w:rsid w:val="00725425"/>
    <w:rsid w:val="007256DD"/>
    <w:rsid w:val="007257F0"/>
    <w:rsid w:val="007264A1"/>
    <w:rsid w:val="00726525"/>
    <w:rsid w:val="0072682A"/>
    <w:rsid w:val="007277E5"/>
    <w:rsid w:val="00727AC5"/>
    <w:rsid w:val="00727BA1"/>
    <w:rsid w:val="00730427"/>
    <w:rsid w:val="00730758"/>
    <w:rsid w:val="00730842"/>
    <w:rsid w:val="00730FBC"/>
    <w:rsid w:val="007316AD"/>
    <w:rsid w:val="00731BBE"/>
    <w:rsid w:val="00732871"/>
    <w:rsid w:val="00732BD8"/>
    <w:rsid w:val="00732E00"/>
    <w:rsid w:val="007334D9"/>
    <w:rsid w:val="00733A01"/>
    <w:rsid w:val="00733A40"/>
    <w:rsid w:val="00734182"/>
    <w:rsid w:val="007352FB"/>
    <w:rsid w:val="0073536C"/>
    <w:rsid w:val="00735471"/>
    <w:rsid w:val="007359C7"/>
    <w:rsid w:val="00735C7E"/>
    <w:rsid w:val="00736121"/>
    <w:rsid w:val="00736862"/>
    <w:rsid w:val="00736AC1"/>
    <w:rsid w:val="00736B37"/>
    <w:rsid w:val="00737015"/>
    <w:rsid w:val="007375FB"/>
    <w:rsid w:val="007376E2"/>
    <w:rsid w:val="00737831"/>
    <w:rsid w:val="00740D61"/>
    <w:rsid w:val="007412D0"/>
    <w:rsid w:val="007416DB"/>
    <w:rsid w:val="00741941"/>
    <w:rsid w:val="00741CE3"/>
    <w:rsid w:val="007425D2"/>
    <w:rsid w:val="00742C74"/>
    <w:rsid w:val="00742F3B"/>
    <w:rsid w:val="007439A7"/>
    <w:rsid w:val="00744D0A"/>
    <w:rsid w:val="007454CB"/>
    <w:rsid w:val="007459C4"/>
    <w:rsid w:val="00746CD6"/>
    <w:rsid w:val="007474C7"/>
    <w:rsid w:val="00747F15"/>
    <w:rsid w:val="00750318"/>
    <w:rsid w:val="00750590"/>
    <w:rsid w:val="00750D11"/>
    <w:rsid w:val="00750FAD"/>
    <w:rsid w:val="00751702"/>
    <w:rsid w:val="0075176C"/>
    <w:rsid w:val="00751F87"/>
    <w:rsid w:val="007526AC"/>
    <w:rsid w:val="00752DCC"/>
    <w:rsid w:val="00752F42"/>
    <w:rsid w:val="0075313D"/>
    <w:rsid w:val="0075343F"/>
    <w:rsid w:val="0075387D"/>
    <w:rsid w:val="007540E7"/>
    <w:rsid w:val="00754EA8"/>
    <w:rsid w:val="007551CC"/>
    <w:rsid w:val="00755DEE"/>
    <w:rsid w:val="00756C6B"/>
    <w:rsid w:val="007572BB"/>
    <w:rsid w:val="00757B2B"/>
    <w:rsid w:val="0076022F"/>
    <w:rsid w:val="007612A5"/>
    <w:rsid w:val="00761840"/>
    <w:rsid w:val="00761F44"/>
    <w:rsid w:val="00762751"/>
    <w:rsid w:val="00762891"/>
    <w:rsid w:val="00763252"/>
    <w:rsid w:val="007632B4"/>
    <w:rsid w:val="0076336C"/>
    <w:rsid w:val="007639C9"/>
    <w:rsid w:val="00763CA3"/>
    <w:rsid w:val="007645BE"/>
    <w:rsid w:val="00765169"/>
    <w:rsid w:val="0076561C"/>
    <w:rsid w:val="00765EA2"/>
    <w:rsid w:val="00766138"/>
    <w:rsid w:val="0076616D"/>
    <w:rsid w:val="0076659C"/>
    <w:rsid w:val="00766622"/>
    <w:rsid w:val="00766B3A"/>
    <w:rsid w:val="007674C7"/>
    <w:rsid w:val="00767BB7"/>
    <w:rsid w:val="00770681"/>
    <w:rsid w:val="00770863"/>
    <w:rsid w:val="00771BFC"/>
    <w:rsid w:val="007722F2"/>
    <w:rsid w:val="00772C7A"/>
    <w:rsid w:val="00773AC3"/>
    <w:rsid w:val="00773E88"/>
    <w:rsid w:val="007751A4"/>
    <w:rsid w:val="00775323"/>
    <w:rsid w:val="00775A16"/>
    <w:rsid w:val="00775CB9"/>
    <w:rsid w:val="00776093"/>
    <w:rsid w:val="007768E8"/>
    <w:rsid w:val="00776B82"/>
    <w:rsid w:val="00776DC3"/>
    <w:rsid w:val="007779B2"/>
    <w:rsid w:val="00777C84"/>
    <w:rsid w:val="00777F40"/>
    <w:rsid w:val="00780259"/>
    <w:rsid w:val="00780974"/>
    <w:rsid w:val="0078167F"/>
    <w:rsid w:val="00782A53"/>
    <w:rsid w:val="007833B2"/>
    <w:rsid w:val="007833E3"/>
    <w:rsid w:val="007837AD"/>
    <w:rsid w:val="00783A33"/>
    <w:rsid w:val="00784420"/>
    <w:rsid w:val="00784449"/>
    <w:rsid w:val="00784F12"/>
    <w:rsid w:val="00785408"/>
    <w:rsid w:val="007859D2"/>
    <w:rsid w:val="00785EF3"/>
    <w:rsid w:val="007864C5"/>
    <w:rsid w:val="007870BE"/>
    <w:rsid w:val="007873DE"/>
    <w:rsid w:val="0078777E"/>
    <w:rsid w:val="0079080A"/>
    <w:rsid w:val="00790DFA"/>
    <w:rsid w:val="00791377"/>
    <w:rsid w:val="0079145E"/>
    <w:rsid w:val="00791C26"/>
    <w:rsid w:val="007927D7"/>
    <w:rsid w:val="007927FA"/>
    <w:rsid w:val="0079281F"/>
    <w:rsid w:val="00792EB8"/>
    <w:rsid w:val="007931A2"/>
    <w:rsid w:val="00793574"/>
    <w:rsid w:val="0079388E"/>
    <w:rsid w:val="00794848"/>
    <w:rsid w:val="00794ED4"/>
    <w:rsid w:val="007950E5"/>
    <w:rsid w:val="007954B2"/>
    <w:rsid w:val="007959F9"/>
    <w:rsid w:val="00795F44"/>
    <w:rsid w:val="00796395"/>
    <w:rsid w:val="007963F6"/>
    <w:rsid w:val="0079697D"/>
    <w:rsid w:val="00796C7C"/>
    <w:rsid w:val="0079739A"/>
    <w:rsid w:val="007A0091"/>
    <w:rsid w:val="007A00D2"/>
    <w:rsid w:val="007A201B"/>
    <w:rsid w:val="007A2CC2"/>
    <w:rsid w:val="007A3283"/>
    <w:rsid w:val="007A3994"/>
    <w:rsid w:val="007A3C83"/>
    <w:rsid w:val="007A4762"/>
    <w:rsid w:val="007A4763"/>
    <w:rsid w:val="007A4C40"/>
    <w:rsid w:val="007A4C87"/>
    <w:rsid w:val="007A5269"/>
    <w:rsid w:val="007A670A"/>
    <w:rsid w:val="007A6732"/>
    <w:rsid w:val="007B0CB0"/>
    <w:rsid w:val="007B2842"/>
    <w:rsid w:val="007B2F4B"/>
    <w:rsid w:val="007B30C6"/>
    <w:rsid w:val="007B3137"/>
    <w:rsid w:val="007B3781"/>
    <w:rsid w:val="007B3A96"/>
    <w:rsid w:val="007B3F1C"/>
    <w:rsid w:val="007B4229"/>
    <w:rsid w:val="007B5723"/>
    <w:rsid w:val="007B5924"/>
    <w:rsid w:val="007B5D5D"/>
    <w:rsid w:val="007B63F3"/>
    <w:rsid w:val="007B6502"/>
    <w:rsid w:val="007B6C0F"/>
    <w:rsid w:val="007B771F"/>
    <w:rsid w:val="007C073A"/>
    <w:rsid w:val="007C2007"/>
    <w:rsid w:val="007C3236"/>
    <w:rsid w:val="007C3465"/>
    <w:rsid w:val="007C3671"/>
    <w:rsid w:val="007C3A0D"/>
    <w:rsid w:val="007C3C81"/>
    <w:rsid w:val="007C3E0C"/>
    <w:rsid w:val="007C496E"/>
    <w:rsid w:val="007C4C62"/>
    <w:rsid w:val="007C50D8"/>
    <w:rsid w:val="007C5529"/>
    <w:rsid w:val="007C616C"/>
    <w:rsid w:val="007C69E3"/>
    <w:rsid w:val="007C7239"/>
    <w:rsid w:val="007C7BC1"/>
    <w:rsid w:val="007C7C7B"/>
    <w:rsid w:val="007C7E2F"/>
    <w:rsid w:val="007D0334"/>
    <w:rsid w:val="007D0561"/>
    <w:rsid w:val="007D0DF9"/>
    <w:rsid w:val="007D11B5"/>
    <w:rsid w:val="007D1391"/>
    <w:rsid w:val="007D17CC"/>
    <w:rsid w:val="007D1AA5"/>
    <w:rsid w:val="007D2009"/>
    <w:rsid w:val="007D2E2C"/>
    <w:rsid w:val="007D35AB"/>
    <w:rsid w:val="007D410C"/>
    <w:rsid w:val="007D4674"/>
    <w:rsid w:val="007D484E"/>
    <w:rsid w:val="007D4CA7"/>
    <w:rsid w:val="007D55F1"/>
    <w:rsid w:val="007D5902"/>
    <w:rsid w:val="007D6E6F"/>
    <w:rsid w:val="007D6EC5"/>
    <w:rsid w:val="007D748D"/>
    <w:rsid w:val="007E01B0"/>
    <w:rsid w:val="007E0219"/>
    <w:rsid w:val="007E0627"/>
    <w:rsid w:val="007E0950"/>
    <w:rsid w:val="007E170B"/>
    <w:rsid w:val="007E2EF5"/>
    <w:rsid w:val="007E2FA2"/>
    <w:rsid w:val="007E38AF"/>
    <w:rsid w:val="007E3D85"/>
    <w:rsid w:val="007E4D60"/>
    <w:rsid w:val="007E4D80"/>
    <w:rsid w:val="007E58E4"/>
    <w:rsid w:val="007E5E47"/>
    <w:rsid w:val="007E66A2"/>
    <w:rsid w:val="007E6BBB"/>
    <w:rsid w:val="007E7CD5"/>
    <w:rsid w:val="007F02BA"/>
    <w:rsid w:val="007F040C"/>
    <w:rsid w:val="007F0892"/>
    <w:rsid w:val="007F14E7"/>
    <w:rsid w:val="007F18AE"/>
    <w:rsid w:val="007F1FCA"/>
    <w:rsid w:val="007F200D"/>
    <w:rsid w:val="007F29CA"/>
    <w:rsid w:val="007F2A05"/>
    <w:rsid w:val="007F2CF3"/>
    <w:rsid w:val="007F33A7"/>
    <w:rsid w:val="007F374D"/>
    <w:rsid w:val="007F3C9E"/>
    <w:rsid w:val="007F3DA2"/>
    <w:rsid w:val="007F4809"/>
    <w:rsid w:val="007F4FFC"/>
    <w:rsid w:val="007F5DE0"/>
    <w:rsid w:val="007F654C"/>
    <w:rsid w:val="007F67D8"/>
    <w:rsid w:val="007F69CC"/>
    <w:rsid w:val="007F6ED4"/>
    <w:rsid w:val="007F72ED"/>
    <w:rsid w:val="007F7ABF"/>
    <w:rsid w:val="00801386"/>
    <w:rsid w:val="00801485"/>
    <w:rsid w:val="0080184C"/>
    <w:rsid w:val="00802364"/>
    <w:rsid w:val="008026D8"/>
    <w:rsid w:val="00802A74"/>
    <w:rsid w:val="00803400"/>
    <w:rsid w:val="008039B1"/>
    <w:rsid w:val="00803ADF"/>
    <w:rsid w:val="00803E54"/>
    <w:rsid w:val="00804604"/>
    <w:rsid w:val="00804C1A"/>
    <w:rsid w:val="00804D07"/>
    <w:rsid w:val="00805046"/>
    <w:rsid w:val="00805160"/>
    <w:rsid w:val="008054D7"/>
    <w:rsid w:val="00805B70"/>
    <w:rsid w:val="00806308"/>
    <w:rsid w:val="0080638E"/>
    <w:rsid w:val="00806C0A"/>
    <w:rsid w:val="00807DE5"/>
    <w:rsid w:val="00807EF3"/>
    <w:rsid w:val="00810234"/>
    <w:rsid w:val="00810416"/>
    <w:rsid w:val="00810E4A"/>
    <w:rsid w:val="0081119B"/>
    <w:rsid w:val="008115BE"/>
    <w:rsid w:val="00812196"/>
    <w:rsid w:val="00812293"/>
    <w:rsid w:val="00812860"/>
    <w:rsid w:val="00812DE8"/>
    <w:rsid w:val="008130D5"/>
    <w:rsid w:val="008133FF"/>
    <w:rsid w:val="00813658"/>
    <w:rsid w:val="008138FB"/>
    <w:rsid w:val="008139B1"/>
    <w:rsid w:val="00814606"/>
    <w:rsid w:val="0081472E"/>
    <w:rsid w:val="00814EBC"/>
    <w:rsid w:val="008152D7"/>
    <w:rsid w:val="0081549C"/>
    <w:rsid w:val="0081574F"/>
    <w:rsid w:val="00815C42"/>
    <w:rsid w:val="0081626B"/>
    <w:rsid w:val="008164A0"/>
    <w:rsid w:val="0081674F"/>
    <w:rsid w:val="00816A29"/>
    <w:rsid w:val="00816AD3"/>
    <w:rsid w:val="008173B2"/>
    <w:rsid w:val="008177CF"/>
    <w:rsid w:val="00817956"/>
    <w:rsid w:val="00817BA6"/>
    <w:rsid w:val="00817C35"/>
    <w:rsid w:val="008202C6"/>
    <w:rsid w:val="0082065C"/>
    <w:rsid w:val="00821F6C"/>
    <w:rsid w:val="0082235C"/>
    <w:rsid w:val="008226C9"/>
    <w:rsid w:val="00822B1D"/>
    <w:rsid w:val="00822DAA"/>
    <w:rsid w:val="00822FCF"/>
    <w:rsid w:val="008236E0"/>
    <w:rsid w:val="0082374F"/>
    <w:rsid w:val="00823A4D"/>
    <w:rsid w:val="00823C48"/>
    <w:rsid w:val="00823F58"/>
    <w:rsid w:val="0082496D"/>
    <w:rsid w:val="008249AD"/>
    <w:rsid w:val="008252F1"/>
    <w:rsid w:val="008252FD"/>
    <w:rsid w:val="008258BE"/>
    <w:rsid w:val="00825A5F"/>
    <w:rsid w:val="00825D84"/>
    <w:rsid w:val="00825E52"/>
    <w:rsid w:val="00826CA9"/>
    <w:rsid w:val="00826E38"/>
    <w:rsid w:val="008272C0"/>
    <w:rsid w:val="00827551"/>
    <w:rsid w:val="0083036B"/>
    <w:rsid w:val="00830C75"/>
    <w:rsid w:val="00830D4C"/>
    <w:rsid w:val="008313F4"/>
    <w:rsid w:val="008323BA"/>
    <w:rsid w:val="00832525"/>
    <w:rsid w:val="00832C5E"/>
    <w:rsid w:val="008333F3"/>
    <w:rsid w:val="00833950"/>
    <w:rsid w:val="00833ED2"/>
    <w:rsid w:val="00833EF7"/>
    <w:rsid w:val="00834AF6"/>
    <w:rsid w:val="00834C85"/>
    <w:rsid w:val="0083506A"/>
    <w:rsid w:val="008354B4"/>
    <w:rsid w:val="008356B3"/>
    <w:rsid w:val="008363C2"/>
    <w:rsid w:val="00836858"/>
    <w:rsid w:val="00837AA3"/>
    <w:rsid w:val="008408BB"/>
    <w:rsid w:val="00840ACB"/>
    <w:rsid w:val="00840B48"/>
    <w:rsid w:val="00840BAD"/>
    <w:rsid w:val="008415C4"/>
    <w:rsid w:val="00841E4E"/>
    <w:rsid w:val="00841E6D"/>
    <w:rsid w:val="00841FD6"/>
    <w:rsid w:val="008427C6"/>
    <w:rsid w:val="008428FA"/>
    <w:rsid w:val="00842B71"/>
    <w:rsid w:val="00842D3E"/>
    <w:rsid w:val="00842E93"/>
    <w:rsid w:val="008431FD"/>
    <w:rsid w:val="00843694"/>
    <w:rsid w:val="00843F3B"/>
    <w:rsid w:val="00844114"/>
    <w:rsid w:val="008444AA"/>
    <w:rsid w:val="0084524A"/>
    <w:rsid w:val="008452CE"/>
    <w:rsid w:val="0084534A"/>
    <w:rsid w:val="00845A7A"/>
    <w:rsid w:val="00846258"/>
    <w:rsid w:val="00846E74"/>
    <w:rsid w:val="00847177"/>
    <w:rsid w:val="00847529"/>
    <w:rsid w:val="008479F5"/>
    <w:rsid w:val="00847CBD"/>
    <w:rsid w:val="00850079"/>
    <w:rsid w:val="0085034D"/>
    <w:rsid w:val="00850D33"/>
    <w:rsid w:val="00850EE6"/>
    <w:rsid w:val="0085103F"/>
    <w:rsid w:val="008510BE"/>
    <w:rsid w:val="00851195"/>
    <w:rsid w:val="00851D0A"/>
    <w:rsid w:val="00851DE5"/>
    <w:rsid w:val="00851FA0"/>
    <w:rsid w:val="00852017"/>
    <w:rsid w:val="00852116"/>
    <w:rsid w:val="008532C0"/>
    <w:rsid w:val="00853D87"/>
    <w:rsid w:val="008540FC"/>
    <w:rsid w:val="008545AA"/>
    <w:rsid w:val="00855348"/>
    <w:rsid w:val="0085579E"/>
    <w:rsid w:val="00856970"/>
    <w:rsid w:val="00856BB8"/>
    <w:rsid w:val="00857F7B"/>
    <w:rsid w:val="00860292"/>
    <w:rsid w:val="0086046F"/>
    <w:rsid w:val="00860D68"/>
    <w:rsid w:val="008612BC"/>
    <w:rsid w:val="008614E4"/>
    <w:rsid w:val="0086169B"/>
    <w:rsid w:val="008618A6"/>
    <w:rsid w:val="008623DF"/>
    <w:rsid w:val="00862578"/>
    <w:rsid w:val="00862BC8"/>
    <w:rsid w:val="00862D21"/>
    <w:rsid w:val="008631E4"/>
    <w:rsid w:val="00863409"/>
    <w:rsid w:val="0086344B"/>
    <w:rsid w:val="008635A1"/>
    <w:rsid w:val="00863D9B"/>
    <w:rsid w:val="00865401"/>
    <w:rsid w:val="008658DA"/>
    <w:rsid w:val="00865B26"/>
    <w:rsid w:val="0086698D"/>
    <w:rsid w:val="00866B0F"/>
    <w:rsid w:val="00866ED1"/>
    <w:rsid w:val="008679D1"/>
    <w:rsid w:val="00867D74"/>
    <w:rsid w:val="00870394"/>
    <w:rsid w:val="008709E4"/>
    <w:rsid w:val="00871CB2"/>
    <w:rsid w:val="00872177"/>
    <w:rsid w:val="00872AD4"/>
    <w:rsid w:val="0087316C"/>
    <w:rsid w:val="00873BBB"/>
    <w:rsid w:val="00873E77"/>
    <w:rsid w:val="00874447"/>
    <w:rsid w:val="0087569A"/>
    <w:rsid w:val="00875B16"/>
    <w:rsid w:val="00875E2C"/>
    <w:rsid w:val="00876865"/>
    <w:rsid w:val="00876A15"/>
    <w:rsid w:val="00877EA3"/>
    <w:rsid w:val="008804DE"/>
    <w:rsid w:val="008808C7"/>
    <w:rsid w:val="008808FF"/>
    <w:rsid w:val="00880A58"/>
    <w:rsid w:val="008816FE"/>
    <w:rsid w:val="00881ACB"/>
    <w:rsid w:val="0088282D"/>
    <w:rsid w:val="00882A41"/>
    <w:rsid w:val="00883C66"/>
    <w:rsid w:val="00884AE7"/>
    <w:rsid w:val="0088531B"/>
    <w:rsid w:val="00885BC7"/>
    <w:rsid w:val="00885D93"/>
    <w:rsid w:val="00886192"/>
    <w:rsid w:val="00886292"/>
    <w:rsid w:val="0088686B"/>
    <w:rsid w:val="00886A3A"/>
    <w:rsid w:val="00886F58"/>
    <w:rsid w:val="00886FD7"/>
    <w:rsid w:val="00887138"/>
    <w:rsid w:val="0089061B"/>
    <w:rsid w:val="0089077E"/>
    <w:rsid w:val="0089078F"/>
    <w:rsid w:val="00890B00"/>
    <w:rsid w:val="00891156"/>
    <w:rsid w:val="00891273"/>
    <w:rsid w:val="00891426"/>
    <w:rsid w:val="008923C9"/>
    <w:rsid w:val="00892910"/>
    <w:rsid w:val="00892CCF"/>
    <w:rsid w:val="0089611C"/>
    <w:rsid w:val="00896BA9"/>
    <w:rsid w:val="00897AC2"/>
    <w:rsid w:val="008A12AA"/>
    <w:rsid w:val="008A186E"/>
    <w:rsid w:val="008A194E"/>
    <w:rsid w:val="008A198D"/>
    <w:rsid w:val="008A2310"/>
    <w:rsid w:val="008A29A2"/>
    <w:rsid w:val="008A29A9"/>
    <w:rsid w:val="008A2E49"/>
    <w:rsid w:val="008A311C"/>
    <w:rsid w:val="008A4110"/>
    <w:rsid w:val="008A4650"/>
    <w:rsid w:val="008A4CFC"/>
    <w:rsid w:val="008A5812"/>
    <w:rsid w:val="008A5AEF"/>
    <w:rsid w:val="008A6436"/>
    <w:rsid w:val="008A6697"/>
    <w:rsid w:val="008A6A5E"/>
    <w:rsid w:val="008A6FF5"/>
    <w:rsid w:val="008A7F17"/>
    <w:rsid w:val="008B0053"/>
    <w:rsid w:val="008B09A4"/>
    <w:rsid w:val="008B0A5C"/>
    <w:rsid w:val="008B0F7E"/>
    <w:rsid w:val="008B1597"/>
    <w:rsid w:val="008B1A37"/>
    <w:rsid w:val="008B270E"/>
    <w:rsid w:val="008B27FB"/>
    <w:rsid w:val="008B29E0"/>
    <w:rsid w:val="008B2C6C"/>
    <w:rsid w:val="008B3235"/>
    <w:rsid w:val="008B3A8E"/>
    <w:rsid w:val="008B44CB"/>
    <w:rsid w:val="008B4818"/>
    <w:rsid w:val="008B499F"/>
    <w:rsid w:val="008B4C15"/>
    <w:rsid w:val="008B4F71"/>
    <w:rsid w:val="008B516E"/>
    <w:rsid w:val="008B52AF"/>
    <w:rsid w:val="008B65C1"/>
    <w:rsid w:val="008B6854"/>
    <w:rsid w:val="008B6E03"/>
    <w:rsid w:val="008B7118"/>
    <w:rsid w:val="008B7DFA"/>
    <w:rsid w:val="008B7E52"/>
    <w:rsid w:val="008C0548"/>
    <w:rsid w:val="008C0FFA"/>
    <w:rsid w:val="008C101C"/>
    <w:rsid w:val="008C1C75"/>
    <w:rsid w:val="008C20EC"/>
    <w:rsid w:val="008C26DF"/>
    <w:rsid w:val="008C39CB"/>
    <w:rsid w:val="008C444C"/>
    <w:rsid w:val="008C4826"/>
    <w:rsid w:val="008C4D2F"/>
    <w:rsid w:val="008C4DFB"/>
    <w:rsid w:val="008C527A"/>
    <w:rsid w:val="008C63F1"/>
    <w:rsid w:val="008C67D2"/>
    <w:rsid w:val="008C69ED"/>
    <w:rsid w:val="008C6A51"/>
    <w:rsid w:val="008C6BA3"/>
    <w:rsid w:val="008C70A7"/>
    <w:rsid w:val="008C775D"/>
    <w:rsid w:val="008D047E"/>
    <w:rsid w:val="008D0558"/>
    <w:rsid w:val="008D06BA"/>
    <w:rsid w:val="008D0901"/>
    <w:rsid w:val="008D1345"/>
    <w:rsid w:val="008D1CDB"/>
    <w:rsid w:val="008D1EED"/>
    <w:rsid w:val="008D2562"/>
    <w:rsid w:val="008D4265"/>
    <w:rsid w:val="008D4C8F"/>
    <w:rsid w:val="008D4E9A"/>
    <w:rsid w:val="008D4F79"/>
    <w:rsid w:val="008D54AE"/>
    <w:rsid w:val="008D5A74"/>
    <w:rsid w:val="008D5F15"/>
    <w:rsid w:val="008D6578"/>
    <w:rsid w:val="008D6910"/>
    <w:rsid w:val="008D6EBF"/>
    <w:rsid w:val="008D7A0C"/>
    <w:rsid w:val="008D7AF6"/>
    <w:rsid w:val="008D7F2C"/>
    <w:rsid w:val="008E0BEA"/>
    <w:rsid w:val="008E1D8F"/>
    <w:rsid w:val="008E279E"/>
    <w:rsid w:val="008E2DF5"/>
    <w:rsid w:val="008E2EFC"/>
    <w:rsid w:val="008E310C"/>
    <w:rsid w:val="008E315A"/>
    <w:rsid w:val="008E32BC"/>
    <w:rsid w:val="008E35A4"/>
    <w:rsid w:val="008E3A96"/>
    <w:rsid w:val="008E40D9"/>
    <w:rsid w:val="008E42D4"/>
    <w:rsid w:val="008E4791"/>
    <w:rsid w:val="008E51AB"/>
    <w:rsid w:val="008E5CD6"/>
    <w:rsid w:val="008E5EA5"/>
    <w:rsid w:val="008E632F"/>
    <w:rsid w:val="008E660C"/>
    <w:rsid w:val="008E665E"/>
    <w:rsid w:val="008E6FFB"/>
    <w:rsid w:val="008E77BF"/>
    <w:rsid w:val="008F01F3"/>
    <w:rsid w:val="008F092F"/>
    <w:rsid w:val="008F0A4D"/>
    <w:rsid w:val="008F22D6"/>
    <w:rsid w:val="008F2C55"/>
    <w:rsid w:val="008F2DEA"/>
    <w:rsid w:val="008F336D"/>
    <w:rsid w:val="008F45D4"/>
    <w:rsid w:val="008F45E9"/>
    <w:rsid w:val="008F4FFD"/>
    <w:rsid w:val="008F553D"/>
    <w:rsid w:val="008F5C2C"/>
    <w:rsid w:val="008F5E0D"/>
    <w:rsid w:val="008F611D"/>
    <w:rsid w:val="008F6B69"/>
    <w:rsid w:val="008F7876"/>
    <w:rsid w:val="008F7B65"/>
    <w:rsid w:val="008F7E7B"/>
    <w:rsid w:val="008F7FCE"/>
    <w:rsid w:val="009009E1"/>
    <w:rsid w:val="009010BE"/>
    <w:rsid w:val="009027E3"/>
    <w:rsid w:val="00903344"/>
    <w:rsid w:val="00903DBC"/>
    <w:rsid w:val="009048A1"/>
    <w:rsid w:val="00905436"/>
    <w:rsid w:val="009055BC"/>
    <w:rsid w:val="00905ACF"/>
    <w:rsid w:val="00905FC2"/>
    <w:rsid w:val="0090610B"/>
    <w:rsid w:val="00906381"/>
    <w:rsid w:val="00906567"/>
    <w:rsid w:val="00906CDE"/>
    <w:rsid w:val="009073B3"/>
    <w:rsid w:val="00911119"/>
    <w:rsid w:val="009112F7"/>
    <w:rsid w:val="00911BCD"/>
    <w:rsid w:val="00912151"/>
    <w:rsid w:val="00912575"/>
    <w:rsid w:val="00912637"/>
    <w:rsid w:val="009139A5"/>
    <w:rsid w:val="00913B38"/>
    <w:rsid w:val="00913EFE"/>
    <w:rsid w:val="0091416F"/>
    <w:rsid w:val="00914A6C"/>
    <w:rsid w:val="00914F17"/>
    <w:rsid w:val="00915478"/>
    <w:rsid w:val="00916113"/>
    <w:rsid w:val="00916646"/>
    <w:rsid w:val="009167E9"/>
    <w:rsid w:val="00916E7A"/>
    <w:rsid w:val="00917260"/>
    <w:rsid w:val="009176F6"/>
    <w:rsid w:val="00917A66"/>
    <w:rsid w:val="00917E8F"/>
    <w:rsid w:val="00920647"/>
    <w:rsid w:val="009207D5"/>
    <w:rsid w:val="009207E3"/>
    <w:rsid w:val="00920B6F"/>
    <w:rsid w:val="00921F59"/>
    <w:rsid w:val="0092212D"/>
    <w:rsid w:val="00922CB7"/>
    <w:rsid w:val="00922E3E"/>
    <w:rsid w:val="00922F85"/>
    <w:rsid w:val="00923445"/>
    <w:rsid w:val="0092355C"/>
    <w:rsid w:val="00924579"/>
    <w:rsid w:val="00924AA5"/>
    <w:rsid w:val="00924EE7"/>
    <w:rsid w:val="00925513"/>
    <w:rsid w:val="00925CF7"/>
    <w:rsid w:val="00926413"/>
    <w:rsid w:val="00926514"/>
    <w:rsid w:val="00926D10"/>
    <w:rsid w:val="00926F5E"/>
    <w:rsid w:val="00927100"/>
    <w:rsid w:val="009306D3"/>
    <w:rsid w:val="009307C4"/>
    <w:rsid w:val="00930820"/>
    <w:rsid w:val="0093093C"/>
    <w:rsid w:val="00930F63"/>
    <w:rsid w:val="00932E87"/>
    <w:rsid w:val="0093325B"/>
    <w:rsid w:val="00933665"/>
    <w:rsid w:val="009337A0"/>
    <w:rsid w:val="009338EA"/>
    <w:rsid w:val="00933DC0"/>
    <w:rsid w:val="00934A39"/>
    <w:rsid w:val="009354D8"/>
    <w:rsid w:val="009364DC"/>
    <w:rsid w:val="00936B8A"/>
    <w:rsid w:val="0093752B"/>
    <w:rsid w:val="009378DD"/>
    <w:rsid w:val="00940099"/>
    <w:rsid w:val="00940B7A"/>
    <w:rsid w:val="00940F0A"/>
    <w:rsid w:val="0094148B"/>
    <w:rsid w:val="00941F61"/>
    <w:rsid w:val="0094261E"/>
    <w:rsid w:val="0094306D"/>
    <w:rsid w:val="00943B4B"/>
    <w:rsid w:val="00944DA3"/>
    <w:rsid w:val="00945127"/>
    <w:rsid w:val="00945817"/>
    <w:rsid w:val="0094584B"/>
    <w:rsid w:val="009458E6"/>
    <w:rsid w:val="00945B49"/>
    <w:rsid w:val="00945D90"/>
    <w:rsid w:val="00946735"/>
    <w:rsid w:val="00946E35"/>
    <w:rsid w:val="009470BC"/>
    <w:rsid w:val="0094731F"/>
    <w:rsid w:val="00950214"/>
    <w:rsid w:val="00950482"/>
    <w:rsid w:val="00950A19"/>
    <w:rsid w:val="00950ADB"/>
    <w:rsid w:val="00950C16"/>
    <w:rsid w:val="00951C8A"/>
    <w:rsid w:val="009525C3"/>
    <w:rsid w:val="00952EEF"/>
    <w:rsid w:val="00952F06"/>
    <w:rsid w:val="00953238"/>
    <w:rsid w:val="009538A1"/>
    <w:rsid w:val="0095391C"/>
    <w:rsid w:val="00953DE5"/>
    <w:rsid w:val="009551AF"/>
    <w:rsid w:val="00955999"/>
    <w:rsid w:val="00956145"/>
    <w:rsid w:val="00956302"/>
    <w:rsid w:val="0095681B"/>
    <w:rsid w:val="00956A6C"/>
    <w:rsid w:val="00956EBB"/>
    <w:rsid w:val="00956F5A"/>
    <w:rsid w:val="009574D2"/>
    <w:rsid w:val="00957644"/>
    <w:rsid w:val="00957838"/>
    <w:rsid w:val="00960224"/>
    <w:rsid w:val="009602DB"/>
    <w:rsid w:val="00960980"/>
    <w:rsid w:val="00960A70"/>
    <w:rsid w:val="00960DF3"/>
    <w:rsid w:val="009613C9"/>
    <w:rsid w:val="009618A0"/>
    <w:rsid w:val="00961985"/>
    <w:rsid w:val="00962326"/>
    <w:rsid w:val="00962C17"/>
    <w:rsid w:val="00963557"/>
    <w:rsid w:val="0096358C"/>
    <w:rsid w:val="009638FE"/>
    <w:rsid w:val="00963A37"/>
    <w:rsid w:val="00963B9C"/>
    <w:rsid w:val="00963D2C"/>
    <w:rsid w:val="00963EDC"/>
    <w:rsid w:val="0096573B"/>
    <w:rsid w:val="00966036"/>
    <w:rsid w:val="009662CF"/>
    <w:rsid w:val="009663C0"/>
    <w:rsid w:val="00966494"/>
    <w:rsid w:val="00967468"/>
    <w:rsid w:val="0096781D"/>
    <w:rsid w:val="00967A3A"/>
    <w:rsid w:val="00967C7B"/>
    <w:rsid w:val="00967EED"/>
    <w:rsid w:val="00967F03"/>
    <w:rsid w:val="00970044"/>
    <w:rsid w:val="00970293"/>
    <w:rsid w:val="00970511"/>
    <w:rsid w:val="009708DE"/>
    <w:rsid w:val="009710D9"/>
    <w:rsid w:val="009712C6"/>
    <w:rsid w:val="00971FDD"/>
    <w:rsid w:val="0097207E"/>
    <w:rsid w:val="00972491"/>
    <w:rsid w:val="00972ED4"/>
    <w:rsid w:val="009735D2"/>
    <w:rsid w:val="00973813"/>
    <w:rsid w:val="00974440"/>
    <w:rsid w:val="00974755"/>
    <w:rsid w:val="00974862"/>
    <w:rsid w:val="009757C7"/>
    <w:rsid w:val="00975933"/>
    <w:rsid w:val="00976519"/>
    <w:rsid w:val="009767A6"/>
    <w:rsid w:val="00976871"/>
    <w:rsid w:val="00976D52"/>
    <w:rsid w:val="00977822"/>
    <w:rsid w:val="0097793A"/>
    <w:rsid w:val="00980375"/>
    <w:rsid w:val="00980397"/>
    <w:rsid w:val="009807AA"/>
    <w:rsid w:val="00982851"/>
    <w:rsid w:val="00983129"/>
    <w:rsid w:val="0098372E"/>
    <w:rsid w:val="009837B4"/>
    <w:rsid w:val="009845F5"/>
    <w:rsid w:val="00984B76"/>
    <w:rsid w:val="00985024"/>
    <w:rsid w:val="00985A51"/>
    <w:rsid w:val="00987942"/>
    <w:rsid w:val="00987AF6"/>
    <w:rsid w:val="009911E7"/>
    <w:rsid w:val="00991737"/>
    <w:rsid w:val="0099370B"/>
    <w:rsid w:val="00993CB8"/>
    <w:rsid w:val="0099453C"/>
    <w:rsid w:val="00994F99"/>
    <w:rsid w:val="00995A7E"/>
    <w:rsid w:val="00996559"/>
    <w:rsid w:val="00996EE4"/>
    <w:rsid w:val="009970C7"/>
    <w:rsid w:val="0099775F"/>
    <w:rsid w:val="00997C7F"/>
    <w:rsid w:val="009A0414"/>
    <w:rsid w:val="009A0A85"/>
    <w:rsid w:val="009A0EFE"/>
    <w:rsid w:val="009A1098"/>
    <w:rsid w:val="009A17B6"/>
    <w:rsid w:val="009A1CA9"/>
    <w:rsid w:val="009A1FBE"/>
    <w:rsid w:val="009A2D16"/>
    <w:rsid w:val="009A2E78"/>
    <w:rsid w:val="009A37C5"/>
    <w:rsid w:val="009A3C74"/>
    <w:rsid w:val="009A448B"/>
    <w:rsid w:val="009A5195"/>
    <w:rsid w:val="009A52A2"/>
    <w:rsid w:val="009A5AC2"/>
    <w:rsid w:val="009A609C"/>
    <w:rsid w:val="009A64C1"/>
    <w:rsid w:val="009A67FE"/>
    <w:rsid w:val="009A7228"/>
    <w:rsid w:val="009A7CCC"/>
    <w:rsid w:val="009B076A"/>
    <w:rsid w:val="009B07B8"/>
    <w:rsid w:val="009B22B1"/>
    <w:rsid w:val="009B2CF0"/>
    <w:rsid w:val="009B2FA7"/>
    <w:rsid w:val="009B30CA"/>
    <w:rsid w:val="009B315A"/>
    <w:rsid w:val="009B46A7"/>
    <w:rsid w:val="009B4770"/>
    <w:rsid w:val="009B4AC9"/>
    <w:rsid w:val="009B4EBD"/>
    <w:rsid w:val="009B5B07"/>
    <w:rsid w:val="009B6107"/>
    <w:rsid w:val="009B6251"/>
    <w:rsid w:val="009C0397"/>
    <w:rsid w:val="009C0947"/>
    <w:rsid w:val="009C18B6"/>
    <w:rsid w:val="009C1962"/>
    <w:rsid w:val="009C204B"/>
    <w:rsid w:val="009C25BE"/>
    <w:rsid w:val="009C2702"/>
    <w:rsid w:val="009C2899"/>
    <w:rsid w:val="009C3517"/>
    <w:rsid w:val="009C37BE"/>
    <w:rsid w:val="009C3BE8"/>
    <w:rsid w:val="009C400F"/>
    <w:rsid w:val="009C4133"/>
    <w:rsid w:val="009C4BEC"/>
    <w:rsid w:val="009C53B9"/>
    <w:rsid w:val="009C59AE"/>
    <w:rsid w:val="009C5ADB"/>
    <w:rsid w:val="009C64F2"/>
    <w:rsid w:val="009C6A01"/>
    <w:rsid w:val="009C6B72"/>
    <w:rsid w:val="009C6BDC"/>
    <w:rsid w:val="009C7039"/>
    <w:rsid w:val="009D116F"/>
    <w:rsid w:val="009D18A4"/>
    <w:rsid w:val="009D18EC"/>
    <w:rsid w:val="009D1934"/>
    <w:rsid w:val="009D207A"/>
    <w:rsid w:val="009D2A2A"/>
    <w:rsid w:val="009D2FE8"/>
    <w:rsid w:val="009D30C5"/>
    <w:rsid w:val="009D35C4"/>
    <w:rsid w:val="009D4AE4"/>
    <w:rsid w:val="009D4C07"/>
    <w:rsid w:val="009D4DE2"/>
    <w:rsid w:val="009D53C6"/>
    <w:rsid w:val="009D57B0"/>
    <w:rsid w:val="009D6370"/>
    <w:rsid w:val="009D6C4B"/>
    <w:rsid w:val="009D6D73"/>
    <w:rsid w:val="009D72D5"/>
    <w:rsid w:val="009D73C3"/>
    <w:rsid w:val="009D7464"/>
    <w:rsid w:val="009D7F49"/>
    <w:rsid w:val="009E050D"/>
    <w:rsid w:val="009E0FEE"/>
    <w:rsid w:val="009E15A0"/>
    <w:rsid w:val="009E19E4"/>
    <w:rsid w:val="009E2C44"/>
    <w:rsid w:val="009E2E3D"/>
    <w:rsid w:val="009E3777"/>
    <w:rsid w:val="009E3EC9"/>
    <w:rsid w:val="009E4557"/>
    <w:rsid w:val="009E46E3"/>
    <w:rsid w:val="009E4C28"/>
    <w:rsid w:val="009E622F"/>
    <w:rsid w:val="009E62D1"/>
    <w:rsid w:val="009E63A2"/>
    <w:rsid w:val="009E6B10"/>
    <w:rsid w:val="009F028D"/>
    <w:rsid w:val="009F15EF"/>
    <w:rsid w:val="009F1BE8"/>
    <w:rsid w:val="009F1ED7"/>
    <w:rsid w:val="009F32E5"/>
    <w:rsid w:val="009F388C"/>
    <w:rsid w:val="009F3DB3"/>
    <w:rsid w:val="009F3E12"/>
    <w:rsid w:val="009F4778"/>
    <w:rsid w:val="009F6C2E"/>
    <w:rsid w:val="009F6DB4"/>
    <w:rsid w:val="009F6F62"/>
    <w:rsid w:val="009F7263"/>
    <w:rsid w:val="009F7389"/>
    <w:rsid w:val="009F75B1"/>
    <w:rsid w:val="009F7747"/>
    <w:rsid w:val="009F7C00"/>
    <w:rsid w:val="009F7F74"/>
    <w:rsid w:val="00A00098"/>
    <w:rsid w:val="00A004AD"/>
    <w:rsid w:val="00A00ED6"/>
    <w:rsid w:val="00A013EC"/>
    <w:rsid w:val="00A01702"/>
    <w:rsid w:val="00A02079"/>
    <w:rsid w:val="00A02CAB"/>
    <w:rsid w:val="00A02D2C"/>
    <w:rsid w:val="00A02F19"/>
    <w:rsid w:val="00A03BC1"/>
    <w:rsid w:val="00A03C7E"/>
    <w:rsid w:val="00A03E09"/>
    <w:rsid w:val="00A04AC1"/>
    <w:rsid w:val="00A050CA"/>
    <w:rsid w:val="00A05F06"/>
    <w:rsid w:val="00A06428"/>
    <w:rsid w:val="00A068E4"/>
    <w:rsid w:val="00A070C3"/>
    <w:rsid w:val="00A074A3"/>
    <w:rsid w:val="00A07E35"/>
    <w:rsid w:val="00A10465"/>
    <w:rsid w:val="00A1087B"/>
    <w:rsid w:val="00A1158A"/>
    <w:rsid w:val="00A11CE6"/>
    <w:rsid w:val="00A12065"/>
    <w:rsid w:val="00A125A7"/>
    <w:rsid w:val="00A12ABD"/>
    <w:rsid w:val="00A1345C"/>
    <w:rsid w:val="00A13706"/>
    <w:rsid w:val="00A137BE"/>
    <w:rsid w:val="00A13E83"/>
    <w:rsid w:val="00A13FD1"/>
    <w:rsid w:val="00A14128"/>
    <w:rsid w:val="00A1499A"/>
    <w:rsid w:val="00A14D4E"/>
    <w:rsid w:val="00A15564"/>
    <w:rsid w:val="00A1568F"/>
    <w:rsid w:val="00A157CB"/>
    <w:rsid w:val="00A16025"/>
    <w:rsid w:val="00A162F1"/>
    <w:rsid w:val="00A166AB"/>
    <w:rsid w:val="00A16F70"/>
    <w:rsid w:val="00A17170"/>
    <w:rsid w:val="00A17675"/>
    <w:rsid w:val="00A1791C"/>
    <w:rsid w:val="00A17CBD"/>
    <w:rsid w:val="00A20332"/>
    <w:rsid w:val="00A2142A"/>
    <w:rsid w:val="00A223FB"/>
    <w:rsid w:val="00A22B02"/>
    <w:rsid w:val="00A23000"/>
    <w:rsid w:val="00A2404A"/>
    <w:rsid w:val="00A24239"/>
    <w:rsid w:val="00A24277"/>
    <w:rsid w:val="00A2463F"/>
    <w:rsid w:val="00A2480A"/>
    <w:rsid w:val="00A24873"/>
    <w:rsid w:val="00A24965"/>
    <w:rsid w:val="00A254B8"/>
    <w:rsid w:val="00A25B98"/>
    <w:rsid w:val="00A2614A"/>
    <w:rsid w:val="00A26C41"/>
    <w:rsid w:val="00A2748A"/>
    <w:rsid w:val="00A30003"/>
    <w:rsid w:val="00A30107"/>
    <w:rsid w:val="00A30A9D"/>
    <w:rsid w:val="00A30B5D"/>
    <w:rsid w:val="00A30F7D"/>
    <w:rsid w:val="00A310FC"/>
    <w:rsid w:val="00A315DE"/>
    <w:rsid w:val="00A317F6"/>
    <w:rsid w:val="00A318DF"/>
    <w:rsid w:val="00A31F70"/>
    <w:rsid w:val="00A328EF"/>
    <w:rsid w:val="00A3378B"/>
    <w:rsid w:val="00A33B2E"/>
    <w:rsid w:val="00A34159"/>
    <w:rsid w:val="00A344FA"/>
    <w:rsid w:val="00A34909"/>
    <w:rsid w:val="00A34B15"/>
    <w:rsid w:val="00A34D30"/>
    <w:rsid w:val="00A34FDD"/>
    <w:rsid w:val="00A35106"/>
    <w:rsid w:val="00A35CB7"/>
    <w:rsid w:val="00A35D46"/>
    <w:rsid w:val="00A36494"/>
    <w:rsid w:val="00A369CC"/>
    <w:rsid w:val="00A36D6D"/>
    <w:rsid w:val="00A37A68"/>
    <w:rsid w:val="00A40003"/>
    <w:rsid w:val="00A40766"/>
    <w:rsid w:val="00A40874"/>
    <w:rsid w:val="00A408E5"/>
    <w:rsid w:val="00A40CDB"/>
    <w:rsid w:val="00A41381"/>
    <w:rsid w:val="00A4141A"/>
    <w:rsid w:val="00A41988"/>
    <w:rsid w:val="00A41B13"/>
    <w:rsid w:val="00A41D65"/>
    <w:rsid w:val="00A42681"/>
    <w:rsid w:val="00A4357D"/>
    <w:rsid w:val="00A43A33"/>
    <w:rsid w:val="00A45672"/>
    <w:rsid w:val="00A45C14"/>
    <w:rsid w:val="00A4637F"/>
    <w:rsid w:val="00A4689E"/>
    <w:rsid w:val="00A47229"/>
    <w:rsid w:val="00A5009E"/>
    <w:rsid w:val="00A51438"/>
    <w:rsid w:val="00A51974"/>
    <w:rsid w:val="00A51E07"/>
    <w:rsid w:val="00A521A0"/>
    <w:rsid w:val="00A534F4"/>
    <w:rsid w:val="00A54055"/>
    <w:rsid w:val="00A546D1"/>
    <w:rsid w:val="00A546F1"/>
    <w:rsid w:val="00A55197"/>
    <w:rsid w:val="00A556D1"/>
    <w:rsid w:val="00A55881"/>
    <w:rsid w:val="00A5601A"/>
    <w:rsid w:val="00A560D0"/>
    <w:rsid w:val="00A56198"/>
    <w:rsid w:val="00A565C0"/>
    <w:rsid w:val="00A56E3D"/>
    <w:rsid w:val="00A573E7"/>
    <w:rsid w:val="00A60B2E"/>
    <w:rsid w:val="00A60D13"/>
    <w:rsid w:val="00A60E80"/>
    <w:rsid w:val="00A61113"/>
    <w:rsid w:val="00A614F4"/>
    <w:rsid w:val="00A6153C"/>
    <w:rsid w:val="00A616D2"/>
    <w:rsid w:val="00A6179B"/>
    <w:rsid w:val="00A6186A"/>
    <w:rsid w:val="00A62781"/>
    <w:rsid w:val="00A630A3"/>
    <w:rsid w:val="00A63374"/>
    <w:rsid w:val="00A6355D"/>
    <w:rsid w:val="00A63938"/>
    <w:rsid w:val="00A63E03"/>
    <w:rsid w:val="00A644CD"/>
    <w:rsid w:val="00A64B8E"/>
    <w:rsid w:val="00A652C4"/>
    <w:rsid w:val="00A65DDE"/>
    <w:rsid w:val="00A65F6B"/>
    <w:rsid w:val="00A66091"/>
    <w:rsid w:val="00A665FE"/>
    <w:rsid w:val="00A668AE"/>
    <w:rsid w:val="00A669BE"/>
    <w:rsid w:val="00A66BCD"/>
    <w:rsid w:val="00A66F5A"/>
    <w:rsid w:val="00A678A8"/>
    <w:rsid w:val="00A67CAA"/>
    <w:rsid w:val="00A70189"/>
    <w:rsid w:val="00A70568"/>
    <w:rsid w:val="00A71283"/>
    <w:rsid w:val="00A717AD"/>
    <w:rsid w:val="00A7202E"/>
    <w:rsid w:val="00A720C2"/>
    <w:rsid w:val="00A72745"/>
    <w:rsid w:val="00A72F3A"/>
    <w:rsid w:val="00A73899"/>
    <w:rsid w:val="00A73B99"/>
    <w:rsid w:val="00A7499D"/>
    <w:rsid w:val="00A74B27"/>
    <w:rsid w:val="00A74CE0"/>
    <w:rsid w:val="00A751F8"/>
    <w:rsid w:val="00A755B4"/>
    <w:rsid w:val="00A75741"/>
    <w:rsid w:val="00A75BA0"/>
    <w:rsid w:val="00A75EE1"/>
    <w:rsid w:val="00A762EB"/>
    <w:rsid w:val="00A76407"/>
    <w:rsid w:val="00A76C07"/>
    <w:rsid w:val="00A76EB3"/>
    <w:rsid w:val="00A77FF8"/>
    <w:rsid w:val="00A80027"/>
    <w:rsid w:val="00A8043C"/>
    <w:rsid w:val="00A80608"/>
    <w:rsid w:val="00A807F4"/>
    <w:rsid w:val="00A80BAD"/>
    <w:rsid w:val="00A8107A"/>
    <w:rsid w:val="00A8115A"/>
    <w:rsid w:val="00A82246"/>
    <w:rsid w:val="00A8293C"/>
    <w:rsid w:val="00A835A3"/>
    <w:rsid w:val="00A835E9"/>
    <w:rsid w:val="00A83656"/>
    <w:rsid w:val="00A8400A"/>
    <w:rsid w:val="00A84193"/>
    <w:rsid w:val="00A84972"/>
    <w:rsid w:val="00A854D9"/>
    <w:rsid w:val="00A856C7"/>
    <w:rsid w:val="00A86051"/>
    <w:rsid w:val="00A864E1"/>
    <w:rsid w:val="00A8657F"/>
    <w:rsid w:val="00A86D59"/>
    <w:rsid w:val="00A87B89"/>
    <w:rsid w:val="00A87C26"/>
    <w:rsid w:val="00A90003"/>
    <w:rsid w:val="00A9032B"/>
    <w:rsid w:val="00A90336"/>
    <w:rsid w:val="00A90BAC"/>
    <w:rsid w:val="00A9198B"/>
    <w:rsid w:val="00A92384"/>
    <w:rsid w:val="00A92B91"/>
    <w:rsid w:val="00A944B5"/>
    <w:rsid w:val="00A94751"/>
    <w:rsid w:val="00A951DA"/>
    <w:rsid w:val="00A95682"/>
    <w:rsid w:val="00A95964"/>
    <w:rsid w:val="00A95BF9"/>
    <w:rsid w:val="00A95C36"/>
    <w:rsid w:val="00A9688D"/>
    <w:rsid w:val="00A96E9B"/>
    <w:rsid w:val="00A97648"/>
    <w:rsid w:val="00A97792"/>
    <w:rsid w:val="00A9781F"/>
    <w:rsid w:val="00AA06CD"/>
    <w:rsid w:val="00AA11FC"/>
    <w:rsid w:val="00AA1BF1"/>
    <w:rsid w:val="00AA2396"/>
    <w:rsid w:val="00AA2573"/>
    <w:rsid w:val="00AA2851"/>
    <w:rsid w:val="00AA2E20"/>
    <w:rsid w:val="00AA33BD"/>
    <w:rsid w:val="00AA381E"/>
    <w:rsid w:val="00AA4268"/>
    <w:rsid w:val="00AA441A"/>
    <w:rsid w:val="00AA4545"/>
    <w:rsid w:val="00AA4AF1"/>
    <w:rsid w:val="00AA4D09"/>
    <w:rsid w:val="00AA5729"/>
    <w:rsid w:val="00AA62CB"/>
    <w:rsid w:val="00AA64D0"/>
    <w:rsid w:val="00AA6585"/>
    <w:rsid w:val="00AA675C"/>
    <w:rsid w:val="00AA6DBB"/>
    <w:rsid w:val="00AA6F1F"/>
    <w:rsid w:val="00AA70DA"/>
    <w:rsid w:val="00AA7367"/>
    <w:rsid w:val="00AA742D"/>
    <w:rsid w:val="00AA755B"/>
    <w:rsid w:val="00AA7772"/>
    <w:rsid w:val="00AA7A82"/>
    <w:rsid w:val="00AA7D6C"/>
    <w:rsid w:val="00AB00CE"/>
    <w:rsid w:val="00AB0729"/>
    <w:rsid w:val="00AB0CF5"/>
    <w:rsid w:val="00AB0D81"/>
    <w:rsid w:val="00AB1356"/>
    <w:rsid w:val="00AB1969"/>
    <w:rsid w:val="00AB1D06"/>
    <w:rsid w:val="00AB1E49"/>
    <w:rsid w:val="00AB2031"/>
    <w:rsid w:val="00AB2342"/>
    <w:rsid w:val="00AB250E"/>
    <w:rsid w:val="00AB2F77"/>
    <w:rsid w:val="00AB330E"/>
    <w:rsid w:val="00AB3713"/>
    <w:rsid w:val="00AB3C92"/>
    <w:rsid w:val="00AB3E0C"/>
    <w:rsid w:val="00AB41CE"/>
    <w:rsid w:val="00AB4743"/>
    <w:rsid w:val="00AB4ABE"/>
    <w:rsid w:val="00AB6683"/>
    <w:rsid w:val="00AB68C2"/>
    <w:rsid w:val="00AB6C0B"/>
    <w:rsid w:val="00AB6CF8"/>
    <w:rsid w:val="00AB78FB"/>
    <w:rsid w:val="00AB7B12"/>
    <w:rsid w:val="00AC0562"/>
    <w:rsid w:val="00AC0950"/>
    <w:rsid w:val="00AC0B2D"/>
    <w:rsid w:val="00AC0E22"/>
    <w:rsid w:val="00AC1976"/>
    <w:rsid w:val="00AC22FF"/>
    <w:rsid w:val="00AC293B"/>
    <w:rsid w:val="00AC3473"/>
    <w:rsid w:val="00AC3801"/>
    <w:rsid w:val="00AC3DB5"/>
    <w:rsid w:val="00AC4520"/>
    <w:rsid w:val="00AC59BF"/>
    <w:rsid w:val="00AC634C"/>
    <w:rsid w:val="00AC67E2"/>
    <w:rsid w:val="00AC6BED"/>
    <w:rsid w:val="00AC712E"/>
    <w:rsid w:val="00AC72A0"/>
    <w:rsid w:val="00AC740C"/>
    <w:rsid w:val="00AC7F49"/>
    <w:rsid w:val="00AD0802"/>
    <w:rsid w:val="00AD0C60"/>
    <w:rsid w:val="00AD26D7"/>
    <w:rsid w:val="00AD2F3A"/>
    <w:rsid w:val="00AD5003"/>
    <w:rsid w:val="00AD56FD"/>
    <w:rsid w:val="00AD5B18"/>
    <w:rsid w:val="00AD62E5"/>
    <w:rsid w:val="00AD6708"/>
    <w:rsid w:val="00AD6EFD"/>
    <w:rsid w:val="00AD6FE6"/>
    <w:rsid w:val="00AD7795"/>
    <w:rsid w:val="00AD7DDC"/>
    <w:rsid w:val="00AE085E"/>
    <w:rsid w:val="00AE0F9B"/>
    <w:rsid w:val="00AE1099"/>
    <w:rsid w:val="00AE1140"/>
    <w:rsid w:val="00AE1B53"/>
    <w:rsid w:val="00AE1E26"/>
    <w:rsid w:val="00AE2586"/>
    <w:rsid w:val="00AE363B"/>
    <w:rsid w:val="00AE37FE"/>
    <w:rsid w:val="00AE475C"/>
    <w:rsid w:val="00AE4F40"/>
    <w:rsid w:val="00AE5610"/>
    <w:rsid w:val="00AE5B11"/>
    <w:rsid w:val="00AE5BC2"/>
    <w:rsid w:val="00AE5C96"/>
    <w:rsid w:val="00AE5F13"/>
    <w:rsid w:val="00AE617A"/>
    <w:rsid w:val="00AE67F7"/>
    <w:rsid w:val="00AE689E"/>
    <w:rsid w:val="00AE7F45"/>
    <w:rsid w:val="00AF089F"/>
    <w:rsid w:val="00AF1756"/>
    <w:rsid w:val="00AF1CC0"/>
    <w:rsid w:val="00AF2244"/>
    <w:rsid w:val="00AF2ABA"/>
    <w:rsid w:val="00AF378B"/>
    <w:rsid w:val="00AF37B5"/>
    <w:rsid w:val="00AF4048"/>
    <w:rsid w:val="00AF626B"/>
    <w:rsid w:val="00AF6AC4"/>
    <w:rsid w:val="00AF6F86"/>
    <w:rsid w:val="00AF6F94"/>
    <w:rsid w:val="00AF7AB8"/>
    <w:rsid w:val="00AF7B85"/>
    <w:rsid w:val="00B01465"/>
    <w:rsid w:val="00B01711"/>
    <w:rsid w:val="00B01A5E"/>
    <w:rsid w:val="00B0243F"/>
    <w:rsid w:val="00B030CD"/>
    <w:rsid w:val="00B0330E"/>
    <w:rsid w:val="00B0331F"/>
    <w:rsid w:val="00B049FE"/>
    <w:rsid w:val="00B04AA7"/>
    <w:rsid w:val="00B050CE"/>
    <w:rsid w:val="00B05E1B"/>
    <w:rsid w:val="00B05EC7"/>
    <w:rsid w:val="00B0662A"/>
    <w:rsid w:val="00B0713A"/>
    <w:rsid w:val="00B07FCC"/>
    <w:rsid w:val="00B1035C"/>
    <w:rsid w:val="00B11559"/>
    <w:rsid w:val="00B1166D"/>
    <w:rsid w:val="00B119FB"/>
    <w:rsid w:val="00B11B26"/>
    <w:rsid w:val="00B11EC9"/>
    <w:rsid w:val="00B11FEB"/>
    <w:rsid w:val="00B129F3"/>
    <w:rsid w:val="00B13013"/>
    <w:rsid w:val="00B13268"/>
    <w:rsid w:val="00B139B3"/>
    <w:rsid w:val="00B1422A"/>
    <w:rsid w:val="00B14392"/>
    <w:rsid w:val="00B14464"/>
    <w:rsid w:val="00B14651"/>
    <w:rsid w:val="00B14706"/>
    <w:rsid w:val="00B14750"/>
    <w:rsid w:val="00B1479E"/>
    <w:rsid w:val="00B14B54"/>
    <w:rsid w:val="00B14ECF"/>
    <w:rsid w:val="00B153C5"/>
    <w:rsid w:val="00B15734"/>
    <w:rsid w:val="00B15F33"/>
    <w:rsid w:val="00B16643"/>
    <w:rsid w:val="00B17E70"/>
    <w:rsid w:val="00B207C0"/>
    <w:rsid w:val="00B21457"/>
    <w:rsid w:val="00B2216C"/>
    <w:rsid w:val="00B224BF"/>
    <w:rsid w:val="00B226A9"/>
    <w:rsid w:val="00B22901"/>
    <w:rsid w:val="00B24163"/>
    <w:rsid w:val="00B24458"/>
    <w:rsid w:val="00B24B88"/>
    <w:rsid w:val="00B25050"/>
    <w:rsid w:val="00B25718"/>
    <w:rsid w:val="00B25E08"/>
    <w:rsid w:val="00B25E90"/>
    <w:rsid w:val="00B2677C"/>
    <w:rsid w:val="00B26895"/>
    <w:rsid w:val="00B27C6C"/>
    <w:rsid w:val="00B27E49"/>
    <w:rsid w:val="00B27ED1"/>
    <w:rsid w:val="00B3003A"/>
    <w:rsid w:val="00B30066"/>
    <w:rsid w:val="00B30364"/>
    <w:rsid w:val="00B3055F"/>
    <w:rsid w:val="00B3144D"/>
    <w:rsid w:val="00B32517"/>
    <w:rsid w:val="00B33864"/>
    <w:rsid w:val="00B34865"/>
    <w:rsid w:val="00B3506C"/>
    <w:rsid w:val="00B351A3"/>
    <w:rsid w:val="00B35434"/>
    <w:rsid w:val="00B35637"/>
    <w:rsid w:val="00B35C96"/>
    <w:rsid w:val="00B3659F"/>
    <w:rsid w:val="00B368A4"/>
    <w:rsid w:val="00B377FD"/>
    <w:rsid w:val="00B377FE"/>
    <w:rsid w:val="00B37AD9"/>
    <w:rsid w:val="00B37F2D"/>
    <w:rsid w:val="00B41587"/>
    <w:rsid w:val="00B41B22"/>
    <w:rsid w:val="00B41D85"/>
    <w:rsid w:val="00B41E5B"/>
    <w:rsid w:val="00B4218E"/>
    <w:rsid w:val="00B421A8"/>
    <w:rsid w:val="00B421CC"/>
    <w:rsid w:val="00B428B3"/>
    <w:rsid w:val="00B429EB"/>
    <w:rsid w:val="00B43AF4"/>
    <w:rsid w:val="00B43B5F"/>
    <w:rsid w:val="00B43B8A"/>
    <w:rsid w:val="00B44AC3"/>
    <w:rsid w:val="00B461B5"/>
    <w:rsid w:val="00B46CC2"/>
    <w:rsid w:val="00B46E49"/>
    <w:rsid w:val="00B473B1"/>
    <w:rsid w:val="00B4752C"/>
    <w:rsid w:val="00B47B79"/>
    <w:rsid w:val="00B47C71"/>
    <w:rsid w:val="00B50174"/>
    <w:rsid w:val="00B5044A"/>
    <w:rsid w:val="00B506EF"/>
    <w:rsid w:val="00B51CA3"/>
    <w:rsid w:val="00B5220A"/>
    <w:rsid w:val="00B53052"/>
    <w:rsid w:val="00B53534"/>
    <w:rsid w:val="00B53DB9"/>
    <w:rsid w:val="00B53EC2"/>
    <w:rsid w:val="00B54073"/>
    <w:rsid w:val="00B5471C"/>
    <w:rsid w:val="00B54897"/>
    <w:rsid w:val="00B5494B"/>
    <w:rsid w:val="00B54CA0"/>
    <w:rsid w:val="00B54F94"/>
    <w:rsid w:val="00B567BA"/>
    <w:rsid w:val="00B5685B"/>
    <w:rsid w:val="00B56BB9"/>
    <w:rsid w:val="00B57DAB"/>
    <w:rsid w:val="00B605EE"/>
    <w:rsid w:val="00B609E8"/>
    <w:rsid w:val="00B61120"/>
    <w:rsid w:val="00B613C6"/>
    <w:rsid w:val="00B61464"/>
    <w:rsid w:val="00B61D93"/>
    <w:rsid w:val="00B62399"/>
    <w:rsid w:val="00B623CF"/>
    <w:rsid w:val="00B626AD"/>
    <w:rsid w:val="00B635B5"/>
    <w:rsid w:val="00B63745"/>
    <w:rsid w:val="00B63811"/>
    <w:rsid w:val="00B643BF"/>
    <w:rsid w:val="00B65712"/>
    <w:rsid w:val="00B65914"/>
    <w:rsid w:val="00B661D3"/>
    <w:rsid w:val="00B665C9"/>
    <w:rsid w:val="00B66607"/>
    <w:rsid w:val="00B66D33"/>
    <w:rsid w:val="00B67835"/>
    <w:rsid w:val="00B70E68"/>
    <w:rsid w:val="00B71111"/>
    <w:rsid w:val="00B7128F"/>
    <w:rsid w:val="00B72578"/>
    <w:rsid w:val="00B72A9C"/>
    <w:rsid w:val="00B72D56"/>
    <w:rsid w:val="00B72DA2"/>
    <w:rsid w:val="00B735A3"/>
    <w:rsid w:val="00B7450F"/>
    <w:rsid w:val="00B749F7"/>
    <w:rsid w:val="00B755F2"/>
    <w:rsid w:val="00B768BF"/>
    <w:rsid w:val="00B770FC"/>
    <w:rsid w:val="00B77DC8"/>
    <w:rsid w:val="00B77F95"/>
    <w:rsid w:val="00B800A0"/>
    <w:rsid w:val="00B80874"/>
    <w:rsid w:val="00B8127F"/>
    <w:rsid w:val="00B81372"/>
    <w:rsid w:val="00B8222B"/>
    <w:rsid w:val="00B83254"/>
    <w:rsid w:val="00B834BF"/>
    <w:rsid w:val="00B838C4"/>
    <w:rsid w:val="00B83DEE"/>
    <w:rsid w:val="00B83F42"/>
    <w:rsid w:val="00B848E7"/>
    <w:rsid w:val="00B84D3E"/>
    <w:rsid w:val="00B84EAC"/>
    <w:rsid w:val="00B85009"/>
    <w:rsid w:val="00B85350"/>
    <w:rsid w:val="00B85761"/>
    <w:rsid w:val="00B86646"/>
    <w:rsid w:val="00B868CD"/>
    <w:rsid w:val="00B869AC"/>
    <w:rsid w:val="00B86EF0"/>
    <w:rsid w:val="00B876CD"/>
    <w:rsid w:val="00B87D13"/>
    <w:rsid w:val="00B87FEC"/>
    <w:rsid w:val="00B90C18"/>
    <w:rsid w:val="00B90C2C"/>
    <w:rsid w:val="00B91048"/>
    <w:rsid w:val="00B91494"/>
    <w:rsid w:val="00B91EEA"/>
    <w:rsid w:val="00B91F52"/>
    <w:rsid w:val="00B9365B"/>
    <w:rsid w:val="00B93ACD"/>
    <w:rsid w:val="00B93B37"/>
    <w:rsid w:val="00B93DFC"/>
    <w:rsid w:val="00B944D7"/>
    <w:rsid w:val="00B94EFA"/>
    <w:rsid w:val="00B953C0"/>
    <w:rsid w:val="00B95722"/>
    <w:rsid w:val="00B95846"/>
    <w:rsid w:val="00B95907"/>
    <w:rsid w:val="00B96B16"/>
    <w:rsid w:val="00B9729E"/>
    <w:rsid w:val="00B97494"/>
    <w:rsid w:val="00BA0282"/>
    <w:rsid w:val="00BA05F0"/>
    <w:rsid w:val="00BA0C29"/>
    <w:rsid w:val="00BA0C6E"/>
    <w:rsid w:val="00BA1801"/>
    <w:rsid w:val="00BA2CF1"/>
    <w:rsid w:val="00BA330B"/>
    <w:rsid w:val="00BA3540"/>
    <w:rsid w:val="00BA390B"/>
    <w:rsid w:val="00BA5821"/>
    <w:rsid w:val="00BA5A87"/>
    <w:rsid w:val="00BA5D47"/>
    <w:rsid w:val="00BA648D"/>
    <w:rsid w:val="00BA66D3"/>
    <w:rsid w:val="00BA68C5"/>
    <w:rsid w:val="00BA6DA8"/>
    <w:rsid w:val="00BB0B30"/>
    <w:rsid w:val="00BB13A3"/>
    <w:rsid w:val="00BB13DE"/>
    <w:rsid w:val="00BB1592"/>
    <w:rsid w:val="00BB195F"/>
    <w:rsid w:val="00BB257B"/>
    <w:rsid w:val="00BB2D7F"/>
    <w:rsid w:val="00BB3254"/>
    <w:rsid w:val="00BB3996"/>
    <w:rsid w:val="00BB3AC0"/>
    <w:rsid w:val="00BB416A"/>
    <w:rsid w:val="00BB488C"/>
    <w:rsid w:val="00BB4D3B"/>
    <w:rsid w:val="00BB5BDF"/>
    <w:rsid w:val="00BB5E88"/>
    <w:rsid w:val="00BB75C8"/>
    <w:rsid w:val="00BB77B7"/>
    <w:rsid w:val="00BC0288"/>
    <w:rsid w:val="00BC034E"/>
    <w:rsid w:val="00BC0CA7"/>
    <w:rsid w:val="00BC0F3D"/>
    <w:rsid w:val="00BC17B0"/>
    <w:rsid w:val="00BC1A55"/>
    <w:rsid w:val="00BC21E9"/>
    <w:rsid w:val="00BC2FBF"/>
    <w:rsid w:val="00BC3558"/>
    <w:rsid w:val="00BC37C5"/>
    <w:rsid w:val="00BC3B77"/>
    <w:rsid w:val="00BC4697"/>
    <w:rsid w:val="00BC4976"/>
    <w:rsid w:val="00BC509D"/>
    <w:rsid w:val="00BC5563"/>
    <w:rsid w:val="00BC62C6"/>
    <w:rsid w:val="00BC70E1"/>
    <w:rsid w:val="00BC7994"/>
    <w:rsid w:val="00BC7C70"/>
    <w:rsid w:val="00BD023A"/>
    <w:rsid w:val="00BD034E"/>
    <w:rsid w:val="00BD070E"/>
    <w:rsid w:val="00BD1923"/>
    <w:rsid w:val="00BD1A1E"/>
    <w:rsid w:val="00BD1D8C"/>
    <w:rsid w:val="00BD2737"/>
    <w:rsid w:val="00BD2AF3"/>
    <w:rsid w:val="00BD2B34"/>
    <w:rsid w:val="00BD2E9C"/>
    <w:rsid w:val="00BD3CE6"/>
    <w:rsid w:val="00BD5233"/>
    <w:rsid w:val="00BD524B"/>
    <w:rsid w:val="00BD53E6"/>
    <w:rsid w:val="00BD5772"/>
    <w:rsid w:val="00BD5EB0"/>
    <w:rsid w:val="00BD5FCB"/>
    <w:rsid w:val="00BD6F0B"/>
    <w:rsid w:val="00BD7046"/>
    <w:rsid w:val="00BD7209"/>
    <w:rsid w:val="00BD72C1"/>
    <w:rsid w:val="00BD786B"/>
    <w:rsid w:val="00BD7950"/>
    <w:rsid w:val="00BD7F54"/>
    <w:rsid w:val="00BE0067"/>
    <w:rsid w:val="00BE0070"/>
    <w:rsid w:val="00BE0943"/>
    <w:rsid w:val="00BE1828"/>
    <w:rsid w:val="00BE2236"/>
    <w:rsid w:val="00BE314E"/>
    <w:rsid w:val="00BE347B"/>
    <w:rsid w:val="00BE3823"/>
    <w:rsid w:val="00BE4455"/>
    <w:rsid w:val="00BE4577"/>
    <w:rsid w:val="00BE4BBD"/>
    <w:rsid w:val="00BE57A0"/>
    <w:rsid w:val="00BE5FBE"/>
    <w:rsid w:val="00BE6541"/>
    <w:rsid w:val="00BE65BD"/>
    <w:rsid w:val="00BE675C"/>
    <w:rsid w:val="00BE6B73"/>
    <w:rsid w:val="00BE7295"/>
    <w:rsid w:val="00BE7ABE"/>
    <w:rsid w:val="00BE7F9E"/>
    <w:rsid w:val="00BF12D1"/>
    <w:rsid w:val="00BF1859"/>
    <w:rsid w:val="00BF1B41"/>
    <w:rsid w:val="00BF1F44"/>
    <w:rsid w:val="00BF20E7"/>
    <w:rsid w:val="00BF2250"/>
    <w:rsid w:val="00BF29AE"/>
    <w:rsid w:val="00BF3995"/>
    <w:rsid w:val="00BF3AF7"/>
    <w:rsid w:val="00BF420D"/>
    <w:rsid w:val="00BF421D"/>
    <w:rsid w:val="00BF4A65"/>
    <w:rsid w:val="00BF4DFA"/>
    <w:rsid w:val="00BF5248"/>
    <w:rsid w:val="00BF577B"/>
    <w:rsid w:val="00BF57C0"/>
    <w:rsid w:val="00BF58A1"/>
    <w:rsid w:val="00BF5939"/>
    <w:rsid w:val="00BF5DC3"/>
    <w:rsid w:val="00BF611F"/>
    <w:rsid w:val="00BF6306"/>
    <w:rsid w:val="00BF6D39"/>
    <w:rsid w:val="00BF6DB1"/>
    <w:rsid w:val="00BF6F69"/>
    <w:rsid w:val="00BF73A9"/>
    <w:rsid w:val="00BF7422"/>
    <w:rsid w:val="00BF7A6D"/>
    <w:rsid w:val="00C012D3"/>
    <w:rsid w:val="00C0229E"/>
    <w:rsid w:val="00C02353"/>
    <w:rsid w:val="00C02701"/>
    <w:rsid w:val="00C02F41"/>
    <w:rsid w:val="00C0386C"/>
    <w:rsid w:val="00C03D55"/>
    <w:rsid w:val="00C042D4"/>
    <w:rsid w:val="00C04477"/>
    <w:rsid w:val="00C04714"/>
    <w:rsid w:val="00C04E91"/>
    <w:rsid w:val="00C064A0"/>
    <w:rsid w:val="00C072A0"/>
    <w:rsid w:val="00C07E70"/>
    <w:rsid w:val="00C105D0"/>
    <w:rsid w:val="00C118F4"/>
    <w:rsid w:val="00C12236"/>
    <w:rsid w:val="00C1232D"/>
    <w:rsid w:val="00C12D75"/>
    <w:rsid w:val="00C12E3B"/>
    <w:rsid w:val="00C13097"/>
    <w:rsid w:val="00C1340F"/>
    <w:rsid w:val="00C13AD9"/>
    <w:rsid w:val="00C13B1D"/>
    <w:rsid w:val="00C13E60"/>
    <w:rsid w:val="00C14794"/>
    <w:rsid w:val="00C14A35"/>
    <w:rsid w:val="00C14E15"/>
    <w:rsid w:val="00C15239"/>
    <w:rsid w:val="00C157E3"/>
    <w:rsid w:val="00C15B25"/>
    <w:rsid w:val="00C15BD4"/>
    <w:rsid w:val="00C15CF8"/>
    <w:rsid w:val="00C16062"/>
    <w:rsid w:val="00C1642A"/>
    <w:rsid w:val="00C17531"/>
    <w:rsid w:val="00C1796A"/>
    <w:rsid w:val="00C179EB"/>
    <w:rsid w:val="00C20D61"/>
    <w:rsid w:val="00C20F51"/>
    <w:rsid w:val="00C2195E"/>
    <w:rsid w:val="00C21964"/>
    <w:rsid w:val="00C23CFF"/>
    <w:rsid w:val="00C248A0"/>
    <w:rsid w:val="00C254DC"/>
    <w:rsid w:val="00C2555E"/>
    <w:rsid w:val="00C25F9C"/>
    <w:rsid w:val="00C27046"/>
    <w:rsid w:val="00C27640"/>
    <w:rsid w:val="00C30312"/>
    <w:rsid w:val="00C3031A"/>
    <w:rsid w:val="00C30802"/>
    <w:rsid w:val="00C316B4"/>
    <w:rsid w:val="00C317CA"/>
    <w:rsid w:val="00C31D79"/>
    <w:rsid w:val="00C3260E"/>
    <w:rsid w:val="00C326E1"/>
    <w:rsid w:val="00C32991"/>
    <w:rsid w:val="00C32A75"/>
    <w:rsid w:val="00C32C2E"/>
    <w:rsid w:val="00C33291"/>
    <w:rsid w:val="00C33487"/>
    <w:rsid w:val="00C35554"/>
    <w:rsid w:val="00C3557D"/>
    <w:rsid w:val="00C35D79"/>
    <w:rsid w:val="00C36A13"/>
    <w:rsid w:val="00C36AB5"/>
    <w:rsid w:val="00C372BD"/>
    <w:rsid w:val="00C37906"/>
    <w:rsid w:val="00C404F6"/>
    <w:rsid w:val="00C41265"/>
    <w:rsid w:val="00C4128B"/>
    <w:rsid w:val="00C4274C"/>
    <w:rsid w:val="00C4277E"/>
    <w:rsid w:val="00C42C0E"/>
    <w:rsid w:val="00C42E82"/>
    <w:rsid w:val="00C43801"/>
    <w:rsid w:val="00C43B73"/>
    <w:rsid w:val="00C448F0"/>
    <w:rsid w:val="00C450FC"/>
    <w:rsid w:val="00C45184"/>
    <w:rsid w:val="00C45192"/>
    <w:rsid w:val="00C4536D"/>
    <w:rsid w:val="00C45A29"/>
    <w:rsid w:val="00C46001"/>
    <w:rsid w:val="00C460F0"/>
    <w:rsid w:val="00C47D5E"/>
    <w:rsid w:val="00C50452"/>
    <w:rsid w:val="00C505EB"/>
    <w:rsid w:val="00C509CC"/>
    <w:rsid w:val="00C50D16"/>
    <w:rsid w:val="00C50FBF"/>
    <w:rsid w:val="00C535B2"/>
    <w:rsid w:val="00C5464F"/>
    <w:rsid w:val="00C55A7C"/>
    <w:rsid w:val="00C55BA8"/>
    <w:rsid w:val="00C55CEB"/>
    <w:rsid w:val="00C5632D"/>
    <w:rsid w:val="00C5668F"/>
    <w:rsid w:val="00C57998"/>
    <w:rsid w:val="00C57C9D"/>
    <w:rsid w:val="00C603D6"/>
    <w:rsid w:val="00C60857"/>
    <w:rsid w:val="00C60E83"/>
    <w:rsid w:val="00C611F1"/>
    <w:rsid w:val="00C626B0"/>
    <w:rsid w:val="00C6278A"/>
    <w:rsid w:val="00C639B1"/>
    <w:rsid w:val="00C647D0"/>
    <w:rsid w:val="00C65281"/>
    <w:rsid w:val="00C655ED"/>
    <w:rsid w:val="00C65ED9"/>
    <w:rsid w:val="00C66AA6"/>
    <w:rsid w:val="00C66DF1"/>
    <w:rsid w:val="00C67614"/>
    <w:rsid w:val="00C67972"/>
    <w:rsid w:val="00C70E35"/>
    <w:rsid w:val="00C71214"/>
    <w:rsid w:val="00C71A47"/>
    <w:rsid w:val="00C71BDE"/>
    <w:rsid w:val="00C74942"/>
    <w:rsid w:val="00C74CF8"/>
    <w:rsid w:val="00C74F9B"/>
    <w:rsid w:val="00C7666A"/>
    <w:rsid w:val="00C76AE4"/>
    <w:rsid w:val="00C804E9"/>
    <w:rsid w:val="00C80A7F"/>
    <w:rsid w:val="00C80D7B"/>
    <w:rsid w:val="00C815A8"/>
    <w:rsid w:val="00C81868"/>
    <w:rsid w:val="00C81C2E"/>
    <w:rsid w:val="00C81CCD"/>
    <w:rsid w:val="00C835C8"/>
    <w:rsid w:val="00C836F0"/>
    <w:rsid w:val="00C83DEA"/>
    <w:rsid w:val="00C8403D"/>
    <w:rsid w:val="00C84204"/>
    <w:rsid w:val="00C84272"/>
    <w:rsid w:val="00C84EDF"/>
    <w:rsid w:val="00C853EC"/>
    <w:rsid w:val="00C85ADC"/>
    <w:rsid w:val="00C86A9B"/>
    <w:rsid w:val="00C86CDD"/>
    <w:rsid w:val="00C870F2"/>
    <w:rsid w:val="00C873D8"/>
    <w:rsid w:val="00C87B5C"/>
    <w:rsid w:val="00C907CA"/>
    <w:rsid w:val="00C9129B"/>
    <w:rsid w:val="00C913B9"/>
    <w:rsid w:val="00C91630"/>
    <w:rsid w:val="00C9184A"/>
    <w:rsid w:val="00C92547"/>
    <w:rsid w:val="00C926B7"/>
    <w:rsid w:val="00C92786"/>
    <w:rsid w:val="00C92E50"/>
    <w:rsid w:val="00C93222"/>
    <w:rsid w:val="00C9328D"/>
    <w:rsid w:val="00C95526"/>
    <w:rsid w:val="00C95C6D"/>
    <w:rsid w:val="00C968F8"/>
    <w:rsid w:val="00C96919"/>
    <w:rsid w:val="00C969D8"/>
    <w:rsid w:val="00C97A73"/>
    <w:rsid w:val="00C97C4C"/>
    <w:rsid w:val="00CA02B9"/>
    <w:rsid w:val="00CA0777"/>
    <w:rsid w:val="00CA0893"/>
    <w:rsid w:val="00CA2223"/>
    <w:rsid w:val="00CA2930"/>
    <w:rsid w:val="00CA2E4A"/>
    <w:rsid w:val="00CA2FA9"/>
    <w:rsid w:val="00CA305C"/>
    <w:rsid w:val="00CA3744"/>
    <w:rsid w:val="00CA3C57"/>
    <w:rsid w:val="00CA3C68"/>
    <w:rsid w:val="00CA3D87"/>
    <w:rsid w:val="00CA465C"/>
    <w:rsid w:val="00CA57DC"/>
    <w:rsid w:val="00CA5FA9"/>
    <w:rsid w:val="00CA60A6"/>
    <w:rsid w:val="00CA61BF"/>
    <w:rsid w:val="00CA6B0C"/>
    <w:rsid w:val="00CA6EA3"/>
    <w:rsid w:val="00CA6F93"/>
    <w:rsid w:val="00CB02B6"/>
    <w:rsid w:val="00CB0482"/>
    <w:rsid w:val="00CB16F0"/>
    <w:rsid w:val="00CB1D32"/>
    <w:rsid w:val="00CB2430"/>
    <w:rsid w:val="00CB268E"/>
    <w:rsid w:val="00CB2A54"/>
    <w:rsid w:val="00CB2B4F"/>
    <w:rsid w:val="00CB2DB2"/>
    <w:rsid w:val="00CB395F"/>
    <w:rsid w:val="00CB3BED"/>
    <w:rsid w:val="00CB3CD2"/>
    <w:rsid w:val="00CB469D"/>
    <w:rsid w:val="00CB4CD6"/>
    <w:rsid w:val="00CB52E1"/>
    <w:rsid w:val="00CB5AD0"/>
    <w:rsid w:val="00CB61C7"/>
    <w:rsid w:val="00CB67BC"/>
    <w:rsid w:val="00CB71F0"/>
    <w:rsid w:val="00CB7225"/>
    <w:rsid w:val="00CB7524"/>
    <w:rsid w:val="00CC0038"/>
    <w:rsid w:val="00CC0B15"/>
    <w:rsid w:val="00CC131A"/>
    <w:rsid w:val="00CC169A"/>
    <w:rsid w:val="00CC278D"/>
    <w:rsid w:val="00CC2920"/>
    <w:rsid w:val="00CC2A0F"/>
    <w:rsid w:val="00CC34BB"/>
    <w:rsid w:val="00CC3677"/>
    <w:rsid w:val="00CC36A5"/>
    <w:rsid w:val="00CC440A"/>
    <w:rsid w:val="00CC44C1"/>
    <w:rsid w:val="00CC46E1"/>
    <w:rsid w:val="00CC66F8"/>
    <w:rsid w:val="00CC678E"/>
    <w:rsid w:val="00CC6FBB"/>
    <w:rsid w:val="00CC7065"/>
    <w:rsid w:val="00CC737E"/>
    <w:rsid w:val="00CC7F48"/>
    <w:rsid w:val="00CD0B2A"/>
    <w:rsid w:val="00CD1AA2"/>
    <w:rsid w:val="00CD1E37"/>
    <w:rsid w:val="00CD1ED5"/>
    <w:rsid w:val="00CD2384"/>
    <w:rsid w:val="00CD24C6"/>
    <w:rsid w:val="00CD3572"/>
    <w:rsid w:val="00CD3B23"/>
    <w:rsid w:val="00CD416B"/>
    <w:rsid w:val="00CD4D8C"/>
    <w:rsid w:val="00CD5052"/>
    <w:rsid w:val="00CD509E"/>
    <w:rsid w:val="00CD5693"/>
    <w:rsid w:val="00CD5BB1"/>
    <w:rsid w:val="00CD5C82"/>
    <w:rsid w:val="00CD607D"/>
    <w:rsid w:val="00CD62B6"/>
    <w:rsid w:val="00CD68B5"/>
    <w:rsid w:val="00CD7F0E"/>
    <w:rsid w:val="00CE03C5"/>
    <w:rsid w:val="00CE0E3D"/>
    <w:rsid w:val="00CE159D"/>
    <w:rsid w:val="00CE1653"/>
    <w:rsid w:val="00CE2075"/>
    <w:rsid w:val="00CE21E9"/>
    <w:rsid w:val="00CE2648"/>
    <w:rsid w:val="00CE2D6D"/>
    <w:rsid w:val="00CE3986"/>
    <w:rsid w:val="00CE3990"/>
    <w:rsid w:val="00CE3ABE"/>
    <w:rsid w:val="00CE3F32"/>
    <w:rsid w:val="00CE404B"/>
    <w:rsid w:val="00CE4062"/>
    <w:rsid w:val="00CE50B1"/>
    <w:rsid w:val="00CE513B"/>
    <w:rsid w:val="00CE53CA"/>
    <w:rsid w:val="00CE54CC"/>
    <w:rsid w:val="00CE5554"/>
    <w:rsid w:val="00CE5E56"/>
    <w:rsid w:val="00CE5EDD"/>
    <w:rsid w:val="00CE65E8"/>
    <w:rsid w:val="00CE71A3"/>
    <w:rsid w:val="00CE7D50"/>
    <w:rsid w:val="00CF06A0"/>
    <w:rsid w:val="00CF0AC6"/>
    <w:rsid w:val="00CF0AE3"/>
    <w:rsid w:val="00CF1BB5"/>
    <w:rsid w:val="00CF1C76"/>
    <w:rsid w:val="00CF2803"/>
    <w:rsid w:val="00CF3B8D"/>
    <w:rsid w:val="00CF3BDB"/>
    <w:rsid w:val="00CF4936"/>
    <w:rsid w:val="00CF4B60"/>
    <w:rsid w:val="00CF5E1B"/>
    <w:rsid w:val="00CF64BF"/>
    <w:rsid w:val="00D0058F"/>
    <w:rsid w:val="00D00B70"/>
    <w:rsid w:val="00D00FC6"/>
    <w:rsid w:val="00D0107D"/>
    <w:rsid w:val="00D01938"/>
    <w:rsid w:val="00D01C9D"/>
    <w:rsid w:val="00D01E16"/>
    <w:rsid w:val="00D032CB"/>
    <w:rsid w:val="00D03508"/>
    <w:rsid w:val="00D03589"/>
    <w:rsid w:val="00D03690"/>
    <w:rsid w:val="00D03B0F"/>
    <w:rsid w:val="00D0441A"/>
    <w:rsid w:val="00D04A8A"/>
    <w:rsid w:val="00D05190"/>
    <w:rsid w:val="00D05A07"/>
    <w:rsid w:val="00D06182"/>
    <w:rsid w:val="00D06854"/>
    <w:rsid w:val="00D06AF6"/>
    <w:rsid w:val="00D0739B"/>
    <w:rsid w:val="00D075F8"/>
    <w:rsid w:val="00D10BE4"/>
    <w:rsid w:val="00D10C1A"/>
    <w:rsid w:val="00D11104"/>
    <w:rsid w:val="00D111E9"/>
    <w:rsid w:val="00D112F8"/>
    <w:rsid w:val="00D117A2"/>
    <w:rsid w:val="00D1182D"/>
    <w:rsid w:val="00D12095"/>
    <w:rsid w:val="00D13700"/>
    <w:rsid w:val="00D13847"/>
    <w:rsid w:val="00D13BFB"/>
    <w:rsid w:val="00D13F69"/>
    <w:rsid w:val="00D13FC9"/>
    <w:rsid w:val="00D14167"/>
    <w:rsid w:val="00D1451B"/>
    <w:rsid w:val="00D14ECE"/>
    <w:rsid w:val="00D155CD"/>
    <w:rsid w:val="00D16422"/>
    <w:rsid w:val="00D165DD"/>
    <w:rsid w:val="00D16785"/>
    <w:rsid w:val="00D173E8"/>
    <w:rsid w:val="00D17792"/>
    <w:rsid w:val="00D20015"/>
    <w:rsid w:val="00D20926"/>
    <w:rsid w:val="00D20E39"/>
    <w:rsid w:val="00D215B0"/>
    <w:rsid w:val="00D21705"/>
    <w:rsid w:val="00D21B94"/>
    <w:rsid w:val="00D220A2"/>
    <w:rsid w:val="00D22A6C"/>
    <w:rsid w:val="00D22D0B"/>
    <w:rsid w:val="00D24114"/>
    <w:rsid w:val="00D249AC"/>
    <w:rsid w:val="00D253DB"/>
    <w:rsid w:val="00D25E4D"/>
    <w:rsid w:val="00D26650"/>
    <w:rsid w:val="00D26C43"/>
    <w:rsid w:val="00D270E3"/>
    <w:rsid w:val="00D27302"/>
    <w:rsid w:val="00D278F1"/>
    <w:rsid w:val="00D310A6"/>
    <w:rsid w:val="00D3177A"/>
    <w:rsid w:val="00D31D36"/>
    <w:rsid w:val="00D33702"/>
    <w:rsid w:val="00D33FE3"/>
    <w:rsid w:val="00D3432C"/>
    <w:rsid w:val="00D34603"/>
    <w:rsid w:val="00D34E87"/>
    <w:rsid w:val="00D3515E"/>
    <w:rsid w:val="00D35F1C"/>
    <w:rsid w:val="00D362AD"/>
    <w:rsid w:val="00D36587"/>
    <w:rsid w:val="00D368DE"/>
    <w:rsid w:val="00D377F2"/>
    <w:rsid w:val="00D3787D"/>
    <w:rsid w:val="00D41A57"/>
    <w:rsid w:val="00D425E4"/>
    <w:rsid w:val="00D42BFB"/>
    <w:rsid w:val="00D43730"/>
    <w:rsid w:val="00D44195"/>
    <w:rsid w:val="00D44819"/>
    <w:rsid w:val="00D44832"/>
    <w:rsid w:val="00D44931"/>
    <w:rsid w:val="00D44BEC"/>
    <w:rsid w:val="00D450D5"/>
    <w:rsid w:val="00D45C09"/>
    <w:rsid w:val="00D46B1D"/>
    <w:rsid w:val="00D47625"/>
    <w:rsid w:val="00D47797"/>
    <w:rsid w:val="00D47FE0"/>
    <w:rsid w:val="00D5016C"/>
    <w:rsid w:val="00D501BB"/>
    <w:rsid w:val="00D501F2"/>
    <w:rsid w:val="00D50E9B"/>
    <w:rsid w:val="00D5152F"/>
    <w:rsid w:val="00D518EA"/>
    <w:rsid w:val="00D51EE5"/>
    <w:rsid w:val="00D520D8"/>
    <w:rsid w:val="00D52317"/>
    <w:rsid w:val="00D52A44"/>
    <w:rsid w:val="00D53A62"/>
    <w:rsid w:val="00D53ABB"/>
    <w:rsid w:val="00D53CC4"/>
    <w:rsid w:val="00D53E3C"/>
    <w:rsid w:val="00D53EE8"/>
    <w:rsid w:val="00D53FE6"/>
    <w:rsid w:val="00D54576"/>
    <w:rsid w:val="00D546D2"/>
    <w:rsid w:val="00D560A5"/>
    <w:rsid w:val="00D561AF"/>
    <w:rsid w:val="00D57E0F"/>
    <w:rsid w:val="00D60C4F"/>
    <w:rsid w:val="00D613CC"/>
    <w:rsid w:val="00D61665"/>
    <w:rsid w:val="00D61A5D"/>
    <w:rsid w:val="00D61FFD"/>
    <w:rsid w:val="00D63259"/>
    <w:rsid w:val="00D636EA"/>
    <w:rsid w:val="00D63848"/>
    <w:rsid w:val="00D6407E"/>
    <w:rsid w:val="00D64164"/>
    <w:rsid w:val="00D6459F"/>
    <w:rsid w:val="00D649FC"/>
    <w:rsid w:val="00D64C1D"/>
    <w:rsid w:val="00D65203"/>
    <w:rsid w:val="00D66147"/>
    <w:rsid w:val="00D66875"/>
    <w:rsid w:val="00D66F22"/>
    <w:rsid w:val="00D67127"/>
    <w:rsid w:val="00D67816"/>
    <w:rsid w:val="00D708AD"/>
    <w:rsid w:val="00D716D7"/>
    <w:rsid w:val="00D734B0"/>
    <w:rsid w:val="00D7392C"/>
    <w:rsid w:val="00D739ED"/>
    <w:rsid w:val="00D73AFD"/>
    <w:rsid w:val="00D75522"/>
    <w:rsid w:val="00D75CDB"/>
    <w:rsid w:val="00D75FA0"/>
    <w:rsid w:val="00D76219"/>
    <w:rsid w:val="00D763C3"/>
    <w:rsid w:val="00D772C5"/>
    <w:rsid w:val="00D772F6"/>
    <w:rsid w:val="00D77351"/>
    <w:rsid w:val="00D776BB"/>
    <w:rsid w:val="00D779A4"/>
    <w:rsid w:val="00D81146"/>
    <w:rsid w:val="00D816AD"/>
    <w:rsid w:val="00D81FC4"/>
    <w:rsid w:val="00D82519"/>
    <w:rsid w:val="00D83397"/>
    <w:rsid w:val="00D8361C"/>
    <w:rsid w:val="00D85798"/>
    <w:rsid w:val="00D858B0"/>
    <w:rsid w:val="00D85A04"/>
    <w:rsid w:val="00D86220"/>
    <w:rsid w:val="00D86D7F"/>
    <w:rsid w:val="00D8762E"/>
    <w:rsid w:val="00D87713"/>
    <w:rsid w:val="00D87AEE"/>
    <w:rsid w:val="00D87DC2"/>
    <w:rsid w:val="00D92D09"/>
    <w:rsid w:val="00D93478"/>
    <w:rsid w:val="00D94269"/>
    <w:rsid w:val="00D94BB1"/>
    <w:rsid w:val="00D9526D"/>
    <w:rsid w:val="00D95CD4"/>
    <w:rsid w:val="00D968B1"/>
    <w:rsid w:val="00DA03DF"/>
    <w:rsid w:val="00DA0ED3"/>
    <w:rsid w:val="00DA14A5"/>
    <w:rsid w:val="00DA1B50"/>
    <w:rsid w:val="00DA24DC"/>
    <w:rsid w:val="00DA2AB4"/>
    <w:rsid w:val="00DA2EDF"/>
    <w:rsid w:val="00DA38CA"/>
    <w:rsid w:val="00DA39C2"/>
    <w:rsid w:val="00DA4349"/>
    <w:rsid w:val="00DA492A"/>
    <w:rsid w:val="00DA7998"/>
    <w:rsid w:val="00DA7D63"/>
    <w:rsid w:val="00DB0340"/>
    <w:rsid w:val="00DB069D"/>
    <w:rsid w:val="00DB06EA"/>
    <w:rsid w:val="00DB08FF"/>
    <w:rsid w:val="00DB0BC8"/>
    <w:rsid w:val="00DB0CA1"/>
    <w:rsid w:val="00DB16C6"/>
    <w:rsid w:val="00DB1E42"/>
    <w:rsid w:val="00DB1F1B"/>
    <w:rsid w:val="00DB22DE"/>
    <w:rsid w:val="00DB2BCF"/>
    <w:rsid w:val="00DB39E6"/>
    <w:rsid w:val="00DB3CEA"/>
    <w:rsid w:val="00DB60EE"/>
    <w:rsid w:val="00DB6988"/>
    <w:rsid w:val="00DB6D9A"/>
    <w:rsid w:val="00DB75F5"/>
    <w:rsid w:val="00DB783E"/>
    <w:rsid w:val="00DC0165"/>
    <w:rsid w:val="00DC0283"/>
    <w:rsid w:val="00DC0803"/>
    <w:rsid w:val="00DC16B5"/>
    <w:rsid w:val="00DC1DF4"/>
    <w:rsid w:val="00DC2119"/>
    <w:rsid w:val="00DC397E"/>
    <w:rsid w:val="00DC39ED"/>
    <w:rsid w:val="00DC4B32"/>
    <w:rsid w:val="00DC54DA"/>
    <w:rsid w:val="00DC58E5"/>
    <w:rsid w:val="00DC5E25"/>
    <w:rsid w:val="00DC602B"/>
    <w:rsid w:val="00DC629D"/>
    <w:rsid w:val="00DC638C"/>
    <w:rsid w:val="00DC6AAF"/>
    <w:rsid w:val="00DC6D16"/>
    <w:rsid w:val="00DC7049"/>
    <w:rsid w:val="00DC7A0F"/>
    <w:rsid w:val="00DD11D5"/>
    <w:rsid w:val="00DD174F"/>
    <w:rsid w:val="00DD1C4B"/>
    <w:rsid w:val="00DD265F"/>
    <w:rsid w:val="00DD28BF"/>
    <w:rsid w:val="00DD2C27"/>
    <w:rsid w:val="00DD2E12"/>
    <w:rsid w:val="00DD2F75"/>
    <w:rsid w:val="00DD36EE"/>
    <w:rsid w:val="00DD38CB"/>
    <w:rsid w:val="00DD3B29"/>
    <w:rsid w:val="00DD49BE"/>
    <w:rsid w:val="00DD51BC"/>
    <w:rsid w:val="00DD520F"/>
    <w:rsid w:val="00DD6593"/>
    <w:rsid w:val="00DD6D75"/>
    <w:rsid w:val="00DD71E2"/>
    <w:rsid w:val="00DD7B0D"/>
    <w:rsid w:val="00DE0321"/>
    <w:rsid w:val="00DE0D77"/>
    <w:rsid w:val="00DE0DBB"/>
    <w:rsid w:val="00DE1A14"/>
    <w:rsid w:val="00DE280E"/>
    <w:rsid w:val="00DE2CDE"/>
    <w:rsid w:val="00DE2F8B"/>
    <w:rsid w:val="00DE4246"/>
    <w:rsid w:val="00DE49BE"/>
    <w:rsid w:val="00DE4D0F"/>
    <w:rsid w:val="00DE4EA5"/>
    <w:rsid w:val="00DE4F79"/>
    <w:rsid w:val="00DE5457"/>
    <w:rsid w:val="00DE5722"/>
    <w:rsid w:val="00DE61E0"/>
    <w:rsid w:val="00DE7BDA"/>
    <w:rsid w:val="00DE7C7E"/>
    <w:rsid w:val="00DF0F94"/>
    <w:rsid w:val="00DF1A17"/>
    <w:rsid w:val="00DF1D9A"/>
    <w:rsid w:val="00DF2680"/>
    <w:rsid w:val="00DF2B17"/>
    <w:rsid w:val="00DF3870"/>
    <w:rsid w:val="00DF39AB"/>
    <w:rsid w:val="00DF3CAE"/>
    <w:rsid w:val="00DF43FA"/>
    <w:rsid w:val="00DF6683"/>
    <w:rsid w:val="00DF6EF9"/>
    <w:rsid w:val="00DF7E21"/>
    <w:rsid w:val="00DF7F5A"/>
    <w:rsid w:val="00E00933"/>
    <w:rsid w:val="00E00C54"/>
    <w:rsid w:val="00E00C9C"/>
    <w:rsid w:val="00E01E8F"/>
    <w:rsid w:val="00E023A2"/>
    <w:rsid w:val="00E0240E"/>
    <w:rsid w:val="00E029BC"/>
    <w:rsid w:val="00E038BD"/>
    <w:rsid w:val="00E03B62"/>
    <w:rsid w:val="00E0596D"/>
    <w:rsid w:val="00E05D38"/>
    <w:rsid w:val="00E05FD6"/>
    <w:rsid w:val="00E06304"/>
    <w:rsid w:val="00E070FE"/>
    <w:rsid w:val="00E07238"/>
    <w:rsid w:val="00E07539"/>
    <w:rsid w:val="00E1012A"/>
    <w:rsid w:val="00E10220"/>
    <w:rsid w:val="00E102B1"/>
    <w:rsid w:val="00E104F1"/>
    <w:rsid w:val="00E10AF0"/>
    <w:rsid w:val="00E10DEC"/>
    <w:rsid w:val="00E1107C"/>
    <w:rsid w:val="00E11145"/>
    <w:rsid w:val="00E1126B"/>
    <w:rsid w:val="00E126B0"/>
    <w:rsid w:val="00E131CC"/>
    <w:rsid w:val="00E1385F"/>
    <w:rsid w:val="00E13F81"/>
    <w:rsid w:val="00E1485D"/>
    <w:rsid w:val="00E14DB0"/>
    <w:rsid w:val="00E152A6"/>
    <w:rsid w:val="00E160BA"/>
    <w:rsid w:val="00E16528"/>
    <w:rsid w:val="00E16739"/>
    <w:rsid w:val="00E17BE2"/>
    <w:rsid w:val="00E2042C"/>
    <w:rsid w:val="00E20448"/>
    <w:rsid w:val="00E20AE9"/>
    <w:rsid w:val="00E214C5"/>
    <w:rsid w:val="00E2196B"/>
    <w:rsid w:val="00E21CBE"/>
    <w:rsid w:val="00E22379"/>
    <w:rsid w:val="00E223D8"/>
    <w:rsid w:val="00E224F6"/>
    <w:rsid w:val="00E2379E"/>
    <w:rsid w:val="00E24C3B"/>
    <w:rsid w:val="00E24D6E"/>
    <w:rsid w:val="00E25756"/>
    <w:rsid w:val="00E25808"/>
    <w:rsid w:val="00E25A21"/>
    <w:rsid w:val="00E25C65"/>
    <w:rsid w:val="00E25C9C"/>
    <w:rsid w:val="00E261E0"/>
    <w:rsid w:val="00E269C3"/>
    <w:rsid w:val="00E27114"/>
    <w:rsid w:val="00E27839"/>
    <w:rsid w:val="00E27880"/>
    <w:rsid w:val="00E3106D"/>
    <w:rsid w:val="00E33156"/>
    <w:rsid w:val="00E33965"/>
    <w:rsid w:val="00E339A0"/>
    <w:rsid w:val="00E33D34"/>
    <w:rsid w:val="00E341D0"/>
    <w:rsid w:val="00E345BC"/>
    <w:rsid w:val="00E3461C"/>
    <w:rsid w:val="00E34D87"/>
    <w:rsid w:val="00E34DE3"/>
    <w:rsid w:val="00E370C8"/>
    <w:rsid w:val="00E37B03"/>
    <w:rsid w:val="00E37C1B"/>
    <w:rsid w:val="00E37D2F"/>
    <w:rsid w:val="00E406E7"/>
    <w:rsid w:val="00E40FF6"/>
    <w:rsid w:val="00E41BE0"/>
    <w:rsid w:val="00E41D11"/>
    <w:rsid w:val="00E42161"/>
    <w:rsid w:val="00E421A9"/>
    <w:rsid w:val="00E424A8"/>
    <w:rsid w:val="00E42806"/>
    <w:rsid w:val="00E428DA"/>
    <w:rsid w:val="00E431F7"/>
    <w:rsid w:val="00E437AE"/>
    <w:rsid w:val="00E43C28"/>
    <w:rsid w:val="00E441C9"/>
    <w:rsid w:val="00E44321"/>
    <w:rsid w:val="00E44783"/>
    <w:rsid w:val="00E44949"/>
    <w:rsid w:val="00E44DC2"/>
    <w:rsid w:val="00E45036"/>
    <w:rsid w:val="00E4603F"/>
    <w:rsid w:val="00E47605"/>
    <w:rsid w:val="00E50596"/>
    <w:rsid w:val="00E506EA"/>
    <w:rsid w:val="00E50A72"/>
    <w:rsid w:val="00E50AA9"/>
    <w:rsid w:val="00E50D6D"/>
    <w:rsid w:val="00E50EF0"/>
    <w:rsid w:val="00E52200"/>
    <w:rsid w:val="00E52DB0"/>
    <w:rsid w:val="00E52E81"/>
    <w:rsid w:val="00E53698"/>
    <w:rsid w:val="00E53EE2"/>
    <w:rsid w:val="00E54AC1"/>
    <w:rsid w:val="00E54BA4"/>
    <w:rsid w:val="00E552A6"/>
    <w:rsid w:val="00E55989"/>
    <w:rsid w:val="00E559B7"/>
    <w:rsid w:val="00E559EF"/>
    <w:rsid w:val="00E566E0"/>
    <w:rsid w:val="00E57640"/>
    <w:rsid w:val="00E57B0A"/>
    <w:rsid w:val="00E57BB9"/>
    <w:rsid w:val="00E60B11"/>
    <w:rsid w:val="00E60B55"/>
    <w:rsid w:val="00E61098"/>
    <w:rsid w:val="00E620FF"/>
    <w:rsid w:val="00E62DA9"/>
    <w:rsid w:val="00E63C61"/>
    <w:rsid w:val="00E64225"/>
    <w:rsid w:val="00E64EC7"/>
    <w:rsid w:val="00E657E0"/>
    <w:rsid w:val="00E65D25"/>
    <w:rsid w:val="00E6612A"/>
    <w:rsid w:val="00E662D0"/>
    <w:rsid w:val="00E6698F"/>
    <w:rsid w:val="00E66AA1"/>
    <w:rsid w:val="00E66D87"/>
    <w:rsid w:val="00E6718B"/>
    <w:rsid w:val="00E67F73"/>
    <w:rsid w:val="00E67F7C"/>
    <w:rsid w:val="00E70A66"/>
    <w:rsid w:val="00E70FF5"/>
    <w:rsid w:val="00E71A7F"/>
    <w:rsid w:val="00E72104"/>
    <w:rsid w:val="00E72A15"/>
    <w:rsid w:val="00E72A1B"/>
    <w:rsid w:val="00E73083"/>
    <w:rsid w:val="00E73708"/>
    <w:rsid w:val="00E74995"/>
    <w:rsid w:val="00E751C7"/>
    <w:rsid w:val="00E75EA0"/>
    <w:rsid w:val="00E760C9"/>
    <w:rsid w:val="00E763BD"/>
    <w:rsid w:val="00E763EB"/>
    <w:rsid w:val="00E76675"/>
    <w:rsid w:val="00E76AD8"/>
    <w:rsid w:val="00E779A3"/>
    <w:rsid w:val="00E8008A"/>
    <w:rsid w:val="00E81049"/>
    <w:rsid w:val="00E8142E"/>
    <w:rsid w:val="00E81F9A"/>
    <w:rsid w:val="00E835EF"/>
    <w:rsid w:val="00E83C60"/>
    <w:rsid w:val="00E84D04"/>
    <w:rsid w:val="00E851C6"/>
    <w:rsid w:val="00E852A1"/>
    <w:rsid w:val="00E8542C"/>
    <w:rsid w:val="00E85890"/>
    <w:rsid w:val="00E85A52"/>
    <w:rsid w:val="00E86243"/>
    <w:rsid w:val="00E865E8"/>
    <w:rsid w:val="00E867A1"/>
    <w:rsid w:val="00E867C0"/>
    <w:rsid w:val="00E8691E"/>
    <w:rsid w:val="00E86A63"/>
    <w:rsid w:val="00E870F8"/>
    <w:rsid w:val="00E877C8"/>
    <w:rsid w:val="00E90764"/>
    <w:rsid w:val="00E90D98"/>
    <w:rsid w:val="00E91912"/>
    <w:rsid w:val="00E924B4"/>
    <w:rsid w:val="00E92522"/>
    <w:rsid w:val="00E92A75"/>
    <w:rsid w:val="00E92A80"/>
    <w:rsid w:val="00E92A8B"/>
    <w:rsid w:val="00E92F38"/>
    <w:rsid w:val="00E93389"/>
    <w:rsid w:val="00E93524"/>
    <w:rsid w:val="00E93739"/>
    <w:rsid w:val="00E93854"/>
    <w:rsid w:val="00E93F1E"/>
    <w:rsid w:val="00E93F75"/>
    <w:rsid w:val="00E94353"/>
    <w:rsid w:val="00E94ED2"/>
    <w:rsid w:val="00E95425"/>
    <w:rsid w:val="00E95889"/>
    <w:rsid w:val="00E9590B"/>
    <w:rsid w:val="00E96B67"/>
    <w:rsid w:val="00E975D2"/>
    <w:rsid w:val="00E97923"/>
    <w:rsid w:val="00E97AD1"/>
    <w:rsid w:val="00EA0157"/>
    <w:rsid w:val="00EA0500"/>
    <w:rsid w:val="00EA0B37"/>
    <w:rsid w:val="00EA1A20"/>
    <w:rsid w:val="00EA1F8C"/>
    <w:rsid w:val="00EA20E0"/>
    <w:rsid w:val="00EA25F7"/>
    <w:rsid w:val="00EA2608"/>
    <w:rsid w:val="00EA2D0F"/>
    <w:rsid w:val="00EA3C3A"/>
    <w:rsid w:val="00EA4D28"/>
    <w:rsid w:val="00EA4DC4"/>
    <w:rsid w:val="00EA6023"/>
    <w:rsid w:val="00EA60E5"/>
    <w:rsid w:val="00EA76B7"/>
    <w:rsid w:val="00EA7DAE"/>
    <w:rsid w:val="00EB01A5"/>
    <w:rsid w:val="00EB034F"/>
    <w:rsid w:val="00EB0370"/>
    <w:rsid w:val="00EB188F"/>
    <w:rsid w:val="00EB1D8F"/>
    <w:rsid w:val="00EB2391"/>
    <w:rsid w:val="00EB2834"/>
    <w:rsid w:val="00EB28B0"/>
    <w:rsid w:val="00EB2ABB"/>
    <w:rsid w:val="00EB2B94"/>
    <w:rsid w:val="00EB310F"/>
    <w:rsid w:val="00EB38C0"/>
    <w:rsid w:val="00EB3DCA"/>
    <w:rsid w:val="00EB4193"/>
    <w:rsid w:val="00EB42A9"/>
    <w:rsid w:val="00EB5405"/>
    <w:rsid w:val="00EB561D"/>
    <w:rsid w:val="00EB56D4"/>
    <w:rsid w:val="00EB58B4"/>
    <w:rsid w:val="00EB642B"/>
    <w:rsid w:val="00EB748B"/>
    <w:rsid w:val="00EB785E"/>
    <w:rsid w:val="00EC06A1"/>
    <w:rsid w:val="00EC0B2F"/>
    <w:rsid w:val="00EC0E56"/>
    <w:rsid w:val="00EC10B1"/>
    <w:rsid w:val="00EC14E9"/>
    <w:rsid w:val="00EC2839"/>
    <w:rsid w:val="00EC287B"/>
    <w:rsid w:val="00EC29A9"/>
    <w:rsid w:val="00EC4CAB"/>
    <w:rsid w:val="00EC631F"/>
    <w:rsid w:val="00EC645D"/>
    <w:rsid w:val="00EC6A39"/>
    <w:rsid w:val="00EC70BB"/>
    <w:rsid w:val="00EC7805"/>
    <w:rsid w:val="00ED00FD"/>
    <w:rsid w:val="00ED026B"/>
    <w:rsid w:val="00ED0B09"/>
    <w:rsid w:val="00ED0FF0"/>
    <w:rsid w:val="00ED1F89"/>
    <w:rsid w:val="00ED230D"/>
    <w:rsid w:val="00ED2CAC"/>
    <w:rsid w:val="00ED39A5"/>
    <w:rsid w:val="00ED3BA2"/>
    <w:rsid w:val="00ED4BF8"/>
    <w:rsid w:val="00ED5B5D"/>
    <w:rsid w:val="00ED636B"/>
    <w:rsid w:val="00ED70FB"/>
    <w:rsid w:val="00ED756F"/>
    <w:rsid w:val="00ED774E"/>
    <w:rsid w:val="00EE01A8"/>
    <w:rsid w:val="00EE170E"/>
    <w:rsid w:val="00EE182E"/>
    <w:rsid w:val="00EE2010"/>
    <w:rsid w:val="00EE2557"/>
    <w:rsid w:val="00EE2717"/>
    <w:rsid w:val="00EE2DF6"/>
    <w:rsid w:val="00EE2E33"/>
    <w:rsid w:val="00EE33CC"/>
    <w:rsid w:val="00EE3494"/>
    <w:rsid w:val="00EE4964"/>
    <w:rsid w:val="00EE5079"/>
    <w:rsid w:val="00EE5B41"/>
    <w:rsid w:val="00EE664A"/>
    <w:rsid w:val="00EE6FC6"/>
    <w:rsid w:val="00EE7421"/>
    <w:rsid w:val="00EE7A2B"/>
    <w:rsid w:val="00EE7AEC"/>
    <w:rsid w:val="00EF07BF"/>
    <w:rsid w:val="00EF1F1A"/>
    <w:rsid w:val="00EF2803"/>
    <w:rsid w:val="00EF2AF5"/>
    <w:rsid w:val="00EF2C89"/>
    <w:rsid w:val="00EF2E6F"/>
    <w:rsid w:val="00EF3137"/>
    <w:rsid w:val="00EF32C4"/>
    <w:rsid w:val="00EF34C4"/>
    <w:rsid w:val="00EF3B41"/>
    <w:rsid w:val="00EF3CBE"/>
    <w:rsid w:val="00EF3D95"/>
    <w:rsid w:val="00EF4072"/>
    <w:rsid w:val="00EF40DA"/>
    <w:rsid w:val="00EF5337"/>
    <w:rsid w:val="00EF5AE5"/>
    <w:rsid w:val="00EF5B1A"/>
    <w:rsid w:val="00EF6011"/>
    <w:rsid w:val="00EF6298"/>
    <w:rsid w:val="00EF78D9"/>
    <w:rsid w:val="00EF7B80"/>
    <w:rsid w:val="00F004ED"/>
    <w:rsid w:val="00F01124"/>
    <w:rsid w:val="00F0197D"/>
    <w:rsid w:val="00F01E32"/>
    <w:rsid w:val="00F01F67"/>
    <w:rsid w:val="00F0284D"/>
    <w:rsid w:val="00F02E11"/>
    <w:rsid w:val="00F03F13"/>
    <w:rsid w:val="00F041B6"/>
    <w:rsid w:val="00F043F9"/>
    <w:rsid w:val="00F0481D"/>
    <w:rsid w:val="00F0614C"/>
    <w:rsid w:val="00F0643A"/>
    <w:rsid w:val="00F066D7"/>
    <w:rsid w:val="00F10B4F"/>
    <w:rsid w:val="00F122ED"/>
    <w:rsid w:val="00F12CA5"/>
    <w:rsid w:val="00F13262"/>
    <w:rsid w:val="00F14268"/>
    <w:rsid w:val="00F148A1"/>
    <w:rsid w:val="00F15133"/>
    <w:rsid w:val="00F15A59"/>
    <w:rsid w:val="00F15E97"/>
    <w:rsid w:val="00F16766"/>
    <w:rsid w:val="00F16F5F"/>
    <w:rsid w:val="00F170C0"/>
    <w:rsid w:val="00F17352"/>
    <w:rsid w:val="00F17B9C"/>
    <w:rsid w:val="00F20479"/>
    <w:rsid w:val="00F226C0"/>
    <w:rsid w:val="00F227FA"/>
    <w:rsid w:val="00F22F6D"/>
    <w:rsid w:val="00F236FF"/>
    <w:rsid w:val="00F243EB"/>
    <w:rsid w:val="00F249D7"/>
    <w:rsid w:val="00F25F97"/>
    <w:rsid w:val="00F26173"/>
    <w:rsid w:val="00F26270"/>
    <w:rsid w:val="00F26602"/>
    <w:rsid w:val="00F266A2"/>
    <w:rsid w:val="00F26EED"/>
    <w:rsid w:val="00F27731"/>
    <w:rsid w:val="00F27CB7"/>
    <w:rsid w:val="00F27FCE"/>
    <w:rsid w:val="00F3064F"/>
    <w:rsid w:val="00F306FA"/>
    <w:rsid w:val="00F30A12"/>
    <w:rsid w:val="00F31475"/>
    <w:rsid w:val="00F32012"/>
    <w:rsid w:val="00F327F8"/>
    <w:rsid w:val="00F32895"/>
    <w:rsid w:val="00F3291E"/>
    <w:rsid w:val="00F32AB8"/>
    <w:rsid w:val="00F3392B"/>
    <w:rsid w:val="00F344DF"/>
    <w:rsid w:val="00F34F67"/>
    <w:rsid w:val="00F3581D"/>
    <w:rsid w:val="00F35B93"/>
    <w:rsid w:val="00F365CB"/>
    <w:rsid w:val="00F36606"/>
    <w:rsid w:val="00F3714A"/>
    <w:rsid w:val="00F37316"/>
    <w:rsid w:val="00F37405"/>
    <w:rsid w:val="00F377F0"/>
    <w:rsid w:val="00F378F1"/>
    <w:rsid w:val="00F4005C"/>
    <w:rsid w:val="00F40266"/>
    <w:rsid w:val="00F40A79"/>
    <w:rsid w:val="00F413F1"/>
    <w:rsid w:val="00F416EE"/>
    <w:rsid w:val="00F4177D"/>
    <w:rsid w:val="00F41C48"/>
    <w:rsid w:val="00F4201D"/>
    <w:rsid w:val="00F430FF"/>
    <w:rsid w:val="00F434A0"/>
    <w:rsid w:val="00F4447A"/>
    <w:rsid w:val="00F44C2D"/>
    <w:rsid w:val="00F4509B"/>
    <w:rsid w:val="00F46292"/>
    <w:rsid w:val="00F467BF"/>
    <w:rsid w:val="00F46937"/>
    <w:rsid w:val="00F46BEF"/>
    <w:rsid w:val="00F46E3B"/>
    <w:rsid w:val="00F475C5"/>
    <w:rsid w:val="00F475E3"/>
    <w:rsid w:val="00F478A9"/>
    <w:rsid w:val="00F47DDA"/>
    <w:rsid w:val="00F47FA8"/>
    <w:rsid w:val="00F50194"/>
    <w:rsid w:val="00F5090C"/>
    <w:rsid w:val="00F50C7A"/>
    <w:rsid w:val="00F50CD7"/>
    <w:rsid w:val="00F51115"/>
    <w:rsid w:val="00F51EDA"/>
    <w:rsid w:val="00F520CA"/>
    <w:rsid w:val="00F5251F"/>
    <w:rsid w:val="00F52BF0"/>
    <w:rsid w:val="00F53189"/>
    <w:rsid w:val="00F532A6"/>
    <w:rsid w:val="00F53BE2"/>
    <w:rsid w:val="00F554B1"/>
    <w:rsid w:val="00F556EB"/>
    <w:rsid w:val="00F559C8"/>
    <w:rsid w:val="00F56084"/>
    <w:rsid w:val="00F560E3"/>
    <w:rsid w:val="00F56538"/>
    <w:rsid w:val="00F569B9"/>
    <w:rsid w:val="00F56CE7"/>
    <w:rsid w:val="00F56DFF"/>
    <w:rsid w:val="00F57BF9"/>
    <w:rsid w:val="00F57FF6"/>
    <w:rsid w:val="00F60A90"/>
    <w:rsid w:val="00F60BF3"/>
    <w:rsid w:val="00F60DB0"/>
    <w:rsid w:val="00F6112B"/>
    <w:rsid w:val="00F61874"/>
    <w:rsid w:val="00F619E8"/>
    <w:rsid w:val="00F62BC5"/>
    <w:rsid w:val="00F631C2"/>
    <w:rsid w:val="00F6410C"/>
    <w:rsid w:val="00F6482D"/>
    <w:rsid w:val="00F64A7D"/>
    <w:rsid w:val="00F64DA1"/>
    <w:rsid w:val="00F64EF5"/>
    <w:rsid w:val="00F6551E"/>
    <w:rsid w:val="00F65A4B"/>
    <w:rsid w:val="00F65B9F"/>
    <w:rsid w:val="00F65FA1"/>
    <w:rsid w:val="00F66A49"/>
    <w:rsid w:val="00F66E50"/>
    <w:rsid w:val="00F670FA"/>
    <w:rsid w:val="00F676B0"/>
    <w:rsid w:val="00F6798D"/>
    <w:rsid w:val="00F679F0"/>
    <w:rsid w:val="00F7028E"/>
    <w:rsid w:val="00F71034"/>
    <w:rsid w:val="00F7122A"/>
    <w:rsid w:val="00F71CBA"/>
    <w:rsid w:val="00F72036"/>
    <w:rsid w:val="00F724F2"/>
    <w:rsid w:val="00F727FF"/>
    <w:rsid w:val="00F72A89"/>
    <w:rsid w:val="00F74627"/>
    <w:rsid w:val="00F750DF"/>
    <w:rsid w:val="00F75719"/>
    <w:rsid w:val="00F75CE7"/>
    <w:rsid w:val="00F760FE"/>
    <w:rsid w:val="00F761DE"/>
    <w:rsid w:val="00F762C7"/>
    <w:rsid w:val="00F76FA8"/>
    <w:rsid w:val="00F771F2"/>
    <w:rsid w:val="00F7748B"/>
    <w:rsid w:val="00F775CB"/>
    <w:rsid w:val="00F779A7"/>
    <w:rsid w:val="00F80E32"/>
    <w:rsid w:val="00F81636"/>
    <w:rsid w:val="00F8208E"/>
    <w:rsid w:val="00F8244F"/>
    <w:rsid w:val="00F82745"/>
    <w:rsid w:val="00F831B2"/>
    <w:rsid w:val="00F83A13"/>
    <w:rsid w:val="00F83C9A"/>
    <w:rsid w:val="00F83DC4"/>
    <w:rsid w:val="00F84065"/>
    <w:rsid w:val="00F84352"/>
    <w:rsid w:val="00F84EE1"/>
    <w:rsid w:val="00F8546E"/>
    <w:rsid w:val="00F85807"/>
    <w:rsid w:val="00F86824"/>
    <w:rsid w:val="00F86CE5"/>
    <w:rsid w:val="00F873A6"/>
    <w:rsid w:val="00F8752D"/>
    <w:rsid w:val="00F87BCE"/>
    <w:rsid w:val="00F87C5D"/>
    <w:rsid w:val="00F87C88"/>
    <w:rsid w:val="00F87E05"/>
    <w:rsid w:val="00F90F7E"/>
    <w:rsid w:val="00F912F4"/>
    <w:rsid w:val="00F914C1"/>
    <w:rsid w:val="00F917E0"/>
    <w:rsid w:val="00F91CB1"/>
    <w:rsid w:val="00F92590"/>
    <w:rsid w:val="00F926D3"/>
    <w:rsid w:val="00F92AAE"/>
    <w:rsid w:val="00F92B32"/>
    <w:rsid w:val="00F93E54"/>
    <w:rsid w:val="00F94016"/>
    <w:rsid w:val="00F943D9"/>
    <w:rsid w:val="00F94FB9"/>
    <w:rsid w:val="00F95661"/>
    <w:rsid w:val="00F95728"/>
    <w:rsid w:val="00F9658C"/>
    <w:rsid w:val="00F96743"/>
    <w:rsid w:val="00F975B7"/>
    <w:rsid w:val="00F977E8"/>
    <w:rsid w:val="00F978F1"/>
    <w:rsid w:val="00F97B70"/>
    <w:rsid w:val="00FA0776"/>
    <w:rsid w:val="00FA1501"/>
    <w:rsid w:val="00FA1554"/>
    <w:rsid w:val="00FA3316"/>
    <w:rsid w:val="00FA34FA"/>
    <w:rsid w:val="00FA3774"/>
    <w:rsid w:val="00FA3811"/>
    <w:rsid w:val="00FA3CAD"/>
    <w:rsid w:val="00FA3E39"/>
    <w:rsid w:val="00FA3F57"/>
    <w:rsid w:val="00FA41EC"/>
    <w:rsid w:val="00FA452F"/>
    <w:rsid w:val="00FA4946"/>
    <w:rsid w:val="00FA6380"/>
    <w:rsid w:val="00FA64CC"/>
    <w:rsid w:val="00FA6E9C"/>
    <w:rsid w:val="00FA6FFD"/>
    <w:rsid w:val="00FA76C7"/>
    <w:rsid w:val="00FA7A64"/>
    <w:rsid w:val="00FB028A"/>
    <w:rsid w:val="00FB0448"/>
    <w:rsid w:val="00FB0AF2"/>
    <w:rsid w:val="00FB1A6E"/>
    <w:rsid w:val="00FB2252"/>
    <w:rsid w:val="00FB289F"/>
    <w:rsid w:val="00FB2AD6"/>
    <w:rsid w:val="00FB2CAA"/>
    <w:rsid w:val="00FB3175"/>
    <w:rsid w:val="00FB37B4"/>
    <w:rsid w:val="00FB3A94"/>
    <w:rsid w:val="00FB4646"/>
    <w:rsid w:val="00FB4F70"/>
    <w:rsid w:val="00FB50D0"/>
    <w:rsid w:val="00FB5613"/>
    <w:rsid w:val="00FB5C46"/>
    <w:rsid w:val="00FB5D71"/>
    <w:rsid w:val="00FB6AD5"/>
    <w:rsid w:val="00FB7190"/>
    <w:rsid w:val="00FB7222"/>
    <w:rsid w:val="00FC10A0"/>
    <w:rsid w:val="00FC1710"/>
    <w:rsid w:val="00FC1C45"/>
    <w:rsid w:val="00FC1DDD"/>
    <w:rsid w:val="00FC2499"/>
    <w:rsid w:val="00FC32D1"/>
    <w:rsid w:val="00FC33EE"/>
    <w:rsid w:val="00FC38E1"/>
    <w:rsid w:val="00FC392E"/>
    <w:rsid w:val="00FC4919"/>
    <w:rsid w:val="00FC4BDC"/>
    <w:rsid w:val="00FC5E07"/>
    <w:rsid w:val="00FC645A"/>
    <w:rsid w:val="00FC6B40"/>
    <w:rsid w:val="00FC7208"/>
    <w:rsid w:val="00FC7821"/>
    <w:rsid w:val="00FC7ABA"/>
    <w:rsid w:val="00FC7B19"/>
    <w:rsid w:val="00FD062B"/>
    <w:rsid w:val="00FD0A74"/>
    <w:rsid w:val="00FD0C6F"/>
    <w:rsid w:val="00FD0F9F"/>
    <w:rsid w:val="00FD1215"/>
    <w:rsid w:val="00FD13E6"/>
    <w:rsid w:val="00FD1453"/>
    <w:rsid w:val="00FD1BDD"/>
    <w:rsid w:val="00FD2074"/>
    <w:rsid w:val="00FD2214"/>
    <w:rsid w:val="00FD22D5"/>
    <w:rsid w:val="00FD2348"/>
    <w:rsid w:val="00FD2BBB"/>
    <w:rsid w:val="00FD2CA2"/>
    <w:rsid w:val="00FD2E91"/>
    <w:rsid w:val="00FD2FE6"/>
    <w:rsid w:val="00FD42C5"/>
    <w:rsid w:val="00FD435F"/>
    <w:rsid w:val="00FD4E3C"/>
    <w:rsid w:val="00FD5EE3"/>
    <w:rsid w:val="00FD5F54"/>
    <w:rsid w:val="00FD6B74"/>
    <w:rsid w:val="00FE0784"/>
    <w:rsid w:val="00FE0DA0"/>
    <w:rsid w:val="00FE159B"/>
    <w:rsid w:val="00FE1B6C"/>
    <w:rsid w:val="00FE1C2B"/>
    <w:rsid w:val="00FE31E1"/>
    <w:rsid w:val="00FE37B8"/>
    <w:rsid w:val="00FE4A0E"/>
    <w:rsid w:val="00FE4BCD"/>
    <w:rsid w:val="00FE4D82"/>
    <w:rsid w:val="00FE5D6C"/>
    <w:rsid w:val="00FE5DFE"/>
    <w:rsid w:val="00FE64C9"/>
    <w:rsid w:val="00FE6C08"/>
    <w:rsid w:val="00FE76E5"/>
    <w:rsid w:val="00FE7939"/>
    <w:rsid w:val="00FE7CA3"/>
    <w:rsid w:val="00FF017F"/>
    <w:rsid w:val="00FF0423"/>
    <w:rsid w:val="00FF1298"/>
    <w:rsid w:val="00FF1A30"/>
    <w:rsid w:val="00FF22B2"/>
    <w:rsid w:val="00FF22EB"/>
    <w:rsid w:val="00FF2827"/>
    <w:rsid w:val="00FF2FE8"/>
    <w:rsid w:val="00FF32BE"/>
    <w:rsid w:val="00FF333F"/>
    <w:rsid w:val="00FF3ADC"/>
    <w:rsid w:val="00FF46FD"/>
    <w:rsid w:val="00FF4E70"/>
    <w:rsid w:val="00FF5040"/>
    <w:rsid w:val="00FF5B79"/>
    <w:rsid w:val="00FF65E5"/>
    <w:rsid w:val="00FF69FD"/>
    <w:rsid w:val="00FF716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4"/>
    <o:shapelayout v:ext="edit">
      <o:idmap v:ext="edit" data="1"/>
    </o:shapelayout>
  </w:shapeDefaults>
  <w:decimalSymbol w:val="."/>
  <w:listSeparator w:val=","/>
  <w14:docId w14:val="4C7D4694"/>
  <w15:chartTrackingRefBased/>
  <w15:docId w15:val="{F7546A77-8600-462F-99F2-414F9CC7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39"/>
    <w:rPr>
      <w:sz w:val="24"/>
      <w:szCs w:val="24"/>
    </w:rPr>
  </w:style>
  <w:style w:type="paragraph" w:styleId="Heading2">
    <w:name w:val="heading 2"/>
    <w:basedOn w:val="Normal"/>
    <w:next w:val="Normal"/>
    <w:link w:val="Heading2Char"/>
    <w:qFormat/>
    <w:locked/>
    <w:rsid w:val="001219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28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A41381"/>
    <w:rPr>
      <w:rFonts w:ascii="Tahoma" w:hAnsi="Tahoma" w:cs="Tahoma"/>
      <w:sz w:val="16"/>
      <w:szCs w:val="16"/>
    </w:rPr>
  </w:style>
  <w:style w:type="character" w:customStyle="1" w:styleId="BalloonTextChar">
    <w:name w:val="Balloon Text Char"/>
    <w:basedOn w:val="DefaultParagraphFont"/>
    <w:link w:val="BalloonText"/>
    <w:uiPriority w:val="99"/>
    <w:locked/>
    <w:rsid w:val="00A41381"/>
    <w:rPr>
      <w:rFonts w:ascii="Tahoma" w:hAnsi="Tahoma" w:cs="Tahoma"/>
      <w:sz w:val="16"/>
      <w:szCs w:val="16"/>
    </w:rPr>
  </w:style>
  <w:style w:type="paragraph" w:styleId="Header">
    <w:name w:val="header"/>
    <w:basedOn w:val="Normal"/>
    <w:link w:val="HeaderChar"/>
    <w:uiPriority w:val="99"/>
    <w:rsid w:val="00C95526"/>
    <w:pPr>
      <w:tabs>
        <w:tab w:val="center" w:pos="4680"/>
        <w:tab w:val="right" w:pos="9360"/>
      </w:tabs>
    </w:pPr>
  </w:style>
  <w:style w:type="character" w:customStyle="1" w:styleId="HeaderChar">
    <w:name w:val="Header Char"/>
    <w:basedOn w:val="DefaultParagraphFont"/>
    <w:link w:val="Header"/>
    <w:uiPriority w:val="99"/>
    <w:locked/>
    <w:rsid w:val="00C95526"/>
    <w:rPr>
      <w:rFonts w:cs="Times New Roman"/>
      <w:sz w:val="24"/>
      <w:szCs w:val="24"/>
    </w:rPr>
  </w:style>
  <w:style w:type="paragraph" w:styleId="Footer">
    <w:name w:val="footer"/>
    <w:basedOn w:val="Normal"/>
    <w:link w:val="FooterChar"/>
    <w:uiPriority w:val="99"/>
    <w:rsid w:val="00C95526"/>
    <w:pPr>
      <w:tabs>
        <w:tab w:val="center" w:pos="4680"/>
        <w:tab w:val="right" w:pos="9360"/>
      </w:tabs>
    </w:pPr>
  </w:style>
  <w:style w:type="character" w:customStyle="1" w:styleId="FooterChar">
    <w:name w:val="Footer Char"/>
    <w:basedOn w:val="DefaultParagraphFont"/>
    <w:link w:val="Footer"/>
    <w:uiPriority w:val="99"/>
    <w:locked/>
    <w:rsid w:val="00C95526"/>
    <w:rPr>
      <w:rFonts w:cs="Times New Roman"/>
      <w:sz w:val="24"/>
      <w:szCs w:val="24"/>
    </w:rPr>
  </w:style>
  <w:style w:type="paragraph" w:styleId="FootnoteText">
    <w:name w:val="footnote text"/>
    <w:basedOn w:val="Normal"/>
    <w:link w:val="FootnoteTextChar"/>
    <w:rsid w:val="00623647"/>
    <w:rPr>
      <w:sz w:val="20"/>
      <w:szCs w:val="20"/>
    </w:rPr>
  </w:style>
  <w:style w:type="character" w:customStyle="1" w:styleId="FootnoteTextChar">
    <w:name w:val="Footnote Text Char"/>
    <w:basedOn w:val="DefaultParagraphFont"/>
    <w:link w:val="FootnoteText"/>
    <w:uiPriority w:val="99"/>
    <w:locked/>
    <w:rsid w:val="00623647"/>
    <w:rPr>
      <w:rFonts w:cs="Times New Roman"/>
    </w:rPr>
  </w:style>
  <w:style w:type="character" w:styleId="FootnoteReference">
    <w:name w:val="footnote reference"/>
    <w:basedOn w:val="DefaultParagraphFont"/>
    <w:rsid w:val="00623647"/>
    <w:rPr>
      <w:rFonts w:cs="Times New Roman"/>
      <w:vertAlign w:val="superscript"/>
    </w:rPr>
  </w:style>
  <w:style w:type="paragraph" w:styleId="BodyText">
    <w:name w:val="Body Text"/>
    <w:aliases w:val="b"/>
    <w:basedOn w:val="Normal"/>
    <w:link w:val="BodyTextChar"/>
    <w:uiPriority w:val="99"/>
    <w:rsid w:val="00111B51"/>
    <w:pPr>
      <w:spacing w:after="120"/>
    </w:pPr>
  </w:style>
  <w:style w:type="character" w:customStyle="1" w:styleId="BodyTextChar">
    <w:name w:val="Body Text Char"/>
    <w:aliases w:val="b Char"/>
    <w:basedOn w:val="DefaultParagraphFont"/>
    <w:link w:val="BodyText"/>
    <w:uiPriority w:val="99"/>
    <w:locked/>
    <w:rsid w:val="00111B51"/>
    <w:rPr>
      <w:rFonts w:cs="Times New Roman"/>
      <w:sz w:val="24"/>
      <w:szCs w:val="24"/>
    </w:rPr>
  </w:style>
  <w:style w:type="paragraph" w:customStyle="1" w:styleId="CListL2">
    <w:name w:val="CList_L2"/>
    <w:basedOn w:val="Normal"/>
    <w:next w:val="BodyText"/>
    <w:uiPriority w:val="99"/>
    <w:rsid w:val="00111B51"/>
    <w:pPr>
      <w:keepNext/>
      <w:tabs>
        <w:tab w:val="left" w:pos="720"/>
        <w:tab w:val="left" w:pos="1440"/>
      </w:tabs>
      <w:spacing w:before="120" w:after="120"/>
      <w:ind w:left="360" w:hanging="360"/>
    </w:pPr>
    <w:rPr>
      <w:rFonts w:ascii="Univers" w:hAnsi="Univers"/>
      <w:b/>
      <w:szCs w:val="20"/>
    </w:rPr>
  </w:style>
  <w:style w:type="character" w:customStyle="1" w:styleId="Heading2Char">
    <w:name w:val="Heading 2 Char"/>
    <w:basedOn w:val="DefaultParagraphFont"/>
    <w:link w:val="Heading2"/>
    <w:rsid w:val="00121911"/>
    <w:rPr>
      <w:rFonts w:ascii="Cambria" w:hAnsi="Cambria"/>
      <w:b/>
      <w:bCs/>
      <w:i/>
      <w:iCs/>
      <w:sz w:val="28"/>
      <w:szCs w:val="28"/>
    </w:rPr>
  </w:style>
  <w:style w:type="paragraph" w:customStyle="1" w:styleId="Paragraph">
    <w:name w:val="Paragraph"/>
    <w:basedOn w:val="BodyText"/>
    <w:rsid w:val="00121911"/>
    <w:pPr>
      <w:suppressAutoHyphens/>
      <w:spacing w:before="120" w:after="0"/>
      <w:jc w:val="both"/>
    </w:pPr>
    <w:rPr>
      <w:kern w:val="16"/>
      <w:szCs w:val="20"/>
    </w:rPr>
  </w:style>
  <w:style w:type="paragraph" w:styleId="ListParagraph">
    <w:name w:val="List Paragraph"/>
    <w:basedOn w:val="Normal"/>
    <w:uiPriority w:val="99"/>
    <w:qFormat/>
    <w:rsid w:val="00C84204"/>
    <w:pPr>
      <w:ind w:left="720"/>
      <w:contextualSpacing/>
    </w:pPr>
  </w:style>
  <w:style w:type="paragraph" w:styleId="Revision">
    <w:name w:val="Revision"/>
    <w:hidden/>
    <w:uiPriority w:val="99"/>
    <w:semiHidden/>
    <w:rsid w:val="00511C37"/>
    <w:rPr>
      <w:sz w:val="24"/>
      <w:szCs w:val="24"/>
    </w:rPr>
  </w:style>
  <w:style w:type="paragraph" w:styleId="CommentText">
    <w:name w:val="annotation text"/>
    <w:basedOn w:val="Normal"/>
    <w:link w:val="CommentTextChar"/>
    <w:uiPriority w:val="99"/>
    <w:rsid w:val="00E00933"/>
    <w:rPr>
      <w:sz w:val="20"/>
      <w:szCs w:val="20"/>
    </w:rPr>
  </w:style>
  <w:style w:type="character" w:customStyle="1" w:styleId="CommentTextChar">
    <w:name w:val="Comment Text Char"/>
    <w:basedOn w:val="DefaultParagraphFont"/>
    <w:link w:val="CommentText"/>
    <w:uiPriority w:val="99"/>
    <w:rsid w:val="00E00933"/>
    <w:rPr>
      <w:sz w:val="20"/>
      <w:szCs w:val="20"/>
    </w:rPr>
  </w:style>
  <w:style w:type="character" w:styleId="Hyperlink">
    <w:name w:val="Hyperlink"/>
    <w:basedOn w:val="DefaultParagraphFont"/>
    <w:rsid w:val="007E01B0"/>
    <w:rPr>
      <w:color w:val="0000FF"/>
      <w:u w:val="single"/>
    </w:rPr>
  </w:style>
  <w:style w:type="character" w:styleId="FollowedHyperlink">
    <w:name w:val="FollowedHyperlink"/>
    <w:basedOn w:val="DefaultParagraphFont"/>
    <w:uiPriority w:val="99"/>
    <w:semiHidden/>
    <w:unhideWhenUsed/>
    <w:rsid w:val="00E730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0153">
      <w:bodyDiv w:val="1"/>
      <w:marLeft w:val="0"/>
      <w:marRight w:val="0"/>
      <w:marTop w:val="0"/>
      <w:marBottom w:val="0"/>
      <w:divBdr>
        <w:top w:val="none" w:sz="0" w:space="0" w:color="auto"/>
        <w:left w:val="none" w:sz="0" w:space="0" w:color="auto"/>
        <w:bottom w:val="none" w:sz="0" w:space="0" w:color="auto"/>
        <w:right w:val="none" w:sz="0" w:space="0" w:color="auto"/>
      </w:divBdr>
    </w:div>
    <w:div w:id="667758380">
      <w:bodyDiv w:val="1"/>
      <w:marLeft w:val="0"/>
      <w:marRight w:val="0"/>
      <w:marTop w:val="0"/>
      <w:marBottom w:val="0"/>
      <w:divBdr>
        <w:top w:val="none" w:sz="0" w:space="0" w:color="auto"/>
        <w:left w:val="none" w:sz="0" w:space="0" w:color="auto"/>
        <w:bottom w:val="none" w:sz="0" w:space="0" w:color="auto"/>
        <w:right w:val="none" w:sz="0" w:space="0" w:color="auto"/>
      </w:divBdr>
    </w:div>
    <w:div w:id="780999059">
      <w:marLeft w:val="0"/>
      <w:marRight w:val="0"/>
      <w:marTop w:val="0"/>
      <w:marBottom w:val="0"/>
      <w:divBdr>
        <w:top w:val="none" w:sz="0" w:space="0" w:color="auto"/>
        <w:left w:val="none" w:sz="0" w:space="0" w:color="auto"/>
        <w:bottom w:val="none" w:sz="0" w:space="0" w:color="auto"/>
        <w:right w:val="none" w:sz="0" w:space="0" w:color="auto"/>
      </w:divBdr>
    </w:div>
    <w:div w:id="780999060">
      <w:marLeft w:val="0"/>
      <w:marRight w:val="0"/>
      <w:marTop w:val="0"/>
      <w:marBottom w:val="0"/>
      <w:divBdr>
        <w:top w:val="none" w:sz="0" w:space="0" w:color="auto"/>
        <w:left w:val="none" w:sz="0" w:space="0" w:color="auto"/>
        <w:bottom w:val="none" w:sz="0" w:space="0" w:color="auto"/>
        <w:right w:val="none" w:sz="0" w:space="0" w:color="auto"/>
      </w:divBdr>
    </w:div>
    <w:div w:id="780999061">
      <w:marLeft w:val="0"/>
      <w:marRight w:val="0"/>
      <w:marTop w:val="0"/>
      <w:marBottom w:val="0"/>
      <w:divBdr>
        <w:top w:val="none" w:sz="0" w:space="0" w:color="auto"/>
        <w:left w:val="none" w:sz="0" w:space="0" w:color="auto"/>
        <w:bottom w:val="none" w:sz="0" w:space="0" w:color="auto"/>
        <w:right w:val="none" w:sz="0" w:space="0" w:color="auto"/>
      </w:divBdr>
    </w:div>
    <w:div w:id="780999062">
      <w:marLeft w:val="0"/>
      <w:marRight w:val="0"/>
      <w:marTop w:val="0"/>
      <w:marBottom w:val="0"/>
      <w:divBdr>
        <w:top w:val="none" w:sz="0" w:space="0" w:color="auto"/>
        <w:left w:val="none" w:sz="0" w:space="0" w:color="auto"/>
        <w:bottom w:val="none" w:sz="0" w:space="0" w:color="auto"/>
        <w:right w:val="none" w:sz="0" w:space="0" w:color="auto"/>
      </w:divBdr>
    </w:div>
    <w:div w:id="780999063">
      <w:marLeft w:val="0"/>
      <w:marRight w:val="0"/>
      <w:marTop w:val="0"/>
      <w:marBottom w:val="0"/>
      <w:divBdr>
        <w:top w:val="none" w:sz="0" w:space="0" w:color="auto"/>
        <w:left w:val="none" w:sz="0" w:space="0" w:color="auto"/>
        <w:bottom w:val="none" w:sz="0" w:space="0" w:color="auto"/>
        <w:right w:val="none" w:sz="0" w:space="0" w:color="auto"/>
      </w:divBdr>
    </w:div>
    <w:div w:id="780999064">
      <w:marLeft w:val="0"/>
      <w:marRight w:val="0"/>
      <w:marTop w:val="0"/>
      <w:marBottom w:val="0"/>
      <w:divBdr>
        <w:top w:val="none" w:sz="0" w:space="0" w:color="auto"/>
        <w:left w:val="none" w:sz="0" w:space="0" w:color="auto"/>
        <w:bottom w:val="none" w:sz="0" w:space="0" w:color="auto"/>
        <w:right w:val="none" w:sz="0" w:space="0" w:color="auto"/>
      </w:divBdr>
    </w:div>
    <w:div w:id="780999065">
      <w:marLeft w:val="0"/>
      <w:marRight w:val="0"/>
      <w:marTop w:val="0"/>
      <w:marBottom w:val="0"/>
      <w:divBdr>
        <w:top w:val="none" w:sz="0" w:space="0" w:color="auto"/>
        <w:left w:val="none" w:sz="0" w:space="0" w:color="auto"/>
        <w:bottom w:val="none" w:sz="0" w:space="0" w:color="auto"/>
        <w:right w:val="none" w:sz="0" w:space="0" w:color="auto"/>
      </w:divBdr>
    </w:div>
    <w:div w:id="780999066">
      <w:marLeft w:val="0"/>
      <w:marRight w:val="0"/>
      <w:marTop w:val="0"/>
      <w:marBottom w:val="0"/>
      <w:divBdr>
        <w:top w:val="none" w:sz="0" w:space="0" w:color="auto"/>
        <w:left w:val="none" w:sz="0" w:space="0" w:color="auto"/>
        <w:bottom w:val="none" w:sz="0" w:space="0" w:color="auto"/>
        <w:right w:val="none" w:sz="0" w:space="0" w:color="auto"/>
      </w:divBdr>
    </w:div>
    <w:div w:id="780999067">
      <w:marLeft w:val="0"/>
      <w:marRight w:val="0"/>
      <w:marTop w:val="0"/>
      <w:marBottom w:val="0"/>
      <w:divBdr>
        <w:top w:val="none" w:sz="0" w:space="0" w:color="auto"/>
        <w:left w:val="none" w:sz="0" w:space="0" w:color="auto"/>
        <w:bottom w:val="none" w:sz="0" w:space="0" w:color="auto"/>
        <w:right w:val="none" w:sz="0" w:space="0" w:color="auto"/>
      </w:divBdr>
    </w:div>
    <w:div w:id="780999068">
      <w:marLeft w:val="0"/>
      <w:marRight w:val="0"/>
      <w:marTop w:val="0"/>
      <w:marBottom w:val="0"/>
      <w:divBdr>
        <w:top w:val="none" w:sz="0" w:space="0" w:color="auto"/>
        <w:left w:val="none" w:sz="0" w:space="0" w:color="auto"/>
        <w:bottom w:val="none" w:sz="0" w:space="0" w:color="auto"/>
        <w:right w:val="none" w:sz="0" w:space="0" w:color="auto"/>
      </w:divBdr>
    </w:div>
    <w:div w:id="780999069">
      <w:marLeft w:val="0"/>
      <w:marRight w:val="0"/>
      <w:marTop w:val="0"/>
      <w:marBottom w:val="0"/>
      <w:divBdr>
        <w:top w:val="none" w:sz="0" w:space="0" w:color="auto"/>
        <w:left w:val="none" w:sz="0" w:space="0" w:color="auto"/>
        <w:bottom w:val="none" w:sz="0" w:space="0" w:color="auto"/>
        <w:right w:val="none" w:sz="0" w:space="0" w:color="auto"/>
      </w:divBdr>
    </w:div>
    <w:div w:id="780999070">
      <w:marLeft w:val="0"/>
      <w:marRight w:val="0"/>
      <w:marTop w:val="0"/>
      <w:marBottom w:val="0"/>
      <w:divBdr>
        <w:top w:val="none" w:sz="0" w:space="0" w:color="auto"/>
        <w:left w:val="none" w:sz="0" w:space="0" w:color="auto"/>
        <w:bottom w:val="none" w:sz="0" w:space="0" w:color="auto"/>
        <w:right w:val="none" w:sz="0" w:space="0" w:color="auto"/>
      </w:divBdr>
    </w:div>
    <w:div w:id="780999071">
      <w:marLeft w:val="0"/>
      <w:marRight w:val="0"/>
      <w:marTop w:val="0"/>
      <w:marBottom w:val="0"/>
      <w:divBdr>
        <w:top w:val="none" w:sz="0" w:space="0" w:color="auto"/>
        <w:left w:val="none" w:sz="0" w:space="0" w:color="auto"/>
        <w:bottom w:val="none" w:sz="0" w:space="0" w:color="auto"/>
        <w:right w:val="none" w:sz="0" w:space="0" w:color="auto"/>
      </w:divBdr>
    </w:div>
    <w:div w:id="780999072">
      <w:marLeft w:val="0"/>
      <w:marRight w:val="0"/>
      <w:marTop w:val="0"/>
      <w:marBottom w:val="0"/>
      <w:divBdr>
        <w:top w:val="none" w:sz="0" w:space="0" w:color="auto"/>
        <w:left w:val="none" w:sz="0" w:space="0" w:color="auto"/>
        <w:bottom w:val="none" w:sz="0" w:space="0" w:color="auto"/>
        <w:right w:val="none" w:sz="0" w:space="0" w:color="auto"/>
      </w:divBdr>
    </w:div>
    <w:div w:id="780999073">
      <w:marLeft w:val="0"/>
      <w:marRight w:val="0"/>
      <w:marTop w:val="0"/>
      <w:marBottom w:val="0"/>
      <w:divBdr>
        <w:top w:val="none" w:sz="0" w:space="0" w:color="auto"/>
        <w:left w:val="none" w:sz="0" w:space="0" w:color="auto"/>
        <w:bottom w:val="none" w:sz="0" w:space="0" w:color="auto"/>
        <w:right w:val="none" w:sz="0" w:space="0" w:color="auto"/>
      </w:divBdr>
    </w:div>
    <w:div w:id="780999074">
      <w:marLeft w:val="0"/>
      <w:marRight w:val="0"/>
      <w:marTop w:val="0"/>
      <w:marBottom w:val="0"/>
      <w:divBdr>
        <w:top w:val="none" w:sz="0" w:space="0" w:color="auto"/>
        <w:left w:val="none" w:sz="0" w:space="0" w:color="auto"/>
        <w:bottom w:val="none" w:sz="0" w:space="0" w:color="auto"/>
        <w:right w:val="none" w:sz="0" w:space="0" w:color="auto"/>
      </w:divBdr>
    </w:div>
    <w:div w:id="780999075">
      <w:marLeft w:val="0"/>
      <w:marRight w:val="0"/>
      <w:marTop w:val="0"/>
      <w:marBottom w:val="0"/>
      <w:divBdr>
        <w:top w:val="none" w:sz="0" w:space="0" w:color="auto"/>
        <w:left w:val="none" w:sz="0" w:space="0" w:color="auto"/>
        <w:bottom w:val="none" w:sz="0" w:space="0" w:color="auto"/>
        <w:right w:val="none" w:sz="0" w:space="0" w:color="auto"/>
      </w:divBdr>
    </w:div>
    <w:div w:id="780999076">
      <w:marLeft w:val="0"/>
      <w:marRight w:val="0"/>
      <w:marTop w:val="0"/>
      <w:marBottom w:val="0"/>
      <w:divBdr>
        <w:top w:val="none" w:sz="0" w:space="0" w:color="auto"/>
        <w:left w:val="none" w:sz="0" w:space="0" w:color="auto"/>
        <w:bottom w:val="none" w:sz="0" w:space="0" w:color="auto"/>
        <w:right w:val="none" w:sz="0" w:space="0" w:color="auto"/>
      </w:divBdr>
    </w:div>
    <w:div w:id="780999077">
      <w:marLeft w:val="0"/>
      <w:marRight w:val="0"/>
      <w:marTop w:val="0"/>
      <w:marBottom w:val="0"/>
      <w:divBdr>
        <w:top w:val="none" w:sz="0" w:space="0" w:color="auto"/>
        <w:left w:val="none" w:sz="0" w:space="0" w:color="auto"/>
        <w:bottom w:val="none" w:sz="0" w:space="0" w:color="auto"/>
        <w:right w:val="none" w:sz="0" w:space="0" w:color="auto"/>
      </w:divBdr>
    </w:div>
    <w:div w:id="780999078">
      <w:marLeft w:val="0"/>
      <w:marRight w:val="0"/>
      <w:marTop w:val="0"/>
      <w:marBottom w:val="0"/>
      <w:divBdr>
        <w:top w:val="none" w:sz="0" w:space="0" w:color="auto"/>
        <w:left w:val="none" w:sz="0" w:space="0" w:color="auto"/>
        <w:bottom w:val="none" w:sz="0" w:space="0" w:color="auto"/>
        <w:right w:val="none" w:sz="0" w:space="0" w:color="auto"/>
      </w:divBdr>
    </w:div>
    <w:div w:id="780999079">
      <w:marLeft w:val="0"/>
      <w:marRight w:val="0"/>
      <w:marTop w:val="0"/>
      <w:marBottom w:val="0"/>
      <w:divBdr>
        <w:top w:val="none" w:sz="0" w:space="0" w:color="auto"/>
        <w:left w:val="none" w:sz="0" w:space="0" w:color="auto"/>
        <w:bottom w:val="none" w:sz="0" w:space="0" w:color="auto"/>
        <w:right w:val="none" w:sz="0" w:space="0" w:color="auto"/>
      </w:divBdr>
    </w:div>
    <w:div w:id="780999080">
      <w:marLeft w:val="0"/>
      <w:marRight w:val="0"/>
      <w:marTop w:val="0"/>
      <w:marBottom w:val="0"/>
      <w:divBdr>
        <w:top w:val="none" w:sz="0" w:space="0" w:color="auto"/>
        <w:left w:val="none" w:sz="0" w:space="0" w:color="auto"/>
        <w:bottom w:val="none" w:sz="0" w:space="0" w:color="auto"/>
        <w:right w:val="none" w:sz="0" w:space="0" w:color="auto"/>
      </w:divBdr>
    </w:div>
    <w:div w:id="780999081">
      <w:marLeft w:val="0"/>
      <w:marRight w:val="0"/>
      <w:marTop w:val="0"/>
      <w:marBottom w:val="0"/>
      <w:divBdr>
        <w:top w:val="none" w:sz="0" w:space="0" w:color="auto"/>
        <w:left w:val="none" w:sz="0" w:space="0" w:color="auto"/>
        <w:bottom w:val="none" w:sz="0" w:space="0" w:color="auto"/>
        <w:right w:val="none" w:sz="0" w:space="0" w:color="auto"/>
      </w:divBdr>
    </w:div>
    <w:div w:id="780999082">
      <w:marLeft w:val="0"/>
      <w:marRight w:val="0"/>
      <w:marTop w:val="0"/>
      <w:marBottom w:val="0"/>
      <w:divBdr>
        <w:top w:val="none" w:sz="0" w:space="0" w:color="auto"/>
        <w:left w:val="none" w:sz="0" w:space="0" w:color="auto"/>
        <w:bottom w:val="none" w:sz="0" w:space="0" w:color="auto"/>
        <w:right w:val="none" w:sz="0" w:space="0" w:color="auto"/>
      </w:divBdr>
    </w:div>
    <w:div w:id="780999083">
      <w:marLeft w:val="0"/>
      <w:marRight w:val="0"/>
      <w:marTop w:val="0"/>
      <w:marBottom w:val="0"/>
      <w:divBdr>
        <w:top w:val="none" w:sz="0" w:space="0" w:color="auto"/>
        <w:left w:val="none" w:sz="0" w:space="0" w:color="auto"/>
        <w:bottom w:val="none" w:sz="0" w:space="0" w:color="auto"/>
        <w:right w:val="none" w:sz="0" w:space="0" w:color="auto"/>
      </w:divBdr>
    </w:div>
    <w:div w:id="780999084">
      <w:marLeft w:val="0"/>
      <w:marRight w:val="0"/>
      <w:marTop w:val="0"/>
      <w:marBottom w:val="0"/>
      <w:divBdr>
        <w:top w:val="none" w:sz="0" w:space="0" w:color="auto"/>
        <w:left w:val="none" w:sz="0" w:space="0" w:color="auto"/>
        <w:bottom w:val="none" w:sz="0" w:space="0" w:color="auto"/>
        <w:right w:val="none" w:sz="0" w:space="0" w:color="auto"/>
      </w:divBdr>
    </w:div>
    <w:div w:id="1441217663">
      <w:bodyDiv w:val="1"/>
      <w:marLeft w:val="0"/>
      <w:marRight w:val="0"/>
      <w:marTop w:val="0"/>
      <w:marBottom w:val="0"/>
      <w:divBdr>
        <w:top w:val="none" w:sz="0" w:space="0" w:color="auto"/>
        <w:left w:val="none" w:sz="0" w:space="0" w:color="auto"/>
        <w:bottom w:val="none" w:sz="0" w:space="0" w:color="auto"/>
        <w:right w:val="none" w:sz="0" w:space="0" w:color="auto"/>
      </w:divBdr>
    </w:div>
    <w:div w:id="1600337131">
      <w:bodyDiv w:val="1"/>
      <w:marLeft w:val="0"/>
      <w:marRight w:val="0"/>
      <w:marTop w:val="0"/>
      <w:marBottom w:val="0"/>
      <w:divBdr>
        <w:top w:val="none" w:sz="0" w:space="0" w:color="auto"/>
        <w:left w:val="none" w:sz="0" w:space="0" w:color="auto"/>
        <w:bottom w:val="none" w:sz="0" w:space="0" w:color="auto"/>
        <w:right w:val="none" w:sz="0" w:space="0" w:color="auto"/>
      </w:divBdr>
    </w:div>
    <w:div w:id="1683166733">
      <w:bodyDiv w:val="1"/>
      <w:marLeft w:val="0"/>
      <w:marRight w:val="0"/>
      <w:marTop w:val="0"/>
      <w:marBottom w:val="0"/>
      <w:divBdr>
        <w:top w:val="none" w:sz="0" w:space="0" w:color="auto"/>
        <w:left w:val="none" w:sz="0" w:space="0" w:color="auto"/>
        <w:bottom w:val="none" w:sz="0" w:space="0" w:color="auto"/>
        <w:right w:val="none" w:sz="0" w:space="0" w:color="auto"/>
      </w:divBdr>
    </w:div>
    <w:div w:id="2031449192">
      <w:bodyDiv w:val="1"/>
      <w:marLeft w:val="0"/>
      <w:marRight w:val="0"/>
      <w:marTop w:val="0"/>
      <w:marBottom w:val="0"/>
      <w:divBdr>
        <w:top w:val="none" w:sz="0" w:space="0" w:color="auto"/>
        <w:left w:val="none" w:sz="0" w:space="0" w:color="auto"/>
        <w:bottom w:val="none" w:sz="0" w:space="0" w:color="auto"/>
        <w:right w:val="none" w:sz="0" w:space="0" w:color="auto"/>
      </w:divBdr>
    </w:div>
    <w:div w:id="20906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0F526-BB87-468B-956C-8726FAB74C1D}">
  <ds:schemaRefs>
    <ds:schemaRef ds:uri="http://schemas.microsoft.com/office/2006/metadata/longProperties"/>
  </ds:schemaRefs>
</ds:datastoreItem>
</file>

<file path=customXml/itemProps2.xml><?xml version="1.0" encoding="utf-8"?>
<ds:datastoreItem xmlns:ds="http://schemas.openxmlformats.org/officeDocument/2006/customXml" ds:itemID="{4638324F-51F6-4267-94A6-C0B4E2557D33}"/>
</file>

<file path=customXml/itemProps3.xml><?xml version="1.0" encoding="utf-8"?>
<ds:datastoreItem xmlns:ds="http://schemas.openxmlformats.org/officeDocument/2006/customXml" ds:itemID="{AE97871F-2029-452B-AD16-4FEEFE601231}"/>
</file>

<file path=customXml/itemProps4.xml><?xml version="1.0" encoding="utf-8"?>
<ds:datastoreItem xmlns:ds="http://schemas.openxmlformats.org/officeDocument/2006/customXml" ds:itemID="{2251B7BD-4B2B-4862-8BDA-169185C3BDB7}">
  <ds:schemaRefs>
    <ds:schemaRef ds:uri="http://schemas.openxmlformats.org/officeDocument/2006/bibliography"/>
  </ds:schemaRefs>
</ds:datastoreItem>
</file>

<file path=customXml/itemProps5.xml><?xml version="1.0" encoding="utf-8"?>
<ds:datastoreItem xmlns:ds="http://schemas.openxmlformats.org/officeDocument/2006/customXml" ds:itemID="{0EE8162C-BBCD-4685-8BD1-2F0E7C3C71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26013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of Stakeholder Comments - Capacity Procurement Mechanism Second Draft Tariff Language </dc:title>
  <dc:subject/>
  <dc:creator>Quadro</dc:creator>
  <cp:keywords/>
  <cp:lastModifiedBy>Morgan, Amanda</cp:lastModifiedBy>
  <cp:revision>2</cp:revision>
  <dcterms:created xsi:type="dcterms:W3CDTF">2025-06-12T20:12:00Z</dcterms:created>
  <dcterms:modified xsi:type="dcterms:W3CDTF">2025-06-12T20:12:00Z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gFAAsdpvfP9KDXIvdprHQNZlVB5y0Te9gPbA7ZFrcV+g948UnsTAWxPl22RS7gDl0F0PNiULIOXn0y8C
r7GU8YkaF+EQeOVeOIIoEYdRE5ubyWaBDwruVi0UaN9AWRCYfuiwDSuBFuu7FcbblC5xeRX4wED0
LOGBFNI+rCftOkcekeeehOFlW/iZ1zrsZTKnrzObxAGoAIrtjOSssv4gdC8SrCNyu5T9Gkv13GxW
mWGtAzahI/8pf9GVm</vt:lpwstr>
  </property>
  <property fmtid="{D5CDD505-2E9C-101B-9397-08002B2CF9AE}" pid="3" name="RESPONSE_SENDER_NAME">
    <vt:lpwstr>sAAA2RgG6J6jCJ1uVi7Rvw0go1gjjVvA5dchzSU+kZynlQw=</vt:lpwstr>
  </property>
  <property fmtid="{D5CDD505-2E9C-101B-9397-08002B2CF9AE}" pid="4" name="EMAIL_OWNER_ADDRESS">
    <vt:lpwstr>sAAAUYtyAkeNWR5BWXLasyxlDA6YrVkKL/RKw1M/96v5T2A=</vt:lpwstr>
  </property>
  <property fmtid="{D5CDD505-2E9C-101B-9397-08002B2CF9AE}" pid="5" name="MAIL_MSG_ID2">
    <vt:lpwstr>GQRgelKLdubkNU5MPJlFWfTNbc1AnXCYi704JLKmwnFf1wIHFfYUetNns/2
AF8MnB/TPXVC0GNeEhtjU+H2cab4MG8UssatcQ==</vt:lpwstr>
  </property>
  <property fmtid="{D5CDD505-2E9C-101B-9397-08002B2CF9AE}" pid="6" name="RevDate">
    <vt:lpwstr>2010-11-22T14:11:58Z</vt:lpwstr>
  </property>
  <property fmtid="{D5CDD505-2E9C-101B-9397-08002B2CF9AE}" pid="7" name="ISOKeywords">
    <vt:lpwstr/>
  </property>
  <property fmtid="{D5CDD505-2E9C-101B-9397-08002B2CF9AE}" pid="8" name="ISOGroup">
    <vt:lpwstr>5309;#Stakeholder comments on capacity procurement mechanism second draft tariff language|dc8ea96f-d811-43a9-981e-959fdb102557</vt:lpwstr>
  </property>
  <property fmtid="{D5CDD505-2E9C-101B-9397-08002B2CF9AE}" pid="9" name="ISOTopic">
    <vt:lpwstr>7;#Stakeholder processes|71659ab1-dac7-419e-9529-abc47c232b66</vt:lpwstr>
  </property>
  <property fmtid="{D5CDD505-2E9C-101B-9397-08002B2CF9AE}" pid="10" name="Order">
    <vt:lpwstr>25431100.0000000</vt:lpwstr>
  </property>
  <property fmtid="{D5CDD505-2E9C-101B-9397-08002B2CF9AE}" pid="11" name="ISOArchive">
    <vt:lpwstr>3;#Archived|0019c6e1-8c5e-460c-a653-a944372c5015</vt:lpwstr>
  </property>
  <property fmtid="{D5CDD505-2E9C-101B-9397-08002B2CF9AE}" pid="12" name="OriginalUriCopy">
    <vt:lpwstr>http://www.caiso.com/2856/2856c7ae12780.doc, http://www.caiso.com/2856/2856c7ae12780.doc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http://www.caiso.com/2856/2856c7ae12780.doc, /2856/2856c7ae12780.doc</vt:lpwstr>
  </property>
  <property fmtid="{D5CDD505-2E9C-101B-9397-08002B2CF9AE}" pid="16" name="ContentTypeId">
    <vt:lpwstr>0x010100776092249CC62C48AA17033F357BFB4B</vt:lpwstr>
  </property>
</Properties>
</file>