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3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998"/>
        <w:gridCol w:w="1278"/>
        <w:gridCol w:w="1199"/>
        <w:gridCol w:w="9614"/>
      </w:tblGrid>
      <w:tr w:rsidR="00E90298" w:rsidRPr="00EA25F7" w14:paraId="2A91E4C9" w14:textId="77777777" w:rsidTr="00E90298">
        <w:trPr>
          <w:tblHeader/>
        </w:trPr>
        <w:tc>
          <w:tcPr>
            <w:tcW w:w="0" w:type="auto"/>
            <w:shd w:val="clear" w:color="auto" w:fill="F2F2F2"/>
          </w:tcPr>
          <w:p w14:paraId="0876EF6F" w14:textId="77777777" w:rsidR="00E90298" w:rsidRPr="00EA25F7" w:rsidRDefault="00E90298" w:rsidP="00AA755B">
            <w:pPr>
              <w:spacing w:before="120" w:after="120"/>
              <w:jc w:val="center"/>
              <w:rPr>
                <w:rFonts w:ascii="Calibri" w:hAnsi="Calibri" w:cs="Arial"/>
                <w:b/>
                <w:i/>
                <w:sz w:val="20"/>
                <w:szCs w:val="20"/>
              </w:rPr>
            </w:pPr>
            <w:r w:rsidRPr="00EA25F7">
              <w:rPr>
                <w:rFonts w:ascii="Calibri" w:hAnsi="Calibri" w:cs="Arial"/>
                <w:b/>
                <w:i/>
                <w:sz w:val="20"/>
                <w:szCs w:val="20"/>
              </w:rPr>
              <w:t>NUM</w:t>
            </w:r>
          </w:p>
        </w:tc>
        <w:tc>
          <w:tcPr>
            <w:tcW w:w="0" w:type="auto"/>
            <w:shd w:val="clear" w:color="auto" w:fill="F2F2F2"/>
          </w:tcPr>
          <w:p w14:paraId="55CC31DE" w14:textId="77777777" w:rsidR="00E90298" w:rsidRPr="00EA25F7" w:rsidRDefault="00E90298" w:rsidP="00AA755B">
            <w:pPr>
              <w:spacing w:before="120" w:after="120"/>
              <w:jc w:val="center"/>
              <w:rPr>
                <w:rFonts w:ascii="Calibri" w:hAnsi="Calibri" w:cs="Arial"/>
                <w:b/>
                <w:i/>
                <w:sz w:val="20"/>
                <w:szCs w:val="20"/>
              </w:rPr>
            </w:pPr>
            <w:r w:rsidRPr="00EA25F7">
              <w:rPr>
                <w:rFonts w:ascii="Calibri" w:hAnsi="Calibri" w:cs="Arial"/>
                <w:b/>
                <w:i/>
                <w:sz w:val="20"/>
                <w:szCs w:val="20"/>
              </w:rPr>
              <w:t>Company</w:t>
            </w:r>
          </w:p>
        </w:tc>
        <w:tc>
          <w:tcPr>
            <w:tcW w:w="1278" w:type="dxa"/>
            <w:shd w:val="clear" w:color="auto" w:fill="F2F2F2"/>
          </w:tcPr>
          <w:p w14:paraId="15A1E280" w14:textId="77777777" w:rsidR="00E90298" w:rsidRPr="00EA25F7" w:rsidRDefault="00E90298" w:rsidP="00AA755B">
            <w:pPr>
              <w:spacing w:before="120" w:after="120"/>
              <w:ind w:left="-108" w:firstLine="108"/>
              <w:jc w:val="center"/>
              <w:rPr>
                <w:rFonts w:ascii="Calibri" w:hAnsi="Calibri" w:cs="Arial"/>
                <w:b/>
                <w:i/>
                <w:sz w:val="20"/>
                <w:szCs w:val="20"/>
              </w:rPr>
            </w:pPr>
            <w:r w:rsidRPr="00EA25F7">
              <w:rPr>
                <w:rFonts w:ascii="Calibri" w:hAnsi="Calibri" w:cs="Arial"/>
                <w:b/>
                <w:i/>
                <w:sz w:val="20"/>
                <w:szCs w:val="20"/>
              </w:rPr>
              <w:t>Related Tariff Section</w:t>
            </w:r>
          </w:p>
        </w:tc>
        <w:tc>
          <w:tcPr>
            <w:tcW w:w="1199" w:type="dxa"/>
            <w:shd w:val="clear" w:color="auto" w:fill="F2F2F2"/>
          </w:tcPr>
          <w:p w14:paraId="7E7AFB99" w14:textId="77777777" w:rsidR="00E90298" w:rsidRPr="00EA25F7" w:rsidRDefault="00E90298" w:rsidP="00AA755B">
            <w:pPr>
              <w:spacing w:before="120" w:after="120"/>
              <w:ind w:left="-108" w:firstLine="108"/>
              <w:jc w:val="center"/>
              <w:rPr>
                <w:rFonts w:ascii="Calibri" w:hAnsi="Calibri" w:cs="Arial"/>
                <w:b/>
                <w:i/>
                <w:sz w:val="20"/>
                <w:szCs w:val="20"/>
              </w:rPr>
            </w:pPr>
            <w:r w:rsidRPr="00EA25F7">
              <w:rPr>
                <w:rFonts w:ascii="Calibri" w:hAnsi="Calibri" w:cs="Arial"/>
                <w:b/>
                <w:i/>
                <w:sz w:val="20"/>
                <w:szCs w:val="20"/>
              </w:rPr>
              <w:t>Date of Comments</w:t>
            </w:r>
          </w:p>
        </w:tc>
        <w:tc>
          <w:tcPr>
            <w:tcW w:w="9614" w:type="dxa"/>
            <w:shd w:val="clear" w:color="auto" w:fill="F2F2F2"/>
          </w:tcPr>
          <w:p w14:paraId="4F131823" w14:textId="77777777" w:rsidR="00E90298" w:rsidRPr="00EA25F7" w:rsidRDefault="00E90298" w:rsidP="00AA755B">
            <w:pPr>
              <w:spacing w:before="120" w:after="120"/>
              <w:jc w:val="center"/>
              <w:rPr>
                <w:rFonts w:ascii="Calibri" w:hAnsi="Calibri" w:cs="Arial"/>
                <w:b/>
                <w:i/>
                <w:sz w:val="20"/>
                <w:szCs w:val="20"/>
              </w:rPr>
            </w:pPr>
            <w:r w:rsidRPr="00EA25F7">
              <w:rPr>
                <w:rFonts w:ascii="Calibri" w:hAnsi="Calibri" w:cs="Arial"/>
                <w:b/>
                <w:i/>
                <w:sz w:val="20"/>
                <w:szCs w:val="20"/>
              </w:rPr>
              <w:t>Comments</w:t>
            </w:r>
          </w:p>
        </w:tc>
      </w:tr>
      <w:tr w:rsidR="00E90298" w:rsidRPr="00EA25F7" w14:paraId="06CA7C4C" w14:textId="77777777" w:rsidTr="00E90298">
        <w:trPr>
          <w:tblHeader/>
        </w:trPr>
        <w:tc>
          <w:tcPr>
            <w:tcW w:w="0" w:type="auto"/>
          </w:tcPr>
          <w:p w14:paraId="3A02C657"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77FD0D9"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PGE</w:t>
            </w:r>
          </w:p>
        </w:tc>
        <w:tc>
          <w:tcPr>
            <w:tcW w:w="1278" w:type="dxa"/>
          </w:tcPr>
          <w:p w14:paraId="1D7BD51F" w14:textId="77777777" w:rsidR="00E90298" w:rsidRPr="00EA25F7" w:rsidRDefault="00E90298" w:rsidP="007E01B0">
            <w:pPr>
              <w:spacing w:before="120" w:after="120"/>
              <w:jc w:val="center"/>
              <w:rPr>
                <w:rFonts w:ascii="Calibri" w:hAnsi="Calibri" w:cs="Arial"/>
                <w:i/>
                <w:sz w:val="20"/>
                <w:szCs w:val="20"/>
              </w:rPr>
            </w:pPr>
          </w:p>
        </w:tc>
        <w:tc>
          <w:tcPr>
            <w:tcW w:w="1199" w:type="dxa"/>
          </w:tcPr>
          <w:p w14:paraId="32ABDA42"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05E0E135" w14:textId="77777777" w:rsidR="00E90298" w:rsidRPr="007E01B0" w:rsidRDefault="00E90298" w:rsidP="007E01B0">
            <w:pPr>
              <w:tabs>
                <w:tab w:val="left" w:pos="2525"/>
              </w:tabs>
              <w:autoSpaceDE w:val="0"/>
              <w:autoSpaceDN w:val="0"/>
              <w:adjustRightInd w:val="0"/>
              <w:spacing w:before="120" w:after="120"/>
              <w:rPr>
                <w:rFonts w:ascii="Calibri" w:hAnsi="Calibri"/>
                <w:b/>
                <w:sz w:val="20"/>
                <w:szCs w:val="20"/>
              </w:rPr>
            </w:pPr>
            <w:r w:rsidRPr="007E01B0">
              <w:rPr>
                <w:rFonts w:ascii="Calibri" w:hAnsi="Calibri"/>
                <w:b/>
                <w:sz w:val="20"/>
                <w:szCs w:val="20"/>
              </w:rPr>
              <w:t xml:space="preserve">1) </w:t>
            </w:r>
            <w:r w:rsidRPr="007E01B0">
              <w:rPr>
                <w:rFonts w:ascii="Calibri" w:hAnsi="Calibri"/>
                <w:b/>
                <w:bCs/>
                <w:sz w:val="20"/>
                <w:szCs w:val="20"/>
              </w:rPr>
              <w:t>CAISO Authority to Procure CPM Capacity that is needed for Reliability but is at Risk of Retirement</w:t>
            </w:r>
          </w:p>
          <w:p w14:paraId="1F2C6FD2" w14:textId="77777777" w:rsidR="00E90298" w:rsidRPr="00B87D13" w:rsidRDefault="00E90298" w:rsidP="00AA755B">
            <w:pPr>
              <w:tabs>
                <w:tab w:val="left" w:pos="2525"/>
              </w:tabs>
              <w:autoSpaceDE w:val="0"/>
              <w:autoSpaceDN w:val="0"/>
              <w:adjustRightInd w:val="0"/>
              <w:spacing w:before="120" w:after="120"/>
              <w:rPr>
                <w:rFonts w:ascii="Calibri" w:hAnsi="Calibri"/>
                <w:sz w:val="20"/>
                <w:szCs w:val="20"/>
              </w:rPr>
            </w:pPr>
            <w:r w:rsidRPr="007E01B0">
              <w:rPr>
                <w:rFonts w:ascii="Calibri" w:hAnsi="Calibri"/>
                <w:sz w:val="20"/>
                <w:szCs w:val="20"/>
              </w:rPr>
              <w:t>PG&amp;E strongly opposes giving the CAISO the authority to procure CPM capacity that is needed for reliability but is at risk of retirement; all references to this authority should be deleted from the tariff.</w:t>
            </w:r>
            <w:r w:rsidRPr="007E01B0">
              <w:rPr>
                <w:rFonts w:ascii="Calibri" w:hAnsi="Calibri"/>
                <w:bCs/>
                <w:sz w:val="20"/>
                <w:szCs w:val="20"/>
                <w:vertAlign w:val="superscript"/>
              </w:rPr>
              <w:footnoteReference w:id="1"/>
            </w:r>
          </w:p>
        </w:tc>
      </w:tr>
      <w:tr w:rsidR="00E90298" w:rsidRPr="00EA25F7" w14:paraId="7EA5C505" w14:textId="77777777" w:rsidTr="00E90298">
        <w:trPr>
          <w:tblHeader/>
        </w:trPr>
        <w:tc>
          <w:tcPr>
            <w:tcW w:w="0" w:type="auto"/>
          </w:tcPr>
          <w:p w14:paraId="210F1B25"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B91225F"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CDWR SWP</w:t>
            </w:r>
          </w:p>
        </w:tc>
        <w:tc>
          <w:tcPr>
            <w:tcW w:w="1278" w:type="dxa"/>
          </w:tcPr>
          <w:p w14:paraId="69E07EBC"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30.5.2.7</w:t>
            </w:r>
          </w:p>
        </w:tc>
        <w:tc>
          <w:tcPr>
            <w:tcW w:w="1199" w:type="dxa"/>
          </w:tcPr>
          <w:p w14:paraId="646AE589"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73F4A08B" w14:textId="77777777" w:rsidR="00E90298" w:rsidRPr="00B87D13" w:rsidRDefault="00E90298" w:rsidP="007E01B0">
            <w:pPr>
              <w:tabs>
                <w:tab w:val="left" w:pos="2525"/>
              </w:tabs>
              <w:autoSpaceDE w:val="0"/>
              <w:autoSpaceDN w:val="0"/>
              <w:adjustRightInd w:val="0"/>
              <w:spacing w:before="120" w:after="120"/>
              <w:rPr>
                <w:rFonts w:ascii="Calibri" w:hAnsi="Calibri"/>
                <w:sz w:val="20"/>
                <w:szCs w:val="20"/>
              </w:rPr>
            </w:pPr>
            <w:r w:rsidRPr="00B87D13">
              <w:rPr>
                <w:rFonts w:ascii="Calibri" w:hAnsi="Calibri"/>
                <w:sz w:val="20"/>
                <w:szCs w:val="20"/>
              </w:rPr>
              <w:t>It should be made clear that the RUC availability bid is not mandatory for use-limited resources. Therefore, the following highlighted insertions are suggested in the tariff language.</w:t>
            </w:r>
          </w:p>
          <w:p w14:paraId="0ABFE44B" w14:textId="77777777" w:rsidR="00E90298" w:rsidRPr="00B87D13" w:rsidRDefault="00E90298" w:rsidP="007E01B0">
            <w:pPr>
              <w:tabs>
                <w:tab w:val="left" w:pos="2525"/>
              </w:tabs>
              <w:autoSpaceDE w:val="0"/>
              <w:autoSpaceDN w:val="0"/>
              <w:adjustRightInd w:val="0"/>
              <w:spacing w:before="120" w:after="120"/>
              <w:rPr>
                <w:rFonts w:ascii="Calibri" w:hAnsi="Calibri"/>
                <w:sz w:val="20"/>
                <w:szCs w:val="20"/>
              </w:rPr>
            </w:pPr>
            <w:r w:rsidRPr="00B87D13">
              <w:rPr>
                <w:rFonts w:ascii="Calibri" w:hAnsi="Calibri"/>
                <w:sz w:val="20"/>
                <w:szCs w:val="20"/>
              </w:rPr>
              <w:t xml:space="preserve">Scheduling Coordinators may submit RUC Availability Bids for specific Generating Units in the DAM; however, Scheduling Coordinators for Resource Adequacy Capacity or CPM Capacity must submit RUC Availability Bids for that capacity </w:t>
            </w:r>
            <w:r w:rsidRPr="00B87D13">
              <w:rPr>
                <w:rFonts w:ascii="Calibri" w:hAnsi="Calibri"/>
                <w:sz w:val="20"/>
                <w:szCs w:val="20"/>
                <w:highlight w:val="yellow"/>
              </w:rPr>
              <w:t>(excluding use limited resources)</w:t>
            </w:r>
            <w:r w:rsidRPr="00B87D13">
              <w:rPr>
                <w:rFonts w:ascii="Calibri" w:hAnsi="Calibri"/>
                <w:sz w:val="20"/>
                <w:szCs w:val="20"/>
              </w:rPr>
              <w:t xml:space="preserve"> to the extent…</w:t>
            </w:r>
          </w:p>
        </w:tc>
      </w:tr>
      <w:tr w:rsidR="00E90298" w:rsidRPr="00EA25F7" w14:paraId="1FC9A117" w14:textId="77777777" w:rsidTr="00E90298">
        <w:trPr>
          <w:tblHeader/>
        </w:trPr>
        <w:tc>
          <w:tcPr>
            <w:tcW w:w="0" w:type="auto"/>
          </w:tcPr>
          <w:p w14:paraId="38843E5D"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4593ED7"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PGE</w:t>
            </w:r>
          </w:p>
        </w:tc>
        <w:tc>
          <w:tcPr>
            <w:tcW w:w="1278" w:type="dxa"/>
          </w:tcPr>
          <w:p w14:paraId="2ECC9BC4"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w:t>
            </w:r>
          </w:p>
        </w:tc>
        <w:tc>
          <w:tcPr>
            <w:tcW w:w="1199" w:type="dxa"/>
          </w:tcPr>
          <w:p w14:paraId="7A8089FD"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303A9C4F" w14:textId="77777777" w:rsidR="00E90298" w:rsidRPr="00DE2F8B" w:rsidRDefault="00E90298" w:rsidP="00DE2F8B">
            <w:pPr>
              <w:tabs>
                <w:tab w:val="left" w:pos="2525"/>
              </w:tabs>
              <w:autoSpaceDE w:val="0"/>
              <w:autoSpaceDN w:val="0"/>
              <w:adjustRightInd w:val="0"/>
              <w:spacing w:before="120" w:after="120"/>
              <w:rPr>
                <w:rFonts w:ascii="Calibri" w:hAnsi="Calibri"/>
                <w:b/>
                <w:sz w:val="20"/>
                <w:szCs w:val="20"/>
              </w:rPr>
            </w:pPr>
            <w:r w:rsidRPr="00DE2F8B">
              <w:rPr>
                <w:rFonts w:ascii="Calibri" w:hAnsi="Calibri"/>
                <w:b/>
                <w:sz w:val="20"/>
                <w:szCs w:val="20"/>
              </w:rPr>
              <w:t>Section 43</w:t>
            </w:r>
          </w:p>
          <w:p w14:paraId="538B3DAB" w14:textId="77777777" w:rsidR="00E90298" w:rsidRPr="00B87D13" w:rsidRDefault="00E90298" w:rsidP="007E01B0">
            <w:pPr>
              <w:tabs>
                <w:tab w:val="left" w:pos="2525"/>
              </w:tabs>
              <w:autoSpaceDE w:val="0"/>
              <w:autoSpaceDN w:val="0"/>
              <w:adjustRightInd w:val="0"/>
              <w:spacing w:before="120" w:after="120"/>
              <w:rPr>
                <w:rFonts w:ascii="Calibri" w:hAnsi="Calibri"/>
                <w:sz w:val="20"/>
                <w:szCs w:val="20"/>
              </w:rPr>
            </w:pPr>
            <w:r w:rsidRPr="00DE2F8B">
              <w:rPr>
                <w:rFonts w:ascii="Calibri" w:hAnsi="Calibri"/>
                <w:sz w:val="20"/>
                <w:szCs w:val="20"/>
              </w:rPr>
              <w:t>PG&amp;E recommends replacing the phrase “LSE’s Demand and Reserve Margin requirements” with “Resource Adequacy requirements.” This will allow the language in Section 43 to more closely correspond to the language in Section 40.</w:t>
            </w:r>
            <w:r w:rsidRPr="00DE2F8B">
              <w:rPr>
                <w:rFonts w:ascii="Calibri" w:hAnsi="Calibri"/>
                <w:sz w:val="20"/>
                <w:szCs w:val="20"/>
                <w:vertAlign w:val="superscript"/>
              </w:rPr>
              <w:footnoteReference w:id="2"/>
            </w:r>
            <w:r w:rsidRPr="00DE2F8B">
              <w:rPr>
                <w:rFonts w:ascii="Calibri" w:hAnsi="Calibri"/>
                <w:sz w:val="20"/>
                <w:szCs w:val="20"/>
              </w:rPr>
              <w:t xml:space="preserve"> </w:t>
            </w:r>
          </w:p>
        </w:tc>
      </w:tr>
      <w:tr w:rsidR="00E90298" w:rsidRPr="00EA25F7" w14:paraId="5F742D28" w14:textId="77777777" w:rsidTr="00E90298">
        <w:trPr>
          <w:tblHeader/>
        </w:trPr>
        <w:tc>
          <w:tcPr>
            <w:tcW w:w="0" w:type="auto"/>
          </w:tcPr>
          <w:p w14:paraId="1535AC46"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71EC6C1"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PGE</w:t>
            </w:r>
          </w:p>
        </w:tc>
        <w:tc>
          <w:tcPr>
            <w:tcW w:w="1278" w:type="dxa"/>
          </w:tcPr>
          <w:p w14:paraId="02BBC557" w14:textId="77777777" w:rsidR="00E90298" w:rsidRDefault="00E90298" w:rsidP="00DE2F8B">
            <w:pPr>
              <w:spacing w:before="120" w:after="120"/>
              <w:jc w:val="center"/>
              <w:rPr>
                <w:rFonts w:ascii="Calibri" w:hAnsi="Calibri" w:cs="Arial"/>
                <w:i/>
                <w:sz w:val="20"/>
                <w:szCs w:val="20"/>
              </w:rPr>
            </w:pPr>
            <w:r>
              <w:rPr>
                <w:rFonts w:ascii="Calibri" w:hAnsi="Calibri" w:cs="Arial"/>
                <w:i/>
                <w:sz w:val="20"/>
                <w:szCs w:val="20"/>
              </w:rPr>
              <w:t>43 (d)</w:t>
            </w:r>
          </w:p>
        </w:tc>
        <w:tc>
          <w:tcPr>
            <w:tcW w:w="1199" w:type="dxa"/>
          </w:tcPr>
          <w:p w14:paraId="788E4B4E"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05EBF218" w14:textId="77777777" w:rsidR="00E90298" w:rsidRPr="00DE2F8B" w:rsidRDefault="00E90298" w:rsidP="00DE2F8B">
            <w:pPr>
              <w:tabs>
                <w:tab w:val="left" w:pos="2525"/>
              </w:tabs>
              <w:autoSpaceDE w:val="0"/>
              <w:autoSpaceDN w:val="0"/>
              <w:adjustRightInd w:val="0"/>
              <w:spacing w:before="120" w:after="120"/>
              <w:rPr>
                <w:rFonts w:ascii="Calibri" w:hAnsi="Calibri"/>
                <w:b/>
                <w:sz w:val="20"/>
                <w:szCs w:val="20"/>
              </w:rPr>
            </w:pPr>
            <w:r w:rsidRPr="00DE2F8B">
              <w:rPr>
                <w:rFonts w:ascii="Calibri" w:hAnsi="Calibri"/>
                <w:b/>
                <w:sz w:val="20"/>
                <w:szCs w:val="20"/>
              </w:rPr>
              <w:t>Section 43 (d)</w:t>
            </w:r>
          </w:p>
          <w:p w14:paraId="47B32569" w14:textId="77777777" w:rsidR="00E90298" w:rsidRPr="00DE2F8B" w:rsidRDefault="00E90298" w:rsidP="00DE2F8B">
            <w:pPr>
              <w:tabs>
                <w:tab w:val="left" w:pos="2525"/>
              </w:tabs>
              <w:autoSpaceDE w:val="0"/>
              <w:autoSpaceDN w:val="0"/>
              <w:adjustRightInd w:val="0"/>
              <w:spacing w:before="120" w:after="120"/>
              <w:rPr>
                <w:rFonts w:ascii="Calibri" w:hAnsi="Calibri"/>
                <w:sz w:val="20"/>
                <w:szCs w:val="20"/>
              </w:rPr>
            </w:pPr>
            <w:r w:rsidRPr="00DE2F8B">
              <w:rPr>
                <w:rFonts w:ascii="Calibri" w:hAnsi="Calibri"/>
                <w:sz w:val="20"/>
                <w:szCs w:val="20"/>
              </w:rPr>
              <w:t>Section 43.9 (d) indicates that RA credit will be given to the LSE for CPM capacity purchased by the CAISO from a resource that is at risk of retirement. PG&amp;E recommends that the following changes be made to the section:</w:t>
            </w:r>
          </w:p>
          <w:p w14:paraId="3EAF0ACE" w14:textId="77777777" w:rsidR="00E90298" w:rsidRPr="00DE2F8B" w:rsidRDefault="00E90298" w:rsidP="00DE2F8B">
            <w:pPr>
              <w:tabs>
                <w:tab w:val="left" w:pos="2525"/>
              </w:tabs>
              <w:autoSpaceDE w:val="0"/>
              <w:autoSpaceDN w:val="0"/>
              <w:adjustRightInd w:val="0"/>
              <w:spacing w:before="120" w:after="120"/>
              <w:rPr>
                <w:rFonts w:ascii="Calibri" w:hAnsi="Calibri"/>
                <w:i/>
                <w:sz w:val="20"/>
                <w:szCs w:val="20"/>
              </w:rPr>
            </w:pPr>
            <w:r w:rsidRPr="00DE2F8B">
              <w:rPr>
                <w:rFonts w:ascii="Calibri" w:hAnsi="Calibri"/>
                <w:i/>
                <w:sz w:val="20"/>
                <w:szCs w:val="20"/>
              </w:rPr>
              <w:t xml:space="preserve">Credit towards the LSE’s </w:t>
            </w:r>
            <w:r w:rsidRPr="00DE2F8B">
              <w:rPr>
                <w:rFonts w:ascii="Calibri" w:hAnsi="Calibri"/>
                <w:i/>
                <w:strike/>
                <w:sz w:val="20"/>
                <w:szCs w:val="20"/>
              </w:rPr>
              <w:t>Demand and Reserve Margin</w:t>
            </w:r>
            <w:r w:rsidRPr="00DE2F8B">
              <w:rPr>
                <w:rFonts w:ascii="Calibri" w:hAnsi="Calibri"/>
                <w:i/>
                <w:sz w:val="20"/>
                <w:szCs w:val="20"/>
              </w:rPr>
              <w:t xml:space="preserve"> </w:t>
            </w:r>
            <w:r w:rsidRPr="00DE2F8B">
              <w:rPr>
                <w:rFonts w:ascii="Calibri" w:hAnsi="Calibri"/>
                <w:b/>
                <w:i/>
                <w:sz w:val="20"/>
                <w:szCs w:val="20"/>
              </w:rPr>
              <w:t>Resource Adequacy</w:t>
            </w:r>
            <w:r w:rsidRPr="00DE2F8B">
              <w:rPr>
                <w:rFonts w:ascii="Calibri" w:hAnsi="Calibri"/>
                <w:i/>
                <w:sz w:val="20"/>
                <w:szCs w:val="20"/>
              </w:rPr>
              <w:t xml:space="preserve"> requirements determined under Section 40 in an amount equal to the LSE’s pro rata share </w:t>
            </w:r>
            <w:r w:rsidRPr="00DE2F8B">
              <w:rPr>
                <w:rFonts w:ascii="Calibri" w:hAnsi="Calibri"/>
                <w:b/>
                <w:i/>
                <w:sz w:val="20"/>
                <w:szCs w:val="20"/>
              </w:rPr>
              <w:t>based on load</w:t>
            </w:r>
            <w:r w:rsidRPr="00DE2F8B">
              <w:rPr>
                <w:rFonts w:ascii="Calibri" w:hAnsi="Calibri"/>
                <w:i/>
                <w:sz w:val="20"/>
                <w:szCs w:val="20"/>
              </w:rPr>
              <w:t xml:space="preserve"> of the CPM Capacity designated under Section 43.2.6.</w:t>
            </w:r>
          </w:p>
          <w:p w14:paraId="5C3E5C9F" w14:textId="77777777" w:rsidR="00E90298" w:rsidRPr="00DE2F8B" w:rsidRDefault="00E90298" w:rsidP="00DE2F8B">
            <w:pPr>
              <w:tabs>
                <w:tab w:val="left" w:pos="2525"/>
              </w:tabs>
              <w:autoSpaceDE w:val="0"/>
              <w:autoSpaceDN w:val="0"/>
              <w:adjustRightInd w:val="0"/>
              <w:spacing w:before="120" w:after="120"/>
              <w:rPr>
                <w:rFonts w:ascii="Calibri" w:hAnsi="Calibri"/>
                <w:sz w:val="20"/>
                <w:szCs w:val="20"/>
              </w:rPr>
            </w:pPr>
            <w:r w:rsidRPr="00DE2F8B">
              <w:rPr>
                <w:rFonts w:ascii="Calibri" w:hAnsi="Calibri"/>
                <w:sz w:val="20"/>
                <w:szCs w:val="20"/>
              </w:rPr>
              <w:t xml:space="preserve">PG&amp;E is unclear as to the definition of the term “pro rata.” It is recommended that the pro rate credit be based on load; this should be specified in the tariff. </w:t>
            </w:r>
          </w:p>
        </w:tc>
      </w:tr>
      <w:tr w:rsidR="00E90298" w:rsidRPr="00EA25F7" w14:paraId="7EF99D5B" w14:textId="77777777" w:rsidTr="00E90298">
        <w:trPr>
          <w:tblHeader/>
        </w:trPr>
        <w:tc>
          <w:tcPr>
            <w:tcW w:w="0" w:type="auto"/>
          </w:tcPr>
          <w:p w14:paraId="06F538DE"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8934E41"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SCE</w:t>
            </w:r>
          </w:p>
        </w:tc>
        <w:tc>
          <w:tcPr>
            <w:tcW w:w="1278" w:type="dxa"/>
          </w:tcPr>
          <w:p w14:paraId="162DD088"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43.1</w:t>
            </w:r>
          </w:p>
        </w:tc>
        <w:tc>
          <w:tcPr>
            <w:tcW w:w="1199" w:type="dxa"/>
          </w:tcPr>
          <w:p w14:paraId="76A5BEBB"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4F92F728" w14:textId="77777777" w:rsidR="00E90298" w:rsidRPr="000B4866" w:rsidRDefault="00E90298" w:rsidP="000B4866">
            <w:pPr>
              <w:tabs>
                <w:tab w:val="left" w:pos="2525"/>
              </w:tabs>
              <w:autoSpaceDE w:val="0"/>
              <w:autoSpaceDN w:val="0"/>
              <w:adjustRightInd w:val="0"/>
              <w:spacing w:before="120" w:after="120"/>
              <w:rPr>
                <w:rFonts w:ascii="Calibri" w:hAnsi="Calibri"/>
                <w:sz w:val="20"/>
                <w:szCs w:val="20"/>
              </w:rPr>
            </w:pPr>
            <w:r w:rsidRPr="000B4866">
              <w:rPr>
                <w:rFonts w:ascii="Calibri" w:hAnsi="Calibri"/>
                <w:b/>
                <w:sz w:val="20"/>
                <w:szCs w:val="20"/>
              </w:rPr>
              <w:t>Section 43.1</w:t>
            </w:r>
            <w:r w:rsidRPr="000B4866">
              <w:rPr>
                <w:rFonts w:ascii="Calibri" w:hAnsi="Calibri"/>
                <w:sz w:val="20"/>
                <w:szCs w:val="20"/>
              </w:rPr>
              <w:t>: Clarification</w:t>
            </w:r>
          </w:p>
          <w:p w14:paraId="542090AC" w14:textId="77777777" w:rsidR="00E90298" w:rsidRPr="000B4866" w:rsidRDefault="00E90298" w:rsidP="000B4866">
            <w:pPr>
              <w:tabs>
                <w:tab w:val="left" w:pos="2525"/>
              </w:tabs>
              <w:autoSpaceDE w:val="0"/>
              <w:autoSpaceDN w:val="0"/>
              <w:adjustRightInd w:val="0"/>
              <w:spacing w:before="120" w:after="120"/>
              <w:rPr>
                <w:rFonts w:ascii="Calibri" w:hAnsi="Calibri"/>
                <w:sz w:val="20"/>
                <w:szCs w:val="20"/>
              </w:rPr>
            </w:pPr>
            <w:r w:rsidRPr="000B4866">
              <w:rPr>
                <w:rFonts w:ascii="Calibri" w:hAnsi="Calibri"/>
                <w:sz w:val="20"/>
                <w:szCs w:val="20"/>
              </w:rPr>
              <w:t>43.1: Interim Capacity Procurement Mechanism</w:t>
            </w:r>
          </w:p>
          <w:p w14:paraId="005AF9D8" w14:textId="77777777" w:rsidR="00E90298" w:rsidRPr="000B4866" w:rsidRDefault="00E90298" w:rsidP="000B4866">
            <w:pPr>
              <w:tabs>
                <w:tab w:val="left" w:pos="2525"/>
              </w:tabs>
              <w:autoSpaceDE w:val="0"/>
              <w:autoSpaceDN w:val="0"/>
              <w:adjustRightInd w:val="0"/>
              <w:spacing w:before="120" w:after="120"/>
              <w:rPr>
                <w:rFonts w:ascii="Calibri" w:hAnsi="Calibri"/>
                <w:sz w:val="20"/>
                <w:szCs w:val="20"/>
              </w:rPr>
            </w:pPr>
            <w:r w:rsidRPr="000B4866">
              <w:rPr>
                <w:rFonts w:ascii="Calibri" w:hAnsi="Calibri"/>
                <w:sz w:val="20"/>
                <w:szCs w:val="20"/>
              </w:rPr>
              <w:t>The ICPM as well as changes made to other Sections to implement the ICPM shall expire at midnight on the last day of the twenty-fourth month following the effective date of this Section and shall be replaced with the CPM, except that the provisions concerning compensation, cost allocation and Settlement shall remain in effect until such time as ICPM resources have been finally compensated for their services rendered under the ICPM prior to the termination of the ICPM, and the CAISO has finally allocated and recovered the costs associated with such ICPM compensation.</w:t>
            </w:r>
          </w:p>
          <w:p w14:paraId="3D2F8166" w14:textId="77777777" w:rsidR="00E90298" w:rsidRPr="000B4866" w:rsidRDefault="00E90298" w:rsidP="000B4866">
            <w:pPr>
              <w:numPr>
                <w:ilvl w:val="0"/>
                <w:numId w:val="23"/>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Will the CAISO please clarify if a resource with an ICPM designation that extends beyond </w:t>
            </w:r>
            <w:smartTag w:uri="urn:schemas-microsoft-com:office:smarttags" w:element="date">
              <w:smartTagPr>
                <w:attr w:name="Year" w:val="2011"/>
                <w:attr w:name="Day" w:val="31"/>
                <w:attr w:name="Month" w:val="3"/>
              </w:smartTagPr>
              <w:r w:rsidRPr="000B4866">
                <w:rPr>
                  <w:rFonts w:ascii="Calibri" w:hAnsi="Calibri"/>
                  <w:bCs/>
                  <w:sz w:val="20"/>
                  <w:szCs w:val="20"/>
                </w:rPr>
                <w:t>March 31, 2011</w:t>
              </w:r>
            </w:smartTag>
            <w:r w:rsidRPr="000B4866">
              <w:rPr>
                <w:rFonts w:ascii="Calibri" w:hAnsi="Calibri"/>
                <w:bCs/>
                <w:sz w:val="20"/>
                <w:szCs w:val="20"/>
              </w:rPr>
              <w:t xml:space="preserve"> will have its compensation remain at $41/kw-yr thru the duration of its designation period or will the compensation be prorated to reflect the updated compensation of $55/kw-yr beginning </w:t>
            </w:r>
            <w:smartTag w:uri="urn:schemas-microsoft-com:office:smarttags" w:element="date">
              <w:smartTagPr>
                <w:attr w:name="Year" w:val="2011"/>
                <w:attr w:name="Day" w:val="1"/>
                <w:attr w:name="Month" w:val="4"/>
              </w:smartTagPr>
              <w:r w:rsidRPr="000B4866">
                <w:rPr>
                  <w:rFonts w:ascii="Calibri" w:hAnsi="Calibri"/>
                  <w:bCs/>
                  <w:sz w:val="20"/>
                  <w:szCs w:val="20"/>
                </w:rPr>
                <w:t>April 1, 2011</w:t>
              </w:r>
            </w:smartTag>
            <w:r w:rsidRPr="000B4866">
              <w:rPr>
                <w:rFonts w:ascii="Calibri" w:hAnsi="Calibri"/>
                <w:bCs/>
                <w:sz w:val="20"/>
                <w:szCs w:val="20"/>
              </w:rPr>
              <w:t xml:space="preserve">?  </w:t>
            </w:r>
          </w:p>
          <w:p w14:paraId="62840D28" w14:textId="77777777" w:rsidR="00E90298" w:rsidRPr="000B4866" w:rsidRDefault="00E90298" w:rsidP="00B87D13">
            <w:pPr>
              <w:numPr>
                <w:ilvl w:val="0"/>
                <w:numId w:val="23"/>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Similarly, will the CAISO please clarify for a resource with an ICPM designation that extends beyond </w:t>
            </w:r>
            <w:smartTag w:uri="urn:schemas-microsoft-com:office:smarttags" w:element="date">
              <w:smartTagPr>
                <w:attr w:name="Year" w:val="2011"/>
                <w:attr w:name="Day" w:val="31"/>
                <w:attr w:name="Month" w:val="3"/>
              </w:smartTagPr>
              <w:r w:rsidRPr="000B4866">
                <w:rPr>
                  <w:rFonts w:ascii="Calibri" w:hAnsi="Calibri"/>
                  <w:bCs/>
                  <w:sz w:val="20"/>
                  <w:szCs w:val="20"/>
                </w:rPr>
                <w:t>March 31, 2011</w:t>
              </w:r>
            </w:smartTag>
            <w:r w:rsidRPr="000B4866">
              <w:rPr>
                <w:rFonts w:ascii="Calibri" w:hAnsi="Calibri"/>
                <w:bCs/>
                <w:sz w:val="20"/>
                <w:szCs w:val="20"/>
              </w:rPr>
              <w:t xml:space="preserve"> that enters a planned maintenance outage after </w:t>
            </w:r>
            <w:smartTag w:uri="urn:schemas-microsoft-com:office:smarttags" w:element="date">
              <w:smartTagPr>
                <w:attr w:name="Year" w:val="2011"/>
                <w:attr w:name="Day" w:val="1"/>
                <w:attr w:name="Month" w:val="4"/>
              </w:smartTagPr>
              <w:r w:rsidRPr="000B4866">
                <w:rPr>
                  <w:rFonts w:ascii="Calibri" w:hAnsi="Calibri"/>
                  <w:bCs/>
                  <w:sz w:val="20"/>
                  <w:szCs w:val="20"/>
                </w:rPr>
                <w:t>April 1, 2011</w:t>
              </w:r>
            </w:smartTag>
            <w:r w:rsidRPr="000B4866">
              <w:rPr>
                <w:rFonts w:ascii="Calibri" w:hAnsi="Calibri"/>
                <w:bCs/>
                <w:sz w:val="20"/>
                <w:szCs w:val="20"/>
              </w:rPr>
              <w:t>, will the modifications regarding prorating compensation to reflect unavailability due to planned maintenance be applicable?</w:t>
            </w:r>
          </w:p>
        </w:tc>
      </w:tr>
      <w:tr w:rsidR="00E90298" w:rsidRPr="00EA25F7" w14:paraId="0CE431FA" w14:textId="77777777" w:rsidTr="00E90298">
        <w:trPr>
          <w:tblHeader/>
        </w:trPr>
        <w:tc>
          <w:tcPr>
            <w:tcW w:w="0" w:type="auto"/>
          </w:tcPr>
          <w:p w14:paraId="4916A67E"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4FE0220"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Six Cities</w:t>
            </w:r>
          </w:p>
        </w:tc>
        <w:tc>
          <w:tcPr>
            <w:tcW w:w="1278" w:type="dxa"/>
          </w:tcPr>
          <w:p w14:paraId="1FA42AA4"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43.2</w:t>
            </w:r>
          </w:p>
        </w:tc>
        <w:tc>
          <w:tcPr>
            <w:tcW w:w="1199" w:type="dxa"/>
          </w:tcPr>
          <w:p w14:paraId="7804A513"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28, 2010</w:t>
            </w:r>
          </w:p>
        </w:tc>
        <w:tc>
          <w:tcPr>
            <w:tcW w:w="9614" w:type="dxa"/>
            <w:shd w:val="clear" w:color="auto" w:fill="auto"/>
          </w:tcPr>
          <w:p w14:paraId="653DBF63" w14:textId="77777777" w:rsidR="00E90298" w:rsidRPr="00647774" w:rsidRDefault="00E90298" w:rsidP="000B4866">
            <w:pPr>
              <w:tabs>
                <w:tab w:val="left" w:pos="2525"/>
              </w:tabs>
              <w:autoSpaceDE w:val="0"/>
              <w:autoSpaceDN w:val="0"/>
              <w:adjustRightInd w:val="0"/>
              <w:spacing w:before="120" w:after="120"/>
              <w:rPr>
                <w:rFonts w:ascii="Calibri" w:hAnsi="Calibri"/>
                <w:sz w:val="20"/>
                <w:szCs w:val="20"/>
              </w:rPr>
            </w:pPr>
            <w:r w:rsidRPr="00647774">
              <w:rPr>
                <w:rFonts w:ascii="Calibri" w:hAnsi="Calibri"/>
                <w:sz w:val="20"/>
                <w:szCs w:val="20"/>
              </w:rPr>
              <w:t xml:space="preserve">Draft Section 43.2(6) refers to capacity at risk of retirement within six months that will be needed for reliability within two years.  However, Draft Section 43.2.6 refers to a resource that is at risk of retirement during the current RA Compliance Year but will be needed for reliability during the subsequent RA Compliance Year.  Without waiving objections to designation of CPM capacity for resources at risk of retirement, the Six Cities suggest that the draft tariff language be clarified with respect to the time period considered for the evaluation of reliability needs by conforming Draft Section 43.2(6) to the language in Draft Section 43.2.6.  </w:t>
            </w:r>
          </w:p>
        </w:tc>
      </w:tr>
      <w:tr w:rsidR="00E90298" w:rsidRPr="00EA25F7" w14:paraId="2C1E7E9E" w14:textId="77777777" w:rsidTr="00E90298">
        <w:trPr>
          <w:tblHeader/>
        </w:trPr>
        <w:tc>
          <w:tcPr>
            <w:tcW w:w="0" w:type="auto"/>
          </w:tcPr>
          <w:p w14:paraId="295E04B6"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6E77922"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Six Cities</w:t>
            </w:r>
          </w:p>
        </w:tc>
        <w:tc>
          <w:tcPr>
            <w:tcW w:w="1278" w:type="dxa"/>
          </w:tcPr>
          <w:p w14:paraId="491EDDF9"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40368461"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28, 2010</w:t>
            </w:r>
          </w:p>
        </w:tc>
        <w:tc>
          <w:tcPr>
            <w:tcW w:w="9614" w:type="dxa"/>
            <w:shd w:val="clear" w:color="auto" w:fill="auto"/>
          </w:tcPr>
          <w:p w14:paraId="06815ECC" w14:textId="77777777" w:rsidR="00E90298" w:rsidRPr="00647774" w:rsidRDefault="00E90298" w:rsidP="000B4866">
            <w:pPr>
              <w:tabs>
                <w:tab w:val="left" w:pos="2525"/>
              </w:tabs>
              <w:autoSpaceDE w:val="0"/>
              <w:autoSpaceDN w:val="0"/>
              <w:adjustRightInd w:val="0"/>
              <w:spacing w:before="120" w:after="120"/>
              <w:rPr>
                <w:rFonts w:ascii="Calibri" w:hAnsi="Calibri"/>
                <w:sz w:val="20"/>
                <w:szCs w:val="20"/>
              </w:rPr>
            </w:pPr>
            <w:r w:rsidRPr="00647774">
              <w:rPr>
                <w:rFonts w:ascii="Calibri" w:hAnsi="Calibri"/>
                <w:sz w:val="20"/>
                <w:szCs w:val="20"/>
              </w:rPr>
              <w:t xml:space="preserve">The final paragraph of Draft Section 43.2.6 provides that prior to issuing a CPM designation for a resource at risk of retirement, the ISO will prepare a report explaining the need for the designation and allow no less than 30 days for stakeholders to review and comment on the report and for an LSE to procure Capacity from the resource.  Without waiving objections to designation of CPM capacity for resources at risk of retirement, the Six Cities suggest that, in light of the fact that the resource considering retirement must provide 180 days notice to the ISO,  a minimum of 60 days should be afforded to stakeholders for comments on the ISO’s report and alternate efforts to procure Capacity from the resource. </w:t>
            </w:r>
          </w:p>
        </w:tc>
      </w:tr>
      <w:tr w:rsidR="00E90298" w:rsidRPr="00EA25F7" w14:paraId="14764713" w14:textId="77777777" w:rsidTr="00E90298">
        <w:trPr>
          <w:tblHeader/>
        </w:trPr>
        <w:tc>
          <w:tcPr>
            <w:tcW w:w="0" w:type="auto"/>
          </w:tcPr>
          <w:p w14:paraId="28EC4A51"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BEBD3E1"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CDWR SWP</w:t>
            </w:r>
          </w:p>
        </w:tc>
        <w:tc>
          <w:tcPr>
            <w:tcW w:w="1278" w:type="dxa"/>
          </w:tcPr>
          <w:p w14:paraId="712C1908"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43C92DE2"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17F2192F" w14:textId="77777777" w:rsidR="00E90298" w:rsidRPr="00B87D13" w:rsidRDefault="00E90298" w:rsidP="00B87D13">
            <w:pPr>
              <w:tabs>
                <w:tab w:val="left" w:pos="2525"/>
              </w:tabs>
              <w:autoSpaceDE w:val="0"/>
              <w:autoSpaceDN w:val="0"/>
              <w:adjustRightInd w:val="0"/>
              <w:spacing w:before="120" w:after="120"/>
              <w:rPr>
                <w:rFonts w:ascii="Calibri" w:hAnsi="Calibri"/>
                <w:sz w:val="20"/>
                <w:szCs w:val="20"/>
              </w:rPr>
            </w:pPr>
            <w:r w:rsidRPr="00B87D13">
              <w:rPr>
                <w:rFonts w:ascii="Calibri" w:hAnsi="Calibri"/>
                <w:sz w:val="20"/>
                <w:szCs w:val="20"/>
              </w:rPr>
              <w:t>SWP believes that the CAISO’s use of “and” in the enumeration of criteria intends that each must be met, but suggests adding clarity, with the highlighted phrase below:</w:t>
            </w:r>
          </w:p>
          <w:p w14:paraId="3DBCF0FF" w14:textId="77777777" w:rsidR="00E90298" w:rsidRPr="00B87D13" w:rsidRDefault="00E90298" w:rsidP="00AA755B">
            <w:pPr>
              <w:tabs>
                <w:tab w:val="left" w:pos="2525"/>
              </w:tabs>
              <w:autoSpaceDE w:val="0"/>
              <w:autoSpaceDN w:val="0"/>
              <w:adjustRightInd w:val="0"/>
              <w:spacing w:before="120" w:after="120"/>
              <w:rPr>
                <w:rFonts w:ascii="Calibri" w:hAnsi="Calibri"/>
                <w:sz w:val="20"/>
                <w:szCs w:val="20"/>
              </w:rPr>
            </w:pPr>
            <w:r w:rsidRPr="00B87D13">
              <w:rPr>
                <w:rFonts w:ascii="Calibri" w:hAnsi="Calibri"/>
                <w:sz w:val="20"/>
                <w:szCs w:val="20"/>
              </w:rPr>
              <w:t xml:space="preserve">The CAISO shall have the authority to designate CPM Capacity to keep a resource in operation that is at risk of retirement during the current RA Compliance Year but will be needed for reliability during the subsequent RA Compliance Year.  The CAISO may issue this risk of retirement CPM designation </w:t>
            </w:r>
            <w:r w:rsidRPr="00B87D13">
              <w:rPr>
                <w:rFonts w:ascii="Calibri" w:hAnsi="Calibri"/>
                <w:sz w:val="20"/>
                <w:szCs w:val="20"/>
                <w:highlight w:val="yellow"/>
              </w:rPr>
              <w:t>the event that all of the following circumstances apply:</w:t>
            </w:r>
            <w:r w:rsidRPr="00B87D13">
              <w:rPr>
                <w:rFonts w:ascii="Calibri" w:hAnsi="Calibri"/>
                <w:sz w:val="20"/>
                <w:szCs w:val="20"/>
              </w:rPr>
              <w:t xml:space="preserve"> </w:t>
            </w:r>
          </w:p>
        </w:tc>
      </w:tr>
      <w:tr w:rsidR="00E90298" w:rsidRPr="00EA25F7" w14:paraId="2CDAAD8F" w14:textId="77777777" w:rsidTr="00E90298">
        <w:trPr>
          <w:tblHeader/>
        </w:trPr>
        <w:tc>
          <w:tcPr>
            <w:tcW w:w="0" w:type="auto"/>
          </w:tcPr>
          <w:p w14:paraId="18914E9D"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981A50B"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SCE</w:t>
            </w:r>
          </w:p>
        </w:tc>
        <w:tc>
          <w:tcPr>
            <w:tcW w:w="1278" w:type="dxa"/>
          </w:tcPr>
          <w:p w14:paraId="1DA55FD4"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6C5A10C5"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56423DB7"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
                <w:bCs/>
                <w:sz w:val="20"/>
                <w:szCs w:val="20"/>
              </w:rPr>
              <w:t>Section 43.2(6):</w:t>
            </w:r>
            <w:r w:rsidRPr="000B4866">
              <w:rPr>
                <w:rFonts w:ascii="Calibri" w:hAnsi="Calibri"/>
                <w:bCs/>
                <w:sz w:val="20"/>
                <w:szCs w:val="20"/>
              </w:rPr>
              <w:t xml:space="preserve"> Suggested edits</w:t>
            </w:r>
          </w:p>
          <w:p w14:paraId="464681E7" w14:textId="77777777" w:rsidR="00E90298" w:rsidRPr="000B4866" w:rsidRDefault="00E90298" w:rsidP="000B4866">
            <w:pPr>
              <w:tabs>
                <w:tab w:val="left" w:pos="2525"/>
              </w:tabs>
              <w:autoSpaceDE w:val="0"/>
              <w:autoSpaceDN w:val="0"/>
              <w:adjustRightInd w:val="0"/>
              <w:spacing w:before="120" w:after="120"/>
              <w:rPr>
                <w:rFonts w:ascii="Calibri" w:hAnsi="Calibri"/>
                <w:sz w:val="20"/>
                <w:szCs w:val="20"/>
              </w:rPr>
            </w:pPr>
            <w:r w:rsidRPr="000B4866">
              <w:rPr>
                <w:rFonts w:ascii="Calibri" w:hAnsi="Calibri"/>
                <w:sz w:val="20"/>
                <w:szCs w:val="20"/>
              </w:rPr>
              <w:t xml:space="preserve">Change: </w:t>
            </w:r>
          </w:p>
          <w:p w14:paraId="19F24E64" w14:textId="77777777" w:rsidR="00E90298" w:rsidRPr="000B4866" w:rsidRDefault="00E90298" w:rsidP="000B4866">
            <w:pPr>
              <w:tabs>
                <w:tab w:val="left" w:pos="2525"/>
              </w:tabs>
              <w:autoSpaceDE w:val="0"/>
              <w:autoSpaceDN w:val="0"/>
              <w:adjustRightInd w:val="0"/>
              <w:spacing w:before="120" w:after="120"/>
              <w:rPr>
                <w:rFonts w:ascii="Calibri" w:hAnsi="Calibri"/>
                <w:sz w:val="20"/>
                <w:szCs w:val="20"/>
              </w:rPr>
            </w:pPr>
            <w:bookmarkStart w:id="0" w:name="OLE_LINK2"/>
            <w:r w:rsidRPr="000B4866">
              <w:rPr>
                <w:rFonts w:ascii="Calibri" w:hAnsi="Calibri"/>
                <w:sz w:val="20"/>
                <w:szCs w:val="20"/>
              </w:rPr>
              <w:t xml:space="preserve">“Capacity at risk of retirement within six months that will be needed for reliability </w:t>
            </w:r>
            <w:bookmarkStart w:id="1" w:name="OLE_LINK6"/>
            <w:r w:rsidRPr="000B4866">
              <w:rPr>
                <w:rFonts w:ascii="Calibri" w:hAnsi="Calibri"/>
                <w:sz w:val="20"/>
                <w:szCs w:val="20"/>
              </w:rPr>
              <w:t>within two years</w:t>
            </w:r>
            <w:bookmarkEnd w:id="1"/>
            <w:r w:rsidRPr="000B4866">
              <w:rPr>
                <w:rFonts w:ascii="Calibri" w:hAnsi="Calibri"/>
                <w:sz w:val="20"/>
                <w:szCs w:val="20"/>
              </w:rPr>
              <w:t xml:space="preserve">.” </w:t>
            </w:r>
            <w:bookmarkEnd w:id="0"/>
          </w:p>
          <w:p w14:paraId="7FB61323" w14:textId="77777777" w:rsidR="00E90298" w:rsidRPr="000B4866" w:rsidRDefault="00E90298" w:rsidP="000B4866">
            <w:pPr>
              <w:tabs>
                <w:tab w:val="left" w:pos="2525"/>
              </w:tabs>
              <w:autoSpaceDE w:val="0"/>
              <w:autoSpaceDN w:val="0"/>
              <w:adjustRightInd w:val="0"/>
              <w:spacing w:before="120" w:after="120"/>
              <w:rPr>
                <w:rFonts w:ascii="Calibri" w:hAnsi="Calibri"/>
                <w:sz w:val="20"/>
                <w:szCs w:val="20"/>
              </w:rPr>
            </w:pPr>
            <w:r w:rsidRPr="000B4866">
              <w:rPr>
                <w:rFonts w:ascii="Calibri" w:hAnsi="Calibri"/>
                <w:sz w:val="20"/>
                <w:szCs w:val="20"/>
              </w:rPr>
              <w:t xml:space="preserve">to </w:t>
            </w:r>
          </w:p>
          <w:p w14:paraId="07092A7E" w14:textId="77777777" w:rsidR="00E90298" w:rsidRPr="000B4866" w:rsidRDefault="00E90298" w:rsidP="000B4866">
            <w:pPr>
              <w:tabs>
                <w:tab w:val="left" w:pos="2525"/>
              </w:tabs>
              <w:autoSpaceDE w:val="0"/>
              <w:autoSpaceDN w:val="0"/>
              <w:adjustRightInd w:val="0"/>
              <w:spacing w:before="120" w:after="120"/>
              <w:rPr>
                <w:rFonts w:ascii="Calibri" w:hAnsi="Calibri"/>
                <w:sz w:val="20"/>
                <w:szCs w:val="20"/>
              </w:rPr>
            </w:pPr>
            <w:r w:rsidRPr="000B4866">
              <w:rPr>
                <w:rFonts w:ascii="Calibri" w:hAnsi="Calibri"/>
                <w:sz w:val="20"/>
                <w:szCs w:val="20"/>
              </w:rPr>
              <w:t xml:space="preserve">“Capacity at risk of retirement within six months that will be needed for reliability </w:t>
            </w:r>
            <w:r w:rsidRPr="000B4866">
              <w:rPr>
                <w:rFonts w:ascii="Calibri" w:hAnsi="Calibri"/>
                <w:strike/>
                <w:sz w:val="20"/>
                <w:szCs w:val="20"/>
              </w:rPr>
              <w:t>within two years</w:t>
            </w:r>
            <w:r w:rsidRPr="000B4866">
              <w:rPr>
                <w:rFonts w:ascii="Calibri" w:hAnsi="Calibri"/>
                <w:sz w:val="20"/>
                <w:szCs w:val="20"/>
              </w:rPr>
              <w:t xml:space="preserve"> </w:t>
            </w:r>
            <w:r w:rsidRPr="000B4866">
              <w:rPr>
                <w:rFonts w:ascii="Calibri" w:hAnsi="Calibri"/>
                <w:color w:val="00B0F0"/>
                <w:sz w:val="20"/>
                <w:szCs w:val="20"/>
              </w:rPr>
              <w:t>by the end of calendar year following current RA Compliance Year</w:t>
            </w:r>
            <w:r w:rsidRPr="000B4866">
              <w:rPr>
                <w:rFonts w:ascii="Calibri" w:hAnsi="Calibri"/>
                <w:sz w:val="20"/>
                <w:szCs w:val="20"/>
              </w:rPr>
              <w:t>.”</w:t>
            </w:r>
          </w:p>
          <w:p w14:paraId="05AFD228" w14:textId="77777777" w:rsidR="00E90298" w:rsidRPr="000B4866" w:rsidRDefault="00E90298" w:rsidP="000B4866">
            <w:pPr>
              <w:tabs>
                <w:tab w:val="left" w:pos="2525"/>
              </w:tabs>
              <w:autoSpaceDE w:val="0"/>
              <w:autoSpaceDN w:val="0"/>
              <w:adjustRightInd w:val="0"/>
              <w:spacing w:before="120" w:after="120"/>
              <w:rPr>
                <w:rFonts w:ascii="Calibri" w:hAnsi="Calibri"/>
                <w:sz w:val="20"/>
                <w:szCs w:val="20"/>
              </w:rPr>
            </w:pPr>
            <w:r w:rsidRPr="000B4866">
              <w:rPr>
                <w:rFonts w:ascii="Calibri" w:hAnsi="Calibri"/>
                <w:sz w:val="20"/>
                <w:szCs w:val="20"/>
              </w:rPr>
              <w:t xml:space="preserve">Basis: </w:t>
            </w:r>
          </w:p>
          <w:p w14:paraId="451E0CB7" w14:textId="77777777" w:rsidR="00E90298" w:rsidRPr="00B87D13" w:rsidRDefault="00E90298" w:rsidP="00B87D13">
            <w:pPr>
              <w:tabs>
                <w:tab w:val="left" w:pos="2525"/>
              </w:tabs>
              <w:autoSpaceDE w:val="0"/>
              <w:autoSpaceDN w:val="0"/>
              <w:adjustRightInd w:val="0"/>
              <w:spacing w:before="120" w:after="120"/>
              <w:rPr>
                <w:rFonts w:ascii="Calibri" w:hAnsi="Calibri"/>
                <w:sz w:val="20"/>
                <w:szCs w:val="20"/>
              </w:rPr>
            </w:pPr>
            <w:r w:rsidRPr="000B4866">
              <w:rPr>
                <w:rFonts w:ascii="Calibri" w:hAnsi="Calibri"/>
                <w:sz w:val="20"/>
                <w:szCs w:val="20"/>
              </w:rPr>
              <w:t>Depending upon when a resource owner submits a notice of retirement, less than  24 months (i.e. 2 years) may remain before the end-of-the-year after the current RA Compliance Year (i.e. before the end of the “2</w:t>
            </w:r>
            <w:r w:rsidRPr="000B4866">
              <w:rPr>
                <w:rFonts w:ascii="Calibri" w:hAnsi="Calibri"/>
                <w:sz w:val="20"/>
                <w:szCs w:val="20"/>
                <w:vertAlign w:val="superscript"/>
              </w:rPr>
              <w:t>nd</w:t>
            </w:r>
            <w:r w:rsidRPr="000B4866">
              <w:rPr>
                <w:rFonts w:ascii="Calibri" w:hAnsi="Calibri"/>
                <w:sz w:val="20"/>
                <w:szCs w:val="20"/>
              </w:rPr>
              <w:t xml:space="preserve"> year”).  Using the term “within two years” may give the false impression that the ISO’s “study of need” will encompass a period of 2 years starting from either the notification date or announced retirement date, when in-fact the study of need period is limited to Jan 1 – Dec 31 of the year following the current RA Compliance Year.  </w:t>
            </w:r>
          </w:p>
        </w:tc>
      </w:tr>
      <w:tr w:rsidR="00E90298" w:rsidRPr="00EA25F7" w14:paraId="18B343AE" w14:textId="77777777" w:rsidTr="00E90298">
        <w:trPr>
          <w:tblHeader/>
        </w:trPr>
        <w:tc>
          <w:tcPr>
            <w:tcW w:w="0" w:type="auto"/>
          </w:tcPr>
          <w:p w14:paraId="5C412210"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9C494DB"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SCE</w:t>
            </w:r>
          </w:p>
        </w:tc>
        <w:tc>
          <w:tcPr>
            <w:tcW w:w="1278" w:type="dxa"/>
          </w:tcPr>
          <w:p w14:paraId="158F759F"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43.2.6(4)</w:t>
            </w:r>
          </w:p>
        </w:tc>
        <w:tc>
          <w:tcPr>
            <w:tcW w:w="1199" w:type="dxa"/>
          </w:tcPr>
          <w:p w14:paraId="3BA002FE"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049FA6E4"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bookmarkStart w:id="2" w:name="OLE_LINK9"/>
            <w:r w:rsidRPr="000B4866">
              <w:rPr>
                <w:rFonts w:ascii="Calibri" w:hAnsi="Calibri"/>
                <w:b/>
                <w:bCs/>
                <w:sz w:val="20"/>
                <w:szCs w:val="20"/>
              </w:rPr>
              <w:t>Section 43.2.6(4):</w:t>
            </w:r>
            <w:r w:rsidRPr="000B4866">
              <w:rPr>
                <w:rFonts w:ascii="Calibri" w:hAnsi="Calibri"/>
                <w:bCs/>
                <w:sz w:val="20"/>
                <w:szCs w:val="20"/>
              </w:rPr>
              <w:t xml:space="preserve"> Suggested edits</w:t>
            </w:r>
          </w:p>
          <w:bookmarkEnd w:id="2"/>
          <w:p w14:paraId="7BD2196B"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Change:</w:t>
            </w:r>
          </w:p>
          <w:p w14:paraId="46261E99"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bookmarkStart w:id="3" w:name="OLE_LINK7"/>
            <w:r w:rsidRPr="000B4866">
              <w:rPr>
                <w:rFonts w:ascii="Calibri" w:hAnsi="Calibri"/>
                <w:bCs/>
                <w:sz w:val="20"/>
                <w:szCs w:val="20"/>
              </w:rPr>
              <w:t>“No new generation will be in operation by the start of the subsequent RA Compliance Year that will meet the identified reliability need</w:t>
            </w:r>
            <w:bookmarkEnd w:id="3"/>
            <w:r w:rsidRPr="000B4866">
              <w:rPr>
                <w:rFonts w:ascii="Calibri" w:hAnsi="Calibri"/>
                <w:bCs/>
                <w:sz w:val="20"/>
                <w:szCs w:val="20"/>
              </w:rPr>
              <w:t xml:space="preserve">;” </w:t>
            </w:r>
          </w:p>
          <w:p w14:paraId="3F70AFD2"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to</w:t>
            </w:r>
          </w:p>
          <w:p w14:paraId="6115D5C4"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“No new generation </w:t>
            </w:r>
            <w:r w:rsidRPr="000B4866">
              <w:rPr>
                <w:rFonts w:ascii="Calibri" w:hAnsi="Calibri"/>
                <w:bCs/>
                <w:strike/>
                <w:sz w:val="20"/>
                <w:szCs w:val="20"/>
              </w:rPr>
              <w:t>will</w:t>
            </w:r>
            <w:r w:rsidRPr="000B4866">
              <w:rPr>
                <w:rFonts w:ascii="Calibri" w:hAnsi="Calibri"/>
                <w:bCs/>
                <w:sz w:val="20"/>
                <w:szCs w:val="20"/>
              </w:rPr>
              <w:t xml:space="preserve"> </w:t>
            </w:r>
            <w:r w:rsidRPr="000B4866">
              <w:rPr>
                <w:rFonts w:ascii="Calibri" w:hAnsi="Calibri"/>
                <w:bCs/>
                <w:color w:val="00B0F0"/>
                <w:sz w:val="20"/>
                <w:szCs w:val="20"/>
              </w:rPr>
              <w:t>is projected by the CAISO to</w:t>
            </w:r>
            <w:r w:rsidRPr="000B4866">
              <w:rPr>
                <w:rFonts w:ascii="Calibri" w:hAnsi="Calibri"/>
                <w:bCs/>
                <w:sz w:val="20"/>
                <w:szCs w:val="20"/>
              </w:rPr>
              <w:t xml:space="preserve"> be in operation by the start of the subsequent RA Compliance Year that will meet the identified reliability need;”</w:t>
            </w:r>
          </w:p>
          <w:p w14:paraId="1DB6AF2D"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Basis: </w:t>
            </w:r>
          </w:p>
          <w:p w14:paraId="046B0534"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Using “projected by the CAISO” provides a basis for decision authority associated with this sentence and eliminates potential questions that may arise if using a generic authoritative “will”.</w:t>
            </w:r>
          </w:p>
        </w:tc>
      </w:tr>
      <w:tr w:rsidR="00E90298" w:rsidRPr="00EA25F7" w14:paraId="614625BD" w14:textId="77777777" w:rsidTr="00E90298">
        <w:trPr>
          <w:tblHeader/>
        </w:trPr>
        <w:tc>
          <w:tcPr>
            <w:tcW w:w="0" w:type="auto"/>
          </w:tcPr>
          <w:p w14:paraId="30382EFF"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66FBCBB"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SCE</w:t>
            </w:r>
          </w:p>
        </w:tc>
        <w:tc>
          <w:tcPr>
            <w:tcW w:w="1278" w:type="dxa"/>
          </w:tcPr>
          <w:p w14:paraId="37A858CE"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43.2.6(5)</w:t>
            </w:r>
          </w:p>
        </w:tc>
        <w:tc>
          <w:tcPr>
            <w:tcW w:w="1199" w:type="dxa"/>
          </w:tcPr>
          <w:p w14:paraId="5063AEE0"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1B38B1A0"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bookmarkStart w:id="4" w:name="OLE_LINK3"/>
            <w:r w:rsidRPr="000B4866">
              <w:rPr>
                <w:rFonts w:ascii="Calibri" w:hAnsi="Calibri"/>
                <w:b/>
                <w:bCs/>
                <w:sz w:val="20"/>
                <w:szCs w:val="20"/>
              </w:rPr>
              <w:t>Section 43.2.6(5):</w:t>
            </w:r>
            <w:r w:rsidRPr="000B4866">
              <w:rPr>
                <w:rFonts w:ascii="Calibri" w:hAnsi="Calibri"/>
                <w:bCs/>
                <w:sz w:val="20"/>
                <w:szCs w:val="20"/>
              </w:rPr>
              <w:t xml:space="preserve"> Requested clarification</w:t>
            </w:r>
          </w:p>
          <w:bookmarkEnd w:id="4"/>
          <w:p w14:paraId="69031054" w14:textId="77777777" w:rsidR="00E90298"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“The resource owner submits to the CAISO at least 180 days prior to termination of the resource’s </w:t>
            </w:r>
            <w:smartTag w:uri="urn:schemas-microsoft-com:office:smarttags" w:element="stockticker">
              <w:r w:rsidRPr="000B4866">
                <w:rPr>
                  <w:rFonts w:ascii="Calibri" w:hAnsi="Calibri"/>
                  <w:bCs/>
                  <w:sz w:val="20"/>
                  <w:szCs w:val="20"/>
                </w:rPr>
                <w:t>PGA</w:t>
              </w:r>
            </w:smartTag>
            <w:r w:rsidRPr="000B4866">
              <w:rPr>
                <w:rFonts w:ascii="Calibri" w:hAnsi="Calibri"/>
                <w:bCs/>
                <w:sz w:val="20"/>
                <w:szCs w:val="20"/>
              </w:rPr>
              <w:t xml:space="preserve"> the affidavit of an officer of the company, with the supporting financial information and documentation discussed in the BPM for Reliability Requirements, that attests that the resource will not be commercially viable in the current RA Compliance Year and is </w:t>
            </w:r>
            <w:r w:rsidRPr="000B4866">
              <w:rPr>
                <w:rFonts w:ascii="Calibri" w:hAnsi="Calibri"/>
                <w:bCs/>
                <w:sz w:val="20"/>
                <w:szCs w:val="20"/>
                <w:u w:val="single"/>
              </w:rPr>
              <w:t>likely to retire</w:t>
            </w:r>
            <w:r w:rsidRPr="000B4866">
              <w:rPr>
                <w:rFonts w:ascii="Calibri" w:hAnsi="Calibri"/>
                <w:bCs/>
                <w:sz w:val="20"/>
                <w:szCs w:val="20"/>
              </w:rPr>
              <w:t>;”</w:t>
            </w:r>
          </w:p>
          <w:p w14:paraId="3596521D"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bookmarkStart w:id="5" w:name="OLE_LINK4"/>
            <w:r w:rsidRPr="000B4866">
              <w:rPr>
                <w:rFonts w:ascii="Calibri" w:hAnsi="Calibri"/>
                <w:bCs/>
                <w:sz w:val="20"/>
                <w:szCs w:val="20"/>
              </w:rPr>
              <w:t xml:space="preserve">Per ID# CPM-BRQ011 within the </w:t>
            </w:r>
            <w:smartTag w:uri="urn:schemas-microsoft-com:office:smarttags" w:element="stockticker">
              <w:r w:rsidRPr="000B4866">
                <w:rPr>
                  <w:rFonts w:ascii="Calibri" w:hAnsi="Calibri"/>
                  <w:bCs/>
                  <w:sz w:val="20"/>
                  <w:szCs w:val="20"/>
                </w:rPr>
                <w:t>BRS</w:t>
              </w:r>
            </w:smartTag>
            <w:r w:rsidRPr="000B4866">
              <w:rPr>
                <w:rFonts w:ascii="Calibri" w:hAnsi="Calibri"/>
                <w:bCs/>
                <w:sz w:val="20"/>
                <w:szCs w:val="20"/>
                <w:vertAlign w:val="superscript"/>
              </w:rPr>
              <w:footnoteReference w:id="3"/>
            </w:r>
            <w:r w:rsidRPr="000B4866">
              <w:rPr>
                <w:rFonts w:ascii="Calibri" w:hAnsi="Calibri"/>
                <w:bCs/>
                <w:sz w:val="20"/>
                <w:szCs w:val="20"/>
              </w:rPr>
              <w:t xml:space="preserve">: </w:t>
            </w:r>
          </w:p>
          <w:p w14:paraId="62D8F614"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“The resource owner must submit to the ISO a formal declaration of intent to retire ….”.  </w:t>
            </w:r>
          </w:p>
          <w:bookmarkEnd w:id="5"/>
          <w:p w14:paraId="38654B69" w14:textId="77777777" w:rsidR="00E90298" w:rsidRPr="000B4866" w:rsidRDefault="00E90298" w:rsidP="000B4866">
            <w:pPr>
              <w:numPr>
                <w:ilvl w:val="0"/>
                <w:numId w:val="24"/>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Will the CAISO please clarify if the word “must” is explicitly required within either the Tariff or the Final </w:t>
            </w:r>
            <w:smartTag w:uri="urn:schemas-microsoft-com:office:smarttags" w:element="stockticker">
              <w:r w:rsidRPr="000B4866">
                <w:rPr>
                  <w:rFonts w:ascii="Calibri" w:hAnsi="Calibri"/>
                  <w:bCs/>
                  <w:sz w:val="20"/>
                  <w:szCs w:val="20"/>
                </w:rPr>
                <w:t>BRS</w:t>
              </w:r>
            </w:smartTag>
            <w:r w:rsidRPr="000B4866">
              <w:rPr>
                <w:rFonts w:ascii="Calibri" w:hAnsi="Calibri"/>
                <w:bCs/>
                <w:sz w:val="20"/>
                <w:szCs w:val="20"/>
              </w:rPr>
              <w:t xml:space="preserve"> to in-fact require a resource owner to submit a notification to the CAISO 180 calendar days prior to intended termination of the </w:t>
            </w:r>
            <w:smartTag w:uri="urn:schemas-microsoft-com:office:smarttags" w:element="stockticker">
              <w:r w:rsidRPr="000B4866">
                <w:rPr>
                  <w:rFonts w:ascii="Calibri" w:hAnsi="Calibri"/>
                  <w:bCs/>
                  <w:sz w:val="20"/>
                  <w:szCs w:val="20"/>
                </w:rPr>
                <w:t>PGA</w:t>
              </w:r>
            </w:smartTag>
            <w:r w:rsidRPr="000B4866">
              <w:rPr>
                <w:rFonts w:ascii="Calibri" w:hAnsi="Calibri"/>
                <w:bCs/>
                <w:sz w:val="20"/>
                <w:szCs w:val="20"/>
              </w:rPr>
              <w:t xml:space="preserve">? That is, if neither the tariff nor the Final </w:t>
            </w:r>
            <w:smartTag w:uri="urn:schemas-microsoft-com:office:smarttags" w:element="stockticker">
              <w:r w:rsidRPr="000B4866">
                <w:rPr>
                  <w:rFonts w:ascii="Calibri" w:hAnsi="Calibri"/>
                  <w:bCs/>
                  <w:sz w:val="20"/>
                  <w:szCs w:val="20"/>
                </w:rPr>
                <w:t>BRS</w:t>
              </w:r>
            </w:smartTag>
            <w:r w:rsidRPr="000B4866">
              <w:rPr>
                <w:rFonts w:ascii="Calibri" w:hAnsi="Calibri"/>
                <w:bCs/>
                <w:sz w:val="20"/>
                <w:szCs w:val="20"/>
              </w:rPr>
              <w:t xml:space="preserve"> contain the word “must” prior to “submit”, i.e. neither contains “must submit”, could such a submittal be considered voluntary?  </w:t>
            </w:r>
          </w:p>
          <w:p w14:paraId="210AD56F" w14:textId="77777777" w:rsidR="00E90298" w:rsidRPr="000B4866" w:rsidRDefault="00E90298" w:rsidP="000B4866">
            <w:pPr>
              <w:numPr>
                <w:ilvl w:val="0"/>
                <w:numId w:val="24"/>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Will CAISO please clarify that a resource’s notice of intent to terminate their </w:t>
            </w:r>
            <w:smartTag w:uri="urn:schemas-microsoft-com:office:smarttags" w:element="stockticker">
              <w:r w:rsidRPr="000B4866">
                <w:rPr>
                  <w:rFonts w:ascii="Calibri" w:hAnsi="Calibri"/>
                  <w:bCs/>
                  <w:sz w:val="20"/>
                  <w:szCs w:val="20"/>
                </w:rPr>
                <w:t>PGA</w:t>
              </w:r>
            </w:smartTag>
            <w:r w:rsidRPr="000B4866">
              <w:rPr>
                <w:rFonts w:ascii="Calibri" w:hAnsi="Calibri"/>
                <w:bCs/>
                <w:sz w:val="20"/>
                <w:szCs w:val="20"/>
              </w:rPr>
              <w:t xml:space="preserve"> is synonymous with a resource’s intent to retire at the same time the </w:t>
            </w:r>
            <w:smartTag w:uri="urn:schemas-microsoft-com:office:smarttags" w:element="stockticker">
              <w:r w:rsidRPr="000B4866">
                <w:rPr>
                  <w:rFonts w:ascii="Calibri" w:hAnsi="Calibri"/>
                  <w:bCs/>
                  <w:sz w:val="20"/>
                  <w:szCs w:val="20"/>
                </w:rPr>
                <w:t>PGA</w:t>
              </w:r>
            </w:smartTag>
            <w:r w:rsidRPr="000B4866">
              <w:rPr>
                <w:rFonts w:ascii="Calibri" w:hAnsi="Calibri"/>
                <w:bCs/>
                <w:sz w:val="20"/>
                <w:szCs w:val="20"/>
              </w:rPr>
              <w:t xml:space="preserve"> is terminated?</w:t>
            </w:r>
          </w:p>
          <w:p w14:paraId="37AAD872" w14:textId="77777777" w:rsidR="00E90298" w:rsidRPr="000B4866" w:rsidRDefault="00E90298" w:rsidP="000B4866">
            <w:pPr>
              <w:numPr>
                <w:ilvl w:val="0"/>
                <w:numId w:val="24"/>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Will the CAISO please clarify that the term “likely to retire” is synonymous with “intends to retire”, and what, if any, actions may be taken against a resource owner by any stakeholders should a resource owner decide, upon not being deemed needed within the 2</w:t>
            </w:r>
            <w:r w:rsidRPr="000B4866">
              <w:rPr>
                <w:rFonts w:ascii="Calibri" w:hAnsi="Calibri"/>
                <w:bCs/>
                <w:sz w:val="20"/>
                <w:szCs w:val="20"/>
                <w:vertAlign w:val="superscript"/>
              </w:rPr>
              <w:t>nd</w:t>
            </w:r>
            <w:r w:rsidRPr="000B4866">
              <w:rPr>
                <w:rFonts w:ascii="Calibri" w:hAnsi="Calibri"/>
                <w:bCs/>
                <w:sz w:val="20"/>
                <w:szCs w:val="20"/>
              </w:rPr>
              <w:t xml:space="preserve"> RA Compliance period, to either cancel its notice of likely retirement or not submit a notice of intent to terminate its </w:t>
            </w:r>
            <w:smartTag w:uri="urn:schemas-microsoft-com:office:smarttags" w:element="stockticker">
              <w:r w:rsidRPr="000B4866">
                <w:rPr>
                  <w:rFonts w:ascii="Calibri" w:hAnsi="Calibri"/>
                  <w:bCs/>
                  <w:sz w:val="20"/>
                  <w:szCs w:val="20"/>
                </w:rPr>
                <w:t>PGA</w:t>
              </w:r>
            </w:smartTag>
            <w:r w:rsidRPr="000B4866">
              <w:rPr>
                <w:rFonts w:ascii="Calibri" w:hAnsi="Calibri"/>
                <w:bCs/>
                <w:sz w:val="20"/>
                <w:szCs w:val="20"/>
              </w:rPr>
              <w:t xml:space="preserve"> with the CPUC or applicable jurisdictional entity?</w:t>
            </w:r>
          </w:p>
          <w:p w14:paraId="303E4E14" w14:textId="77777777" w:rsidR="00E90298" w:rsidRPr="000B4866" w:rsidRDefault="00E90298" w:rsidP="000B4866">
            <w:pPr>
              <w:tabs>
                <w:tab w:val="left" w:pos="2525"/>
              </w:tabs>
              <w:autoSpaceDE w:val="0"/>
              <w:autoSpaceDN w:val="0"/>
              <w:adjustRightInd w:val="0"/>
              <w:spacing w:before="120" w:after="120"/>
              <w:ind w:left="744" w:hanging="360"/>
              <w:rPr>
                <w:rFonts w:ascii="Calibri" w:hAnsi="Calibri"/>
                <w:bCs/>
                <w:sz w:val="20"/>
                <w:szCs w:val="20"/>
              </w:rPr>
            </w:pPr>
            <w:r>
              <w:rPr>
                <w:rFonts w:ascii="Calibri" w:hAnsi="Calibri"/>
                <w:bCs/>
                <w:sz w:val="20"/>
                <w:szCs w:val="20"/>
              </w:rPr>
              <w:t xml:space="preserve">(D)  </w:t>
            </w:r>
            <w:r w:rsidRPr="000B4866">
              <w:rPr>
                <w:rFonts w:ascii="Calibri" w:hAnsi="Calibri"/>
                <w:bCs/>
                <w:sz w:val="20"/>
                <w:szCs w:val="20"/>
              </w:rPr>
              <w:t>Will the CAISO also please clarify whether or not, and if so how, the CAISO will notify stakeholders that a resource owner submitted an intent to retire and that the CAISO did not subsequently deem the resource as warranting a CPM for the remainder of the current RA Compliance Year?</w:t>
            </w:r>
          </w:p>
        </w:tc>
      </w:tr>
      <w:tr w:rsidR="00E90298" w:rsidRPr="00EA25F7" w14:paraId="759726D3" w14:textId="77777777" w:rsidTr="00E90298">
        <w:trPr>
          <w:tblHeader/>
        </w:trPr>
        <w:tc>
          <w:tcPr>
            <w:tcW w:w="0" w:type="auto"/>
          </w:tcPr>
          <w:p w14:paraId="5B22A0A5"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A79C3BD"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SCE</w:t>
            </w:r>
          </w:p>
        </w:tc>
        <w:tc>
          <w:tcPr>
            <w:tcW w:w="1278" w:type="dxa"/>
          </w:tcPr>
          <w:p w14:paraId="0C5715C9"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43.2.6(6)</w:t>
            </w:r>
          </w:p>
        </w:tc>
        <w:tc>
          <w:tcPr>
            <w:tcW w:w="1199" w:type="dxa"/>
          </w:tcPr>
          <w:p w14:paraId="03EB779F"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7B58B9B1"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
                <w:bCs/>
                <w:sz w:val="20"/>
                <w:szCs w:val="20"/>
              </w:rPr>
              <w:t xml:space="preserve">Section 43.2.6(6): </w:t>
            </w:r>
            <w:r w:rsidRPr="000B4866">
              <w:rPr>
                <w:rFonts w:ascii="Calibri" w:hAnsi="Calibri"/>
                <w:bCs/>
                <w:sz w:val="20"/>
                <w:szCs w:val="20"/>
              </w:rPr>
              <w:t>Requested clarification</w:t>
            </w:r>
          </w:p>
          <w:p w14:paraId="15D8BE94"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“The CAISO reviews the affidavit and supporting financial information and documentation submitted by the resource owner and performs due diligence to assess the resource’s financial circumstances, and which as part of its review </w:t>
            </w:r>
            <w:r w:rsidRPr="000B4866">
              <w:rPr>
                <w:rFonts w:ascii="Calibri" w:hAnsi="Calibri"/>
                <w:b/>
                <w:bCs/>
                <w:sz w:val="20"/>
                <w:szCs w:val="20"/>
              </w:rPr>
              <w:t xml:space="preserve">shall consider the </w:t>
            </w:r>
            <w:r w:rsidRPr="000B4866">
              <w:rPr>
                <w:rFonts w:ascii="Calibri" w:hAnsi="Calibri"/>
                <w:b/>
                <w:bCs/>
                <w:sz w:val="20"/>
                <w:szCs w:val="20"/>
                <w:u w:val="single"/>
              </w:rPr>
              <w:t>results of any analysis</w:t>
            </w:r>
            <w:r w:rsidRPr="000B4866">
              <w:rPr>
                <w:rFonts w:ascii="Calibri" w:hAnsi="Calibri"/>
                <w:b/>
                <w:bCs/>
                <w:sz w:val="20"/>
                <w:szCs w:val="20"/>
              </w:rPr>
              <w:t xml:space="preserve"> performed by the CAISO’s </w:t>
            </w:r>
            <w:smartTag w:uri="urn:schemas-microsoft-com:office:smarttags" w:element="stockticker">
              <w:r w:rsidRPr="000B4866">
                <w:rPr>
                  <w:rFonts w:ascii="Calibri" w:hAnsi="Calibri"/>
                  <w:b/>
                  <w:bCs/>
                  <w:sz w:val="20"/>
                  <w:szCs w:val="20"/>
                </w:rPr>
                <w:t>DMM</w:t>
              </w:r>
            </w:smartTag>
            <w:r w:rsidRPr="000B4866">
              <w:rPr>
                <w:rFonts w:ascii="Calibri" w:hAnsi="Calibri"/>
                <w:bCs/>
                <w:sz w:val="20"/>
                <w:szCs w:val="20"/>
              </w:rPr>
              <w:t xml:space="preserve"> of the affidavit and supporting financial information and documentation to assess the accuracy of the information submitted, the reasonableness of the representations and conclusions contained in the submission, and the appropriateness of the resource’s conduct and efforts to sell Capacity in the bilateral market;”   </w:t>
            </w:r>
          </w:p>
          <w:p w14:paraId="3713F03C"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Per ID# CPM-BRQ009 within the </w:t>
            </w:r>
            <w:smartTag w:uri="urn:schemas-microsoft-com:office:smarttags" w:element="stockticker">
              <w:r w:rsidRPr="000B4866">
                <w:rPr>
                  <w:rFonts w:ascii="Calibri" w:hAnsi="Calibri"/>
                  <w:bCs/>
                  <w:sz w:val="20"/>
                  <w:szCs w:val="20"/>
                </w:rPr>
                <w:t>BRS</w:t>
              </w:r>
            </w:smartTag>
            <w:r w:rsidRPr="000B4866">
              <w:rPr>
                <w:rFonts w:ascii="Calibri" w:hAnsi="Calibri"/>
                <w:bCs/>
                <w:sz w:val="20"/>
                <w:szCs w:val="20"/>
                <w:vertAlign w:val="superscript"/>
              </w:rPr>
              <w:footnoteReference w:id="4"/>
            </w:r>
            <w:r w:rsidRPr="000B4866">
              <w:rPr>
                <w:rFonts w:ascii="Calibri" w:hAnsi="Calibri"/>
                <w:bCs/>
                <w:sz w:val="20"/>
                <w:szCs w:val="20"/>
              </w:rPr>
              <w:t xml:space="preserve">: </w:t>
            </w:r>
          </w:p>
          <w:p w14:paraId="12F3F7AE" w14:textId="77777777" w:rsidR="00E90298" w:rsidRPr="000B4866" w:rsidRDefault="00E90298" w:rsidP="000B4866">
            <w:pPr>
              <w:tabs>
                <w:tab w:val="left" w:pos="2525"/>
              </w:tabs>
              <w:autoSpaceDE w:val="0"/>
              <w:autoSpaceDN w:val="0"/>
              <w:adjustRightInd w:val="0"/>
              <w:spacing w:before="120" w:after="120"/>
              <w:ind w:left="474"/>
              <w:rPr>
                <w:rFonts w:ascii="Calibri" w:hAnsi="Calibri"/>
                <w:bCs/>
                <w:sz w:val="20"/>
                <w:szCs w:val="20"/>
              </w:rPr>
            </w:pPr>
            <w:r w:rsidRPr="000B4866">
              <w:rPr>
                <w:rFonts w:ascii="Calibri" w:hAnsi="Calibri"/>
                <w:bCs/>
                <w:sz w:val="20"/>
                <w:szCs w:val="20"/>
              </w:rPr>
              <w:t xml:space="preserve">“The Department of Market Monitoring </w:t>
            </w:r>
            <w:r w:rsidRPr="000B4866">
              <w:rPr>
                <w:rFonts w:ascii="Calibri" w:hAnsi="Calibri"/>
                <w:b/>
                <w:bCs/>
                <w:sz w:val="20"/>
                <w:szCs w:val="20"/>
                <w:u w:val="single"/>
              </w:rPr>
              <w:t>may</w:t>
            </w:r>
            <w:r w:rsidRPr="000B4866">
              <w:rPr>
                <w:rFonts w:ascii="Calibri" w:hAnsi="Calibri"/>
                <w:b/>
                <w:bCs/>
                <w:sz w:val="20"/>
                <w:szCs w:val="20"/>
              </w:rPr>
              <w:t xml:space="preserve"> review</w:t>
            </w:r>
            <w:r w:rsidRPr="000B4866">
              <w:rPr>
                <w:rFonts w:ascii="Calibri" w:hAnsi="Calibri"/>
                <w:bCs/>
                <w:sz w:val="20"/>
                <w:szCs w:val="20"/>
              </w:rPr>
              <w:t xml:space="preserve"> the required financial documentation associated with capacity at risk of retirement.</w:t>
            </w:r>
          </w:p>
          <w:p w14:paraId="3471856F"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Per </w:t>
            </w:r>
            <w:smartTag w:uri="urn:schemas-microsoft-com:office:smarttags" w:element="stockticker">
              <w:r w:rsidRPr="000B4866">
                <w:rPr>
                  <w:rFonts w:ascii="Calibri" w:hAnsi="Calibri"/>
                  <w:bCs/>
                  <w:sz w:val="20"/>
                  <w:szCs w:val="20"/>
                </w:rPr>
                <w:t>DMM</w:t>
              </w:r>
            </w:smartTag>
            <w:r w:rsidRPr="000B4866">
              <w:rPr>
                <w:rFonts w:ascii="Calibri" w:hAnsi="Calibri"/>
                <w:bCs/>
                <w:sz w:val="20"/>
                <w:szCs w:val="20"/>
              </w:rPr>
              <w:t>’s comments to the CAISO</w:t>
            </w:r>
            <w:r w:rsidRPr="000B4866">
              <w:rPr>
                <w:rFonts w:ascii="Calibri" w:hAnsi="Calibri"/>
                <w:bCs/>
                <w:sz w:val="20"/>
                <w:szCs w:val="20"/>
                <w:vertAlign w:val="superscript"/>
              </w:rPr>
              <w:footnoteReference w:id="5"/>
            </w:r>
            <w:r w:rsidRPr="000B4866">
              <w:rPr>
                <w:rFonts w:ascii="Calibri" w:hAnsi="Calibri"/>
                <w:bCs/>
                <w:sz w:val="20"/>
                <w:szCs w:val="20"/>
              </w:rPr>
              <w:t>:</w:t>
            </w:r>
          </w:p>
          <w:p w14:paraId="0218C826" w14:textId="77777777" w:rsidR="00E90298" w:rsidRPr="000B4866" w:rsidRDefault="00E90298" w:rsidP="000B4866">
            <w:pPr>
              <w:tabs>
                <w:tab w:val="left" w:pos="2525"/>
              </w:tabs>
              <w:autoSpaceDE w:val="0"/>
              <w:autoSpaceDN w:val="0"/>
              <w:adjustRightInd w:val="0"/>
              <w:spacing w:before="120" w:after="120"/>
              <w:ind w:left="474"/>
              <w:rPr>
                <w:rFonts w:ascii="Calibri" w:hAnsi="Calibri"/>
                <w:bCs/>
                <w:sz w:val="20"/>
                <w:szCs w:val="20"/>
              </w:rPr>
            </w:pPr>
            <w:r w:rsidRPr="000B4866">
              <w:rPr>
                <w:rFonts w:ascii="Calibri" w:hAnsi="Calibri"/>
                <w:bCs/>
                <w:sz w:val="20"/>
                <w:szCs w:val="20"/>
              </w:rPr>
              <w:t xml:space="preserve">“The information above (i.e. financial data included within the notice of intent to retire) </w:t>
            </w:r>
            <w:r w:rsidRPr="000B4866">
              <w:rPr>
                <w:rFonts w:ascii="Calibri" w:hAnsi="Calibri"/>
                <w:b/>
                <w:bCs/>
                <w:sz w:val="20"/>
                <w:szCs w:val="20"/>
              </w:rPr>
              <w:t xml:space="preserve">would be subject to review by </w:t>
            </w:r>
            <w:smartTag w:uri="urn:schemas-microsoft-com:office:smarttags" w:element="stockticker">
              <w:r w:rsidRPr="000B4866">
                <w:rPr>
                  <w:rFonts w:ascii="Calibri" w:hAnsi="Calibri"/>
                  <w:b/>
                  <w:bCs/>
                  <w:sz w:val="20"/>
                  <w:szCs w:val="20"/>
                </w:rPr>
                <w:t>DMM</w:t>
              </w:r>
            </w:smartTag>
            <w:r w:rsidRPr="000B4866">
              <w:rPr>
                <w:rFonts w:ascii="Calibri" w:hAnsi="Calibri"/>
                <w:b/>
                <w:bCs/>
                <w:sz w:val="20"/>
                <w:szCs w:val="20"/>
              </w:rPr>
              <w:t xml:space="preserve"> </w:t>
            </w:r>
            <w:r w:rsidRPr="000B4866">
              <w:rPr>
                <w:rFonts w:ascii="Calibri" w:hAnsi="Calibri"/>
                <w:bCs/>
                <w:sz w:val="20"/>
                <w:szCs w:val="20"/>
              </w:rPr>
              <w:t xml:space="preserve">from several aspects: </w:t>
            </w:r>
          </w:p>
          <w:p w14:paraId="0BC2FE99" w14:textId="77777777" w:rsidR="00E90298" w:rsidRPr="000B4866" w:rsidRDefault="00E90298" w:rsidP="000B4866">
            <w:pPr>
              <w:numPr>
                <w:ilvl w:val="0"/>
                <w:numId w:val="25"/>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Will the CAISO please clarify their understanding whether or not the </w:t>
            </w:r>
            <w:smartTag w:uri="urn:schemas-microsoft-com:office:smarttags" w:element="stockticker">
              <w:r w:rsidRPr="000B4866">
                <w:rPr>
                  <w:rFonts w:ascii="Calibri" w:hAnsi="Calibri"/>
                  <w:bCs/>
                  <w:sz w:val="20"/>
                  <w:szCs w:val="20"/>
                </w:rPr>
                <w:t>DMM</w:t>
              </w:r>
            </w:smartTag>
            <w:r w:rsidRPr="000B4866">
              <w:rPr>
                <w:rFonts w:ascii="Calibri" w:hAnsi="Calibri"/>
                <w:bCs/>
                <w:sz w:val="20"/>
                <w:szCs w:val="20"/>
              </w:rPr>
              <w:t>’s offer is to definitively or only possibly review the financial (and other) data associated with a resource’s notification of intent to retire?</w:t>
            </w:r>
          </w:p>
          <w:p w14:paraId="52ADEE2D" w14:textId="77777777" w:rsidR="00E90298" w:rsidRPr="000B4866" w:rsidRDefault="00E90298" w:rsidP="000B4866">
            <w:pPr>
              <w:numPr>
                <w:ilvl w:val="0"/>
                <w:numId w:val="25"/>
              </w:numPr>
              <w:tabs>
                <w:tab w:val="left" w:pos="2525"/>
              </w:tabs>
              <w:autoSpaceDE w:val="0"/>
              <w:autoSpaceDN w:val="0"/>
              <w:adjustRightInd w:val="0"/>
              <w:spacing w:before="120" w:after="120"/>
              <w:rPr>
                <w:rFonts w:ascii="Calibri" w:hAnsi="Calibri"/>
                <w:b/>
                <w:bCs/>
                <w:sz w:val="20"/>
                <w:szCs w:val="20"/>
              </w:rPr>
            </w:pPr>
            <w:r w:rsidRPr="000B4866">
              <w:rPr>
                <w:rFonts w:ascii="Calibri" w:hAnsi="Calibri"/>
                <w:bCs/>
                <w:sz w:val="20"/>
                <w:szCs w:val="20"/>
              </w:rPr>
              <w:t xml:space="preserve">Will the CAISO please clarify to what extent the current language within either the </w:t>
            </w:r>
            <w:smartTag w:uri="urn:schemas-microsoft-com:office:smarttags" w:element="stockticker">
              <w:r w:rsidRPr="000B4866">
                <w:rPr>
                  <w:rFonts w:ascii="Calibri" w:hAnsi="Calibri"/>
                  <w:bCs/>
                  <w:sz w:val="20"/>
                  <w:szCs w:val="20"/>
                </w:rPr>
                <w:t>BRS</w:t>
              </w:r>
            </w:smartTag>
            <w:r w:rsidRPr="000B4866">
              <w:rPr>
                <w:rFonts w:ascii="Calibri" w:hAnsi="Calibri"/>
                <w:bCs/>
                <w:sz w:val="20"/>
                <w:szCs w:val="20"/>
              </w:rPr>
              <w:t xml:space="preserve"> or proposed Tariff reflects the level of commitment placed upon the </w:t>
            </w:r>
            <w:smartTag w:uri="urn:schemas-microsoft-com:office:smarttags" w:element="stockticker">
              <w:r w:rsidRPr="000B4866">
                <w:rPr>
                  <w:rFonts w:ascii="Calibri" w:hAnsi="Calibri"/>
                  <w:bCs/>
                  <w:sz w:val="20"/>
                  <w:szCs w:val="20"/>
                </w:rPr>
                <w:t>DMM</w:t>
              </w:r>
            </w:smartTag>
            <w:r w:rsidRPr="000B4866">
              <w:rPr>
                <w:rFonts w:ascii="Calibri" w:hAnsi="Calibri"/>
                <w:bCs/>
                <w:sz w:val="20"/>
                <w:szCs w:val="20"/>
              </w:rPr>
              <w:t xml:space="preserve"> to perform such a review?</w:t>
            </w:r>
          </w:p>
        </w:tc>
      </w:tr>
      <w:tr w:rsidR="00E90298" w:rsidRPr="00EA25F7" w14:paraId="71653076" w14:textId="77777777" w:rsidTr="00E90298">
        <w:trPr>
          <w:tblHeader/>
        </w:trPr>
        <w:tc>
          <w:tcPr>
            <w:tcW w:w="0" w:type="auto"/>
          </w:tcPr>
          <w:p w14:paraId="42B9728D"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F6C557A"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SCE</w:t>
            </w:r>
          </w:p>
        </w:tc>
        <w:tc>
          <w:tcPr>
            <w:tcW w:w="1278" w:type="dxa"/>
          </w:tcPr>
          <w:p w14:paraId="5A180362"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43.2.6</w:t>
            </w:r>
          </w:p>
        </w:tc>
        <w:tc>
          <w:tcPr>
            <w:tcW w:w="1199" w:type="dxa"/>
          </w:tcPr>
          <w:p w14:paraId="6646AD2D"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406E8ABD"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
                <w:bCs/>
                <w:sz w:val="20"/>
                <w:szCs w:val="20"/>
              </w:rPr>
              <w:t>Section 43.2.6</w:t>
            </w:r>
            <w:r w:rsidRPr="000B4866">
              <w:rPr>
                <w:rFonts w:ascii="Calibri" w:hAnsi="Calibri"/>
                <w:bCs/>
                <w:sz w:val="20"/>
                <w:szCs w:val="20"/>
              </w:rPr>
              <w:t>: Request clarification</w:t>
            </w:r>
          </w:p>
          <w:p w14:paraId="6BCD4402"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The last paragraph includes</w:t>
            </w:r>
          </w:p>
          <w:p w14:paraId="3CB6E847"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“Prior to issuing the CPM designation, the CAISO shall prepare a report that explains the basis and need for the CPM designation.  The CAISO shall post the report on the CAISO’s Website and allow an opportunity of no less than 30 days for stakeholders to review and submit comments on the report and for an LSE to procure Capacity from the resource.”</w:t>
            </w:r>
          </w:p>
          <w:p w14:paraId="4FF9C6D5"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A) </w:t>
            </w:r>
            <w:r>
              <w:rPr>
                <w:rFonts w:ascii="Calibri" w:hAnsi="Calibri"/>
                <w:bCs/>
                <w:sz w:val="20"/>
                <w:szCs w:val="20"/>
              </w:rPr>
              <w:t xml:space="preserve"> </w:t>
            </w:r>
            <w:r w:rsidRPr="000B4866">
              <w:rPr>
                <w:rFonts w:ascii="Calibri" w:hAnsi="Calibri"/>
                <w:bCs/>
                <w:sz w:val="20"/>
                <w:szCs w:val="20"/>
              </w:rPr>
              <w:t>SCE notes that the CAISO’s Business Requirements Specification (</w:t>
            </w:r>
            <w:smartTag w:uri="urn:schemas-microsoft-com:office:smarttags" w:element="stockticker">
              <w:r w:rsidRPr="000B4866">
                <w:rPr>
                  <w:rFonts w:ascii="Calibri" w:hAnsi="Calibri"/>
                  <w:bCs/>
                  <w:sz w:val="20"/>
                  <w:szCs w:val="20"/>
                </w:rPr>
                <w:t>BRS</w:t>
              </w:r>
            </w:smartTag>
            <w:r w:rsidRPr="000B4866">
              <w:rPr>
                <w:rFonts w:ascii="Calibri" w:hAnsi="Calibri"/>
                <w:bCs/>
                <w:sz w:val="20"/>
                <w:szCs w:val="20"/>
              </w:rPr>
              <w:t>): Capacity Procurement Mechanism, and Compensation and Bid Mitigation for Exceptional Dispatch (CPM) [Version 1.0; October 21, 2010] includes a process flow diagram (Appendix A) that indicates that a Market Notice will be issued one week prior to the CPM Report being published.</w:t>
            </w:r>
          </w:p>
          <w:p w14:paraId="3C4DA774" w14:textId="77777777" w:rsidR="00E90298" w:rsidRPr="000B4866" w:rsidRDefault="00E90298" w:rsidP="000B4866">
            <w:p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Will the CAISO please clarify/confirm that a Market Notice will be issued at least one week prior to the posting of the CPM report and that language to this effect will remain in the final </w:t>
            </w:r>
            <w:smartTag w:uri="urn:schemas-microsoft-com:office:smarttags" w:element="stockticker">
              <w:r w:rsidRPr="000B4866">
                <w:rPr>
                  <w:rFonts w:ascii="Calibri" w:hAnsi="Calibri"/>
                  <w:bCs/>
                  <w:sz w:val="20"/>
                  <w:szCs w:val="20"/>
                </w:rPr>
                <w:t>BRS</w:t>
              </w:r>
            </w:smartTag>
            <w:r w:rsidRPr="000B4866">
              <w:rPr>
                <w:rFonts w:ascii="Calibri" w:hAnsi="Calibri"/>
                <w:bCs/>
                <w:sz w:val="20"/>
                <w:szCs w:val="20"/>
              </w:rPr>
              <w:t xml:space="preserve"> or be included within the Tariff language.</w:t>
            </w:r>
          </w:p>
          <w:p w14:paraId="0A1DF153" w14:textId="77777777" w:rsidR="00E90298" w:rsidRPr="000B4866" w:rsidRDefault="00E90298" w:rsidP="000B4866">
            <w:pPr>
              <w:pStyle w:val="ListParagraph"/>
              <w:numPr>
                <w:ilvl w:val="0"/>
                <w:numId w:val="26"/>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Will the CAISO please clarify if it is be possible for the identified amount of needed capacity to be less than the resource’s full capacity, and if so, will the CPM Report identify only the amount of capacity needed for reliability purposes or will the CPM Report identify the resource’s full capacity as being needed?   If the full capacity is not needed, would the CAISO declare a CPM designation for only the amount of capacity that is needed or would the CPM designation be for the resource’s full capacity? </w:t>
            </w:r>
          </w:p>
          <w:p w14:paraId="39BFAB02" w14:textId="77777777" w:rsidR="00E90298" w:rsidRPr="000B4866" w:rsidRDefault="00E90298" w:rsidP="000B4866">
            <w:pPr>
              <w:numPr>
                <w:ilvl w:val="0"/>
                <w:numId w:val="26"/>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 xml:space="preserve">Will the CAISO please clarify if the (1) – (7) order of circumstances contained in 43.2.6 represents an anticipated or potentially actual sequence of events/information dissemination.  </w:t>
            </w:r>
          </w:p>
          <w:p w14:paraId="09104BDD" w14:textId="77777777" w:rsidR="00E90298" w:rsidRPr="000B4866" w:rsidRDefault="00E90298" w:rsidP="000B4866">
            <w:pPr>
              <w:tabs>
                <w:tab w:val="left" w:pos="2525"/>
              </w:tabs>
              <w:autoSpaceDE w:val="0"/>
              <w:autoSpaceDN w:val="0"/>
              <w:adjustRightInd w:val="0"/>
              <w:spacing w:before="120" w:after="120"/>
              <w:ind w:left="384"/>
              <w:rPr>
                <w:rFonts w:ascii="Calibri" w:hAnsi="Calibri"/>
                <w:bCs/>
                <w:sz w:val="20"/>
                <w:szCs w:val="20"/>
              </w:rPr>
            </w:pPr>
            <w:r w:rsidRPr="000B4866">
              <w:rPr>
                <w:rFonts w:ascii="Calibri" w:hAnsi="Calibri"/>
                <w:bCs/>
                <w:sz w:val="20"/>
                <w:szCs w:val="20"/>
              </w:rPr>
              <w:t xml:space="preserve">SCE’s concern: </w:t>
            </w:r>
          </w:p>
          <w:p w14:paraId="513B127C" w14:textId="77777777" w:rsidR="00E90298" w:rsidRPr="000B4866" w:rsidRDefault="00E90298" w:rsidP="000B4866">
            <w:pPr>
              <w:tabs>
                <w:tab w:val="left" w:pos="2525"/>
              </w:tabs>
              <w:autoSpaceDE w:val="0"/>
              <w:autoSpaceDN w:val="0"/>
              <w:adjustRightInd w:val="0"/>
              <w:spacing w:before="120" w:after="120"/>
              <w:ind w:left="384"/>
              <w:rPr>
                <w:rFonts w:ascii="Calibri" w:hAnsi="Calibri"/>
                <w:bCs/>
                <w:sz w:val="20"/>
                <w:szCs w:val="20"/>
              </w:rPr>
            </w:pPr>
            <w:r w:rsidRPr="000B4866">
              <w:rPr>
                <w:rFonts w:ascii="Calibri" w:hAnsi="Calibri"/>
                <w:bCs/>
                <w:sz w:val="20"/>
                <w:szCs w:val="20"/>
              </w:rPr>
              <w:t xml:space="preserve">Based upon discussion during the Aug. 23, 2010 workshop, SCE understood the CAISO to say that they would perform technical assessment studies to determine if a resource at risk of retirement was need in the subsequent RA Compliance Year for reliability purposes (step 3 in 43.2.6) </w:t>
            </w:r>
            <w:r w:rsidRPr="000B4866">
              <w:rPr>
                <w:rFonts w:ascii="Calibri" w:hAnsi="Calibri"/>
                <w:bCs/>
                <w:sz w:val="20"/>
                <w:szCs w:val="20"/>
                <w:u w:val="single"/>
              </w:rPr>
              <w:t>only after</w:t>
            </w:r>
            <w:r w:rsidRPr="000B4866">
              <w:rPr>
                <w:rFonts w:ascii="Calibri" w:hAnsi="Calibri"/>
                <w:bCs/>
                <w:sz w:val="20"/>
                <w:szCs w:val="20"/>
              </w:rPr>
              <w:t xml:space="preserve"> the resource owner had submitted a notice of intent to retire to the CAISO (step 5 in 43.2.6).  Information from a technical assessments study for the year subsequent to the current RA Compliance Year (i.e. for Year 2) should not be made available until after the resource submits its notice of intent to retire.  </w:t>
            </w:r>
          </w:p>
          <w:p w14:paraId="6240F789" w14:textId="77777777" w:rsidR="00E90298" w:rsidRPr="000B4866" w:rsidRDefault="00E90298" w:rsidP="000B4866">
            <w:pPr>
              <w:pStyle w:val="ListParagraph"/>
              <w:numPr>
                <w:ilvl w:val="0"/>
                <w:numId w:val="26"/>
              </w:numPr>
              <w:tabs>
                <w:tab w:val="left" w:pos="2525"/>
              </w:tabs>
              <w:autoSpaceDE w:val="0"/>
              <w:autoSpaceDN w:val="0"/>
              <w:adjustRightInd w:val="0"/>
              <w:spacing w:before="120" w:after="120"/>
              <w:rPr>
                <w:rFonts w:ascii="Calibri" w:hAnsi="Calibri"/>
                <w:bCs/>
                <w:sz w:val="20"/>
                <w:szCs w:val="20"/>
              </w:rPr>
            </w:pPr>
            <w:r w:rsidRPr="000B4866">
              <w:rPr>
                <w:rFonts w:ascii="Calibri" w:hAnsi="Calibri"/>
                <w:bCs/>
                <w:sz w:val="20"/>
                <w:szCs w:val="20"/>
              </w:rPr>
              <w:t>Will the CAISO please clarify the process a stakeholder should use to question the results of the CAISO’s technical assessment, to obtain information/assumptions used in the CAISO’s technical assessment, and what tariff language can a stakeholder reference to contest a CPM designation for a resource that threatened retirement?</w:t>
            </w:r>
          </w:p>
        </w:tc>
      </w:tr>
      <w:tr w:rsidR="00E90298" w:rsidRPr="00EA25F7" w14:paraId="20AFEDBC" w14:textId="77777777" w:rsidTr="00E90298">
        <w:trPr>
          <w:tblHeader/>
        </w:trPr>
        <w:tc>
          <w:tcPr>
            <w:tcW w:w="0" w:type="auto"/>
          </w:tcPr>
          <w:p w14:paraId="52011C12"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F9ECC76"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CDWR SWP</w:t>
            </w:r>
          </w:p>
        </w:tc>
        <w:tc>
          <w:tcPr>
            <w:tcW w:w="1278" w:type="dxa"/>
          </w:tcPr>
          <w:p w14:paraId="5A169040"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43.7.1</w:t>
            </w:r>
          </w:p>
        </w:tc>
        <w:tc>
          <w:tcPr>
            <w:tcW w:w="1199" w:type="dxa"/>
          </w:tcPr>
          <w:p w14:paraId="2EA8C8BC"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1C2993D7" w14:textId="77777777" w:rsidR="00E90298" w:rsidRPr="00B87D13" w:rsidRDefault="00E90298" w:rsidP="00B87D13">
            <w:pPr>
              <w:tabs>
                <w:tab w:val="left" w:pos="2525"/>
              </w:tabs>
              <w:autoSpaceDE w:val="0"/>
              <w:autoSpaceDN w:val="0"/>
              <w:adjustRightInd w:val="0"/>
              <w:spacing w:before="120" w:after="120"/>
              <w:rPr>
                <w:rFonts w:ascii="Calibri" w:hAnsi="Calibri"/>
                <w:bCs/>
                <w:sz w:val="20"/>
                <w:szCs w:val="20"/>
              </w:rPr>
            </w:pPr>
            <w:r w:rsidRPr="00B87D13">
              <w:rPr>
                <w:rFonts w:ascii="Calibri" w:hAnsi="Calibri"/>
                <w:bCs/>
                <w:sz w:val="20"/>
                <w:szCs w:val="20"/>
              </w:rPr>
              <w:t>The formula for CPM Capacity Payment should recognize that use-limited resources are not required to be available 24 hours/day for all hours of the month. Therefore, the following modified language is suggested so that a CPM designated use limited resource may be appropriately addressed.</w:t>
            </w:r>
          </w:p>
          <w:p w14:paraId="021953C9" w14:textId="77777777" w:rsidR="00E90298" w:rsidRPr="00B87D13" w:rsidRDefault="00E90298" w:rsidP="00AA755B">
            <w:pPr>
              <w:tabs>
                <w:tab w:val="left" w:pos="2525"/>
              </w:tabs>
              <w:autoSpaceDE w:val="0"/>
              <w:autoSpaceDN w:val="0"/>
              <w:adjustRightInd w:val="0"/>
              <w:spacing w:before="120" w:after="120"/>
              <w:rPr>
                <w:rFonts w:ascii="Calibri" w:hAnsi="Calibri"/>
                <w:bCs/>
                <w:sz w:val="20"/>
                <w:szCs w:val="20"/>
              </w:rPr>
            </w:pPr>
            <w:r w:rsidRPr="00B87D13">
              <w:rPr>
                <w:rFonts w:ascii="Calibri" w:hAnsi="Calibri"/>
                <w:bCs/>
                <w:sz w:val="20"/>
                <w:szCs w:val="20"/>
              </w:rPr>
              <w:t xml:space="preserve">The CPM Availability Percentage for Maintenance Outages is equal to the ratio of:  (1) the sum of the CPM Capacity MW for each hour of the month across all hours of the month, where the actual capacity MW available to the CAISO, if less than the CPM Capacity MW  </w:t>
            </w:r>
            <w:r w:rsidRPr="00B87D13">
              <w:rPr>
                <w:rFonts w:ascii="Calibri" w:hAnsi="Calibri"/>
                <w:bCs/>
                <w:sz w:val="20"/>
                <w:szCs w:val="20"/>
                <w:highlight w:val="yellow"/>
              </w:rPr>
              <w:t>either (a) across all hours of the month in the case of non-use-limited resources, or (b) across the hours of the month the resource is expected to be available in accordance with its Use Plan in the case of a use-limited resource,</w:t>
            </w:r>
            <w:r w:rsidRPr="00B87D13">
              <w:rPr>
                <w:rFonts w:ascii="Calibri" w:hAnsi="Calibri"/>
                <w:bCs/>
                <w:sz w:val="20"/>
                <w:szCs w:val="20"/>
              </w:rPr>
              <w:t xml:space="preserve"> shall be substituted for CPM Capacity MW for each hour the resource is not available due to a Maintenance Outage or non-temperature-related ambient de-rates to (2) the product of CPM Capacity MW and the product of the CPM capacity MW and the </w:t>
            </w:r>
            <w:r w:rsidRPr="00B87D13">
              <w:rPr>
                <w:rFonts w:ascii="Calibri" w:hAnsi="Calibri"/>
                <w:bCs/>
                <w:sz w:val="20"/>
                <w:szCs w:val="20"/>
                <w:highlight w:val="yellow"/>
              </w:rPr>
              <w:t>month’s hours of expected availability, as applicable based on the resources’ use-limited or non-use-limited status.</w:t>
            </w:r>
          </w:p>
        </w:tc>
      </w:tr>
      <w:tr w:rsidR="00E90298" w:rsidRPr="00EA25F7" w14:paraId="3E4A5674" w14:textId="77777777" w:rsidTr="00E90298">
        <w:trPr>
          <w:tblHeader/>
        </w:trPr>
        <w:tc>
          <w:tcPr>
            <w:tcW w:w="0" w:type="auto"/>
          </w:tcPr>
          <w:p w14:paraId="1840031E"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AC45AC1"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PGE</w:t>
            </w:r>
          </w:p>
        </w:tc>
        <w:tc>
          <w:tcPr>
            <w:tcW w:w="1278" w:type="dxa"/>
          </w:tcPr>
          <w:p w14:paraId="09DA9B8C"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43.7.1 and 43.7.2.2</w:t>
            </w:r>
          </w:p>
        </w:tc>
        <w:tc>
          <w:tcPr>
            <w:tcW w:w="1199" w:type="dxa"/>
          </w:tcPr>
          <w:p w14:paraId="228DFFE3"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3C9E5984" w14:textId="77777777" w:rsidR="00E90298" w:rsidRPr="00DE2F8B" w:rsidRDefault="00E90298" w:rsidP="00DE2F8B">
            <w:pPr>
              <w:tabs>
                <w:tab w:val="left" w:pos="2525"/>
              </w:tabs>
              <w:autoSpaceDE w:val="0"/>
              <w:autoSpaceDN w:val="0"/>
              <w:adjustRightInd w:val="0"/>
              <w:spacing w:before="120" w:after="120"/>
              <w:rPr>
                <w:rFonts w:ascii="Calibri" w:hAnsi="Calibri"/>
                <w:b/>
                <w:bCs/>
                <w:sz w:val="20"/>
                <w:szCs w:val="20"/>
              </w:rPr>
            </w:pPr>
            <w:r w:rsidRPr="00DE2F8B">
              <w:rPr>
                <w:rFonts w:ascii="Calibri" w:hAnsi="Calibri"/>
                <w:b/>
                <w:bCs/>
                <w:sz w:val="20"/>
                <w:szCs w:val="20"/>
              </w:rPr>
              <w:t xml:space="preserve">2) Sections 43.7.1 and 43.7.2.2 </w:t>
            </w:r>
          </w:p>
          <w:p w14:paraId="21DD03AF" w14:textId="77777777" w:rsidR="00E90298" w:rsidRPr="00DE2F8B" w:rsidRDefault="00E90298" w:rsidP="00DE2F8B">
            <w:pPr>
              <w:tabs>
                <w:tab w:val="left" w:pos="2525"/>
              </w:tabs>
              <w:autoSpaceDE w:val="0"/>
              <w:autoSpaceDN w:val="0"/>
              <w:adjustRightInd w:val="0"/>
              <w:spacing w:before="120" w:after="120"/>
              <w:rPr>
                <w:rFonts w:ascii="Calibri" w:hAnsi="Calibri"/>
                <w:bCs/>
                <w:sz w:val="20"/>
                <w:szCs w:val="20"/>
              </w:rPr>
            </w:pPr>
            <w:r w:rsidRPr="00DE2F8B">
              <w:rPr>
                <w:rFonts w:ascii="Calibri" w:hAnsi="Calibri"/>
                <w:bCs/>
                <w:sz w:val="20"/>
                <w:szCs w:val="20"/>
              </w:rPr>
              <w:t>PG&amp;E finds the language below to be confusing and recommends making the following changes:</w:t>
            </w:r>
            <w:r w:rsidRPr="00DE2F8B">
              <w:rPr>
                <w:rFonts w:ascii="Calibri" w:hAnsi="Calibri"/>
                <w:bCs/>
                <w:sz w:val="20"/>
                <w:szCs w:val="20"/>
                <w:vertAlign w:val="superscript"/>
              </w:rPr>
              <w:footnoteReference w:id="6"/>
            </w:r>
          </w:p>
          <w:p w14:paraId="36E3052D" w14:textId="77777777" w:rsidR="00E90298" w:rsidRPr="00DE2F8B" w:rsidRDefault="00E90298" w:rsidP="00B87D13">
            <w:pPr>
              <w:tabs>
                <w:tab w:val="left" w:pos="2525"/>
              </w:tabs>
              <w:autoSpaceDE w:val="0"/>
              <w:autoSpaceDN w:val="0"/>
              <w:adjustRightInd w:val="0"/>
              <w:spacing w:before="120" w:after="120"/>
              <w:rPr>
                <w:rFonts w:ascii="Calibri" w:hAnsi="Calibri"/>
                <w:bCs/>
                <w:i/>
                <w:sz w:val="20"/>
                <w:szCs w:val="20"/>
              </w:rPr>
            </w:pPr>
            <w:r w:rsidRPr="00DE2F8B">
              <w:rPr>
                <w:rFonts w:ascii="Calibri" w:hAnsi="Calibri"/>
                <w:bCs/>
                <w:i/>
                <w:sz w:val="20"/>
                <w:szCs w:val="20"/>
              </w:rPr>
              <w:t xml:space="preserve">The CPM Availability Percentage for Maintenance Outages is equal to the ratio of:  (1) the sum of </w:t>
            </w:r>
            <w:r w:rsidRPr="00DE2F8B">
              <w:rPr>
                <w:rFonts w:ascii="Calibri" w:hAnsi="Calibri"/>
                <w:b/>
                <w:bCs/>
                <w:i/>
                <w:sz w:val="20"/>
                <w:szCs w:val="20"/>
              </w:rPr>
              <w:t>actual</w:t>
            </w:r>
            <w:r w:rsidRPr="00DE2F8B">
              <w:rPr>
                <w:rFonts w:ascii="Calibri" w:hAnsi="Calibri"/>
                <w:bCs/>
                <w:i/>
                <w:sz w:val="20"/>
                <w:szCs w:val="20"/>
              </w:rPr>
              <w:t xml:space="preserve"> </w:t>
            </w:r>
            <w:r w:rsidRPr="00DE2F8B">
              <w:rPr>
                <w:rFonts w:ascii="Calibri" w:hAnsi="Calibri"/>
                <w:b/>
                <w:bCs/>
                <w:i/>
                <w:sz w:val="20"/>
                <w:szCs w:val="20"/>
              </w:rPr>
              <w:t>availability capacity</w:t>
            </w:r>
            <w:r w:rsidRPr="00DE2F8B">
              <w:rPr>
                <w:rFonts w:ascii="Calibri" w:hAnsi="Calibri"/>
                <w:bCs/>
                <w:i/>
                <w:sz w:val="20"/>
                <w:szCs w:val="20"/>
              </w:rPr>
              <w:t xml:space="preserve"> </w:t>
            </w:r>
            <w:r w:rsidRPr="00DE2F8B">
              <w:rPr>
                <w:rFonts w:ascii="Calibri" w:hAnsi="Calibri"/>
                <w:bCs/>
                <w:i/>
                <w:strike/>
                <w:sz w:val="20"/>
                <w:szCs w:val="20"/>
              </w:rPr>
              <w:t>the CPM Capacity MW</w:t>
            </w:r>
            <w:r w:rsidRPr="00DE2F8B">
              <w:rPr>
                <w:rFonts w:ascii="Calibri" w:hAnsi="Calibri"/>
                <w:bCs/>
                <w:i/>
                <w:sz w:val="20"/>
                <w:szCs w:val="20"/>
              </w:rPr>
              <w:t xml:space="preserve"> for each hour of the month across all hours of the month, </w:t>
            </w:r>
            <w:r w:rsidRPr="00DE2F8B">
              <w:rPr>
                <w:rFonts w:ascii="Calibri" w:hAnsi="Calibri"/>
                <w:bCs/>
                <w:i/>
                <w:strike/>
                <w:sz w:val="20"/>
                <w:szCs w:val="20"/>
              </w:rPr>
              <w:t>where the actual capacity MW available to the CAISO, if less than the CPM Capacity MW, shall be substituted for CPM Capacity MW for each hour the resource is not available due to a</w:t>
            </w:r>
            <w:r w:rsidRPr="00DE2F8B">
              <w:rPr>
                <w:rFonts w:ascii="Calibri" w:hAnsi="Calibri"/>
                <w:bCs/>
                <w:i/>
                <w:sz w:val="20"/>
                <w:szCs w:val="20"/>
              </w:rPr>
              <w:t xml:space="preserve"> </w:t>
            </w:r>
            <w:r w:rsidRPr="00DE2F8B">
              <w:rPr>
                <w:rFonts w:ascii="Calibri" w:hAnsi="Calibri"/>
                <w:b/>
                <w:bCs/>
                <w:i/>
                <w:sz w:val="20"/>
                <w:szCs w:val="20"/>
              </w:rPr>
              <w:t>reflecting</w:t>
            </w:r>
            <w:r w:rsidRPr="00DE2F8B">
              <w:rPr>
                <w:rFonts w:ascii="Calibri" w:hAnsi="Calibri"/>
                <w:bCs/>
                <w:i/>
                <w:sz w:val="20"/>
                <w:szCs w:val="20"/>
              </w:rPr>
              <w:t xml:space="preserve"> Maintenance Outage or non-temperature-related ambient de-rate to (2) the product of CPM Capacity MW and the total hours in the month.</w:t>
            </w:r>
          </w:p>
        </w:tc>
      </w:tr>
      <w:tr w:rsidR="00E90298" w:rsidRPr="00EA25F7" w14:paraId="6731BF91" w14:textId="77777777" w:rsidTr="00E90298">
        <w:trPr>
          <w:tblHeader/>
        </w:trPr>
        <w:tc>
          <w:tcPr>
            <w:tcW w:w="0" w:type="auto"/>
          </w:tcPr>
          <w:p w14:paraId="44E38871"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7F62AE5"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CDWR SWP</w:t>
            </w:r>
          </w:p>
        </w:tc>
        <w:tc>
          <w:tcPr>
            <w:tcW w:w="1278" w:type="dxa"/>
          </w:tcPr>
          <w:p w14:paraId="69D876D8" w14:textId="77777777" w:rsidR="00E90298" w:rsidRPr="00EA25F7" w:rsidRDefault="00E90298" w:rsidP="00AA755B">
            <w:pPr>
              <w:spacing w:before="120" w:after="120"/>
              <w:rPr>
                <w:rFonts w:ascii="Calibri" w:hAnsi="Calibri" w:cs="Arial"/>
                <w:i/>
                <w:sz w:val="20"/>
                <w:szCs w:val="20"/>
              </w:rPr>
            </w:pPr>
            <w:r>
              <w:rPr>
                <w:rFonts w:ascii="Calibri" w:hAnsi="Calibri" w:cs="Arial"/>
                <w:i/>
                <w:sz w:val="20"/>
                <w:szCs w:val="20"/>
              </w:rPr>
              <w:t>43.7.2.2</w:t>
            </w:r>
          </w:p>
        </w:tc>
        <w:tc>
          <w:tcPr>
            <w:tcW w:w="1199" w:type="dxa"/>
          </w:tcPr>
          <w:p w14:paraId="30542CA3"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28413FD5" w14:textId="77777777" w:rsidR="00E90298" w:rsidRPr="00B87D13" w:rsidRDefault="00E90298" w:rsidP="00B87D13">
            <w:pPr>
              <w:tabs>
                <w:tab w:val="left" w:pos="2525"/>
              </w:tabs>
              <w:autoSpaceDE w:val="0"/>
              <w:autoSpaceDN w:val="0"/>
              <w:adjustRightInd w:val="0"/>
              <w:spacing w:before="120" w:after="120"/>
              <w:rPr>
                <w:rFonts w:ascii="Calibri" w:hAnsi="Calibri"/>
                <w:bCs/>
                <w:sz w:val="20"/>
                <w:szCs w:val="20"/>
              </w:rPr>
            </w:pPr>
            <w:r w:rsidRPr="00B87D13">
              <w:rPr>
                <w:rFonts w:ascii="Calibri" w:hAnsi="Calibri"/>
                <w:bCs/>
                <w:sz w:val="20"/>
                <w:szCs w:val="20"/>
              </w:rPr>
              <w:t>The formula for CPM Capacity Payment should recognize that use-limited resources are not required to be available 24 hours/day for all hours of the month. Therefore, the following modified language is suggested so that a CPM designated use limited resource may be appropriately addressed.</w:t>
            </w:r>
          </w:p>
          <w:p w14:paraId="6A3AA751" w14:textId="77777777" w:rsidR="00E90298" w:rsidRPr="00B87D13" w:rsidRDefault="00E90298" w:rsidP="00AA755B">
            <w:pPr>
              <w:tabs>
                <w:tab w:val="left" w:pos="2525"/>
              </w:tabs>
              <w:autoSpaceDE w:val="0"/>
              <w:autoSpaceDN w:val="0"/>
              <w:adjustRightInd w:val="0"/>
              <w:spacing w:before="120" w:after="120"/>
              <w:rPr>
                <w:rFonts w:ascii="Calibri" w:hAnsi="Calibri"/>
                <w:bCs/>
                <w:sz w:val="20"/>
                <w:szCs w:val="20"/>
              </w:rPr>
            </w:pPr>
            <w:r w:rsidRPr="00B87D13">
              <w:rPr>
                <w:rFonts w:ascii="Calibri" w:hAnsi="Calibri"/>
                <w:bCs/>
                <w:sz w:val="20"/>
                <w:szCs w:val="20"/>
              </w:rPr>
              <w:t xml:space="preserve">For purposes of CPM designations, except for designations for CPM Significant Events, the CPM Availability Factor for Forced Outages shall be calculated as the ratio of:  (1) the sum of the CPM Capacity MW </w:t>
            </w:r>
            <w:r w:rsidRPr="00B87D13">
              <w:rPr>
                <w:rFonts w:ascii="Calibri" w:hAnsi="Calibri"/>
                <w:bCs/>
                <w:sz w:val="20"/>
                <w:szCs w:val="20"/>
                <w:highlight w:val="yellow"/>
              </w:rPr>
              <w:t>either (a) across all hours of the month in the case of non-use-limited resources, or (b) across the hours of the month the resource is expected to be available in accordance with its Use Plan in the case of a use-limited resource</w:t>
            </w:r>
            <w:r w:rsidRPr="00B87D13">
              <w:rPr>
                <w:rFonts w:ascii="Calibri" w:hAnsi="Calibri"/>
                <w:bCs/>
                <w:sz w:val="20"/>
                <w:szCs w:val="20"/>
              </w:rPr>
              <w:t xml:space="preserve">, where the actual capacity MW available to the CAISO, if less than the CPM Capacity MW, shall be substituted for CPM Capacity MW for each hour the resource is not available due to a Forced Outage or temperature-related ambient de-rates, to (2) the product of CPM Capacity MW and the </w:t>
            </w:r>
            <w:r w:rsidRPr="00B87D13">
              <w:rPr>
                <w:rFonts w:ascii="Calibri" w:hAnsi="Calibri"/>
                <w:bCs/>
                <w:sz w:val="20"/>
                <w:szCs w:val="20"/>
                <w:highlight w:val="yellow"/>
              </w:rPr>
              <w:t>month’s hours of expected availability, as applicable based on the resources’ use-limited or non-use-limited status.</w:t>
            </w:r>
          </w:p>
        </w:tc>
      </w:tr>
      <w:tr w:rsidR="00E90298" w:rsidRPr="00EA25F7" w14:paraId="7D076C13" w14:textId="77777777" w:rsidTr="00E90298">
        <w:trPr>
          <w:tblHeader/>
        </w:trPr>
        <w:tc>
          <w:tcPr>
            <w:tcW w:w="0" w:type="auto"/>
          </w:tcPr>
          <w:p w14:paraId="7A8F0227"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B528242"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PGE</w:t>
            </w:r>
          </w:p>
        </w:tc>
        <w:tc>
          <w:tcPr>
            <w:tcW w:w="1278" w:type="dxa"/>
          </w:tcPr>
          <w:p w14:paraId="075C13FE"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Appendix F (Schedule 6)</w:t>
            </w:r>
          </w:p>
        </w:tc>
        <w:tc>
          <w:tcPr>
            <w:tcW w:w="1199" w:type="dxa"/>
          </w:tcPr>
          <w:p w14:paraId="7277ADF8"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7459F3DC" w14:textId="77777777" w:rsidR="00E90298" w:rsidRPr="00DE2F8B" w:rsidRDefault="00E90298" w:rsidP="00DE2F8B">
            <w:pPr>
              <w:tabs>
                <w:tab w:val="left" w:pos="2525"/>
              </w:tabs>
              <w:autoSpaceDE w:val="0"/>
              <w:autoSpaceDN w:val="0"/>
              <w:adjustRightInd w:val="0"/>
              <w:spacing w:before="120" w:after="120"/>
              <w:rPr>
                <w:rFonts w:ascii="Calibri" w:hAnsi="Calibri"/>
                <w:bCs/>
                <w:sz w:val="20"/>
                <w:szCs w:val="20"/>
              </w:rPr>
            </w:pPr>
            <w:r w:rsidRPr="00DE2F8B">
              <w:rPr>
                <w:rFonts w:ascii="Calibri" w:hAnsi="Calibri"/>
                <w:bCs/>
                <w:sz w:val="20"/>
                <w:szCs w:val="20"/>
              </w:rPr>
              <w:t>PG&amp;E recommends making the following changes to the language below:</w:t>
            </w:r>
          </w:p>
          <w:p w14:paraId="39ED26FF" w14:textId="77777777" w:rsidR="00E90298" w:rsidRPr="00DE2F8B" w:rsidRDefault="00E90298" w:rsidP="00DE2F8B">
            <w:pPr>
              <w:tabs>
                <w:tab w:val="left" w:pos="2525"/>
              </w:tabs>
              <w:autoSpaceDE w:val="0"/>
              <w:autoSpaceDN w:val="0"/>
              <w:adjustRightInd w:val="0"/>
              <w:spacing w:before="120" w:after="120"/>
              <w:rPr>
                <w:rFonts w:ascii="Calibri" w:hAnsi="Calibri"/>
                <w:b/>
                <w:bCs/>
                <w:i/>
                <w:sz w:val="20"/>
                <w:szCs w:val="20"/>
              </w:rPr>
            </w:pPr>
            <w:r w:rsidRPr="00DE2F8B">
              <w:rPr>
                <w:rFonts w:ascii="Calibri" w:hAnsi="Calibri"/>
                <w:bCs/>
                <w:i/>
                <w:sz w:val="20"/>
                <w:szCs w:val="20"/>
              </w:rPr>
              <w:t xml:space="preserve">The monthly CPM Capacity Payment shall be calculated by multiplying the monthly shaping factor of 1/12 by the annual CPM Capacity price </w:t>
            </w:r>
            <w:r w:rsidRPr="00DE2F8B">
              <w:rPr>
                <w:rFonts w:ascii="Calibri" w:hAnsi="Calibri"/>
                <w:bCs/>
                <w:i/>
                <w:strike/>
                <w:sz w:val="20"/>
                <w:szCs w:val="20"/>
              </w:rPr>
              <w:t>of $ /kW-year</w:t>
            </w:r>
            <w:r w:rsidRPr="00DE2F8B">
              <w:rPr>
                <w:rFonts w:ascii="Calibri" w:hAnsi="Calibri"/>
                <w:bCs/>
                <w:i/>
                <w:sz w:val="20"/>
                <w:szCs w:val="20"/>
              </w:rPr>
              <w:t xml:space="preserve"> in accordance with Section 43.7.1, unless the Scheduling Coordinator for the CPM Capacity resource has agreed to another price that has been determined in accordance with Section 43.7.2.</w:t>
            </w:r>
            <w:r w:rsidRPr="00DE2F8B">
              <w:rPr>
                <w:rFonts w:ascii="Calibri" w:hAnsi="Calibri"/>
                <w:b/>
                <w:bCs/>
                <w:i/>
                <w:sz w:val="20"/>
                <w:szCs w:val="20"/>
              </w:rPr>
              <w:t>The monthly CPM Capacity price of $55/kW will be in effect for the period April 1, 2011 through December 31, 2012. The price will then be updated for the period January 1, 2013 through December 31, 2014 and subsequently updated every two years to be effective on a calendar year basis.</w:t>
            </w:r>
          </w:p>
          <w:p w14:paraId="59FDEA03" w14:textId="77777777" w:rsidR="00E90298" w:rsidRPr="00DE2F8B" w:rsidRDefault="00E90298" w:rsidP="00AA755B">
            <w:pPr>
              <w:tabs>
                <w:tab w:val="left" w:pos="2525"/>
              </w:tabs>
              <w:autoSpaceDE w:val="0"/>
              <w:autoSpaceDN w:val="0"/>
              <w:adjustRightInd w:val="0"/>
              <w:spacing w:before="120" w:after="120"/>
              <w:rPr>
                <w:rFonts w:ascii="Calibri" w:hAnsi="Calibri"/>
                <w:bCs/>
                <w:sz w:val="20"/>
                <w:szCs w:val="20"/>
              </w:rPr>
            </w:pPr>
            <w:r w:rsidRPr="00DE2F8B">
              <w:rPr>
                <w:rFonts w:ascii="Calibri" w:hAnsi="Calibri"/>
                <w:bCs/>
                <w:sz w:val="20"/>
                <w:szCs w:val="20"/>
              </w:rPr>
              <w:t>The timeline for updating the CPM Capacity price is an important element of the CAISO’s Revised Draft Final Proposal</w:t>
            </w:r>
            <w:r w:rsidRPr="00DE2F8B">
              <w:rPr>
                <w:rFonts w:ascii="Calibri" w:hAnsi="Calibri"/>
                <w:bCs/>
                <w:sz w:val="20"/>
                <w:szCs w:val="20"/>
                <w:vertAlign w:val="superscript"/>
              </w:rPr>
              <w:footnoteReference w:id="7"/>
            </w:r>
            <w:r w:rsidRPr="00DE2F8B">
              <w:rPr>
                <w:rFonts w:ascii="Calibri" w:hAnsi="Calibri"/>
                <w:bCs/>
                <w:sz w:val="20"/>
                <w:szCs w:val="20"/>
              </w:rPr>
              <w:t xml:space="preserve"> and should be specified in the tariff.</w:t>
            </w:r>
          </w:p>
        </w:tc>
      </w:tr>
      <w:tr w:rsidR="00E90298" w:rsidRPr="00EA25F7" w14:paraId="76744E8B" w14:textId="77777777" w:rsidTr="00E90298">
        <w:trPr>
          <w:tblHeader/>
        </w:trPr>
        <w:tc>
          <w:tcPr>
            <w:tcW w:w="0" w:type="auto"/>
          </w:tcPr>
          <w:p w14:paraId="20C9FFD4"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068234A"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CPUC</w:t>
            </w:r>
          </w:p>
        </w:tc>
        <w:tc>
          <w:tcPr>
            <w:tcW w:w="1278" w:type="dxa"/>
          </w:tcPr>
          <w:p w14:paraId="361E74FF"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General Comments</w:t>
            </w:r>
          </w:p>
        </w:tc>
        <w:tc>
          <w:tcPr>
            <w:tcW w:w="1199" w:type="dxa"/>
          </w:tcPr>
          <w:p w14:paraId="497B2D6F"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29, 2010</w:t>
            </w:r>
          </w:p>
        </w:tc>
        <w:tc>
          <w:tcPr>
            <w:tcW w:w="9614" w:type="dxa"/>
            <w:shd w:val="clear" w:color="auto" w:fill="auto"/>
          </w:tcPr>
          <w:p w14:paraId="158AD88A" w14:textId="77777777" w:rsidR="00E90298" w:rsidRPr="00BF611F" w:rsidRDefault="00E90298" w:rsidP="00BF611F">
            <w:pPr>
              <w:pStyle w:val="ListParagraph"/>
              <w:numPr>
                <w:ilvl w:val="0"/>
                <w:numId w:val="31"/>
              </w:numPr>
              <w:tabs>
                <w:tab w:val="left" w:pos="2525"/>
              </w:tabs>
              <w:autoSpaceDE w:val="0"/>
              <w:autoSpaceDN w:val="0"/>
              <w:adjustRightInd w:val="0"/>
              <w:spacing w:before="120" w:after="120"/>
              <w:rPr>
                <w:rFonts w:ascii="Calibri" w:hAnsi="Calibri"/>
                <w:bCs/>
                <w:sz w:val="20"/>
                <w:szCs w:val="20"/>
              </w:rPr>
            </w:pPr>
            <w:r w:rsidRPr="00BF611F">
              <w:rPr>
                <w:rFonts w:ascii="Calibri" w:hAnsi="Calibri"/>
                <w:bCs/>
                <w:sz w:val="20"/>
                <w:szCs w:val="20"/>
              </w:rPr>
              <w:t>The CAISO’s proposal goes beyond the conventional understanding of the purpose and function of the backstop, to offer up to a 12-month CPM designation contract for generation units that the CAISO believes are needed for reliability, but may shut down due to insufficient revenues.  This conflicts with State and federal law directing that California’s long-term procurement and resource adequacy requirements are established by State laws and policies.  The CPUC has established and operated a successful Resource Adequacy (RA) program that has resulted in drastic reductions in CAISO out-of-market procurement.  The CPM should be used only for incremental or unanticipated reliability needs that are not fulfilled through the CPUC’s RA procurement process.</w:t>
            </w:r>
          </w:p>
          <w:p w14:paraId="0AA1D81D" w14:textId="77777777" w:rsidR="00E90298" w:rsidRDefault="00E90298" w:rsidP="00BF611F">
            <w:pPr>
              <w:numPr>
                <w:ilvl w:val="0"/>
                <w:numId w:val="30"/>
              </w:numPr>
              <w:tabs>
                <w:tab w:val="clear" w:pos="360"/>
                <w:tab w:val="num" w:pos="1498"/>
                <w:tab w:val="left" w:pos="2525"/>
              </w:tabs>
              <w:autoSpaceDE w:val="0"/>
              <w:autoSpaceDN w:val="0"/>
              <w:adjustRightInd w:val="0"/>
              <w:spacing w:before="120" w:after="120"/>
              <w:rPr>
                <w:rFonts w:ascii="Calibri" w:hAnsi="Calibri"/>
                <w:bCs/>
                <w:sz w:val="20"/>
                <w:szCs w:val="20"/>
              </w:rPr>
            </w:pPr>
            <w:r w:rsidRPr="00BF611F">
              <w:rPr>
                <w:rFonts w:ascii="Calibri" w:hAnsi="Calibri"/>
                <w:bCs/>
                <w:sz w:val="20"/>
                <w:szCs w:val="20"/>
              </w:rPr>
              <w:t xml:space="preserve">e CAISO’s proposed CPM designation for units in danger of shutting down is inconsistent with efficient market design principles, where generating resources deemed unnecessary are allowed to leave the market.  </w:t>
            </w:r>
          </w:p>
          <w:p w14:paraId="7DEC89ED" w14:textId="77777777" w:rsidR="00E90298" w:rsidRPr="00BF611F" w:rsidRDefault="00E90298" w:rsidP="00DE2F8B">
            <w:pPr>
              <w:numPr>
                <w:ilvl w:val="0"/>
                <w:numId w:val="30"/>
              </w:numPr>
              <w:tabs>
                <w:tab w:val="clear" w:pos="360"/>
                <w:tab w:val="num" w:pos="1498"/>
                <w:tab w:val="left" w:pos="2525"/>
              </w:tabs>
              <w:autoSpaceDE w:val="0"/>
              <w:autoSpaceDN w:val="0"/>
              <w:adjustRightInd w:val="0"/>
              <w:spacing w:before="120" w:after="120"/>
              <w:rPr>
                <w:rFonts w:ascii="Calibri" w:hAnsi="Calibri"/>
                <w:bCs/>
                <w:sz w:val="20"/>
                <w:szCs w:val="20"/>
              </w:rPr>
            </w:pPr>
            <w:r w:rsidRPr="00BF611F">
              <w:rPr>
                <w:rFonts w:ascii="Calibri" w:hAnsi="Calibri"/>
                <w:bCs/>
                <w:sz w:val="20"/>
                <w:szCs w:val="20"/>
              </w:rPr>
              <w:t>In any event, this proposal is unnecessary because a mechanism to retain and compensate units needed for reliability already exists. The operation and maintenance standards in CPUC General Order 167 apply (with some limited exceptions) to</w:t>
            </w:r>
            <w:r w:rsidRPr="00BF611F">
              <w:rPr>
                <w:rFonts w:ascii="Calibri" w:hAnsi="Calibri"/>
                <w:bCs/>
                <w:i/>
                <w:sz w:val="20"/>
                <w:szCs w:val="20"/>
              </w:rPr>
              <w:t xml:space="preserve"> all</w:t>
            </w:r>
            <w:r w:rsidRPr="00BF611F">
              <w:rPr>
                <w:rFonts w:ascii="Calibri" w:hAnsi="Calibri"/>
                <w:bCs/>
                <w:sz w:val="20"/>
                <w:szCs w:val="20"/>
              </w:rPr>
              <w:t xml:space="preserve"> electric generating facilities located in California, inclusive non-utility generation.</w:t>
            </w:r>
            <w:r w:rsidRPr="00BF611F">
              <w:rPr>
                <w:rFonts w:ascii="Calibri" w:hAnsi="Calibri"/>
                <w:bCs/>
                <w:sz w:val="20"/>
                <w:szCs w:val="20"/>
                <w:vertAlign w:val="superscript"/>
              </w:rPr>
              <w:footnoteReference w:id="8"/>
            </w:r>
            <w:r w:rsidRPr="00BF611F">
              <w:rPr>
                <w:rFonts w:ascii="Calibri" w:hAnsi="Calibri"/>
                <w:bCs/>
                <w:sz w:val="20"/>
                <w:szCs w:val="20"/>
              </w:rPr>
              <w:t xml:space="preserve">  Operating Standard 24 requires resources to maintain their units in a state of “readiness” unless the CPUC (in consultation with the CAISO) has determined that they are not needed.  Operating Standard 24 recognizes that there must be just compensation provided to any resource for the “readiness” requirement.  The consultation process called for under Operating Standard 24 allows the CAISO and the CPUC to work together to ensure that needed resources are adequately compensated and not retired prematurely.  </w:t>
            </w:r>
          </w:p>
        </w:tc>
      </w:tr>
      <w:tr w:rsidR="00E90298" w:rsidRPr="00EA25F7" w14:paraId="395D3F67" w14:textId="77777777" w:rsidTr="00E90298">
        <w:trPr>
          <w:tblHeader/>
        </w:trPr>
        <w:tc>
          <w:tcPr>
            <w:tcW w:w="0" w:type="auto"/>
          </w:tcPr>
          <w:p w14:paraId="66F617AA"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9F6C7A0"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CPUC</w:t>
            </w:r>
          </w:p>
        </w:tc>
        <w:tc>
          <w:tcPr>
            <w:tcW w:w="1278" w:type="dxa"/>
          </w:tcPr>
          <w:p w14:paraId="5B550A0F"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General Comments</w:t>
            </w:r>
          </w:p>
        </w:tc>
        <w:tc>
          <w:tcPr>
            <w:tcW w:w="1199" w:type="dxa"/>
          </w:tcPr>
          <w:p w14:paraId="686FBF7B"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29, 2010</w:t>
            </w:r>
          </w:p>
        </w:tc>
        <w:tc>
          <w:tcPr>
            <w:tcW w:w="9614" w:type="dxa"/>
            <w:shd w:val="clear" w:color="auto" w:fill="auto"/>
          </w:tcPr>
          <w:p w14:paraId="2211D051" w14:textId="77777777" w:rsidR="00E90298" w:rsidRPr="00BF611F" w:rsidRDefault="00E90298" w:rsidP="00BF611F">
            <w:pPr>
              <w:numPr>
                <w:ilvl w:val="0"/>
                <w:numId w:val="30"/>
              </w:numPr>
              <w:tabs>
                <w:tab w:val="left" w:pos="8640"/>
              </w:tabs>
              <w:spacing w:after="120"/>
              <w:rPr>
                <w:rFonts w:ascii="Calibri" w:hAnsi="Calibri"/>
                <w:sz w:val="20"/>
                <w:szCs w:val="20"/>
              </w:rPr>
            </w:pPr>
            <w:r w:rsidRPr="00BF611F">
              <w:rPr>
                <w:rFonts w:ascii="Calibri" w:hAnsi="Calibri"/>
                <w:sz w:val="20"/>
                <w:szCs w:val="20"/>
              </w:rPr>
              <w:t>The proposal also presents a gaming opportunity for a plant seeking to leverage a CPM designation through a threat of retirement of the unit.</w:t>
            </w:r>
            <w:r w:rsidRPr="00BF611F">
              <w:rPr>
                <w:rStyle w:val="FootnoteReference"/>
                <w:rFonts w:ascii="Calibri" w:hAnsi="Calibri"/>
                <w:sz w:val="20"/>
                <w:szCs w:val="20"/>
              </w:rPr>
              <w:footnoteReference w:id="9"/>
            </w:r>
            <w:r w:rsidRPr="00BF611F">
              <w:rPr>
                <w:rFonts w:ascii="Calibri" w:hAnsi="Calibri"/>
                <w:sz w:val="20"/>
                <w:szCs w:val="20"/>
              </w:rPr>
              <w:t xml:space="preserve">  A generator may be able to predict its importance to the grid based on past history, its location in a Local Area or Subarea, or information from the various planning processes.   A generator could then threaten to retire in order to receive a CPM designation at a price higher than the current market for capacity.  In the present market, it is clear some generators are currently willing to enter in RA contracts with LSEs below the current $41/kw-yr backstop price, let alone the $55/kw-yr proposed for CPM.  The CAISO’s Market Surveillance Committee has acknowledged that a 12-month designation can create an incentive for units to threaten to retire and the “CPM payment can influence RA prices.”</w:t>
            </w:r>
            <w:r w:rsidRPr="00BF611F">
              <w:rPr>
                <w:rStyle w:val="FootnoteReference"/>
                <w:rFonts w:ascii="Calibri" w:hAnsi="Calibri"/>
                <w:sz w:val="20"/>
                <w:szCs w:val="20"/>
              </w:rPr>
              <w:footnoteReference w:id="10"/>
            </w:r>
          </w:p>
          <w:p w14:paraId="207165DB" w14:textId="77777777" w:rsidR="00E90298" w:rsidRPr="00BF611F" w:rsidRDefault="00E90298" w:rsidP="00BF611F">
            <w:pPr>
              <w:numPr>
                <w:ilvl w:val="1"/>
                <w:numId w:val="30"/>
              </w:numPr>
              <w:tabs>
                <w:tab w:val="left" w:pos="8640"/>
              </w:tabs>
              <w:spacing w:after="120"/>
              <w:rPr>
                <w:rFonts w:ascii="Calibri" w:hAnsi="Calibri"/>
                <w:sz w:val="20"/>
                <w:szCs w:val="20"/>
              </w:rPr>
            </w:pPr>
            <w:r w:rsidRPr="00BF611F">
              <w:rPr>
                <w:rFonts w:ascii="Calibri" w:hAnsi="Calibri"/>
                <w:sz w:val="20"/>
                <w:szCs w:val="20"/>
              </w:rPr>
              <w:t xml:space="preserve">In addition, many generating resources, particularly older and less efficient ones in Local Areas, are typically part of a fleet of resources owned by affiliated companies.  Affiliated companies could assign ownership of an individual resource to a particular entity to support a claim for economic subsidy, regardless of the overall profitability of other resources owned or operated by affiliated entities.  </w:t>
            </w:r>
          </w:p>
        </w:tc>
      </w:tr>
      <w:tr w:rsidR="00E90298" w:rsidRPr="00EA25F7" w14:paraId="06937560" w14:textId="77777777" w:rsidTr="00E90298">
        <w:trPr>
          <w:tblHeader/>
        </w:trPr>
        <w:tc>
          <w:tcPr>
            <w:tcW w:w="0" w:type="auto"/>
          </w:tcPr>
          <w:p w14:paraId="495618C7"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7015347"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CPUC</w:t>
            </w:r>
          </w:p>
        </w:tc>
        <w:tc>
          <w:tcPr>
            <w:tcW w:w="1278" w:type="dxa"/>
          </w:tcPr>
          <w:p w14:paraId="58E47B1F"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General Comments</w:t>
            </w:r>
          </w:p>
        </w:tc>
        <w:tc>
          <w:tcPr>
            <w:tcW w:w="1199" w:type="dxa"/>
          </w:tcPr>
          <w:p w14:paraId="5054342B" w14:textId="77777777" w:rsidR="00E90298" w:rsidRDefault="00E90298" w:rsidP="00AA755B">
            <w:pPr>
              <w:spacing w:before="120" w:after="120"/>
              <w:jc w:val="center"/>
              <w:rPr>
                <w:rFonts w:ascii="Calibri" w:hAnsi="Calibri" w:cs="Arial"/>
                <w:i/>
                <w:sz w:val="20"/>
                <w:szCs w:val="20"/>
              </w:rPr>
            </w:pPr>
            <w:r>
              <w:rPr>
                <w:rFonts w:ascii="Calibri" w:hAnsi="Calibri" w:cs="Arial"/>
                <w:i/>
                <w:sz w:val="20"/>
                <w:szCs w:val="20"/>
              </w:rPr>
              <w:t>October 29, 2010</w:t>
            </w:r>
          </w:p>
        </w:tc>
        <w:tc>
          <w:tcPr>
            <w:tcW w:w="9614" w:type="dxa"/>
            <w:shd w:val="clear" w:color="auto" w:fill="auto"/>
          </w:tcPr>
          <w:p w14:paraId="496242A4" w14:textId="77777777" w:rsidR="00E90298" w:rsidRDefault="00E90298" w:rsidP="00BF611F">
            <w:pPr>
              <w:numPr>
                <w:ilvl w:val="0"/>
                <w:numId w:val="30"/>
              </w:numPr>
              <w:tabs>
                <w:tab w:val="left" w:pos="8640"/>
              </w:tabs>
              <w:spacing w:after="120"/>
              <w:rPr>
                <w:rFonts w:ascii="Calibri" w:hAnsi="Calibri"/>
                <w:sz w:val="20"/>
                <w:szCs w:val="20"/>
              </w:rPr>
            </w:pPr>
            <w:r w:rsidRPr="00BF611F">
              <w:rPr>
                <w:rFonts w:ascii="Calibri" w:hAnsi="Calibri"/>
                <w:sz w:val="20"/>
                <w:szCs w:val="20"/>
              </w:rPr>
              <w:t xml:space="preserve">It is also not clear that the CAISO can accurately predict what capacity will be needed over the next two years to justify up to a 12-month CPM designation without relying on data from the year’s Local Capacity Technical Analysis (LCR) study, which may not be available at the time the CAISO makes the determination of whether to offer a CPM designation.  The LCR study provides the basis for single-year Local RA obligations for the next compliance year. </w:t>
            </w:r>
          </w:p>
          <w:p w14:paraId="59A3726E" w14:textId="77777777" w:rsidR="00E90298" w:rsidRPr="00BF611F" w:rsidRDefault="00E90298" w:rsidP="00BF611F">
            <w:pPr>
              <w:numPr>
                <w:ilvl w:val="0"/>
                <w:numId w:val="30"/>
              </w:numPr>
              <w:tabs>
                <w:tab w:val="left" w:pos="8640"/>
              </w:tabs>
              <w:spacing w:after="120"/>
              <w:rPr>
                <w:rFonts w:ascii="Calibri" w:hAnsi="Calibri"/>
                <w:sz w:val="20"/>
                <w:szCs w:val="20"/>
              </w:rPr>
            </w:pPr>
            <w:r w:rsidRPr="00BF611F">
              <w:rPr>
                <w:rFonts w:ascii="Calibri" w:hAnsi="Calibri"/>
                <w:sz w:val="20"/>
                <w:szCs w:val="20"/>
              </w:rPr>
              <w:t xml:space="preserve">The proposed process to conduct due diligence to justify up to a 12-month CPM designation cannot support a legitimate determination regarding the financial status of the generator.  The substance of the required affidavit and financial documentation, are not clearly defined, including the standards governing the supporting documentation (e.g., Generally Accepted Accounting Principles (GAAP), Financial Accounting Standards Board (FASP) or Sarbanes Oxley).  Similarly, no standards are described for determination of whether a resource should be economically subsidized; the lack of a transparent or objective process is in stark contrast to the review processes to test and verify other claims made by generators, such as PMax or deliverability.  Moreover, generation unit owners’ calculation of expected market revenues will be based on subjective and speculative assumptions.  </w:t>
            </w:r>
          </w:p>
          <w:p w14:paraId="6E69D288" w14:textId="77777777" w:rsidR="00E90298" w:rsidRPr="00BF611F" w:rsidRDefault="00E90298" w:rsidP="00BF611F">
            <w:pPr>
              <w:numPr>
                <w:ilvl w:val="0"/>
                <w:numId w:val="30"/>
              </w:numPr>
              <w:tabs>
                <w:tab w:val="left" w:pos="8640"/>
              </w:tabs>
              <w:spacing w:after="120"/>
              <w:rPr>
                <w:rFonts w:ascii="Calibri" w:hAnsi="Calibri"/>
                <w:sz w:val="20"/>
                <w:szCs w:val="20"/>
              </w:rPr>
            </w:pPr>
            <w:r w:rsidRPr="00BF611F">
              <w:rPr>
                <w:rFonts w:ascii="Calibri" w:hAnsi="Calibri"/>
                <w:sz w:val="20"/>
                <w:szCs w:val="20"/>
              </w:rPr>
              <w:t xml:space="preserve">CPUC supports not using a higher level of payment for CPM, such as CONE.  CPM is for short-term backstop procurement, not to incent investment.  The proposed $55/kW-year prices is above prices observed in the current capacity markets and therefore risks raising prices for capacity in the CPUC’s RA program.  </w:t>
            </w:r>
          </w:p>
          <w:p w14:paraId="6CBE8CD0" w14:textId="77777777" w:rsidR="00E90298" w:rsidRPr="00BF611F" w:rsidRDefault="00E90298" w:rsidP="00BF611F">
            <w:pPr>
              <w:numPr>
                <w:ilvl w:val="0"/>
                <w:numId w:val="30"/>
              </w:numPr>
              <w:tabs>
                <w:tab w:val="left" w:pos="8640"/>
              </w:tabs>
              <w:spacing w:after="120"/>
              <w:rPr>
                <w:rFonts w:ascii="Calibri" w:hAnsi="Calibri"/>
                <w:sz w:val="20"/>
                <w:szCs w:val="20"/>
              </w:rPr>
            </w:pPr>
            <w:bookmarkStart w:id="6" w:name="OLE_LINK1"/>
            <w:r w:rsidRPr="00BF611F">
              <w:rPr>
                <w:rFonts w:ascii="Calibri" w:hAnsi="Calibri"/>
                <w:sz w:val="20"/>
                <w:szCs w:val="20"/>
              </w:rPr>
              <w:t xml:space="preserve">The CPM should have a two-year sunset because of numerous pending market design changes. </w:t>
            </w:r>
            <w:bookmarkEnd w:id="6"/>
          </w:p>
          <w:p w14:paraId="652CE67F" w14:textId="77777777" w:rsidR="00E90298" w:rsidRPr="00BF611F" w:rsidRDefault="00E90298" w:rsidP="00BF611F">
            <w:pPr>
              <w:numPr>
                <w:ilvl w:val="0"/>
                <w:numId w:val="30"/>
              </w:numPr>
              <w:tabs>
                <w:tab w:val="left" w:pos="8640"/>
              </w:tabs>
              <w:spacing w:after="120"/>
              <w:rPr>
                <w:rFonts w:ascii="Calibri" w:hAnsi="Calibri"/>
                <w:sz w:val="20"/>
                <w:szCs w:val="20"/>
              </w:rPr>
            </w:pPr>
            <w:r w:rsidRPr="00BF611F">
              <w:rPr>
                <w:rFonts w:ascii="Calibri" w:hAnsi="Calibri"/>
                <w:sz w:val="20"/>
                <w:szCs w:val="20"/>
              </w:rPr>
              <w:t xml:space="preserve">For the above reasons, the CPUC respectfully requests that the CAISO withdraw sections 43.2.6, 43.3.7, and 43.8.7 of its Draft Tariff Language before submitting to FERC for approval.  </w:t>
            </w:r>
          </w:p>
        </w:tc>
      </w:tr>
      <w:tr w:rsidR="00E90298" w:rsidRPr="00EA25F7" w14:paraId="79A7F3F9" w14:textId="77777777" w:rsidTr="00E90298">
        <w:trPr>
          <w:tblHeader/>
        </w:trPr>
        <w:tc>
          <w:tcPr>
            <w:tcW w:w="0" w:type="auto"/>
          </w:tcPr>
          <w:p w14:paraId="620A922E" w14:textId="77777777" w:rsidR="00E90298" w:rsidRPr="00EA25F7" w:rsidRDefault="00E9029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A96D24A"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PGE</w:t>
            </w:r>
          </w:p>
        </w:tc>
        <w:tc>
          <w:tcPr>
            <w:tcW w:w="1278" w:type="dxa"/>
          </w:tcPr>
          <w:p w14:paraId="170E4A16"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Grammatical Errors</w:t>
            </w:r>
          </w:p>
        </w:tc>
        <w:tc>
          <w:tcPr>
            <w:tcW w:w="1199" w:type="dxa"/>
          </w:tcPr>
          <w:p w14:paraId="1A3CE25F" w14:textId="77777777" w:rsidR="00E90298" w:rsidRPr="00EA25F7" w:rsidRDefault="00E90298" w:rsidP="00AA755B">
            <w:pPr>
              <w:spacing w:before="120" w:after="120"/>
              <w:jc w:val="center"/>
              <w:rPr>
                <w:rFonts w:ascii="Calibri" w:hAnsi="Calibri" w:cs="Arial"/>
                <w:i/>
                <w:sz w:val="20"/>
                <w:szCs w:val="20"/>
              </w:rPr>
            </w:pPr>
            <w:r>
              <w:rPr>
                <w:rFonts w:ascii="Calibri" w:hAnsi="Calibri" w:cs="Arial"/>
                <w:i/>
                <w:sz w:val="20"/>
                <w:szCs w:val="20"/>
              </w:rPr>
              <w:t>October 27, 2010</w:t>
            </w:r>
          </w:p>
        </w:tc>
        <w:tc>
          <w:tcPr>
            <w:tcW w:w="9614" w:type="dxa"/>
            <w:shd w:val="clear" w:color="auto" w:fill="auto"/>
          </w:tcPr>
          <w:p w14:paraId="2CC508B7" w14:textId="77777777" w:rsidR="00E90298" w:rsidRPr="00DE2F8B" w:rsidRDefault="00E90298" w:rsidP="00DE2F8B">
            <w:pPr>
              <w:tabs>
                <w:tab w:val="left" w:pos="2525"/>
              </w:tabs>
              <w:autoSpaceDE w:val="0"/>
              <w:autoSpaceDN w:val="0"/>
              <w:adjustRightInd w:val="0"/>
              <w:spacing w:before="120" w:after="120"/>
              <w:rPr>
                <w:rFonts w:ascii="Calibri" w:hAnsi="Calibri"/>
                <w:bCs/>
                <w:sz w:val="20"/>
                <w:szCs w:val="20"/>
              </w:rPr>
            </w:pPr>
            <w:r w:rsidRPr="00DE2F8B">
              <w:rPr>
                <w:rFonts w:ascii="Calibri" w:hAnsi="Calibri"/>
                <w:b/>
                <w:bCs/>
                <w:sz w:val="20"/>
                <w:szCs w:val="20"/>
              </w:rPr>
              <w:t>Section 40.9.7.3 (line 13):</w:t>
            </w:r>
            <w:r w:rsidRPr="00DE2F8B">
              <w:rPr>
                <w:rFonts w:ascii="Calibri" w:hAnsi="Calibri"/>
                <w:bCs/>
                <w:sz w:val="20"/>
                <w:szCs w:val="20"/>
              </w:rPr>
              <w:t xml:space="preserve"> In the second paragraph, there is an extra space between “Availability” and “Standard”.</w:t>
            </w:r>
          </w:p>
          <w:p w14:paraId="1DEC22C8" w14:textId="77777777" w:rsidR="00E90298" w:rsidRPr="00DE2F8B" w:rsidRDefault="00E90298" w:rsidP="00DE2F8B">
            <w:pPr>
              <w:tabs>
                <w:tab w:val="left" w:pos="2525"/>
              </w:tabs>
              <w:autoSpaceDE w:val="0"/>
              <w:autoSpaceDN w:val="0"/>
              <w:adjustRightInd w:val="0"/>
              <w:spacing w:before="120" w:after="120"/>
              <w:rPr>
                <w:rFonts w:ascii="Calibri" w:hAnsi="Calibri"/>
                <w:bCs/>
                <w:sz w:val="20"/>
                <w:szCs w:val="20"/>
              </w:rPr>
            </w:pPr>
            <w:r w:rsidRPr="00DE2F8B">
              <w:rPr>
                <w:rFonts w:ascii="Calibri" w:hAnsi="Calibri"/>
                <w:b/>
                <w:bCs/>
                <w:sz w:val="20"/>
                <w:szCs w:val="20"/>
              </w:rPr>
              <w:t>Section 43.2.2 (line 10):</w:t>
            </w:r>
            <w:r w:rsidRPr="00DE2F8B">
              <w:rPr>
                <w:rFonts w:ascii="Calibri" w:hAnsi="Calibri"/>
                <w:bCs/>
                <w:sz w:val="20"/>
                <w:szCs w:val="20"/>
              </w:rPr>
              <w:t xml:space="preserve"> There is an extra period after the phrase “Section 43.2.2”.</w:t>
            </w:r>
          </w:p>
          <w:p w14:paraId="06FF2562" w14:textId="77777777" w:rsidR="00E90298" w:rsidRPr="00DE2F8B" w:rsidRDefault="00E90298" w:rsidP="00DE2F8B">
            <w:pPr>
              <w:tabs>
                <w:tab w:val="left" w:pos="2525"/>
              </w:tabs>
              <w:autoSpaceDE w:val="0"/>
              <w:autoSpaceDN w:val="0"/>
              <w:adjustRightInd w:val="0"/>
              <w:spacing w:before="120" w:after="120"/>
              <w:rPr>
                <w:rFonts w:ascii="Calibri" w:hAnsi="Calibri"/>
                <w:bCs/>
                <w:sz w:val="20"/>
                <w:szCs w:val="20"/>
              </w:rPr>
            </w:pPr>
            <w:r w:rsidRPr="00DE2F8B">
              <w:rPr>
                <w:rFonts w:ascii="Calibri" w:hAnsi="Calibri"/>
                <w:b/>
                <w:bCs/>
                <w:sz w:val="20"/>
                <w:szCs w:val="20"/>
              </w:rPr>
              <w:t>Section 43.7.2.2 (line 6):</w:t>
            </w:r>
            <w:r w:rsidRPr="00DE2F8B">
              <w:rPr>
                <w:rFonts w:ascii="Calibri" w:hAnsi="Calibri"/>
                <w:bCs/>
                <w:sz w:val="20"/>
                <w:szCs w:val="20"/>
              </w:rPr>
              <w:t xml:space="preserve"> There is an extra space between “Outages,” and “in.”</w:t>
            </w:r>
          </w:p>
          <w:p w14:paraId="0549C219" w14:textId="77777777" w:rsidR="00E90298" w:rsidRPr="00DE2F8B" w:rsidRDefault="00E90298" w:rsidP="00AA755B">
            <w:pPr>
              <w:tabs>
                <w:tab w:val="left" w:pos="2525"/>
              </w:tabs>
              <w:autoSpaceDE w:val="0"/>
              <w:autoSpaceDN w:val="0"/>
              <w:adjustRightInd w:val="0"/>
              <w:spacing w:before="120" w:after="120"/>
              <w:rPr>
                <w:rFonts w:ascii="Calibri" w:hAnsi="Calibri"/>
                <w:b/>
                <w:bCs/>
                <w:i/>
                <w:iCs/>
                <w:sz w:val="20"/>
                <w:szCs w:val="20"/>
              </w:rPr>
            </w:pPr>
            <w:bookmarkStart w:id="7" w:name="97ab1522-9c19-4a89-868a-5f76fcdc6915"/>
            <w:r w:rsidRPr="00DE2F8B">
              <w:rPr>
                <w:rFonts w:ascii="Calibri" w:hAnsi="Calibri"/>
                <w:b/>
                <w:bCs/>
                <w:iCs/>
                <w:sz w:val="20"/>
                <w:szCs w:val="20"/>
              </w:rPr>
              <w:t>Section 43.9</w:t>
            </w:r>
            <w:bookmarkEnd w:id="7"/>
            <w:r w:rsidRPr="00DE2F8B">
              <w:rPr>
                <w:rFonts w:ascii="Calibri" w:hAnsi="Calibri"/>
                <w:b/>
                <w:bCs/>
                <w:iCs/>
                <w:sz w:val="20"/>
                <w:szCs w:val="20"/>
              </w:rPr>
              <w:t>:</w:t>
            </w:r>
            <w:r w:rsidRPr="00DE2F8B">
              <w:rPr>
                <w:rFonts w:ascii="Calibri" w:hAnsi="Calibri"/>
                <w:bCs/>
                <w:iCs/>
                <w:sz w:val="20"/>
                <w:szCs w:val="20"/>
              </w:rPr>
              <w:t xml:space="preserve"> There are two subsections entitled “e” (the second subsection should be entitled “f”). The second subsection entitled “e” (line 2) should have an added space between “Section,” and “in.”</w:t>
            </w:r>
          </w:p>
        </w:tc>
      </w:tr>
    </w:tbl>
    <w:p w14:paraId="3B478ED2" w14:textId="77777777" w:rsidR="00BF611F" w:rsidRDefault="00BF611F" w:rsidP="001F109D">
      <w:pPr>
        <w:rPr>
          <w:rFonts w:ascii="Arial" w:hAnsi="Arial" w:cs="Arial"/>
          <w:sz w:val="16"/>
          <w:szCs w:val="16"/>
        </w:rPr>
      </w:pPr>
    </w:p>
    <w:p w14:paraId="433ECF67" w14:textId="77777777" w:rsidR="00D94BB1" w:rsidRPr="00E93739" w:rsidRDefault="00AA755B" w:rsidP="001F109D">
      <w:pPr>
        <w:rPr>
          <w:rFonts w:ascii="Arial" w:hAnsi="Arial" w:cs="Arial"/>
          <w:sz w:val="16"/>
          <w:szCs w:val="16"/>
        </w:rPr>
      </w:pPr>
      <w:r>
        <w:rPr>
          <w:rFonts w:ascii="Arial" w:hAnsi="Arial" w:cs="Arial"/>
          <w:sz w:val="16"/>
          <w:szCs w:val="16"/>
        </w:rPr>
        <w:br w:type="textWrapping" w:clear="all"/>
      </w:r>
      <w:r w:rsidR="000D538B" w:rsidRPr="00E93739">
        <w:rPr>
          <w:rFonts w:ascii="Arial" w:hAnsi="Arial" w:cs="Arial"/>
          <w:sz w:val="16"/>
          <w:szCs w:val="16"/>
        </w:rPr>
        <w:tab/>
      </w:r>
      <w:r w:rsidR="000D538B" w:rsidRPr="00E93739">
        <w:rPr>
          <w:rFonts w:ascii="Arial" w:hAnsi="Arial" w:cs="Arial"/>
          <w:sz w:val="16"/>
          <w:szCs w:val="16"/>
        </w:rPr>
        <w:tab/>
      </w:r>
      <w:r w:rsidR="000D538B" w:rsidRPr="00E93739">
        <w:rPr>
          <w:rFonts w:ascii="Arial" w:hAnsi="Arial" w:cs="Arial"/>
          <w:sz w:val="16"/>
          <w:szCs w:val="16"/>
        </w:rPr>
        <w:tab/>
      </w:r>
      <w:r w:rsidR="000D538B" w:rsidRPr="00E93739">
        <w:rPr>
          <w:rFonts w:ascii="Arial" w:hAnsi="Arial" w:cs="Arial"/>
          <w:sz w:val="16"/>
          <w:szCs w:val="16"/>
        </w:rPr>
        <w:tab/>
      </w:r>
    </w:p>
    <w:sectPr w:rsidR="00D94BB1" w:rsidRPr="00E93739" w:rsidSect="00E104F1">
      <w:headerReference w:type="default" r:id="rId12"/>
      <w:footerReference w:type="default" r:id="rId13"/>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67E7D" w14:textId="77777777" w:rsidR="000D1B9A" w:rsidRDefault="000D1B9A" w:rsidP="00833950">
      <w:r>
        <w:separator/>
      </w:r>
    </w:p>
  </w:endnote>
  <w:endnote w:type="continuationSeparator" w:id="0">
    <w:p w14:paraId="0F7EAFE8" w14:textId="77777777" w:rsidR="000D1B9A" w:rsidRDefault="000D1B9A" w:rsidP="0083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E657" w14:textId="77777777" w:rsidR="00C36A13" w:rsidRDefault="008038FA">
    <w:pPr>
      <w:pStyle w:val="Footer"/>
      <w:jc w:val="center"/>
    </w:pPr>
    <w:r w:rsidRPr="0066796D">
      <w:rPr>
        <w:rFonts w:ascii="Arial" w:hAnsi="Arial" w:cs="Arial"/>
        <w:sz w:val="20"/>
        <w:szCs w:val="20"/>
      </w:rPr>
      <w:fldChar w:fldCharType="begin"/>
    </w:r>
    <w:r w:rsidR="00C36A13" w:rsidRPr="0066796D">
      <w:rPr>
        <w:rFonts w:ascii="Arial" w:hAnsi="Arial" w:cs="Arial"/>
        <w:sz w:val="20"/>
        <w:szCs w:val="20"/>
      </w:rPr>
      <w:instrText xml:space="preserve"> PAGE   \* MERGEFORMAT </w:instrText>
    </w:r>
    <w:r w:rsidRPr="0066796D">
      <w:rPr>
        <w:rFonts w:ascii="Arial" w:hAnsi="Arial" w:cs="Arial"/>
        <w:sz w:val="20"/>
        <w:szCs w:val="20"/>
      </w:rPr>
      <w:fldChar w:fldCharType="separate"/>
    </w:r>
    <w:r w:rsidR="00D93A5F">
      <w:rPr>
        <w:rFonts w:ascii="Arial" w:hAnsi="Arial" w:cs="Arial"/>
        <w:noProof/>
        <w:sz w:val="20"/>
        <w:szCs w:val="20"/>
      </w:rPr>
      <w:t>1</w:t>
    </w:r>
    <w:r w:rsidRPr="0066796D">
      <w:rPr>
        <w:rFonts w:ascii="Arial" w:hAnsi="Arial" w:cs="Arial"/>
        <w:sz w:val="20"/>
        <w:szCs w:val="20"/>
      </w:rPr>
      <w:fldChar w:fldCharType="end"/>
    </w:r>
  </w:p>
  <w:p w14:paraId="45D45F29" w14:textId="77777777" w:rsidR="00C36A13" w:rsidRDefault="00C36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52954" w14:textId="77777777" w:rsidR="000D1B9A" w:rsidRDefault="000D1B9A" w:rsidP="00833950">
      <w:r>
        <w:separator/>
      </w:r>
    </w:p>
  </w:footnote>
  <w:footnote w:type="continuationSeparator" w:id="0">
    <w:p w14:paraId="24ACD86F" w14:textId="77777777" w:rsidR="000D1B9A" w:rsidRDefault="000D1B9A" w:rsidP="00833950">
      <w:r>
        <w:continuationSeparator/>
      </w:r>
    </w:p>
  </w:footnote>
  <w:footnote w:id="1">
    <w:p w14:paraId="625F649A" w14:textId="77777777" w:rsidR="00E90298" w:rsidRPr="00FB5559" w:rsidRDefault="00E90298" w:rsidP="007E01B0">
      <w:pPr>
        <w:autoSpaceDE w:val="0"/>
        <w:autoSpaceDN w:val="0"/>
        <w:adjustRightInd w:val="0"/>
        <w:rPr>
          <w:sz w:val="20"/>
          <w:szCs w:val="20"/>
        </w:rPr>
      </w:pPr>
      <w:r w:rsidRPr="00FB5559">
        <w:rPr>
          <w:rStyle w:val="FootnoteReference"/>
          <w:sz w:val="20"/>
          <w:szCs w:val="20"/>
        </w:rPr>
        <w:footnoteRef/>
      </w:r>
      <w:r w:rsidRPr="00FB5559">
        <w:rPr>
          <w:sz w:val="20"/>
          <w:szCs w:val="20"/>
        </w:rPr>
        <w:t xml:space="preserve"> See PG&amp;E’s stakeholder comments:  </w:t>
      </w:r>
      <w:hyperlink r:id="rId1" w:history="1">
        <w:r w:rsidRPr="00FB5559">
          <w:rPr>
            <w:rStyle w:val="Hyperlink"/>
            <w:sz w:val="20"/>
            <w:szCs w:val="20"/>
          </w:rPr>
          <w:t>http://www.caiso.com/2821/2821927940df0.pdf</w:t>
        </w:r>
      </w:hyperlink>
      <w:r w:rsidRPr="00FB5559">
        <w:rPr>
          <w:sz w:val="20"/>
          <w:szCs w:val="20"/>
        </w:rPr>
        <w:t xml:space="preserve"> </w:t>
      </w:r>
    </w:p>
    <w:p w14:paraId="00A35844" w14:textId="77777777" w:rsidR="00E90298" w:rsidRPr="00FB5559" w:rsidRDefault="00E90298" w:rsidP="007E01B0">
      <w:pPr>
        <w:pStyle w:val="FootnoteText"/>
      </w:pPr>
    </w:p>
  </w:footnote>
  <w:footnote w:id="2">
    <w:p w14:paraId="157DE6E6" w14:textId="77777777" w:rsidR="00E90298" w:rsidRDefault="00E90298" w:rsidP="00DE2F8B">
      <w:pPr>
        <w:pStyle w:val="FootnoteText"/>
      </w:pPr>
      <w:r>
        <w:rPr>
          <w:rStyle w:val="FootnoteReference"/>
        </w:rPr>
        <w:footnoteRef/>
      </w:r>
      <w:r>
        <w:t xml:space="preserve"> Section 43 uses the phrase “LSE’s Demand and Reserve Margin requirements,” to refer to Section 40 (the section that describes the LSE’s Resource Adequacy obligations). This phrase, however, is not found in Section 40.</w:t>
      </w:r>
    </w:p>
    <w:p w14:paraId="1A0FAFE5" w14:textId="77777777" w:rsidR="00E90298" w:rsidRPr="00D60670" w:rsidRDefault="00E90298" w:rsidP="00DE2F8B">
      <w:pPr>
        <w:pStyle w:val="FootnoteText"/>
      </w:pPr>
    </w:p>
  </w:footnote>
  <w:footnote w:id="3">
    <w:p w14:paraId="66DB94DB" w14:textId="77777777" w:rsidR="00E90298" w:rsidRPr="000B4866" w:rsidRDefault="00E90298" w:rsidP="000B4866">
      <w:pPr>
        <w:pStyle w:val="FootnoteText"/>
      </w:pPr>
    </w:p>
  </w:footnote>
  <w:footnote w:id="4">
    <w:p w14:paraId="10EA81A5" w14:textId="77777777" w:rsidR="00E90298" w:rsidRDefault="00E90298" w:rsidP="000B4866">
      <w:pPr>
        <w:autoSpaceDE w:val="0"/>
        <w:autoSpaceDN w:val="0"/>
        <w:adjustRightInd w:val="0"/>
        <w:rPr>
          <w:rFonts w:ascii="Arial" w:hAnsi="Arial" w:cs="Arial"/>
          <w:sz w:val="16"/>
          <w:szCs w:val="16"/>
        </w:rPr>
      </w:pPr>
      <w:r>
        <w:rPr>
          <w:rStyle w:val="FootnoteReference"/>
        </w:rPr>
        <w:footnoteRef/>
      </w:r>
      <w:r>
        <w:t xml:space="preserve"> </w:t>
      </w:r>
      <w:r>
        <w:rPr>
          <w:rFonts w:ascii="Arial" w:hAnsi="Arial" w:cs="Arial"/>
          <w:sz w:val="16"/>
          <w:szCs w:val="16"/>
        </w:rPr>
        <w:t xml:space="preserve">Business Requirements Specification: Capacity Procurement Mechanism, and Compensation and Bid Mitigation for Exceptional Dispatch (CPM).  Version 1.0, </w:t>
      </w:r>
      <w:smartTag w:uri="urn:schemas-microsoft-com:office:smarttags" w:element="date">
        <w:smartTagPr>
          <w:attr w:name="Month" w:val="10"/>
          <w:attr w:name="Day" w:val="21"/>
          <w:attr w:name="Year" w:val="2010"/>
        </w:smartTagPr>
        <w:r>
          <w:rPr>
            <w:rFonts w:ascii="Arial" w:hAnsi="Arial" w:cs="Arial"/>
            <w:sz w:val="16"/>
            <w:szCs w:val="16"/>
          </w:rPr>
          <w:t>October 21, 2010</w:t>
        </w:r>
      </w:smartTag>
      <w:r>
        <w:rPr>
          <w:rFonts w:ascii="Arial" w:hAnsi="Arial" w:cs="Arial"/>
          <w:sz w:val="16"/>
          <w:szCs w:val="16"/>
        </w:rPr>
        <w:t xml:space="preserve"> (pg 11 of 16)</w:t>
      </w:r>
    </w:p>
    <w:p w14:paraId="0F7C5E47" w14:textId="77777777" w:rsidR="00E90298" w:rsidRDefault="00E90298" w:rsidP="000B4866">
      <w:pPr>
        <w:pStyle w:val="FootnoteText"/>
      </w:pPr>
    </w:p>
  </w:footnote>
  <w:footnote w:id="5">
    <w:p w14:paraId="31397A46" w14:textId="77777777" w:rsidR="00E90298" w:rsidRDefault="00E90298" w:rsidP="000B4866">
      <w:pPr>
        <w:pStyle w:val="FootnoteText"/>
        <w:rPr>
          <w:rFonts w:ascii="Arial" w:hAnsi="Arial" w:cs="Arial"/>
          <w:bCs/>
          <w:sz w:val="16"/>
          <w:szCs w:val="16"/>
        </w:rPr>
      </w:pPr>
      <w:r>
        <w:rPr>
          <w:rStyle w:val="FootnoteReference"/>
        </w:rPr>
        <w:footnoteRef/>
      </w:r>
      <w:r>
        <w:t xml:space="preserve"> </w:t>
      </w:r>
      <w:r>
        <w:rPr>
          <w:rFonts w:ascii="Arial" w:hAnsi="Arial" w:cs="Arial"/>
          <w:sz w:val="16"/>
          <w:szCs w:val="16"/>
        </w:rPr>
        <w:t xml:space="preserve">DMMS’s comments on the CAISO’s </w:t>
      </w:r>
      <w:r>
        <w:rPr>
          <w:rFonts w:ascii="Arial" w:hAnsi="Arial" w:cs="Arial"/>
          <w:bCs/>
          <w:sz w:val="16"/>
          <w:szCs w:val="16"/>
        </w:rPr>
        <w:t xml:space="preserve">Revised Draft Final Proposal on CPM et al. </w:t>
      </w:r>
      <w:smartTag w:uri="urn:schemas-microsoft-com:office:smarttags" w:element="date">
        <w:smartTagPr>
          <w:attr w:name="Month" w:val="10"/>
          <w:attr w:name="Day" w:val="5"/>
          <w:attr w:name="Year" w:val="2010"/>
        </w:smartTagPr>
        <w:r>
          <w:rPr>
            <w:rFonts w:ascii="Arial" w:hAnsi="Arial" w:cs="Arial"/>
            <w:bCs/>
            <w:sz w:val="16"/>
            <w:szCs w:val="16"/>
          </w:rPr>
          <w:t>Oct 5, 2010</w:t>
        </w:r>
      </w:smartTag>
      <w:r>
        <w:rPr>
          <w:rFonts w:ascii="Arial" w:hAnsi="Arial" w:cs="Arial"/>
          <w:bCs/>
          <w:sz w:val="16"/>
          <w:szCs w:val="16"/>
        </w:rPr>
        <w:t xml:space="preserve"> (pg 5-6) http://www.caiso.com/2827/2827ab1b602a0.pdf</w:t>
      </w:r>
    </w:p>
  </w:footnote>
  <w:footnote w:id="6">
    <w:p w14:paraId="051496EA" w14:textId="77777777" w:rsidR="00E90298" w:rsidRDefault="00E90298" w:rsidP="00DE2F8B">
      <w:pPr>
        <w:pStyle w:val="FootnoteText"/>
      </w:pPr>
      <w:r>
        <w:rPr>
          <w:rStyle w:val="FootnoteReference"/>
        </w:rPr>
        <w:footnoteRef/>
      </w:r>
      <w:r>
        <w:t xml:space="preserve"> Please note that the text in bold represents suggested additions to the tariff language.</w:t>
      </w:r>
    </w:p>
  </w:footnote>
  <w:footnote w:id="7">
    <w:p w14:paraId="01EE4D6D" w14:textId="77777777" w:rsidR="00E90298" w:rsidRDefault="00E90298" w:rsidP="00DE2F8B">
      <w:r w:rsidRPr="00D60670">
        <w:rPr>
          <w:rStyle w:val="FootnoteReference"/>
          <w:sz w:val="20"/>
          <w:szCs w:val="20"/>
        </w:rPr>
        <w:footnoteRef/>
      </w:r>
      <w:r w:rsidRPr="00D60670">
        <w:rPr>
          <w:sz w:val="20"/>
          <w:szCs w:val="20"/>
        </w:rPr>
        <w:t xml:space="preserve"> See page 36 of Revised Draft Final Proposal:</w:t>
      </w:r>
      <w:r>
        <w:t xml:space="preserve"> </w:t>
      </w:r>
      <w:hyperlink r:id="rId2" w:history="1">
        <w:r w:rsidRPr="00D60670">
          <w:rPr>
            <w:rStyle w:val="Hyperlink"/>
            <w:sz w:val="20"/>
            <w:szCs w:val="20"/>
          </w:rPr>
          <w:t>http://www.caiso.com/2812/281211a4d4cf70.pdf</w:t>
        </w:r>
      </w:hyperlink>
    </w:p>
    <w:p w14:paraId="2E1D0DD7" w14:textId="77777777" w:rsidR="00E90298" w:rsidRPr="00D60670" w:rsidRDefault="00E90298" w:rsidP="00DE2F8B">
      <w:pPr>
        <w:pStyle w:val="FootnoteText"/>
      </w:pPr>
    </w:p>
  </w:footnote>
  <w:footnote w:id="8">
    <w:p w14:paraId="2BA8B046" w14:textId="77777777" w:rsidR="00E90298" w:rsidRDefault="00E90298" w:rsidP="00BF611F">
      <w:pPr>
        <w:pStyle w:val="FootnoteText"/>
      </w:pPr>
      <w:r>
        <w:rPr>
          <w:rStyle w:val="FootnoteReference"/>
        </w:rPr>
        <w:footnoteRef/>
      </w:r>
      <w:r>
        <w:rPr>
          <w:i/>
        </w:rPr>
        <w:t xml:space="preserve"> See</w:t>
      </w:r>
      <w:r>
        <w:t xml:space="preserve"> </w:t>
      </w:r>
      <w:smartTag w:uri="urn:schemas-microsoft-com:office:smarttags" w:element="place">
        <w:smartTag w:uri="urn:schemas-microsoft-com:office:smarttags" w:element="State">
          <w:r>
            <w:t>Cal.</w:t>
          </w:r>
        </w:smartTag>
      </w:smartTag>
      <w:r>
        <w:t xml:space="preserve"> Pub. Util. Code § 761.3(a); General Order 167, § 2.9 (Definition of “Generating Asset Owner;” and CPUC Decision D.06-06-069 upheld the legality of Operating Standards 22, 23 and 24.</w:t>
      </w:r>
    </w:p>
  </w:footnote>
  <w:footnote w:id="9">
    <w:p w14:paraId="017F3CA2" w14:textId="77777777" w:rsidR="00E90298" w:rsidRDefault="00E90298" w:rsidP="00BF611F">
      <w:pPr>
        <w:pStyle w:val="FootnoteText"/>
      </w:pPr>
      <w:r>
        <w:rPr>
          <w:rStyle w:val="FootnoteReference"/>
        </w:rPr>
        <w:footnoteRef/>
      </w:r>
      <w:r>
        <w:t xml:space="preserve"> See also the Opinion on the Capacity Procurement Mechanism and Compensation and Bid Mitigation for Exceptional Dispatch, F. Wolak, J. Bushnell, B. Hobbs, CAISO Market Surveillance Committee (October 18, 2010) p. 4.  </w:t>
      </w:r>
    </w:p>
  </w:footnote>
  <w:footnote w:id="10">
    <w:p w14:paraId="0945C61B" w14:textId="77777777" w:rsidR="00E90298" w:rsidRDefault="00E90298" w:rsidP="00BF611F">
      <w:pPr>
        <w:pStyle w:val="FootnoteText"/>
      </w:pPr>
      <w:r>
        <w:rPr>
          <w:rStyle w:val="FootnoteReference"/>
        </w:rPr>
        <w:footnoteRef/>
      </w:r>
      <w:r>
        <w:t xml:space="preserve"> Market Surveillance Committee Opinion, </w:t>
      </w:r>
      <w:r>
        <w:rPr>
          <w:i/>
        </w:rPr>
        <w:t>supra</w:t>
      </w:r>
      <w:r>
        <w:t>, (Oct. 18, 2010), pp.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706C" w14:textId="77777777" w:rsidR="00C36A13" w:rsidRDefault="00D93A5F" w:rsidP="00EA2608">
    <w:pPr>
      <w:rPr>
        <w:rFonts w:ascii="Arial" w:hAnsi="Arial" w:cs="Arial"/>
        <w:b/>
        <w:sz w:val="16"/>
        <w:szCs w:val="16"/>
      </w:rPr>
    </w:pPr>
    <w:r w:rsidRPr="00D93A5F">
      <w:rPr>
        <w:rFonts w:ascii="Arial" w:hAnsi="Arial" w:cs="Arial"/>
        <w:b/>
        <w:noProof/>
        <w:sz w:val="16"/>
        <w:szCs w:val="16"/>
      </w:rPr>
      <w:pict w14:anchorId="602E1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9.4pt;height:39.9pt;visibility:visible">
          <v:imagedata r:id="rId1" o:title=""/>
        </v:shape>
      </w:pict>
    </w:r>
  </w:p>
  <w:p w14:paraId="3EA8B6D3" w14:textId="77777777" w:rsidR="00C36A13" w:rsidRPr="00E93739" w:rsidRDefault="00C36A13" w:rsidP="00926D10">
    <w:pPr>
      <w:jc w:val="center"/>
      <w:rPr>
        <w:rFonts w:ascii="Arial" w:hAnsi="Arial" w:cs="Arial"/>
        <w:b/>
        <w:sz w:val="16"/>
        <w:szCs w:val="16"/>
      </w:rPr>
    </w:pPr>
  </w:p>
  <w:p w14:paraId="697AA374" w14:textId="77777777" w:rsidR="00C36A13" w:rsidRDefault="00C36A13" w:rsidP="00926D10">
    <w:pPr>
      <w:jc w:val="center"/>
      <w:rPr>
        <w:rFonts w:ascii="Arial" w:hAnsi="Arial" w:cs="Arial"/>
        <w:b/>
        <w:sz w:val="16"/>
        <w:szCs w:val="16"/>
      </w:rPr>
    </w:pPr>
  </w:p>
  <w:p w14:paraId="20DD7B13" w14:textId="77777777" w:rsidR="00C36A13" w:rsidRDefault="00C36A13" w:rsidP="00926D10">
    <w:pPr>
      <w:jc w:val="center"/>
      <w:rPr>
        <w:rFonts w:ascii="Arial" w:hAnsi="Arial" w:cs="Arial"/>
        <w:b/>
        <w:sz w:val="16"/>
        <w:szCs w:val="16"/>
      </w:rPr>
    </w:pPr>
  </w:p>
  <w:p w14:paraId="6BC74AE3" w14:textId="77777777" w:rsidR="00C36A13" w:rsidRDefault="00C36A13" w:rsidP="00926D10">
    <w:pPr>
      <w:jc w:val="center"/>
      <w:rPr>
        <w:rFonts w:ascii="Arial" w:hAnsi="Arial" w:cs="Arial"/>
        <w:b/>
        <w:sz w:val="16"/>
        <w:szCs w:val="16"/>
      </w:rPr>
    </w:pPr>
    <w:r>
      <w:rPr>
        <w:rFonts w:ascii="Arial" w:hAnsi="Arial" w:cs="Arial"/>
        <w:sz w:val="20"/>
        <w:szCs w:val="20"/>
      </w:rPr>
      <w:t>Capacity Procurement Mechanism Draft Tariff Modifications Stakeholder Comments and ISO Responses</w:t>
    </w:r>
  </w:p>
  <w:p w14:paraId="5790CF23" w14:textId="77777777" w:rsidR="00C36A13" w:rsidRDefault="00C36A13" w:rsidP="00926D10">
    <w:pP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9A9"/>
    <w:multiLevelType w:val="hybridMultilevel"/>
    <w:tmpl w:val="AEE066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B4CA8"/>
    <w:multiLevelType w:val="hybridMultilevel"/>
    <w:tmpl w:val="88DA9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2AB9"/>
    <w:multiLevelType w:val="hybridMultilevel"/>
    <w:tmpl w:val="C89A4A1A"/>
    <w:lvl w:ilvl="0" w:tplc="6CE642B0">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004A"/>
    <w:multiLevelType w:val="multilevel"/>
    <w:tmpl w:val="7124E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45744A"/>
    <w:multiLevelType w:val="hybridMultilevel"/>
    <w:tmpl w:val="FD52F974"/>
    <w:lvl w:ilvl="0" w:tplc="C6B0CB9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3AE354E"/>
    <w:multiLevelType w:val="hybridMultilevel"/>
    <w:tmpl w:val="0B90F632"/>
    <w:lvl w:ilvl="0" w:tplc="41AA6B20">
      <w:start w:val="1"/>
      <w:numFmt w:val="decimal"/>
      <w:lvlText w:val="%1."/>
      <w:lvlJc w:val="left"/>
      <w:pPr>
        <w:ind w:left="360" w:hanging="360"/>
      </w:pPr>
      <w:rPr>
        <w:rFonts w:cs="Times New Roman"/>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BB59BD"/>
    <w:multiLevelType w:val="hybridMultilevel"/>
    <w:tmpl w:val="35C0509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BC209A4"/>
    <w:multiLevelType w:val="hybridMultilevel"/>
    <w:tmpl w:val="2D66227E"/>
    <w:lvl w:ilvl="0" w:tplc="F348B4F8">
      <w:start w:val="3"/>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B3209D"/>
    <w:multiLevelType w:val="hybridMultilevel"/>
    <w:tmpl w:val="C3343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F0134"/>
    <w:multiLevelType w:val="hybridMultilevel"/>
    <w:tmpl w:val="B1D0E7AC"/>
    <w:lvl w:ilvl="0" w:tplc="460CC8F0">
      <w:start w:val="1"/>
      <w:numFmt w:val="bullet"/>
      <w:lvlText w:val=""/>
      <w:lvlJc w:val="left"/>
      <w:pPr>
        <w:tabs>
          <w:tab w:val="num" w:pos="360"/>
        </w:tabs>
        <w:ind w:left="360" w:hanging="360"/>
      </w:pPr>
      <w:rPr>
        <w:rFonts w:ascii="Symbol" w:hAnsi="Symbol" w:hint="default"/>
      </w:rPr>
    </w:lvl>
    <w:lvl w:ilvl="1" w:tplc="14D48EA2">
      <w:start w:val="1"/>
      <w:numFmt w:val="bullet"/>
      <w:lvlText w:val="o"/>
      <w:lvlJc w:val="left"/>
      <w:pPr>
        <w:tabs>
          <w:tab w:val="num" w:pos="1080"/>
        </w:tabs>
        <w:ind w:left="1080" w:hanging="360"/>
      </w:pPr>
      <w:rPr>
        <w:rFonts w:ascii="Courier New" w:hAnsi="Courier New" w:cs="Courier New" w:hint="default"/>
      </w:rPr>
    </w:lvl>
    <w:lvl w:ilvl="2" w:tplc="470E5486" w:tentative="1">
      <w:start w:val="1"/>
      <w:numFmt w:val="bullet"/>
      <w:lvlText w:val=""/>
      <w:lvlJc w:val="left"/>
      <w:pPr>
        <w:tabs>
          <w:tab w:val="num" w:pos="1800"/>
        </w:tabs>
        <w:ind w:left="1800" w:hanging="360"/>
      </w:pPr>
      <w:rPr>
        <w:rFonts w:ascii="Wingdings" w:hAnsi="Wingdings" w:hint="default"/>
      </w:rPr>
    </w:lvl>
    <w:lvl w:ilvl="3" w:tplc="094C0818" w:tentative="1">
      <w:start w:val="1"/>
      <w:numFmt w:val="bullet"/>
      <w:lvlText w:val=""/>
      <w:lvlJc w:val="left"/>
      <w:pPr>
        <w:tabs>
          <w:tab w:val="num" w:pos="2520"/>
        </w:tabs>
        <w:ind w:left="2520" w:hanging="360"/>
      </w:pPr>
      <w:rPr>
        <w:rFonts w:ascii="Symbol" w:hAnsi="Symbol" w:hint="default"/>
      </w:rPr>
    </w:lvl>
    <w:lvl w:ilvl="4" w:tplc="F82C5CA6" w:tentative="1">
      <w:start w:val="1"/>
      <w:numFmt w:val="bullet"/>
      <w:lvlText w:val="o"/>
      <w:lvlJc w:val="left"/>
      <w:pPr>
        <w:tabs>
          <w:tab w:val="num" w:pos="3240"/>
        </w:tabs>
        <w:ind w:left="3240" w:hanging="360"/>
      </w:pPr>
      <w:rPr>
        <w:rFonts w:ascii="Courier New" w:hAnsi="Courier New" w:cs="Courier New" w:hint="default"/>
      </w:rPr>
    </w:lvl>
    <w:lvl w:ilvl="5" w:tplc="B1F48D9C" w:tentative="1">
      <w:start w:val="1"/>
      <w:numFmt w:val="bullet"/>
      <w:lvlText w:val=""/>
      <w:lvlJc w:val="left"/>
      <w:pPr>
        <w:tabs>
          <w:tab w:val="num" w:pos="3960"/>
        </w:tabs>
        <w:ind w:left="3960" w:hanging="360"/>
      </w:pPr>
      <w:rPr>
        <w:rFonts w:ascii="Wingdings" w:hAnsi="Wingdings" w:hint="default"/>
      </w:rPr>
    </w:lvl>
    <w:lvl w:ilvl="6" w:tplc="068A3522" w:tentative="1">
      <w:start w:val="1"/>
      <w:numFmt w:val="bullet"/>
      <w:lvlText w:val=""/>
      <w:lvlJc w:val="left"/>
      <w:pPr>
        <w:tabs>
          <w:tab w:val="num" w:pos="4680"/>
        </w:tabs>
        <w:ind w:left="4680" w:hanging="360"/>
      </w:pPr>
      <w:rPr>
        <w:rFonts w:ascii="Symbol" w:hAnsi="Symbol" w:hint="default"/>
      </w:rPr>
    </w:lvl>
    <w:lvl w:ilvl="7" w:tplc="BD864E54" w:tentative="1">
      <w:start w:val="1"/>
      <w:numFmt w:val="bullet"/>
      <w:lvlText w:val="o"/>
      <w:lvlJc w:val="left"/>
      <w:pPr>
        <w:tabs>
          <w:tab w:val="num" w:pos="5400"/>
        </w:tabs>
        <w:ind w:left="5400" w:hanging="360"/>
      </w:pPr>
      <w:rPr>
        <w:rFonts w:ascii="Courier New" w:hAnsi="Courier New" w:cs="Courier New" w:hint="default"/>
      </w:rPr>
    </w:lvl>
    <w:lvl w:ilvl="8" w:tplc="805010B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B40A3D"/>
    <w:multiLevelType w:val="hybridMultilevel"/>
    <w:tmpl w:val="CCD0C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470D60"/>
    <w:multiLevelType w:val="hybridMultilevel"/>
    <w:tmpl w:val="94B4298C"/>
    <w:lvl w:ilvl="0" w:tplc="6C36EA78">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3463FD7"/>
    <w:multiLevelType w:val="hybridMultilevel"/>
    <w:tmpl w:val="9962BF0E"/>
    <w:lvl w:ilvl="0" w:tplc="73760F1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23788"/>
    <w:multiLevelType w:val="hybridMultilevel"/>
    <w:tmpl w:val="1D746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2C5D59"/>
    <w:multiLevelType w:val="hybridMultilevel"/>
    <w:tmpl w:val="295E72DC"/>
    <w:lvl w:ilvl="0" w:tplc="9C90EA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413C5"/>
    <w:multiLevelType w:val="hybridMultilevel"/>
    <w:tmpl w:val="DDD85468"/>
    <w:lvl w:ilvl="0" w:tplc="3CE8F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85D22"/>
    <w:multiLevelType w:val="hybridMultilevel"/>
    <w:tmpl w:val="FF1EA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860971"/>
    <w:multiLevelType w:val="hybridMultilevel"/>
    <w:tmpl w:val="C0FE511C"/>
    <w:lvl w:ilvl="0" w:tplc="47EC9D16">
      <w:start w:val="1"/>
      <w:numFmt w:val="bullet"/>
      <w:lvlText w:val=""/>
      <w:lvlJc w:val="left"/>
      <w:pPr>
        <w:tabs>
          <w:tab w:val="num" w:pos="1440"/>
        </w:tabs>
        <w:ind w:left="1512" w:hanging="432"/>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7074C7"/>
    <w:multiLevelType w:val="hybridMultilevel"/>
    <w:tmpl w:val="B8B690F6"/>
    <w:lvl w:ilvl="0" w:tplc="AFC4944E">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C005B"/>
    <w:multiLevelType w:val="hybridMultilevel"/>
    <w:tmpl w:val="26E0D96C"/>
    <w:lvl w:ilvl="0" w:tplc="B6A08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60B29"/>
    <w:multiLevelType w:val="hybridMultilevel"/>
    <w:tmpl w:val="6E902756"/>
    <w:lvl w:ilvl="0" w:tplc="28324A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0228F4"/>
    <w:multiLevelType w:val="hybridMultilevel"/>
    <w:tmpl w:val="CE5EAC40"/>
    <w:lvl w:ilvl="0" w:tplc="B9102E5C">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A02EFC"/>
    <w:multiLevelType w:val="hybridMultilevel"/>
    <w:tmpl w:val="EBAA8346"/>
    <w:lvl w:ilvl="0" w:tplc="0A385900">
      <w:start w:val="3"/>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F668EB"/>
    <w:multiLevelType w:val="hybridMultilevel"/>
    <w:tmpl w:val="12B2A7F0"/>
    <w:lvl w:ilvl="0" w:tplc="4CDC1E3A">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9C630BA"/>
    <w:multiLevelType w:val="hybridMultilevel"/>
    <w:tmpl w:val="A920DB40"/>
    <w:lvl w:ilvl="0" w:tplc="A0D216B6">
      <w:start w:val="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D00"/>
    <w:multiLevelType w:val="hybridMultilevel"/>
    <w:tmpl w:val="99802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C62DA"/>
    <w:multiLevelType w:val="hybridMultilevel"/>
    <w:tmpl w:val="10D8AC84"/>
    <w:lvl w:ilvl="0" w:tplc="25E87CCE">
      <w:start w:val="1"/>
      <w:numFmt w:val="lowerLetter"/>
      <w:lvlText w:val="(%1)"/>
      <w:lvlJc w:val="left"/>
      <w:pPr>
        <w:tabs>
          <w:tab w:val="num" w:pos="216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71DF3A45"/>
    <w:multiLevelType w:val="hybridMultilevel"/>
    <w:tmpl w:val="D346C2C0"/>
    <w:lvl w:ilvl="0" w:tplc="AA32E4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46E59"/>
    <w:multiLevelType w:val="hybridMultilevel"/>
    <w:tmpl w:val="A2181778"/>
    <w:lvl w:ilvl="0" w:tplc="96A02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40034"/>
    <w:multiLevelType w:val="hybridMultilevel"/>
    <w:tmpl w:val="3AD43DE2"/>
    <w:lvl w:ilvl="0" w:tplc="D05A9DDC">
      <w:start w:val="2"/>
      <w:numFmt w:val="decimal"/>
      <w:lvlText w:val="%1."/>
      <w:lvlJc w:val="left"/>
      <w:pPr>
        <w:tabs>
          <w:tab w:val="num" w:pos="0"/>
        </w:tabs>
        <w:ind w:left="36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585FC4"/>
    <w:multiLevelType w:val="hybridMultilevel"/>
    <w:tmpl w:val="B694FD38"/>
    <w:lvl w:ilvl="0" w:tplc="EB3C0AFC">
      <w:start w:val="3"/>
      <w:numFmt w:val="bullet"/>
      <w:lvlText w:val=""/>
      <w:lvlJc w:val="left"/>
      <w:pPr>
        <w:tabs>
          <w:tab w:val="num" w:pos="810"/>
        </w:tabs>
        <w:ind w:left="810" w:hanging="360"/>
      </w:pPr>
      <w:rPr>
        <w:rFonts w:ascii="Wingdings" w:eastAsia="Times New Roman"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484711226">
    <w:abstractNumId w:val="10"/>
  </w:num>
  <w:num w:numId="2" w16cid:durableId="793134389">
    <w:abstractNumId w:val="29"/>
  </w:num>
  <w:num w:numId="3" w16cid:durableId="1003555427">
    <w:abstractNumId w:val="5"/>
  </w:num>
  <w:num w:numId="4" w16cid:durableId="496266530">
    <w:abstractNumId w:val="0"/>
  </w:num>
  <w:num w:numId="5" w16cid:durableId="126944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868416">
    <w:abstractNumId w:val="14"/>
  </w:num>
  <w:num w:numId="7" w16cid:durableId="422649614">
    <w:abstractNumId w:val="2"/>
  </w:num>
  <w:num w:numId="8" w16cid:durableId="130946605">
    <w:abstractNumId w:val="28"/>
  </w:num>
  <w:num w:numId="9" w16cid:durableId="1876842831">
    <w:abstractNumId w:val="3"/>
  </w:num>
  <w:num w:numId="10" w16cid:durableId="79525940">
    <w:abstractNumId w:val="1"/>
  </w:num>
  <w:num w:numId="11" w16cid:durableId="1111703874">
    <w:abstractNumId w:val="16"/>
  </w:num>
  <w:num w:numId="12" w16cid:durableId="1230387895">
    <w:abstractNumId w:val="12"/>
  </w:num>
  <w:num w:numId="13" w16cid:durableId="1184247859">
    <w:abstractNumId w:val="22"/>
  </w:num>
  <w:num w:numId="14" w16cid:durableId="1183545947">
    <w:abstractNumId w:val="30"/>
  </w:num>
  <w:num w:numId="15" w16cid:durableId="1277522016">
    <w:abstractNumId w:val="20"/>
  </w:num>
  <w:num w:numId="16" w16cid:durableId="1962304606">
    <w:abstractNumId w:val="17"/>
  </w:num>
  <w:num w:numId="17" w16cid:durableId="1230458291">
    <w:abstractNumId w:val="24"/>
  </w:num>
  <w:num w:numId="18" w16cid:durableId="51001897">
    <w:abstractNumId w:val="21"/>
  </w:num>
  <w:num w:numId="19" w16cid:durableId="68426416">
    <w:abstractNumId w:val="25"/>
  </w:num>
  <w:num w:numId="20" w16cid:durableId="1971477117">
    <w:abstractNumId w:val="6"/>
  </w:num>
  <w:num w:numId="21" w16cid:durableId="1151095668">
    <w:abstractNumId w:val="8"/>
  </w:num>
  <w:num w:numId="22" w16cid:durableId="1333921542">
    <w:abstractNumId w:val="18"/>
  </w:num>
  <w:num w:numId="23" w16cid:durableId="863396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3786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8706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799934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2506833">
    <w:abstractNumId w:val="27"/>
  </w:num>
  <w:num w:numId="28" w16cid:durableId="376053761">
    <w:abstractNumId w:val="15"/>
  </w:num>
  <w:num w:numId="29" w16cid:durableId="1853256769">
    <w:abstractNumId w:val="19"/>
  </w:num>
  <w:num w:numId="30" w16cid:durableId="866719528">
    <w:abstractNumId w:val="9"/>
  </w:num>
  <w:num w:numId="31" w16cid:durableId="6910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B67"/>
    <w:rsid w:val="00000C7E"/>
    <w:rsid w:val="000011F3"/>
    <w:rsid w:val="000017E9"/>
    <w:rsid w:val="00002494"/>
    <w:rsid w:val="00002CFF"/>
    <w:rsid w:val="00002DEE"/>
    <w:rsid w:val="0000356B"/>
    <w:rsid w:val="00003D12"/>
    <w:rsid w:val="0000429B"/>
    <w:rsid w:val="00004C9C"/>
    <w:rsid w:val="00004CCB"/>
    <w:rsid w:val="00004DE9"/>
    <w:rsid w:val="000052F1"/>
    <w:rsid w:val="00005442"/>
    <w:rsid w:val="000056AB"/>
    <w:rsid w:val="0000597E"/>
    <w:rsid w:val="00006071"/>
    <w:rsid w:val="00006A1C"/>
    <w:rsid w:val="00006CB4"/>
    <w:rsid w:val="00010D63"/>
    <w:rsid w:val="000113C7"/>
    <w:rsid w:val="00011B99"/>
    <w:rsid w:val="00012980"/>
    <w:rsid w:val="00012CDD"/>
    <w:rsid w:val="00013C63"/>
    <w:rsid w:val="000144DE"/>
    <w:rsid w:val="000146E2"/>
    <w:rsid w:val="000147E6"/>
    <w:rsid w:val="00014E2B"/>
    <w:rsid w:val="0001523C"/>
    <w:rsid w:val="000152FD"/>
    <w:rsid w:val="00015B6C"/>
    <w:rsid w:val="00015BE3"/>
    <w:rsid w:val="00015BF4"/>
    <w:rsid w:val="00015F21"/>
    <w:rsid w:val="00016096"/>
    <w:rsid w:val="000160F6"/>
    <w:rsid w:val="00016143"/>
    <w:rsid w:val="000165AA"/>
    <w:rsid w:val="00016781"/>
    <w:rsid w:val="00016B1B"/>
    <w:rsid w:val="00016F67"/>
    <w:rsid w:val="000202DC"/>
    <w:rsid w:val="00020609"/>
    <w:rsid w:val="00020834"/>
    <w:rsid w:val="00020E07"/>
    <w:rsid w:val="0002119E"/>
    <w:rsid w:val="000212C5"/>
    <w:rsid w:val="00022A86"/>
    <w:rsid w:val="0002374A"/>
    <w:rsid w:val="00023908"/>
    <w:rsid w:val="00023C49"/>
    <w:rsid w:val="00024C02"/>
    <w:rsid w:val="00024C2C"/>
    <w:rsid w:val="00025150"/>
    <w:rsid w:val="000256D4"/>
    <w:rsid w:val="0002659B"/>
    <w:rsid w:val="0002737B"/>
    <w:rsid w:val="000274FD"/>
    <w:rsid w:val="00027C32"/>
    <w:rsid w:val="00030136"/>
    <w:rsid w:val="00031085"/>
    <w:rsid w:val="000310EF"/>
    <w:rsid w:val="00031259"/>
    <w:rsid w:val="00031CCB"/>
    <w:rsid w:val="00032200"/>
    <w:rsid w:val="00032B78"/>
    <w:rsid w:val="000332F9"/>
    <w:rsid w:val="00033F39"/>
    <w:rsid w:val="000344E2"/>
    <w:rsid w:val="00034F6B"/>
    <w:rsid w:val="000351F0"/>
    <w:rsid w:val="0003624C"/>
    <w:rsid w:val="000368D1"/>
    <w:rsid w:val="000403ED"/>
    <w:rsid w:val="000416CB"/>
    <w:rsid w:val="00041ACB"/>
    <w:rsid w:val="00041C99"/>
    <w:rsid w:val="000421D2"/>
    <w:rsid w:val="0004231D"/>
    <w:rsid w:val="00042537"/>
    <w:rsid w:val="00043158"/>
    <w:rsid w:val="00043E17"/>
    <w:rsid w:val="00044DC4"/>
    <w:rsid w:val="00045007"/>
    <w:rsid w:val="00045364"/>
    <w:rsid w:val="00045739"/>
    <w:rsid w:val="000457AA"/>
    <w:rsid w:val="0004587D"/>
    <w:rsid w:val="00046359"/>
    <w:rsid w:val="000468D3"/>
    <w:rsid w:val="00046FF1"/>
    <w:rsid w:val="000471CE"/>
    <w:rsid w:val="00047400"/>
    <w:rsid w:val="00047491"/>
    <w:rsid w:val="00050672"/>
    <w:rsid w:val="00050B9A"/>
    <w:rsid w:val="00052966"/>
    <w:rsid w:val="0005313D"/>
    <w:rsid w:val="00053189"/>
    <w:rsid w:val="000532E5"/>
    <w:rsid w:val="00053499"/>
    <w:rsid w:val="000536C8"/>
    <w:rsid w:val="000537B3"/>
    <w:rsid w:val="00053881"/>
    <w:rsid w:val="00053EE4"/>
    <w:rsid w:val="00054370"/>
    <w:rsid w:val="0005483B"/>
    <w:rsid w:val="00055139"/>
    <w:rsid w:val="000561DB"/>
    <w:rsid w:val="00056323"/>
    <w:rsid w:val="00056635"/>
    <w:rsid w:val="00056FB6"/>
    <w:rsid w:val="000577D7"/>
    <w:rsid w:val="000578B1"/>
    <w:rsid w:val="000605E4"/>
    <w:rsid w:val="000605FF"/>
    <w:rsid w:val="00060848"/>
    <w:rsid w:val="00060A76"/>
    <w:rsid w:val="00060FF5"/>
    <w:rsid w:val="0006176D"/>
    <w:rsid w:val="00062216"/>
    <w:rsid w:val="000622EB"/>
    <w:rsid w:val="00063713"/>
    <w:rsid w:val="00063923"/>
    <w:rsid w:val="000642DD"/>
    <w:rsid w:val="0006450B"/>
    <w:rsid w:val="000650A3"/>
    <w:rsid w:val="00065894"/>
    <w:rsid w:val="00066959"/>
    <w:rsid w:val="00066C58"/>
    <w:rsid w:val="00066CC2"/>
    <w:rsid w:val="00067627"/>
    <w:rsid w:val="00067908"/>
    <w:rsid w:val="00067B12"/>
    <w:rsid w:val="0007009A"/>
    <w:rsid w:val="000710AD"/>
    <w:rsid w:val="00071935"/>
    <w:rsid w:val="000726CA"/>
    <w:rsid w:val="000726D3"/>
    <w:rsid w:val="00072A3E"/>
    <w:rsid w:val="00072EDA"/>
    <w:rsid w:val="00073190"/>
    <w:rsid w:val="0007352F"/>
    <w:rsid w:val="0007369C"/>
    <w:rsid w:val="00073EAC"/>
    <w:rsid w:val="00074540"/>
    <w:rsid w:val="00074D1F"/>
    <w:rsid w:val="000755BB"/>
    <w:rsid w:val="00075AD4"/>
    <w:rsid w:val="000762B2"/>
    <w:rsid w:val="00077028"/>
    <w:rsid w:val="0007706F"/>
    <w:rsid w:val="000770C0"/>
    <w:rsid w:val="0007712E"/>
    <w:rsid w:val="0007761F"/>
    <w:rsid w:val="0007762C"/>
    <w:rsid w:val="0008092F"/>
    <w:rsid w:val="00081016"/>
    <w:rsid w:val="000814E3"/>
    <w:rsid w:val="00081662"/>
    <w:rsid w:val="00083234"/>
    <w:rsid w:val="00084330"/>
    <w:rsid w:val="000845AE"/>
    <w:rsid w:val="00084B94"/>
    <w:rsid w:val="000853B0"/>
    <w:rsid w:val="000856B1"/>
    <w:rsid w:val="00086E1E"/>
    <w:rsid w:val="00087C35"/>
    <w:rsid w:val="000901C7"/>
    <w:rsid w:val="00090D3B"/>
    <w:rsid w:val="000911BD"/>
    <w:rsid w:val="000919AB"/>
    <w:rsid w:val="00091F4E"/>
    <w:rsid w:val="00092560"/>
    <w:rsid w:val="00092761"/>
    <w:rsid w:val="0009298C"/>
    <w:rsid w:val="00092990"/>
    <w:rsid w:val="0009299C"/>
    <w:rsid w:val="00093485"/>
    <w:rsid w:val="00093DD1"/>
    <w:rsid w:val="0009406F"/>
    <w:rsid w:val="000946B6"/>
    <w:rsid w:val="00094B1C"/>
    <w:rsid w:val="00095600"/>
    <w:rsid w:val="00095678"/>
    <w:rsid w:val="000967EF"/>
    <w:rsid w:val="00096F0F"/>
    <w:rsid w:val="0009756D"/>
    <w:rsid w:val="00097BDE"/>
    <w:rsid w:val="000A1497"/>
    <w:rsid w:val="000A19A4"/>
    <w:rsid w:val="000A255C"/>
    <w:rsid w:val="000A2583"/>
    <w:rsid w:val="000A295E"/>
    <w:rsid w:val="000A37BC"/>
    <w:rsid w:val="000A3E2D"/>
    <w:rsid w:val="000A4044"/>
    <w:rsid w:val="000A43BC"/>
    <w:rsid w:val="000A4CF3"/>
    <w:rsid w:val="000A4D7A"/>
    <w:rsid w:val="000A4E26"/>
    <w:rsid w:val="000A510B"/>
    <w:rsid w:val="000A5981"/>
    <w:rsid w:val="000A6385"/>
    <w:rsid w:val="000A654B"/>
    <w:rsid w:val="000A688C"/>
    <w:rsid w:val="000A6D61"/>
    <w:rsid w:val="000A6E91"/>
    <w:rsid w:val="000A7A00"/>
    <w:rsid w:val="000A7A06"/>
    <w:rsid w:val="000A7BBD"/>
    <w:rsid w:val="000A7D3C"/>
    <w:rsid w:val="000A7ED2"/>
    <w:rsid w:val="000B0A7E"/>
    <w:rsid w:val="000B0F11"/>
    <w:rsid w:val="000B1549"/>
    <w:rsid w:val="000B1642"/>
    <w:rsid w:val="000B17D1"/>
    <w:rsid w:val="000B1E42"/>
    <w:rsid w:val="000B2192"/>
    <w:rsid w:val="000B2524"/>
    <w:rsid w:val="000B36D0"/>
    <w:rsid w:val="000B4866"/>
    <w:rsid w:val="000B4A8B"/>
    <w:rsid w:val="000B4C3F"/>
    <w:rsid w:val="000B4F1D"/>
    <w:rsid w:val="000B5735"/>
    <w:rsid w:val="000B6D97"/>
    <w:rsid w:val="000B706C"/>
    <w:rsid w:val="000B7661"/>
    <w:rsid w:val="000C1745"/>
    <w:rsid w:val="000C18C1"/>
    <w:rsid w:val="000C1B65"/>
    <w:rsid w:val="000C204C"/>
    <w:rsid w:val="000C388B"/>
    <w:rsid w:val="000C3E13"/>
    <w:rsid w:val="000C60EC"/>
    <w:rsid w:val="000C61EC"/>
    <w:rsid w:val="000C637F"/>
    <w:rsid w:val="000C63E5"/>
    <w:rsid w:val="000C65D7"/>
    <w:rsid w:val="000C6DB2"/>
    <w:rsid w:val="000C7147"/>
    <w:rsid w:val="000C7B6D"/>
    <w:rsid w:val="000D0198"/>
    <w:rsid w:val="000D071B"/>
    <w:rsid w:val="000D1463"/>
    <w:rsid w:val="000D17FB"/>
    <w:rsid w:val="000D1866"/>
    <w:rsid w:val="000D189D"/>
    <w:rsid w:val="000D1B9A"/>
    <w:rsid w:val="000D253B"/>
    <w:rsid w:val="000D2677"/>
    <w:rsid w:val="000D33F3"/>
    <w:rsid w:val="000D3402"/>
    <w:rsid w:val="000D366D"/>
    <w:rsid w:val="000D3987"/>
    <w:rsid w:val="000D3ACB"/>
    <w:rsid w:val="000D429F"/>
    <w:rsid w:val="000D4878"/>
    <w:rsid w:val="000D4D2E"/>
    <w:rsid w:val="000D4D51"/>
    <w:rsid w:val="000D538B"/>
    <w:rsid w:val="000D5AE4"/>
    <w:rsid w:val="000D5EC2"/>
    <w:rsid w:val="000D6705"/>
    <w:rsid w:val="000D670A"/>
    <w:rsid w:val="000D68D7"/>
    <w:rsid w:val="000D69EA"/>
    <w:rsid w:val="000D6C02"/>
    <w:rsid w:val="000D6C51"/>
    <w:rsid w:val="000D6EB6"/>
    <w:rsid w:val="000D724D"/>
    <w:rsid w:val="000D73B2"/>
    <w:rsid w:val="000D78C0"/>
    <w:rsid w:val="000E0A13"/>
    <w:rsid w:val="000E0A9E"/>
    <w:rsid w:val="000E18D2"/>
    <w:rsid w:val="000E190A"/>
    <w:rsid w:val="000E28A4"/>
    <w:rsid w:val="000E2AD0"/>
    <w:rsid w:val="000E3374"/>
    <w:rsid w:val="000E4140"/>
    <w:rsid w:val="000E439E"/>
    <w:rsid w:val="000E45D1"/>
    <w:rsid w:val="000E4738"/>
    <w:rsid w:val="000E48FA"/>
    <w:rsid w:val="000E49BC"/>
    <w:rsid w:val="000E5140"/>
    <w:rsid w:val="000E5633"/>
    <w:rsid w:val="000E59AE"/>
    <w:rsid w:val="000E7E34"/>
    <w:rsid w:val="000F0315"/>
    <w:rsid w:val="000F04AC"/>
    <w:rsid w:val="000F0F53"/>
    <w:rsid w:val="000F1019"/>
    <w:rsid w:val="000F18F8"/>
    <w:rsid w:val="000F215D"/>
    <w:rsid w:val="000F3DEF"/>
    <w:rsid w:val="000F49ED"/>
    <w:rsid w:val="000F5BAE"/>
    <w:rsid w:val="000F632F"/>
    <w:rsid w:val="000F6E8D"/>
    <w:rsid w:val="000F71DF"/>
    <w:rsid w:val="000F7B60"/>
    <w:rsid w:val="000F7DD8"/>
    <w:rsid w:val="000F7E25"/>
    <w:rsid w:val="000F7F2B"/>
    <w:rsid w:val="00101D88"/>
    <w:rsid w:val="00102434"/>
    <w:rsid w:val="001031D3"/>
    <w:rsid w:val="001038D4"/>
    <w:rsid w:val="00104973"/>
    <w:rsid w:val="0010497E"/>
    <w:rsid w:val="00104BE9"/>
    <w:rsid w:val="00104E5C"/>
    <w:rsid w:val="00104FCD"/>
    <w:rsid w:val="00105080"/>
    <w:rsid w:val="00107531"/>
    <w:rsid w:val="001108B6"/>
    <w:rsid w:val="001119D6"/>
    <w:rsid w:val="00111B51"/>
    <w:rsid w:val="00112022"/>
    <w:rsid w:val="001124EC"/>
    <w:rsid w:val="0011280D"/>
    <w:rsid w:val="00112AA5"/>
    <w:rsid w:val="00112F2A"/>
    <w:rsid w:val="0011594A"/>
    <w:rsid w:val="0011596E"/>
    <w:rsid w:val="00116655"/>
    <w:rsid w:val="00116E9A"/>
    <w:rsid w:val="001177DF"/>
    <w:rsid w:val="00120094"/>
    <w:rsid w:val="0012030E"/>
    <w:rsid w:val="00120472"/>
    <w:rsid w:val="001209E5"/>
    <w:rsid w:val="00121911"/>
    <w:rsid w:val="00121B4A"/>
    <w:rsid w:val="00122080"/>
    <w:rsid w:val="00122D02"/>
    <w:rsid w:val="00123502"/>
    <w:rsid w:val="0012355C"/>
    <w:rsid w:val="00123FFF"/>
    <w:rsid w:val="001240A6"/>
    <w:rsid w:val="0012431E"/>
    <w:rsid w:val="0012465C"/>
    <w:rsid w:val="00124B36"/>
    <w:rsid w:val="00125835"/>
    <w:rsid w:val="00125901"/>
    <w:rsid w:val="001259A2"/>
    <w:rsid w:val="00125F89"/>
    <w:rsid w:val="00126E06"/>
    <w:rsid w:val="00126F1C"/>
    <w:rsid w:val="00127439"/>
    <w:rsid w:val="00127488"/>
    <w:rsid w:val="00127BAD"/>
    <w:rsid w:val="00127C96"/>
    <w:rsid w:val="001300AB"/>
    <w:rsid w:val="00131174"/>
    <w:rsid w:val="00131778"/>
    <w:rsid w:val="001318A7"/>
    <w:rsid w:val="00131B67"/>
    <w:rsid w:val="00132457"/>
    <w:rsid w:val="00132480"/>
    <w:rsid w:val="00133137"/>
    <w:rsid w:val="0013403B"/>
    <w:rsid w:val="001346B2"/>
    <w:rsid w:val="00134EF8"/>
    <w:rsid w:val="00135053"/>
    <w:rsid w:val="00135182"/>
    <w:rsid w:val="0013654C"/>
    <w:rsid w:val="001368BD"/>
    <w:rsid w:val="00136F9A"/>
    <w:rsid w:val="001371A0"/>
    <w:rsid w:val="00137363"/>
    <w:rsid w:val="001375D4"/>
    <w:rsid w:val="00137968"/>
    <w:rsid w:val="00137ADD"/>
    <w:rsid w:val="00137B52"/>
    <w:rsid w:val="00140591"/>
    <w:rsid w:val="0014097E"/>
    <w:rsid w:val="00141996"/>
    <w:rsid w:val="001425DE"/>
    <w:rsid w:val="0014291D"/>
    <w:rsid w:val="00143DE7"/>
    <w:rsid w:val="00143ED3"/>
    <w:rsid w:val="00144371"/>
    <w:rsid w:val="00145897"/>
    <w:rsid w:val="0014591C"/>
    <w:rsid w:val="00145ABA"/>
    <w:rsid w:val="00145BA9"/>
    <w:rsid w:val="00145D98"/>
    <w:rsid w:val="001462C7"/>
    <w:rsid w:val="0014671F"/>
    <w:rsid w:val="00147480"/>
    <w:rsid w:val="0015010C"/>
    <w:rsid w:val="00150B24"/>
    <w:rsid w:val="00151C4E"/>
    <w:rsid w:val="00151C86"/>
    <w:rsid w:val="00151D1F"/>
    <w:rsid w:val="001526ED"/>
    <w:rsid w:val="00152D02"/>
    <w:rsid w:val="00153514"/>
    <w:rsid w:val="001537BB"/>
    <w:rsid w:val="0015380F"/>
    <w:rsid w:val="00153843"/>
    <w:rsid w:val="00153F53"/>
    <w:rsid w:val="00154CA0"/>
    <w:rsid w:val="001556EC"/>
    <w:rsid w:val="001558D3"/>
    <w:rsid w:val="00156DC9"/>
    <w:rsid w:val="0015784C"/>
    <w:rsid w:val="001601FB"/>
    <w:rsid w:val="001603AA"/>
    <w:rsid w:val="00162609"/>
    <w:rsid w:val="00163566"/>
    <w:rsid w:val="00163C10"/>
    <w:rsid w:val="001641D1"/>
    <w:rsid w:val="00164668"/>
    <w:rsid w:val="00164AC3"/>
    <w:rsid w:val="0016565C"/>
    <w:rsid w:val="00165BDF"/>
    <w:rsid w:val="0016737C"/>
    <w:rsid w:val="00167FF6"/>
    <w:rsid w:val="001700A8"/>
    <w:rsid w:val="001702BE"/>
    <w:rsid w:val="00170305"/>
    <w:rsid w:val="001703E0"/>
    <w:rsid w:val="00171FA1"/>
    <w:rsid w:val="00172185"/>
    <w:rsid w:val="00172AD5"/>
    <w:rsid w:val="00173665"/>
    <w:rsid w:val="00173723"/>
    <w:rsid w:val="00173C74"/>
    <w:rsid w:val="00174C63"/>
    <w:rsid w:val="00174D27"/>
    <w:rsid w:val="00175632"/>
    <w:rsid w:val="00175DD6"/>
    <w:rsid w:val="001760BA"/>
    <w:rsid w:val="0017721A"/>
    <w:rsid w:val="001774AE"/>
    <w:rsid w:val="001800D5"/>
    <w:rsid w:val="001806F2"/>
    <w:rsid w:val="001808CA"/>
    <w:rsid w:val="001820A8"/>
    <w:rsid w:val="00182235"/>
    <w:rsid w:val="001832D9"/>
    <w:rsid w:val="00183C1B"/>
    <w:rsid w:val="00184008"/>
    <w:rsid w:val="001841D7"/>
    <w:rsid w:val="001842C2"/>
    <w:rsid w:val="0018475F"/>
    <w:rsid w:val="00184771"/>
    <w:rsid w:val="00185493"/>
    <w:rsid w:val="00185567"/>
    <w:rsid w:val="001858D5"/>
    <w:rsid w:val="00185C24"/>
    <w:rsid w:val="001869E1"/>
    <w:rsid w:val="001876DA"/>
    <w:rsid w:val="0019006F"/>
    <w:rsid w:val="00190447"/>
    <w:rsid w:val="00190581"/>
    <w:rsid w:val="00190C65"/>
    <w:rsid w:val="00190D91"/>
    <w:rsid w:val="0019106E"/>
    <w:rsid w:val="00192402"/>
    <w:rsid w:val="00193174"/>
    <w:rsid w:val="0019381F"/>
    <w:rsid w:val="00193AB2"/>
    <w:rsid w:val="00194580"/>
    <w:rsid w:val="001946C3"/>
    <w:rsid w:val="001949C8"/>
    <w:rsid w:val="00194FFF"/>
    <w:rsid w:val="00197D02"/>
    <w:rsid w:val="00197F12"/>
    <w:rsid w:val="001A039E"/>
    <w:rsid w:val="001A046C"/>
    <w:rsid w:val="001A0549"/>
    <w:rsid w:val="001A13B3"/>
    <w:rsid w:val="001A1DF1"/>
    <w:rsid w:val="001A29F8"/>
    <w:rsid w:val="001A349A"/>
    <w:rsid w:val="001A36DD"/>
    <w:rsid w:val="001A6816"/>
    <w:rsid w:val="001A6C7E"/>
    <w:rsid w:val="001A7646"/>
    <w:rsid w:val="001A7B30"/>
    <w:rsid w:val="001A7E5E"/>
    <w:rsid w:val="001B0237"/>
    <w:rsid w:val="001B03C0"/>
    <w:rsid w:val="001B03DC"/>
    <w:rsid w:val="001B0436"/>
    <w:rsid w:val="001B04E3"/>
    <w:rsid w:val="001B0857"/>
    <w:rsid w:val="001B0FA0"/>
    <w:rsid w:val="001B1374"/>
    <w:rsid w:val="001B1490"/>
    <w:rsid w:val="001B175A"/>
    <w:rsid w:val="001B1854"/>
    <w:rsid w:val="001B1D46"/>
    <w:rsid w:val="001B1E9D"/>
    <w:rsid w:val="001B25AB"/>
    <w:rsid w:val="001B27DA"/>
    <w:rsid w:val="001B30E7"/>
    <w:rsid w:val="001B3D2B"/>
    <w:rsid w:val="001B4240"/>
    <w:rsid w:val="001B49A0"/>
    <w:rsid w:val="001B4C50"/>
    <w:rsid w:val="001B4CE9"/>
    <w:rsid w:val="001B4E09"/>
    <w:rsid w:val="001B4EDC"/>
    <w:rsid w:val="001B5210"/>
    <w:rsid w:val="001B5296"/>
    <w:rsid w:val="001B5954"/>
    <w:rsid w:val="001B60AD"/>
    <w:rsid w:val="001B627D"/>
    <w:rsid w:val="001B6313"/>
    <w:rsid w:val="001B6C67"/>
    <w:rsid w:val="001B706C"/>
    <w:rsid w:val="001C16AD"/>
    <w:rsid w:val="001C1958"/>
    <w:rsid w:val="001C271D"/>
    <w:rsid w:val="001C2B4C"/>
    <w:rsid w:val="001C36EB"/>
    <w:rsid w:val="001C3959"/>
    <w:rsid w:val="001C3F81"/>
    <w:rsid w:val="001C3FA4"/>
    <w:rsid w:val="001C466C"/>
    <w:rsid w:val="001C46C2"/>
    <w:rsid w:val="001C4ABB"/>
    <w:rsid w:val="001C522A"/>
    <w:rsid w:val="001C5310"/>
    <w:rsid w:val="001C58F8"/>
    <w:rsid w:val="001C590C"/>
    <w:rsid w:val="001C5B11"/>
    <w:rsid w:val="001C5B77"/>
    <w:rsid w:val="001C60C1"/>
    <w:rsid w:val="001C6144"/>
    <w:rsid w:val="001C69BA"/>
    <w:rsid w:val="001C7226"/>
    <w:rsid w:val="001C7ED4"/>
    <w:rsid w:val="001C7F72"/>
    <w:rsid w:val="001C7FF2"/>
    <w:rsid w:val="001D010B"/>
    <w:rsid w:val="001D02A2"/>
    <w:rsid w:val="001D0828"/>
    <w:rsid w:val="001D0FE2"/>
    <w:rsid w:val="001D11C9"/>
    <w:rsid w:val="001D13C4"/>
    <w:rsid w:val="001D14C7"/>
    <w:rsid w:val="001D1A0C"/>
    <w:rsid w:val="001D1BC3"/>
    <w:rsid w:val="001D27BA"/>
    <w:rsid w:val="001D327D"/>
    <w:rsid w:val="001D3557"/>
    <w:rsid w:val="001D3703"/>
    <w:rsid w:val="001D37A6"/>
    <w:rsid w:val="001D3ABB"/>
    <w:rsid w:val="001D50C7"/>
    <w:rsid w:val="001D5409"/>
    <w:rsid w:val="001D55E4"/>
    <w:rsid w:val="001D5B45"/>
    <w:rsid w:val="001D7BBD"/>
    <w:rsid w:val="001D7D11"/>
    <w:rsid w:val="001E000F"/>
    <w:rsid w:val="001E05B6"/>
    <w:rsid w:val="001E0D48"/>
    <w:rsid w:val="001E0E9A"/>
    <w:rsid w:val="001E2043"/>
    <w:rsid w:val="001E247C"/>
    <w:rsid w:val="001E25E8"/>
    <w:rsid w:val="001E2700"/>
    <w:rsid w:val="001E3651"/>
    <w:rsid w:val="001E36BE"/>
    <w:rsid w:val="001E38A5"/>
    <w:rsid w:val="001E3CF4"/>
    <w:rsid w:val="001E3DE7"/>
    <w:rsid w:val="001E40B1"/>
    <w:rsid w:val="001E454B"/>
    <w:rsid w:val="001E513C"/>
    <w:rsid w:val="001E5D57"/>
    <w:rsid w:val="001E63E2"/>
    <w:rsid w:val="001E6D65"/>
    <w:rsid w:val="001E6E5E"/>
    <w:rsid w:val="001E71D8"/>
    <w:rsid w:val="001E7AEC"/>
    <w:rsid w:val="001E7F68"/>
    <w:rsid w:val="001F0EBF"/>
    <w:rsid w:val="001F109D"/>
    <w:rsid w:val="001F261F"/>
    <w:rsid w:val="001F2A7E"/>
    <w:rsid w:val="001F2E23"/>
    <w:rsid w:val="001F2E2D"/>
    <w:rsid w:val="001F3695"/>
    <w:rsid w:val="001F39CA"/>
    <w:rsid w:val="001F3A41"/>
    <w:rsid w:val="001F3B80"/>
    <w:rsid w:val="001F3EB4"/>
    <w:rsid w:val="001F4888"/>
    <w:rsid w:val="001F4913"/>
    <w:rsid w:val="001F4EC0"/>
    <w:rsid w:val="001F520B"/>
    <w:rsid w:val="001F5333"/>
    <w:rsid w:val="001F5835"/>
    <w:rsid w:val="001F591F"/>
    <w:rsid w:val="001F5F8E"/>
    <w:rsid w:val="001F63ED"/>
    <w:rsid w:val="001F79AC"/>
    <w:rsid w:val="001F7C67"/>
    <w:rsid w:val="001F7DC5"/>
    <w:rsid w:val="00201123"/>
    <w:rsid w:val="002013EE"/>
    <w:rsid w:val="002019EA"/>
    <w:rsid w:val="00201E5D"/>
    <w:rsid w:val="0020278D"/>
    <w:rsid w:val="00202DFF"/>
    <w:rsid w:val="00202ED8"/>
    <w:rsid w:val="00202F8D"/>
    <w:rsid w:val="002049AE"/>
    <w:rsid w:val="00205541"/>
    <w:rsid w:val="00205762"/>
    <w:rsid w:val="002059AA"/>
    <w:rsid w:val="00205A97"/>
    <w:rsid w:val="002060B8"/>
    <w:rsid w:val="00206692"/>
    <w:rsid w:val="00206888"/>
    <w:rsid w:val="002069C8"/>
    <w:rsid w:val="00206A56"/>
    <w:rsid w:val="00206A57"/>
    <w:rsid w:val="00206D5A"/>
    <w:rsid w:val="00207681"/>
    <w:rsid w:val="00210E9D"/>
    <w:rsid w:val="00211607"/>
    <w:rsid w:val="00212972"/>
    <w:rsid w:val="00212E93"/>
    <w:rsid w:val="002136E8"/>
    <w:rsid w:val="002147A8"/>
    <w:rsid w:val="00214D1D"/>
    <w:rsid w:val="00215797"/>
    <w:rsid w:val="00215EE8"/>
    <w:rsid w:val="00216864"/>
    <w:rsid w:val="00216A0E"/>
    <w:rsid w:val="00216EEC"/>
    <w:rsid w:val="00217019"/>
    <w:rsid w:val="00217524"/>
    <w:rsid w:val="002209C8"/>
    <w:rsid w:val="00220A71"/>
    <w:rsid w:val="00221130"/>
    <w:rsid w:val="00221E24"/>
    <w:rsid w:val="002221A3"/>
    <w:rsid w:val="00222204"/>
    <w:rsid w:val="002231B3"/>
    <w:rsid w:val="00223676"/>
    <w:rsid w:val="0022392C"/>
    <w:rsid w:val="00223D64"/>
    <w:rsid w:val="00223E54"/>
    <w:rsid w:val="00224CFA"/>
    <w:rsid w:val="00224D36"/>
    <w:rsid w:val="00224D9A"/>
    <w:rsid w:val="00224EB8"/>
    <w:rsid w:val="00226006"/>
    <w:rsid w:val="0022614F"/>
    <w:rsid w:val="00226828"/>
    <w:rsid w:val="00226C8A"/>
    <w:rsid w:val="00226D0F"/>
    <w:rsid w:val="00230CE0"/>
    <w:rsid w:val="00231261"/>
    <w:rsid w:val="00231DA6"/>
    <w:rsid w:val="00232238"/>
    <w:rsid w:val="0023288F"/>
    <w:rsid w:val="00233469"/>
    <w:rsid w:val="002334E7"/>
    <w:rsid w:val="0023377E"/>
    <w:rsid w:val="00234527"/>
    <w:rsid w:val="00234CE8"/>
    <w:rsid w:val="00235064"/>
    <w:rsid w:val="0023565F"/>
    <w:rsid w:val="0023566E"/>
    <w:rsid w:val="002356E2"/>
    <w:rsid w:val="00235B1B"/>
    <w:rsid w:val="00235B7C"/>
    <w:rsid w:val="00235D0C"/>
    <w:rsid w:val="00235E63"/>
    <w:rsid w:val="00236155"/>
    <w:rsid w:val="0023659C"/>
    <w:rsid w:val="002366CB"/>
    <w:rsid w:val="00236D7A"/>
    <w:rsid w:val="00237673"/>
    <w:rsid w:val="00237CB3"/>
    <w:rsid w:val="00240530"/>
    <w:rsid w:val="00240D44"/>
    <w:rsid w:val="00241A7E"/>
    <w:rsid w:val="002438D7"/>
    <w:rsid w:val="00243933"/>
    <w:rsid w:val="002440BC"/>
    <w:rsid w:val="00244850"/>
    <w:rsid w:val="0024509F"/>
    <w:rsid w:val="00245763"/>
    <w:rsid w:val="00245766"/>
    <w:rsid w:val="002457FC"/>
    <w:rsid w:val="0024654D"/>
    <w:rsid w:val="002469C8"/>
    <w:rsid w:val="002474EB"/>
    <w:rsid w:val="00247A1A"/>
    <w:rsid w:val="00247AC3"/>
    <w:rsid w:val="0025088F"/>
    <w:rsid w:val="0025207D"/>
    <w:rsid w:val="00254530"/>
    <w:rsid w:val="0025540B"/>
    <w:rsid w:val="00255526"/>
    <w:rsid w:val="00255807"/>
    <w:rsid w:val="002558D0"/>
    <w:rsid w:val="00255AF0"/>
    <w:rsid w:val="00255C7C"/>
    <w:rsid w:val="00255D10"/>
    <w:rsid w:val="00255DEA"/>
    <w:rsid w:val="00256C99"/>
    <w:rsid w:val="0025749E"/>
    <w:rsid w:val="00257D61"/>
    <w:rsid w:val="002602E4"/>
    <w:rsid w:val="002607CD"/>
    <w:rsid w:val="00260B12"/>
    <w:rsid w:val="0026135E"/>
    <w:rsid w:val="00261685"/>
    <w:rsid w:val="002619A6"/>
    <w:rsid w:val="002619BE"/>
    <w:rsid w:val="0026204A"/>
    <w:rsid w:val="002643C5"/>
    <w:rsid w:val="002648C0"/>
    <w:rsid w:val="00264C71"/>
    <w:rsid w:val="0026600C"/>
    <w:rsid w:val="00266B22"/>
    <w:rsid w:val="00266EF1"/>
    <w:rsid w:val="0026725E"/>
    <w:rsid w:val="002700EA"/>
    <w:rsid w:val="002704C0"/>
    <w:rsid w:val="00271228"/>
    <w:rsid w:val="00271620"/>
    <w:rsid w:val="0027261C"/>
    <w:rsid w:val="00272BB7"/>
    <w:rsid w:val="00272BC7"/>
    <w:rsid w:val="0027399C"/>
    <w:rsid w:val="0027455D"/>
    <w:rsid w:val="00275115"/>
    <w:rsid w:val="00275FAB"/>
    <w:rsid w:val="002760E6"/>
    <w:rsid w:val="00276FB1"/>
    <w:rsid w:val="00277264"/>
    <w:rsid w:val="00277579"/>
    <w:rsid w:val="00277906"/>
    <w:rsid w:val="00280308"/>
    <w:rsid w:val="002807C6"/>
    <w:rsid w:val="00280BCB"/>
    <w:rsid w:val="00280E72"/>
    <w:rsid w:val="0028150F"/>
    <w:rsid w:val="00281C45"/>
    <w:rsid w:val="00282A90"/>
    <w:rsid w:val="002830F2"/>
    <w:rsid w:val="002833B6"/>
    <w:rsid w:val="002837E8"/>
    <w:rsid w:val="00283E52"/>
    <w:rsid w:val="00284181"/>
    <w:rsid w:val="002845D9"/>
    <w:rsid w:val="00284678"/>
    <w:rsid w:val="00284C2F"/>
    <w:rsid w:val="00284C31"/>
    <w:rsid w:val="0028576D"/>
    <w:rsid w:val="00285DC3"/>
    <w:rsid w:val="00286099"/>
    <w:rsid w:val="00286364"/>
    <w:rsid w:val="00287365"/>
    <w:rsid w:val="00287CDE"/>
    <w:rsid w:val="00287EF7"/>
    <w:rsid w:val="00290291"/>
    <w:rsid w:val="00290E27"/>
    <w:rsid w:val="00291397"/>
    <w:rsid w:val="002914C2"/>
    <w:rsid w:val="002915C1"/>
    <w:rsid w:val="0029187C"/>
    <w:rsid w:val="00291EA3"/>
    <w:rsid w:val="002920CB"/>
    <w:rsid w:val="002922B5"/>
    <w:rsid w:val="002928B1"/>
    <w:rsid w:val="002928D8"/>
    <w:rsid w:val="00292B62"/>
    <w:rsid w:val="0029380A"/>
    <w:rsid w:val="002938D9"/>
    <w:rsid w:val="002938E9"/>
    <w:rsid w:val="00294834"/>
    <w:rsid w:val="00294849"/>
    <w:rsid w:val="00295073"/>
    <w:rsid w:val="002955DE"/>
    <w:rsid w:val="002969AA"/>
    <w:rsid w:val="00297308"/>
    <w:rsid w:val="00297A9D"/>
    <w:rsid w:val="00297CAA"/>
    <w:rsid w:val="002A0512"/>
    <w:rsid w:val="002A0729"/>
    <w:rsid w:val="002A0A9F"/>
    <w:rsid w:val="002A0C5A"/>
    <w:rsid w:val="002A0D55"/>
    <w:rsid w:val="002A0F6E"/>
    <w:rsid w:val="002A1171"/>
    <w:rsid w:val="002A168C"/>
    <w:rsid w:val="002A1D10"/>
    <w:rsid w:val="002A1FAD"/>
    <w:rsid w:val="002A1FBE"/>
    <w:rsid w:val="002A234D"/>
    <w:rsid w:val="002A25B9"/>
    <w:rsid w:val="002A2AF5"/>
    <w:rsid w:val="002A2BF1"/>
    <w:rsid w:val="002A2C3A"/>
    <w:rsid w:val="002A2EFD"/>
    <w:rsid w:val="002A307E"/>
    <w:rsid w:val="002A3930"/>
    <w:rsid w:val="002A5326"/>
    <w:rsid w:val="002A627D"/>
    <w:rsid w:val="002A716B"/>
    <w:rsid w:val="002A7976"/>
    <w:rsid w:val="002A7DC6"/>
    <w:rsid w:val="002B060A"/>
    <w:rsid w:val="002B10E2"/>
    <w:rsid w:val="002B11A4"/>
    <w:rsid w:val="002B132F"/>
    <w:rsid w:val="002B274B"/>
    <w:rsid w:val="002B28FD"/>
    <w:rsid w:val="002B2D9A"/>
    <w:rsid w:val="002B31DF"/>
    <w:rsid w:val="002B390E"/>
    <w:rsid w:val="002B5247"/>
    <w:rsid w:val="002B5332"/>
    <w:rsid w:val="002B5935"/>
    <w:rsid w:val="002B7333"/>
    <w:rsid w:val="002B7F64"/>
    <w:rsid w:val="002C0477"/>
    <w:rsid w:val="002C0654"/>
    <w:rsid w:val="002C08D3"/>
    <w:rsid w:val="002C0DA9"/>
    <w:rsid w:val="002C15F6"/>
    <w:rsid w:val="002C1764"/>
    <w:rsid w:val="002C1E25"/>
    <w:rsid w:val="002C1E2A"/>
    <w:rsid w:val="002C2461"/>
    <w:rsid w:val="002C380C"/>
    <w:rsid w:val="002C3CA1"/>
    <w:rsid w:val="002C3EF7"/>
    <w:rsid w:val="002C4197"/>
    <w:rsid w:val="002C46F2"/>
    <w:rsid w:val="002C484E"/>
    <w:rsid w:val="002C48C8"/>
    <w:rsid w:val="002C50F1"/>
    <w:rsid w:val="002C6311"/>
    <w:rsid w:val="002C67B6"/>
    <w:rsid w:val="002C6C7D"/>
    <w:rsid w:val="002C78A6"/>
    <w:rsid w:val="002D019B"/>
    <w:rsid w:val="002D0B34"/>
    <w:rsid w:val="002D0CF5"/>
    <w:rsid w:val="002D1347"/>
    <w:rsid w:val="002D1434"/>
    <w:rsid w:val="002D1C67"/>
    <w:rsid w:val="002D2D56"/>
    <w:rsid w:val="002D402F"/>
    <w:rsid w:val="002D436F"/>
    <w:rsid w:val="002D4718"/>
    <w:rsid w:val="002D4A0B"/>
    <w:rsid w:val="002D5076"/>
    <w:rsid w:val="002D5958"/>
    <w:rsid w:val="002D6255"/>
    <w:rsid w:val="002D632E"/>
    <w:rsid w:val="002D6855"/>
    <w:rsid w:val="002D687B"/>
    <w:rsid w:val="002D7BE1"/>
    <w:rsid w:val="002D7C02"/>
    <w:rsid w:val="002D7DBF"/>
    <w:rsid w:val="002E1EFC"/>
    <w:rsid w:val="002E25BB"/>
    <w:rsid w:val="002E2741"/>
    <w:rsid w:val="002E2D26"/>
    <w:rsid w:val="002E34DA"/>
    <w:rsid w:val="002E44B3"/>
    <w:rsid w:val="002E5241"/>
    <w:rsid w:val="002E553B"/>
    <w:rsid w:val="002E55DF"/>
    <w:rsid w:val="002E5D93"/>
    <w:rsid w:val="002E6E28"/>
    <w:rsid w:val="002E6F9D"/>
    <w:rsid w:val="002E70A8"/>
    <w:rsid w:val="002E7698"/>
    <w:rsid w:val="002F0397"/>
    <w:rsid w:val="002F05F8"/>
    <w:rsid w:val="002F0D6E"/>
    <w:rsid w:val="002F1BC4"/>
    <w:rsid w:val="002F2FB6"/>
    <w:rsid w:val="002F2FCA"/>
    <w:rsid w:val="002F3750"/>
    <w:rsid w:val="002F380B"/>
    <w:rsid w:val="002F3820"/>
    <w:rsid w:val="002F38FB"/>
    <w:rsid w:val="002F5128"/>
    <w:rsid w:val="002F53CA"/>
    <w:rsid w:val="002F53E3"/>
    <w:rsid w:val="002F5B18"/>
    <w:rsid w:val="002F6E33"/>
    <w:rsid w:val="002F73B6"/>
    <w:rsid w:val="00300064"/>
    <w:rsid w:val="00300594"/>
    <w:rsid w:val="00300ACB"/>
    <w:rsid w:val="003018FC"/>
    <w:rsid w:val="00301C2A"/>
    <w:rsid w:val="00301C53"/>
    <w:rsid w:val="0030210A"/>
    <w:rsid w:val="00302758"/>
    <w:rsid w:val="003028F6"/>
    <w:rsid w:val="00303112"/>
    <w:rsid w:val="0030316E"/>
    <w:rsid w:val="00303DF9"/>
    <w:rsid w:val="00303E7F"/>
    <w:rsid w:val="00303FF3"/>
    <w:rsid w:val="003047E3"/>
    <w:rsid w:val="003060EA"/>
    <w:rsid w:val="003068D6"/>
    <w:rsid w:val="00306E2F"/>
    <w:rsid w:val="00307119"/>
    <w:rsid w:val="00307A6B"/>
    <w:rsid w:val="00307E27"/>
    <w:rsid w:val="00310642"/>
    <w:rsid w:val="00311995"/>
    <w:rsid w:val="0031243C"/>
    <w:rsid w:val="00313672"/>
    <w:rsid w:val="00313FA1"/>
    <w:rsid w:val="0031515F"/>
    <w:rsid w:val="0031521D"/>
    <w:rsid w:val="00315334"/>
    <w:rsid w:val="003153DD"/>
    <w:rsid w:val="003154A7"/>
    <w:rsid w:val="003156E0"/>
    <w:rsid w:val="00316685"/>
    <w:rsid w:val="003167CE"/>
    <w:rsid w:val="00316C12"/>
    <w:rsid w:val="00316EC9"/>
    <w:rsid w:val="00317104"/>
    <w:rsid w:val="0031798B"/>
    <w:rsid w:val="00317C8C"/>
    <w:rsid w:val="003203A9"/>
    <w:rsid w:val="00320F02"/>
    <w:rsid w:val="003216E5"/>
    <w:rsid w:val="0032196C"/>
    <w:rsid w:val="00321A79"/>
    <w:rsid w:val="00321D70"/>
    <w:rsid w:val="00321F10"/>
    <w:rsid w:val="00322180"/>
    <w:rsid w:val="003228E7"/>
    <w:rsid w:val="003228FC"/>
    <w:rsid w:val="0032339B"/>
    <w:rsid w:val="00324464"/>
    <w:rsid w:val="003245AE"/>
    <w:rsid w:val="0032590A"/>
    <w:rsid w:val="00325C02"/>
    <w:rsid w:val="003260C1"/>
    <w:rsid w:val="00326BDD"/>
    <w:rsid w:val="00326DE3"/>
    <w:rsid w:val="003277D5"/>
    <w:rsid w:val="0032784D"/>
    <w:rsid w:val="00330348"/>
    <w:rsid w:val="00330D64"/>
    <w:rsid w:val="00331500"/>
    <w:rsid w:val="00331977"/>
    <w:rsid w:val="003321DB"/>
    <w:rsid w:val="00332EA7"/>
    <w:rsid w:val="00332EBF"/>
    <w:rsid w:val="003330CD"/>
    <w:rsid w:val="00334107"/>
    <w:rsid w:val="003341D5"/>
    <w:rsid w:val="00334769"/>
    <w:rsid w:val="00335268"/>
    <w:rsid w:val="0033539D"/>
    <w:rsid w:val="00335805"/>
    <w:rsid w:val="00335A26"/>
    <w:rsid w:val="00335E34"/>
    <w:rsid w:val="0033631A"/>
    <w:rsid w:val="00336DFD"/>
    <w:rsid w:val="00337268"/>
    <w:rsid w:val="003372C8"/>
    <w:rsid w:val="0033781E"/>
    <w:rsid w:val="00337B9B"/>
    <w:rsid w:val="00337FB5"/>
    <w:rsid w:val="0034022F"/>
    <w:rsid w:val="0034024A"/>
    <w:rsid w:val="00340ED0"/>
    <w:rsid w:val="003416F4"/>
    <w:rsid w:val="00341AA9"/>
    <w:rsid w:val="00341B0A"/>
    <w:rsid w:val="00341EF3"/>
    <w:rsid w:val="0034221D"/>
    <w:rsid w:val="003425DB"/>
    <w:rsid w:val="00342669"/>
    <w:rsid w:val="00342858"/>
    <w:rsid w:val="00342A27"/>
    <w:rsid w:val="003434A8"/>
    <w:rsid w:val="00343E88"/>
    <w:rsid w:val="0034416E"/>
    <w:rsid w:val="00344B35"/>
    <w:rsid w:val="00344E2C"/>
    <w:rsid w:val="00345AE9"/>
    <w:rsid w:val="00345EBE"/>
    <w:rsid w:val="00346343"/>
    <w:rsid w:val="00346384"/>
    <w:rsid w:val="0034663C"/>
    <w:rsid w:val="003469FF"/>
    <w:rsid w:val="00346CEA"/>
    <w:rsid w:val="0034707B"/>
    <w:rsid w:val="00347399"/>
    <w:rsid w:val="003473AA"/>
    <w:rsid w:val="0034746E"/>
    <w:rsid w:val="003478A9"/>
    <w:rsid w:val="00347F08"/>
    <w:rsid w:val="00347F3F"/>
    <w:rsid w:val="00350814"/>
    <w:rsid w:val="00350EFD"/>
    <w:rsid w:val="00350F3C"/>
    <w:rsid w:val="00351E40"/>
    <w:rsid w:val="0035237E"/>
    <w:rsid w:val="003533DD"/>
    <w:rsid w:val="0035432C"/>
    <w:rsid w:val="00354665"/>
    <w:rsid w:val="0035531A"/>
    <w:rsid w:val="00357010"/>
    <w:rsid w:val="00357F4D"/>
    <w:rsid w:val="003600B7"/>
    <w:rsid w:val="003611B9"/>
    <w:rsid w:val="003614ED"/>
    <w:rsid w:val="003617E5"/>
    <w:rsid w:val="0036215D"/>
    <w:rsid w:val="00362CB1"/>
    <w:rsid w:val="00362FCC"/>
    <w:rsid w:val="003630EF"/>
    <w:rsid w:val="00363635"/>
    <w:rsid w:val="003637AA"/>
    <w:rsid w:val="003637CD"/>
    <w:rsid w:val="00363A2F"/>
    <w:rsid w:val="00363BF0"/>
    <w:rsid w:val="00364588"/>
    <w:rsid w:val="003646FD"/>
    <w:rsid w:val="00365187"/>
    <w:rsid w:val="00365393"/>
    <w:rsid w:val="00366D74"/>
    <w:rsid w:val="00367409"/>
    <w:rsid w:val="003706A6"/>
    <w:rsid w:val="003706E9"/>
    <w:rsid w:val="0037080E"/>
    <w:rsid w:val="00370840"/>
    <w:rsid w:val="003713E9"/>
    <w:rsid w:val="00371B3B"/>
    <w:rsid w:val="00371D4F"/>
    <w:rsid w:val="0037233B"/>
    <w:rsid w:val="003723DE"/>
    <w:rsid w:val="00372710"/>
    <w:rsid w:val="0037343A"/>
    <w:rsid w:val="00373793"/>
    <w:rsid w:val="0037386C"/>
    <w:rsid w:val="00373B9A"/>
    <w:rsid w:val="003746A0"/>
    <w:rsid w:val="00374734"/>
    <w:rsid w:val="003747AF"/>
    <w:rsid w:val="00374F18"/>
    <w:rsid w:val="003751D3"/>
    <w:rsid w:val="003752D0"/>
    <w:rsid w:val="003756B9"/>
    <w:rsid w:val="00377104"/>
    <w:rsid w:val="00377289"/>
    <w:rsid w:val="0037743B"/>
    <w:rsid w:val="0037752D"/>
    <w:rsid w:val="00377909"/>
    <w:rsid w:val="003801AE"/>
    <w:rsid w:val="00380856"/>
    <w:rsid w:val="0038087A"/>
    <w:rsid w:val="003811C4"/>
    <w:rsid w:val="003823C4"/>
    <w:rsid w:val="003823CD"/>
    <w:rsid w:val="00382FDA"/>
    <w:rsid w:val="00383481"/>
    <w:rsid w:val="003835FB"/>
    <w:rsid w:val="00384253"/>
    <w:rsid w:val="00385412"/>
    <w:rsid w:val="00385643"/>
    <w:rsid w:val="00385719"/>
    <w:rsid w:val="00385F26"/>
    <w:rsid w:val="003863A3"/>
    <w:rsid w:val="00386CC4"/>
    <w:rsid w:val="0038723E"/>
    <w:rsid w:val="00387860"/>
    <w:rsid w:val="0038796C"/>
    <w:rsid w:val="00387BF4"/>
    <w:rsid w:val="00387C57"/>
    <w:rsid w:val="00387F88"/>
    <w:rsid w:val="00390085"/>
    <w:rsid w:val="0039035D"/>
    <w:rsid w:val="003909E8"/>
    <w:rsid w:val="00390DA0"/>
    <w:rsid w:val="00391139"/>
    <w:rsid w:val="003911FF"/>
    <w:rsid w:val="0039131E"/>
    <w:rsid w:val="00391533"/>
    <w:rsid w:val="0039159A"/>
    <w:rsid w:val="003924AD"/>
    <w:rsid w:val="00392B5E"/>
    <w:rsid w:val="003931D5"/>
    <w:rsid w:val="003942BB"/>
    <w:rsid w:val="0039432A"/>
    <w:rsid w:val="00394490"/>
    <w:rsid w:val="00394B8B"/>
    <w:rsid w:val="0039532E"/>
    <w:rsid w:val="00395C21"/>
    <w:rsid w:val="0039647D"/>
    <w:rsid w:val="0039681B"/>
    <w:rsid w:val="00396D9B"/>
    <w:rsid w:val="0039763A"/>
    <w:rsid w:val="00397769"/>
    <w:rsid w:val="003979F6"/>
    <w:rsid w:val="00397B32"/>
    <w:rsid w:val="003A08D6"/>
    <w:rsid w:val="003A16E1"/>
    <w:rsid w:val="003A257D"/>
    <w:rsid w:val="003A2641"/>
    <w:rsid w:val="003A2801"/>
    <w:rsid w:val="003A2D04"/>
    <w:rsid w:val="003A31F5"/>
    <w:rsid w:val="003A3A49"/>
    <w:rsid w:val="003A40AF"/>
    <w:rsid w:val="003A4622"/>
    <w:rsid w:val="003A4858"/>
    <w:rsid w:val="003A49D2"/>
    <w:rsid w:val="003A4C52"/>
    <w:rsid w:val="003A5AB6"/>
    <w:rsid w:val="003A5AE0"/>
    <w:rsid w:val="003A6E7A"/>
    <w:rsid w:val="003A70DB"/>
    <w:rsid w:val="003A79E0"/>
    <w:rsid w:val="003A7ECD"/>
    <w:rsid w:val="003B074D"/>
    <w:rsid w:val="003B2234"/>
    <w:rsid w:val="003B2B96"/>
    <w:rsid w:val="003B339B"/>
    <w:rsid w:val="003B4032"/>
    <w:rsid w:val="003B4482"/>
    <w:rsid w:val="003B4B5C"/>
    <w:rsid w:val="003B51E8"/>
    <w:rsid w:val="003B57C2"/>
    <w:rsid w:val="003B5CDA"/>
    <w:rsid w:val="003B68CD"/>
    <w:rsid w:val="003B76D6"/>
    <w:rsid w:val="003B7FA2"/>
    <w:rsid w:val="003C02BB"/>
    <w:rsid w:val="003C03B1"/>
    <w:rsid w:val="003C2DCE"/>
    <w:rsid w:val="003C2FCD"/>
    <w:rsid w:val="003C2FEF"/>
    <w:rsid w:val="003C3591"/>
    <w:rsid w:val="003C5144"/>
    <w:rsid w:val="003C5627"/>
    <w:rsid w:val="003C596A"/>
    <w:rsid w:val="003C599C"/>
    <w:rsid w:val="003C6706"/>
    <w:rsid w:val="003C6C06"/>
    <w:rsid w:val="003C7B73"/>
    <w:rsid w:val="003C7D17"/>
    <w:rsid w:val="003D049A"/>
    <w:rsid w:val="003D1458"/>
    <w:rsid w:val="003D4EE3"/>
    <w:rsid w:val="003D64A4"/>
    <w:rsid w:val="003D6654"/>
    <w:rsid w:val="003D679B"/>
    <w:rsid w:val="003D6969"/>
    <w:rsid w:val="003D6B8D"/>
    <w:rsid w:val="003D7424"/>
    <w:rsid w:val="003E09ED"/>
    <w:rsid w:val="003E0AD3"/>
    <w:rsid w:val="003E0F0A"/>
    <w:rsid w:val="003E12F3"/>
    <w:rsid w:val="003E1E67"/>
    <w:rsid w:val="003E20E9"/>
    <w:rsid w:val="003E25F0"/>
    <w:rsid w:val="003E2D23"/>
    <w:rsid w:val="003E2EA5"/>
    <w:rsid w:val="003E2FCE"/>
    <w:rsid w:val="003E3B16"/>
    <w:rsid w:val="003E3C76"/>
    <w:rsid w:val="003E4BDD"/>
    <w:rsid w:val="003E4C74"/>
    <w:rsid w:val="003E56C0"/>
    <w:rsid w:val="003E5995"/>
    <w:rsid w:val="003E5A16"/>
    <w:rsid w:val="003E5DE9"/>
    <w:rsid w:val="003E696F"/>
    <w:rsid w:val="003E73BA"/>
    <w:rsid w:val="003E7EFC"/>
    <w:rsid w:val="003F01ED"/>
    <w:rsid w:val="003F03A0"/>
    <w:rsid w:val="003F0637"/>
    <w:rsid w:val="003F15E8"/>
    <w:rsid w:val="003F1A66"/>
    <w:rsid w:val="003F1D04"/>
    <w:rsid w:val="003F1FA2"/>
    <w:rsid w:val="003F247F"/>
    <w:rsid w:val="003F2979"/>
    <w:rsid w:val="003F2A6B"/>
    <w:rsid w:val="003F3038"/>
    <w:rsid w:val="003F37B3"/>
    <w:rsid w:val="003F41E9"/>
    <w:rsid w:val="003F4698"/>
    <w:rsid w:val="003F489E"/>
    <w:rsid w:val="003F4B74"/>
    <w:rsid w:val="003F4BEA"/>
    <w:rsid w:val="003F50F1"/>
    <w:rsid w:val="003F69EA"/>
    <w:rsid w:val="003F7421"/>
    <w:rsid w:val="003F7798"/>
    <w:rsid w:val="004004C8"/>
    <w:rsid w:val="00400857"/>
    <w:rsid w:val="00400B32"/>
    <w:rsid w:val="00401361"/>
    <w:rsid w:val="00401620"/>
    <w:rsid w:val="00401A22"/>
    <w:rsid w:val="0040210C"/>
    <w:rsid w:val="00402383"/>
    <w:rsid w:val="00402D10"/>
    <w:rsid w:val="00402FC2"/>
    <w:rsid w:val="004034BA"/>
    <w:rsid w:val="00404027"/>
    <w:rsid w:val="0040426B"/>
    <w:rsid w:val="0040487F"/>
    <w:rsid w:val="004048B3"/>
    <w:rsid w:val="00405028"/>
    <w:rsid w:val="004053D1"/>
    <w:rsid w:val="004056CE"/>
    <w:rsid w:val="0040585D"/>
    <w:rsid w:val="00405899"/>
    <w:rsid w:val="004063E0"/>
    <w:rsid w:val="004065F4"/>
    <w:rsid w:val="004067C6"/>
    <w:rsid w:val="0040697B"/>
    <w:rsid w:val="0040708A"/>
    <w:rsid w:val="00407B5D"/>
    <w:rsid w:val="00407B7A"/>
    <w:rsid w:val="00410527"/>
    <w:rsid w:val="004109F5"/>
    <w:rsid w:val="00410AEA"/>
    <w:rsid w:val="00411135"/>
    <w:rsid w:val="00411DB9"/>
    <w:rsid w:val="00411F53"/>
    <w:rsid w:val="004128A5"/>
    <w:rsid w:val="0041303D"/>
    <w:rsid w:val="00413796"/>
    <w:rsid w:val="00413B40"/>
    <w:rsid w:val="00413D84"/>
    <w:rsid w:val="00413ED6"/>
    <w:rsid w:val="004144C5"/>
    <w:rsid w:val="00414AFF"/>
    <w:rsid w:val="00414EC4"/>
    <w:rsid w:val="00414F02"/>
    <w:rsid w:val="0041509E"/>
    <w:rsid w:val="00415142"/>
    <w:rsid w:val="004159CE"/>
    <w:rsid w:val="004162FF"/>
    <w:rsid w:val="00416DAA"/>
    <w:rsid w:val="00416DFA"/>
    <w:rsid w:val="00416E68"/>
    <w:rsid w:val="00416F8E"/>
    <w:rsid w:val="004170ED"/>
    <w:rsid w:val="00417AB5"/>
    <w:rsid w:val="00417CAE"/>
    <w:rsid w:val="00420930"/>
    <w:rsid w:val="00421068"/>
    <w:rsid w:val="004212B0"/>
    <w:rsid w:val="00421A4E"/>
    <w:rsid w:val="00421AE8"/>
    <w:rsid w:val="00421BAD"/>
    <w:rsid w:val="004226BD"/>
    <w:rsid w:val="00422900"/>
    <w:rsid w:val="00423C38"/>
    <w:rsid w:val="00424679"/>
    <w:rsid w:val="00425A32"/>
    <w:rsid w:val="00425E23"/>
    <w:rsid w:val="004268AF"/>
    <w:rsid w:val="0042784B"/>
    <w:rsid w:val="00427BFA"/>
    <w:rsid w:val="00427E45"/>
    <w:rsid w:val="004300BD"/>
    <w:rsid w:val="004303D7"/>
    <w:rsid w:val="00430998"/>
    <w:rsid w:val="00430C8E"/>
    <w:rsid w:val="00431340"/>
    <w:rsid w:val="004315EC"/>
    <w:rsid w:val="004315F5"/>
    <w:rsid w:val="0043230E"/>
    <w:rsid w:val="00432411"/>
    <w:rsid w:val="004325CB"/>
    <w:rsid w:val="00432F46"/>
    <w:rsid w:val="004341FF"/>
    <w:rsid w:val="00435158"/>
    <w:rsid w:val="0043529E"/>
    <w:rsid w:val="00435F27"/>
    <w:rsid w:val="00435FD6"/>
    <w:rsid w:val="00436179"/>
    <w:rsid w:val="00436A04"/>
    <w:rsid w:val="00436CB7"/>
    <w:rsid w:val="00436E14"/>
    <w:rsid w:val="00436FF2"/>
    <w:rsid w:val="004378A1"/>
    <w:rsid w:val="00437C4F"/>
    <w:rsid w:val="00440702"/>
    <w:rsid w:val="00440AB3"/>
    <w:rsid w:val="00440AC5"/>
    <w:rsid w:val="00440BAA"/>
    <w:rsid w:val="00440E7E"/>
    <w:rsid w:val="00441D59"/>
    <w:rsid w:val="00441D77"/>
    <w:rsid w:val="00441F22"/>
    <w:rsid w:val="004421D6"/>
    <w:rsid w:val="004424CC"/>
    <w:rsid w:val="004426FD"/>
    <w:rsid w:val="004444BF"/>
    <w:rsid w:val="004449BA"/>
    <w:rsid w:val="00444D69"/>
    <w:rsid w:val="0044507C"/>
    <w:rsid w:val="00445586"/>
    <w:rsid w:val="00445667"/>
    <w:rsid w:val="00445AEF"/>
    <w:rsid w:val="00450369"/>
    <w:rsid w:val="004504A6"/>
    <w:rsid w:val="00450A19"/>
    <w:rsid w:val="00450A43"/>
    <w:rsid w:val="00450E5E"/>
    <w:rsid w:val="00451030"/>
    <w:rsid w:val="0045204B"/>
    <w:rsid w:val="00452B52"/>
    <w:rsid w:val="00452EE1"/>
    <w:rsid w:val="004533CC"/>
    <w:rsid w:val="00455CD1"/>
    <w:rsid w:val="004562B5"/>
    <w:rsid w:val="00456511"/>
    <w:rsid w:val="0045691F"/>
    <w:rsid w:val="004575FD"/>
    <w:rsid w:val="004579FA"/>
    <w:rsid w:val="00457E4E"/>
    <w:rsid w:val="00457F1B"/>
    <w:rsid w:val="00460B18"/>
    <w:rsid w:val="00460B3A"/>
    <w:rsid w:val="00460DC1"/>
    <w:rsid w:val="00461638"/>
    <w:rsid w:val="0046248C"/>
    <w:rsid w:val="00462683"/>
    <w:rsid w:val="00464E99"/>
    <w:rsid w:val="00465022"/>
    <w:rsid w:val="004653C1"/>
    <w:rsid w:val="00465D56"/>
    <w:rsid w:val="004667E7"/>
    <w:rsid w:val="00466807"/>
    <w:rsid w:val="00467E33"/>
    <w:rsid w:val="004707C6"/>
    <w:rsid w:val="00470B41"/>
    <w:rsid w:val="00470CC5"/>
    <w:rsid w:val="00470FBD"/>
    <w:rsid w:val="004711A5"/>
    <w:rsid w:val="00472603"/>
    <w:rsid w:val="004729F1"/>
    <w:rsid w:val="004731E6"/>
    <w:rsid w:val="00473B43"/>
    <w:rsid w:val="00473B54"/>
    <w:rsid w:val="004742B9"/>
    <w:rsid w:val="00474407"/>
    <w:rsid w:val="00474608"/>
    <w:rsid w:val="00474E9A"/>
    <w:rsid w:val="00475098"/>
    <w:rsid w:val="00475599"/>
    <w:rsid w:val="00476593"/>
    <w:rsid w:val="00476756"/>
    <w:rsid w:val="0047693C"/>
    <w:rsid w:val="004772E1"/>
    <w:rsid w:val="00480031"/>
    <w:rsid w:val="00480587"/>
    <w:rsid w:val="0048090D"/>
    <w:rsid w:val="00480FE8"/>
    <w:rsid w:val="00481775"/>
    <w:rsid w:val="0048248E"/>
    <w:rsid w:val="004834EE"/>
    <w:rsid w:val="00484154"/>
    <w:rsid w:val="00484623"/>
    <w:rsid w:val="004846F8"/>
    <w:rsid w:val="00484C81"/>
    <w:rsid w:val="00484DA7"/>
    <w:rsid w:val="0048534C"/>
    <w:rsid w:val="00485715"/>
    <w:rsid w:val="0048633F"/>
    <w:rsid w:val="004868E4"/>
    <w:rsid w:val="00487343"/>
    <w:rsid w:val="0048748C"/>
    <w:rsid w:val="00487743"/>
    <w:rsid w:val="00487E7D"/>
    <w:rsid w:val="00490530"/>
    <w:rsid w:val="00490976"/>
    <w:rsid w:val="004909D6"/>
    <w:rsid w:val="00490CF5"/>
    <w:rsid w:val="004912BA"/>
    <w:rsid w:val="004926A8"/>
    <w:rsid w:val="0049383C"/>
    <w:rsid w:val="0049389D"/>
    <w:rsid w:val="00493E39"/>
    <w:rsid w:val="00494302"/>
    <w:rsid w:val="00494C80"/>
    <w:rsid w:val="00494D78"/>
    <w:rsid w:val="004951D5"/>
    <w:rsid w:val="00495353"/>
    <w:rsid w:val="00495F30"/>
    <w:rsid w:val="00496238"/>
    <w:rsid w:val="0049682E"/>
    <w:rsid w:val="00496BDE"/>
    <w:rsid w:val="00496C76"/>
    <w:rsid w:val="00497062"/>
    <w:rsid w:val="00497707"/>
    <w:rsid w:val="00497A90"/>
    <w:rsid w:val="004A0462"/>
    <w:rsid w:val="004A1D50"/>
    <w:rsid w:val="004A1E03"/>
    <w:rsid w:val="004A1F5E"/>
    <w:rsid w:val="004A39D0"/>
    <w:rsid w:val="004A3D71"/>
    <w:rsid w:val="004A47CF"/>
    <w:rsid w:val="004A4930"/>
    <w:rsid w:val="004A6720"/>
    <w:rsid w:val="004A6A8C"/>
    <w:rsid w:val="004A6B07"/>
    <w:rsid w:val="004A6BE8"/>
    <w:rsid w:val="004A7083"/>
    <w:rsid w:val="004A7DE5"/>
    <w:rsid w:val="004B0574"/>
    <w:rsid w:val="004B2B17"/>
    <w:rsid w:val="004B316F"/>
    <w:rsid w:val="004B355F"/>
    <w:rsid w:val="004B3BA5"/>
    <w:rsid w:val="004B485D"/>
    <w:rsid w:val="004B4928"/>
    <w:rsid w:val="004B4C03"/>
    <w:rsid w:val="004B4CDF"/>
    <w:rsid w:val="004B5FFA"/>
    <w:rsid w:val="004C0573"/>
    <w:rsid w:val="004C0943"/>
    <w:rsid w:val="004C0CE2"/>
    <w:rsid w:val="004C1734"/>
    <w:rsid w:val="004C1943"/>
    <w:rsid w:val="004C1EC5"/>
    <w:rsid w:val="004C2403"/>
    <w:rsid w:val="004C307C"/>
    <w:rsid w:val="004C372D"/>
    <w:rsid w:val="004C407D"/>
    <w:rsid w:val="004C4ADC"/>
    <w:rsid w:val="004C4EDE"/>
    <w:rsid w:val="004C4F5E"/>
    <w:rsid w:val="004C57B9"/>
    <w:rsid w:val="004C5912"/>
    <w:rsid w:val="004C689A"/>
    <w:rsid w:val="004C69C4"/>
    <w:rsid w:val="004C6AC4"/>
    <w:rsid w:val="004C7DD3"/>
    <w:rsid w:val="004C7FA4"/>
    <w:rsid w:val="004D0A8A"/>
    <w:rsid w:val="004D1A06"/>
    <w:rsid w:val="004D3434"/>
    <w:rsid w:val="004D4573"/>
    <w:rsid w:val="004D4F93"/>
    <w:rsid w:val="004D508A"/>
    <w:rsid w:val="004D58A4"/>
    <w:rsid w:val="004D5E5A"/>
    <w:rsid w:val="004D5FA8"/>
    <w:rsid w:val="004D608E"/>
    <w:rsid w:val="004D66DB"/>
    <w:rsid w:val="004D6BF5"/>
    <w:rsid w:val="004D6CCE"/>
    <w:rsid w:val="004D6E63"/>
    <w:rsid w:val="004D7064"/>
    <w:rsid w:val="004D7D7A"/>
    <w:rsid w:val="004E0553"/>
    <w:rsid w:val="004E0E95"/>
    <w:rsid w:val="004E109D"/>
    <w:rsid w:val="004E17E2"/>
    <w:rsid w:val="004E2252"/>
    <w:rsid w:val="004E3018"/>
    <w:rsid w:val="004E42C9"/>
    <w:rsid w:val="004E437F"/>
    <w:rsid w:val="004E50A3"/>
    <w:rsid w:val="004E58D8"/>
    <w:rsid w:val="004E5C9B"/>
    <w:rsid w:val="004E6083"/>
    <w:rsid w:val="004E6647"/>
    <w:rsid w:val="004E6728"/>
    <w:rsid w:val="004E6CA4"/>
    <w:rsid w:val="004E70F2"/>
    <w:rsid w:val="004E71D3"/>
    <w:rsid w:val="004E778F"/>
    <w:rsid w:val="004E787F"/>
    <w:rsid w:val="004F0881"/>
    <w:rsid w:val="004F0BB5"/>
    <w:rsid w:val="004F1191"/>
    <w:rsid w:val="004F1C20"/>
    <w:rsid w:val="004F233D"/>
    <w:rsid w:val="004F25B5"/>
    <w:rsid w:val="004F2816"/>
    <w:rsid w:val="004F2906"/>
    <w:rsid w:val="004F2DE3"/>
    <w:rsid w:val="004F2E28"/>
    <w:rsid w:val="004F3D2C"/>
    <w:rsid w:val="004F432B"/>
    <w:rsid w:val="004F4AED"/>
    <w:rsid w:val="004F4B09"/>
    <w:rsid w:val="004F525D"/>
    <w:rsid w:val="004F631E"/>
    <w:rsid w:val="004F666E"/>
    <w:rsid w:val="004F68FD"/>
    <w:rsid w:val="004F7521"/>
    <w:rsid w:val="004F7F64"/>
    <w:rsid w:val="005009C8"/>
    <w:rsid w:val="00500EBB"/>
    <w:rsid w:val="005012BA"/>
    <w:rsid w:val="0050154F"/>
    <w:rsid w:val="0050189D"/>
    <w:rsid w:val="00501C30"/>
    <w:rsid w:val="00502093"/>
    <w:rsid w:val="0050230B"/>
    <w:rsid w:val="0050249A"/>
    <w:rsid w:val="005027FD"/>
    <w:rsid w:val="00502EBD"/>
    <w:rsid w:val="005032B8"/>
    <w:rsid w:val="005033E1"/>
    <w:rsid w:val="00503558"/>
    <w:rsid w:val="00503651"/>
    <w:rsid w:val="00504066"/>
    <w:rsid w:val="00505A61"/>
    <w:rsid w:val="00505C70"/>
    <w:rsid w:val="00505EE7"/>
    <w:rsid w:val="0050603F"/>
    <w:rsid w:val="0050651D"/>
    <w:rsid w:val="00506561"/>
    <w:rsid w:val="00507113"/>
    <w:rsid w:val="00507298"/>
    <w:rsid w:val="005077A2"/>
    <w:rsid w:val="00507C4D"/>
    <w:rsid w:val="00510689"/>
    <w:rsid w:val="0051099F"/>
    <w:rsid w:val="00510A42"/>
    <w:rsid w:val="0051137F"/>
    <w:rsid w:val="00511644"/>
    <w:rsid w:val="00511C37"/>
    <w:rsid w:val="0051330B"/>
    <w:rsid w:val="00514B54"/>
    <w:rsid w:val="00515913"/>
    <w:rsid w:val="00515CF7"/>
    <w:rsid w:val="005167A5"/>
    <w:rsid w:val="00517D42"/>
    <w:rsid w:val="0052020E"/>
    <w:rsid w:val="00520DE7"/>
    <w:rsid w:val="00520EB2"/>
    <w:rsid w:val="0052110B"/>
    <w:rsid w:val="00521636"/>
    <w:rsid w:val="0052165B"/>
    <w:rsid w:val="00521D61"/>
    <w:rsid w:val="00521F44"/>
    <w:rsid w:val="0052204A"/>
    <w:rsid w:val="0052264F"/>
    <w:rsid w:val="00522894"/>
    <w:rsid w:val="00522E85"/>
    <w:rsid w:val="005234A7"/>
    <w:rsid w:val="00524B12"/>
    <w:rsid w:val="00524CAA"/>
    <w:rsid w:val="00525621"/>
    <w:rsid w:val="0052570B"/>
    <w:rsid w:val="005264D2"/>
    <w:rsid w:val="00526E42"/>
    <w:rsid w:val="00530596"/>
    <w:rsid w:val="00530723"/>
    <w:rsid w:val="00530CF6"/>
    <w:rsid w:val="00531415"/>
    <w:rsid w:val="005322E2"/>
    <w:rsid w:val="00532861"/>
    <w:rsid w:val="00532EBC"/>
    <w:rsid w:val="00533A04"/>
    <w:rsid w:val="00533AC6"/>
    <w:rsid w:val="00534056"/>
    <w:rsid w:val="005340FE"/>
    <w:rsid w:val="005353AF"/>
    <w:rsid w:val="0053672E"/>
    <w:rsid w:val="00536AA3"/>
    <w:rsid w:val="005376CB"/>
    <w:rsid w:val="005401A8"/>
    <w:rsid w:val="005409AE"/>
    <w:rsid w:val="00540A6F"/>
    <w:rsid w:val="00540C8F"/>
    <w:rsid w:val="0054261C"/>
    <w:rsid w:val="005442BB"/>
    <w:rsid w:val="005442D2"/>
    <w:rsid w:val="005444E0"/>
    <w:rsid w:val="005449FB"/>
    <w:rsid w:val="00544B3C"/>
    <w:rsid w:val="00544E6E"/>
    <w:rsid w:val="00544F60"/>
    <w:rsid w:val="00545268"/>
    <w:rsid w:val="00545B13"/>
    <w:rsid w:val="00545E52"/>
    <w:rsid w:val="005466CD"/>
    <w:rsid w:val="005467DC"/>
    <w:rsid w:val="005468C0"/>
    <w:rsid w:val="00546EA3"/>
    <w:rsid w:val="00546FD2"/>
    <w:rsid w:val="005473A4"/>
    <w:rsid w:val="00547813"/>
    <w:rsid w:val="00547E28"/>
    <w:rsid w:val="00550251"/>
    <w:rsid w:val="005503E5"/>
    <w:rsid w:val="00550DD6"/>
    <w:rsid w:val="00551293"/>
    <w:rsid w:val="00551B2E"/>
    <w:rsid w:val="00552285"/>
    <w:rsid w:val="005523A8"/>
    <w:rsid w:val="00552788"/>
    <w:rsid w:val="00553463"/>
    <w:rsid w:val="005540D1"/>
    <w:rsid w:val="0055439A"/>
    <w:rsid w:val="00554D96"/>
    <w:rsid w:val="005554CA"/>
    <w:rsid w:val="00555C9A"/>
    <w:rsid w:val="00556448"/>
    <w:rsid w:val="005568F1"/>
    <w:rsid w:val="005569C1"/>
    <w:rsid w:val="00556C36"/>
    <w:rsid w:val="005608A1"/>
    <w:rsid w:val="00560C5B"/>
    <w:rsid w:val="00561001"/>
    <w:rsid w:val="0056195D"/>
    <w:rsid w:val="00561AE2"/>
    <w:rsid w:val="00561C80"/>
    <w:rsid w:val="00562DF9"/>
    <w:rsid w:val="0056332E"/>
    <w:rsid w:val="00563D49"/>
    <w:rsid w:val="00564044"/>
    <w:rsid w:val="005642E8"/>
    <w:rsid w:val="00564F05"/>
    <w:rsid w:val="00564F7C"/>
    <w:rsid w:val="00565342"/>
    <w:rsid w:val="00565444"/>
    <w:rsid w:val="00565578"/>
    <w:rsid w:val="00565EA9"/>
    <w:rsid w:val="00565FE5"/>
    <w:rsid w:val="0056616B"/>
    <w:rsid w:val="005667FB"/>
    <w:rsid w:val="00566828"/>
    <w:rsid w:val="00567E4E"/>
    <w:rsid w:val="0057049F"/>
    <w:rsid w:val="00572779"/>
    <w:rsid w:val="0057278D"/>
    <w:rsid w:val="0057395F"/>
    <w:rsid w:val="00573A2E"/>
    <w:rsid w:val="00573DBD"/>
    <w:rsid w:val="00574073"/>
    <w:rsid w:val="005740FD"/>
    <w:rsid w:val="00575181"/>
    <w:rsid w:val="005752FB"/>
    <w:rsid w:val="00575EB9"/>
    <w:rsid w:val="0057677A"/>
    <w:rsid w:val="00576E12"/>
    <w:rsid w:val="005775C3"/>
    <w:rsid w:val="00577DD2"/>
    <w:rsid w:val="0058054A"/>
    <w:rsid w:val="00580A3A"/>
    <w:rsid w:val="00580D2C"/>
    <w:rsid w:val="00581626"/>
    <w:rsid w:val="005819AE"/>
    <w:rsid w:val="00582A37"/>
    <w:rsid w:val="00583259"/>
    <w:rsid w:val="0058349F"/>
    <w:rsid w:val="00583CAF"/>
    <w:rsid w:val="00583D1D"/>
    <w:rsid w:val="005844A7"/>
    <w:rsid w:val="00585232"/>
    <w:rsid w:val="00585519"/>
    <w:rsid w:val="00585823"/>
    <w:rsid w:val="005863E1"/>
    <w:rsid w:val="005864EA"/>
    <w:rsid w:val="0058662A"/>
    <w:rsid w:val="00586941"/>
    <w:rsid w:val="00587384"/>
    <w:rsid w:val="00587DF4"/>
    <w:rsid w:val="00587E3C"/>
    <w:rsid w:val="00587F7B"/>
    <w:rsid w:val="00587FEA"/>
    <w:rsid w:val="00590178"/>
    <w:rsid w:val="005909CA"/>
    <w:rsid w:val="00590C83"/>
    <w:rsid w:val="00591007"/>
    <w:rsid w:val="00591464"/>
    <w:rsid w:val="0059173A"/>
    <w:rsid w:val="00593752"/>
    <w:rsid w:val="00593DD6"/>
    <w:rsid w:val="00594017"/>
    <w:rsid w:val="00594140"/>
    <w:rsid w:val="0059449C"/>
    <w:rsid w:val="00594551"/>
    <w:rsid w:val="00594FBE"/>
    <w:rsid w:val="00595235"/>
    <w:rsid w:val="0059599F"/>
    <w:rsid w:val="00595B3D"/>
    <w:rsid w:val="00595CFC"/>
    <w:rsid w:val="00596344"/>
    <w:rsid w:val="00596D7B"/>
    <w:rsid w:val="00596EE1"/>
    <w:rsid w:val="005976F4"/>
    <w:rsid w:val="00597B5D"/>
    <w:rsid w:val="00597CF3"/>
    <w:rsid w:val="005A120F"/>
    <w:rsid w:val="005A1465"/>
    <w:rsid w:val="005A17AE"/>
    <w:rsid w:val="005A22CD"/>
    <w:rsid w:val="005A24EC"/>
    <w:rsid w:val="005A34CE"/>
    <w:rsid w:val="005A3975"/>
    <w:rsid w:val="005A3FB7"/>
    <w:rsid w:val="005A3FE3"/>
    <w:rsid w:val="005A3FFD"/>
    <w:rsid w:val="005A44DB"/>
    <w:rsid w:val="005A49E2"/>
    <w:rsid w:val="005A559B"/>
    <w:rsid w:val="005A65F7"/>
    <w:rsid w:val="005A6875"/>
    <w:rsid w:val="005A6B3A"/>
    <w:rsid w:val="005A789E"/>
    <w:rsid w:val="005A7AB5"/>
    <w:rsid w:val="005A7E42"/>
    <w:rsid w:val="005A7FE9"/>
    <w:rsid w:val="005B1076"/>
    <w:rsid w:val="005B13B9"/>
    <w:rsid w:val="005B2841"/>
    <w:rsid w:val="005B2BA3"/>
    <w:rsid w:val="005B3190"/>
    <w:rsid w:val="005B3371"/>
    <w:rsid w:val="005B3B86"/>
    <w:rsid w:val="005B4255"/>
    <w:rsid w:val="005B54F9"/>
    <w:rsid w:val="005B65D4"/>
    <w:rsid w:val="005B772D"/>
    <w:rsid w:val="005B7AE9"/>
    <w:rsid w:val="005B7E52"/>
    <w:rsid w:val="005C0A28"/>
    <w:rsid w:val="005C0CFD"/>
    <w:rsid w:val="005C136B"/>
    <w:rsid w:val="005C139A"/>
    <w:rsid w:val="005C13E3"/>
    <w:rsid w:val="005C14EA"/>
    <w:rsid w:val="005C198A"/>
    <w:rsid w:val="005C1A73"/>
    <w:rsid w:val="005C1CDA"/>
    <w:rsid w:val="005C1EC1"/>
    <w:rsid w:val="005C2311"/>
    <w:rsid w:val="005C23B2"/>
    <w:rsid w:val="005C251E"/>
    <w:rsid w:val="005C2664"/>
    <w:rsid w:val="005C27C3"/>
    <w:rsid w:val="005C2A0F"/>
    <w:rsid w:val="005C3F6E"/>
    <w:rsid w:val="005C4901"/>
    <w:rsid w:val="005C4903"/>
    <w:rsid w:val="005C4FCC"/>
    <w:rsid w:val="005C553A"/>
    <w:rsid w:val="005C5721"/>
    <w:rsid w:val="005C6044"/>
    <w:rsid w:val="005C6246"/>
    <w:rsid w:val="005C62B6"/>
    <w:rsid w:val="005C713A"/>
    <w:rsid w:val="005C75A4"/>
    <w:rsid w:val="005D057C"/>
    <w:rsid w:val="005D0791"/>
    <w:rsid w:val="005D1755"/>
    <w:rsid w:val="005D1A51"/>
    <w:rsid w:val="005D241F"/>
    <w:rsid w:val="005D28E2"/>
    <w:rsid w:val="005D29DC"/>
    <w:rsid w:val="005D2C34"/>
    <w:rsid w:val="005D33BC"/>
    <w:rsid w:val="005D3F75"/>
    <w:rsid w:val="005D402C"/>
    <w:rsid w:val="005D5297"/>
    <w:rsid w:val="005D55E9"/>
    <w:rsid w:val="005D5CEB"/>
    <w:rsid w:val="005D65E5"/>
    <w:rsid w:val="005D6828"/>
    <w:rsid w:val="005D749D"/>
    <w:rsid w:val="005D7BB7"/>
    <w:rsid w:val="005D7EAC"/>
    <w:rsid w:val="005E021E"/>
    <w:rsid w:val="005E0774"/>
    <w:rsid w:val="005E07A9"/>
    <w:rsid w:val="005E0B65"/>
    <w:rsid w:val="005E0BB4"/>
    <w:rsid w:val="005E1166"/>
    <w:rsid w:val="005E18F5"/>
    <w:rsid w:val="005E1B42"/>
    <w:rsid w:val="005E2185"/>
    <w:rsid w:val="005E2319"/>
    <w:rsid w:val="005E2F58"/>
    <w:rsid w:val="005E307C"/>
    <w:rsid w:val="005E455C"/>
    <w:rsid w:val="005E4CDE"/>
    <w:rsid w:val="005E4F5A"/>
    <w:rsid w:val="005E4F7B"/>
    <w:rsid w:val="005E586F"/>
    <w:rsid w:val="005E5B88"/>
    <w:rsid w:val="005E63DB"/>
    <w:rsid w:val="005E70DA"/>
    <w:rsid w:val="005E7947"/>
    <w:rsid w:val="005E7A3F"/>
    <w:rsid w:val="005F0C41"/>
    <w:rsid w:val="005F1F15"/>
    <w:rsid w:val="005F20F2"/>
    <w:rsid w:val="005F235D"/>
    <w:rsid w:val="005F2C29"/>
    <w:rsid w:val="005F2DC2"/>
    <w:rsid w:val="005F3FC0"/>
    <w:rsid w:val="005F47BD"/>
    <w:rsid w:val="005F491B"/>
    <w:rsid w:val="005F4A17"/>
    <w:rsid w:val="005F4CD5"/>
    <w:rsid w:val="005F50F4"/>
    <w:rsid w:val="005F552E"/>
    <w:rsid w:val="005F56F3"/>
    <w:rsid w:val="005F5E59"/>
    <w:rsid w:val="005F60A9"/>
    <w:rsid w:val="005F6B42"/>
    <w:rsid w:val="005F6D5C"/>
    <w:rsid w:val="005F6FB9"/>
    <w:rsid w:val="005F7485"/>
    <w:rsid w:val="005F76DC"/>
    <w:rsid w:val="005F770F"/>
    <w:rsid w:val="006008A9"/>
    <w:rsid w:val="006010DD"/>
    <w:rsid w:val="0060147F"/>
    <w:rsid w:val="006014E3"/>
    <w:rsid w:val="0060170D"/>
    <w:rsid w:val="00602EC8"/>
    <w:rsid w:val="00602F37"/>
    <w:rsid w:val="00603C40"/>
    <w:rsid w:val="00603C8C"/>
    <w:rsid w:val="006041DE"/>
    <w:rsid w:val="0060423E"/>
    <w:rsid w:val="006042C0"/>
    <w:rsid w:val="006044A7"/>
    <w:rsid w:val="00604795"/>
    <w:rsid w:val="00604B17"/>
    <w:rsid w:val="00605693"/>
    <w:rsid w:val="00605C37"/>
    <w:rsid w:val="0060706C"/>
    <w:rsid w:val="00607873"/>
    <w:rsid w:val="00607F39"/>
    <w:rsid w:val="00610543"/>
    <w:rsid w:val="00610674"/>
    <w:rsid w:val="00611151"/>
    <w:rsid w:val="0061120B"/>
    <w:rsid w:val="0061292B"/>
    <w:rsid w:val="0061341A"/>
    <w:rsid w:val="0061372B"/>
    <w:rsid w:val="00615801"/>
    <w:rsid w:val="00615CE3"/>
    <w:rsid w:val="006165CA"/>
    <w:rsid w:val="00616C43"/>
    <w:rsid w:val="00616E1D"/>
    <w:rsid w:val="00616F9C"/>
    <w:rsid w:val="00617ED3"/>
    <w:rsid w:val="006206D9"/>
    <w:rsid w:val="00620769"/>
    <w:rsid w:val="00620C24"/>
    <w:rsid w:val="0062102F"/>
    <w:rsid w:val="00621178"/>
    <w:rsid w:val="00621A68"/>
    <w:rsid w:val="006228DA"/>
    <w:rsid w:val="00623647"/>
    <w:rsid w:val="0062376F"/>
    <w:rsid w:val="00624064"/>
    <w:rsid w:val="0062427F"/>
    <w:rsid w:val="006248E2"/>
    <w:rsid w:val="00624F06"/>
    <w:rsid w:val="0062502B"/>
    <w:rsid w:val="006250D0"/>
    <w:rsid w:val="0062561C"/>
    <w:rsid w:val="00625B49"/>
    <w:rsid w:val="00625E56"/>
    <w:rsid w:val="00626487"/>
    <w:rsid w:val="00626536"/>
    <w:rsid w:val="0062715F"/>
    <w:rsid w:val="00627EDB"/>
    <w:rsid w:val="00631490"/>
    <w:rsid w:val="006317B8"/>
    <w:rsid w:val="006319AF"/>
    <w:rsid w:val="00631D4D"/>
    <w:rsid w:val="00632026"/>
    <w:rsid w:val="00632609"/>
    <w:rsid w:val="0063266D"/>
    <w:rsid w:val="00632FB9"/>
    <w:rsid w:val="0063311B"/>
    <w:rsid w:val="0063417D"/>
    <w:rsid w:val="0063438E"/>
    <w:rsid w:val="00634BE2"/>
    <w:rsid w:val="006351AE"/>
    <w:rsid w:val="00635436"/>
    <w:rsid w:val="00635874"/>
    <w:rsid w:val="00636008"/>
    <w:rsid w:val="006362C6"/>
    <w:rsid w:val="00636397"/>
    <w:rsid w:val="006372D3"/>
    <w:rsid w:val="00637CD9"/>
    <w:rsid w:val="00637FF8"/>
    <w:rsid w:val="00640233"/>
    <w:rsid w:val="0064044F"/>
    <w:rsid w:val="00640975"/>
    <w:rsid w:val="00641079"/>
    <w:rsid w:val="00641B52"/>
    <w:rsid w:val="00642808"/>
    <w:rsid w:val="00642A85"/>
    <w:rsid w:val="00642C4C"/>
    <w:rsid w:val="00642FD5"/>
    <w:rsid w:val="006435E1"/>
    <w:rsid w:val="006462E7"/>
    <w:rsid w:val="0064635C"/>
    <w:rsid w:val="006463AB"/>
    <w:rsid w:val="0064672A"/>
    <w:rsid w:val="00646850"/>
    <w:rsid w:val="0064697B"/>
    <w:rsid w:val="006471D4"/>
    <w:rsid w:val="00647376"/>
    <w:rsid w:val="00647531"/>
    <w:rsid w:val="00647774"/>
    <w:rsid w:val="00647B83"/>
    <w:rsid w:val="0065015D"/>
    <w:rsid w:val="00650788"/>
    <w:rsid w:val="00650D9D"/>
    <w:rsid w:val="00650EEC"/>
    <w:rsid w:val="00650F4F"/>
    <w:rsid w:val="00651BAB"/>
    <w:rsid w:val="00651BFA"/>
    <w:rsid w:val="00651E3E"/>
    <w:rsid w:val="00652550"/>
    <w:rsid w:val="00652598"/>
    <w:rsid w:val="006525E6"/>
    <w:rsid w:val="00652646"/>
    <w:rsid w:val="006527D7"/>
    <w:rsid w:val="00652C3A"/>
    <w:rsid w:val="0065378B"/>
    <w:rsid w:val="006537FA"/>
    <w:rsid w:val="006539D6"/>
    <w:rsid w:val="00653C42"/>
    <w:rsid w:val="00655BE1"/>
    <w:rsid w:val="00655C67"/>
    <w:rsid w:val="00656B85"/>
    <w:rsid w:val="00656EB0"/>
    <w:rsid w:val="006574E0"/>
    <w:rsid w:val="00657A36"/>
    <w:rsid w:val="0066099F"/>
    <w:rsid w:val="00661082"/>
    <w:rsid w:val="006614D8"/>
    <w:rsid w:val="00663144"/>
    <w:rsid w:val="00663EC2"/>
    <w:rsid w:val="00663FDC"/>
    <w:rsid w:val="006641D0"/>
    <w:rsid w:val="00664356"/>
    <w:rsid w:val="006643BD"/>
    <w:rsid w:val="0066462F"/>
    <w:rsid w:val="006646AC"/>
    <w:rsid w:val="00664B48"/>
    <w:rsid w:val="00665FA0"/>
    <w:rsid w:val="00666E8D"/>
    <w:rsid w:val="0066796D"/>
    <w:rsid w:val="006704B0"/>
    <w:rsid w:val="0067064F"/>
    <w:rsid w:val="00670BA6"/>
    <w:rsid w:val="00671022"/>
    <w:rsid w:val="006718DE"/>
    <w:rsid w:val="00671BA6"/>
    <w:rsid w:val="00671BC4"/>
    <w:rsid w:val="00672434"/>
    <w:rsid w:val="00672CDA"/>
    <w:rsid w:val="00672FE7"/>
    <w:rsid w:val="00673649"/>
    <w:rsid w:val="0067378B"/>
    <w:rsid w:val="00673EB9"/>
    <w:rsid w:val="00674349"/>
    <w:rsid w:val="00675CF3"/>
    <w:rsid w:val="00676043"/>
    <w:rsid w:val="006763FB"/>
    <w:rsid w:val="006773C5"/>
    <w:rsid w:val="00677609"/>
    <w:rsid w:val="006777B4"/>
    <w:rsid w:val="00680029"/>
    <w:rsid w:val="00680D03"/>
    <w:rsid w:val="00681149"/>
    <w:rsid w:val="00681881"/>
    <w:rsid w:val="00681960"/>
    <w:rsid w:val="0068210E"/>
    <w:rsid w:val="00682BA6"/>
    <w:rsid w:val="0068382C"/>
    <w:rsid w:val="0068474A"/>
    <w:rsid w:val="006848A1"/>
    <w:rsid w:val="00684C75"/>
    <w:rsid w:val="006860DB"/>
    <w:rsid w:val="00686A5E"/>
    <w:rsid w:val="00687233"/>
    <w:rsid w:val="00690876"/>
    <w:rsid w:val="006909D5"/>
    <w:rsid w:val="00691354"/>
    <w:rsid w:val="0069139B"/>
    <w:rsid w:val="00692081"/>
    <w:rsid w:val="006926D9"/>
    <w:rsid w:val="00692891"/>
    <w:rsid w:val="00692FC9"/>
    <w:rsid w:val="006933AE"/>
    <w:rsid w:val="00693641"/>
    <w:rsid w:val="006936B9"/>
    <w:rsid w:val="006939E2"/>
    <w:rsid w:val="00693CA7"/>
    <w:rsid w:val="00693EC7"/>
    <w:rsid w:val="00694617"/>
    <w:rsid w:val="00694B10"/>
    <w:rsid w:val="00694B66"/>
    <w:rsid w:val="00695272"/>
    <w:rsid w:val="00695BFF"/>
    <w:rsid w:val="00696CD3"/>
    <w:rsid w:val="006A1EC8"/>
    <w:rsid w:val="006A3208"/>
    <w:rsid w:val="006A3445"/>
    <w:rsid w:val="006A4C19"/>
    <w:rsid w:val="006A4DAC"/>
    <w:rsid w:val="006A4DF0"/>
    <w:rsid w:val="006A558B"/>
    <w:rsid w:val="006A5681"/>
    <w:rsid w:val="006A5AF2"/>
    <w:rsid w:val="006A6851"/>
    <w:rsid w:val="006B05BD"/>
    <w:rsid w:val="006B0B08"/>
    <w:rsid w:val="006B0B5B"/>
    <w:rsid w:val="006B10DD"/>
    <w:rsid w:val="006B14F9"/>
    <w:rsid w:val="006B1C93"/>
    <w:rsid w:val="006B2128"/>
    <w:rsid w:val="006B29F3"/>
    <w:rsid w:val="006B2EAB"/>
    <w:rsid w:val="006B3349"/>
    <w:rsid w:val="006B340D"/>
    <w:rsid w:val="006B38C1"/>
    <w:rsid w:val="006B4162"/>
    <w:rsid w:val="006B4812"/>
    <w:rsid w:val="006B55E2"/>
    <w:rsid w:val="006B5BC6"/>
    <w:rsid w:val="006B5E10"/>
    <w:rsid w:val="006B5E74"/>
    <w:rsid w:val="006B5F9E"/>
    <w:rsid w:val="006B5FAC"/>
    <w:rsid w:val="006B6A23"/>
    <w:rsid w:val="006B6D5D"/>
    <w:rsid w:val="006B7004"/>
    <w:rsid w:val="006C00C3"/>
    <w:rsid w:val="006C0A3D"/>
    <w:rsid w:val="006C0C05"/>
    <w:rsid w:val="006C0F0D"/>
    <w:rsid w:val="006C147F"/>
    <w:rsid w:val="006C1FD8"/>
    <w:rsid w:val="006C214E"/>
    <w:rsid w:val="006C2B11"/>
    <w:rsid w:val="006C3CB5"/>
    <w:rsid w:val="006C5916"/>
    <w:rsid w:val="006C661E"/>
    <w:rsid w:val="006C79FD"/>
    <w:rsid w:val="006C7B8A"/>
    <w:rsid w:val="006C7F37"/>
    <w:rsid w:val="006D179A"/>
    <w:rsid w:val="006D17C2"/>
    <w:rsid w:val="006D1FF4"/>
    <w:rsid w:val="006D3EAF"/>
    <w:rsid w:val="006D4321"/>
    <w:rsid w:val="006D4701"/>
    <w:rsid w:val="006D4E10"/>
    <w:rsid w:val="006D4E96"/>
    <w:rsid w:val="006D54E4"/>
    <w:rsid w:val="006D5B46"/>
    <w:rsid w:val="006D5C3C"/>
    <w:rsid w:val="006D5F61"/>
    <w:rsid w:val="006D62A3"/>
    <w:rsid w:val="006D6759"/>
    <w:rsid w:val="006D744F"/>
    <w:rsid w:val="006D7BFD"/>
    <w:rsid w:val="006D7C0F"/>
    <w:rsid w:val="006E090B"/>
    <w:rsid w:val="006E093B"/>
    <w:rsid w:val="006E0A94"/>
    <w:rsid w:val="006E0EA6"/>
    <w:rsid w:val="006E1A5F"/>
    <w:rsid w:val="006E2186"/>
    <w:rsid w:val="006E2B3F"/>
    <w:rsid w:val="006E3E83"/>
    <w:rsid w:val="006E43C5"/>
    <w:rsid w:val="006E4552"/>
    <w:rsid w:val="006E48C9"/>
    <w:rsid w:val="006E4B70"/>
    <w:rsid w:val="006E5889"/>
    <w:rsid w:val="006E588A"/>
    <w:rsid w:val="006E5B59"/>
    <w:rsid w:val="006E6572"/>
    <w:rsid w:val="006E6AF8"/>
    <w:rsid w:val="006E6C29"/>
    <w:rsid w:val="006E73DD"/>
    <w:rsid w:val="006E78F1"/>
    <w:rsid w:val="006E7B28"/>
    <w:rsid w:val="006F1103"/>
    <w:rsid w:val="006F19F5"/>
    <w:rsid w:val="006F1EF1"/>
    <w:rsid w:val="006F288E"/>
    <w:rsid w:val="006F2AC0"/>
    <w:rsid w:val="006F2C97"/>
    <w:rsid w:val="006F2CD3"/>
    <w:rsid w:val="006F2E8E"/>
    <w:rsid w:val="006F36B1"/>
    <w:rsid w:val="006F36EA"/>
    <w:rsid w:val="006F3FEC"/>
    <w:rsid w:val="006F42C4"/>
    <w:rsid w:val="006F4771"/>
    <w:rsid w:val="006F4A2E"/>
    <w:rsid w:val="006F4B64"/>
    <w:rsid w:val="006F6392"/>
    <w:rsid w:val="006F6D5D"/>
    <w:rsid w:val="006F7DCD"/>
    <w:rsid w:val="007002CF"/>
    <w:rsid w:val="0070052E"/>
    <w:rsid w:val="0070145B"/>
    <w:rsid w:val="00702467"/>
    <w:rsid w:val="00702CB5"/>
    <w:rsid w:val="0070306E"/>
    <w:rsid w:val="00703366"/>
    <w:rsid w:val="00703956"/>
    <w:rsid w:val="00703FD1"/>
    <w:rsid w:val="0070572D"/>
    <w:rsid w:val="007058F9"/>
    <w:rsid w:val="00705957"/>
    <w:rsid w:val="00705D5B"/>
    <w:rsid w:val="007075E9"/>
    <w:rsid w:val="007116DD"/>
    <w:rsid w:val="00712EA1"/>
    <w:rsid w:val="00713ED6"/>
    <w:rsid w:val="00713F5D"/>
    <w:rsid w:val="00714575"/>
    <w:rsid w:val="007145A0"/>
    <w:rsid w:val="00714999"/>
    <w:rsid w:val="00715582"/>
    <w:rsid w:val="0071633A"/>
    <w:rsid w:val="007169AA"/>
    <w:rsid w:val="00716D7A"/>
    <w:rsid w:val="00716E26"/>
    <w:rsid w:val="00717216"/>
    <w:rsid w:val="00717726"/>
    <w:rsid w:val="00717971"/>
    <w:rsid w:val="00717B83"/>
    <w:rsid w:val="00720221"/>
    <w:rsid w:val="007213C3"/>
    <w:rsid w:val="007217EC"/>
    <w:rsid w:val="00722128"/>
    <w:rsid w:val="00722FFE"/>
    <w:rsid w:val="00723385"/>
    <w:rsid w:val="00724293"/>
    <w:rsid w:val="00724331"/>
    <w:rsid w:val="00725048"/>
    <w:rsid w:val="007250ED"/>
    <w:rsid w:val="00725320"/>
    <w:rsid w:val="00725425"/>
    <w:rsid w:val="007256DD"/>
    <w:rsid w:val="007257F0"/>
    <w:rsid w:val="007264A1"/>
    <w:rsid w:val="00726525"/>
    <w:rsid w:val="0072682A"/>
    <w:rsid w:val="007277E5"/>
    <w:rsid w:val="00727AC5"/>
    <w:rsid w:val="00727BA1"/>
    <w:rsid w:val="00730427"/>
    <w:rsid w:val="00730758"/>
    <w:rsid w:val="00730842"/>
    <w:rsid w:val="00730FBC"/>
    <w:rsid w:val="007316AD"/>
    <w:rsid w:val="00731BBE"/>
    <w:rsid w:val="00732871"/>
    <w:rsid w:val="00732BD8"/>
    <w:rsid w:val="00732E00"/>
    <w:rsid w:val="007334D9"/>
    <w:rsid w:val="00733A01"/>
    <w:rsid w:val="00733A40"/>
    <w:rsid w:val="00734182"/>
    <w:rsid w:val="007352FB"/>
    <w:rsid w:val="0073536C"/>
    <w:rsid w:val="00735471"/>
    <w:rsid w:val="007359C7"/>
    <w:rsid w:val="00735C7E"/>
    <w:rsid w:val="00736121"/>
    <w:rsid w:val="00736862"/>
    <w:rsid w:val="00736AC1"/>
    <w:rsid w:val="00736B37"/>
    <w:rsid w:val="00737015"/>
    <w:rsid w:val="007375FB"/>
    <w:rsid w:val="007376E2"/>
    <w:rsid w:val="00737831"/>
    <w:rsid w:val="00740D61"/>
    <w:rsid w:val="007412D0"/>
    <w:rsid w:val="007416DB"/>
    <w:rsid w:val="00741941"/>
    <w:rsid w:val="00741CE3"/>
    <w:rsid w:val="007425D2"/>
    <w:rsid w:val="00742C74"/>
    <w:rsid w:val="00742F3B"/>
    <w:rsid w:val="007439A7"/>
    <w:rsid w:val="00744D0A"/>
    <w:rsid w:val="007454CB"/>
    <w:rsid w:val="007459C4"/>
    <w:rsid w:val="00746CD6"/>
    <w:rsid w:val="007474C7"/>
    <w:rsid w:val="00747F15"/>
    <w:rsid w:val="00750318"/>
    <w:rsid w:val="00750590"/>
    <w:rsid w:val="00750D11"/>
    <w:rsid w:val="00750FAD"/>
    <w:rsid w:val="00751702"/>
    <w:rsid w:val="0075176C"/>
    <w:rsid w:val="00751F87"/>
    <w:rsid w:val="007526AC"/>
    <w:rsid w:val="00752DCC"/>
    <w:rsid w:val="00752F42"/>
    <w:rsid w:val="0075313D"/>
    <w:rsid w:val="0075343F"/>
    <w:rsid w:val="0075387D"/>
    <w:rsid w:val="007540E7"/>
    <w:rsid w:val="00754EA8"/>
    <w:rsid w:val="007551CC"/>
    <w:rsid w:val="00755DEE"/>
    <w:rsid w:val="00756C6B"/>
    <w:rsid w:val="007572BB"/>
    <w:rsid w:val="00757B2B"/>
    <w:rsid w:val="0076022F"/>
    <w:rsid w:val="007612A5"/>
    <w:rsid w:val="00761840"/>
    <w:rsid w:val="00761F44"/>
    <w:rsid w:val="00762751"/>
    <w:rsid w:val="00762891"/>
    <w:rsid w:val="00763252"/>
    <w:rsid w:val="007632B4"/>
    <w:rsid w:val="0076336C"/>
    <w:rsid w:val="007639C9"/>
    <w:rsid w:val="00763CA3"/>
    <w:rsid w:val="007645BE"/>
    <w:rsid w:val="00765169"/>
    <w:rsid w:val="0076561C"/>
    <w:rsid w:val="00765EA2"/>
    <w:rsid w:val="00766138"/>
    <w:rsid w:val="0076616D"/>
    <w:rsid w:val="0076659C"/>
    <w:rsid w:val="00766622"/>
    <w:rsid w:val="00766B3A"/>
    <w:rsid w:val="007674C7"/>
    <w:rsid w:val="00767BB7"/>
    <w:rsid w:val="00770681"/>
    <w:rsid w:val="00770863"/>
    <w:rsid w:val="007722F2"/>
    <w:rsid w:val="00772C7A"/>
    <w:rsid w:val="00773AC3"/>
    <w:rsid w:val="00773E88"/>
    <w:rsid w:val="007751A4"/>
    <w:rsid w:val="00775323"/>
    <w:rsid w:val="00775A16"/>
    <w:rsid w:val="00775CB9"/>
    <w:rsid w:val="00776093"/>
    <w:rsid w:val="007768E8"/>
    <w:rsid w:val="00776B82"/>
    <w:rsid w:val="00776DC3"/>
    <w:rsid w:val="007779B2"/>
    <w:rsid w:val="00777C84"/>
    <w:rsid w:val="00777F40"/>
    <w:rsid w:val="00780259"/>
    <w:rsid w:val="00780974"/>
    <w:rsid w:val="0078167F"/>
    <w:rsid w:val="00782A53"/>
    <w:rsid w:val="007833B2"/>
    <w:rsid w:val="007833E3"/>
    <w:rsid w:val="007837AD"/>
    <w:rsid w:val="00783A33"/>
    <w:rsid w:val="00784420"/>
    <w:rsid w:val="00784449"/>
    <w:rsid w:val="00784F12"/>
    <w:rsid w:val="00785408"/>
    <w:rsid w:val="007859D2"/>
    <w:rsid w:val="00785EF3"/>
    <w:rsid w:val="007864C5"/>
    <w:rsid w:val="007870BE"/>
    <w:rsid w:val="007873DE"/>
    <w:rsid w:val="0078777E"/>
    <w:rsid w:val="0079080A"/>
    <w:rsid w:val="00790DFA"/>
    <w:rsid w:val="00791377"/>
    <w:rsid w:val="0079145E"/>
    <w:rsid w:val="00791C26"/>
    <w:rsid w:val="007927D7"/>
    <w:rsid w:val="007927FA"/>
    <w:rsid w:val="0079281F"/>
    <w:rsid w:val="00792EB8"/>
    <w:rsid w:val="007931A2"/>
    <w:rsid w:val="00793574"/>
    <w:rsid w:val="0079388E"/>
    <w:rsid w:val="00794848"/>
    <w:rsid w:val="00794ED4"/>
    <w:rsid w:val="007950E5"/>
    <w:rsid w:val="007954B2"/>
    <w:rsid w:val="007959F9"/>
    <w:rsid w:val="00795F44"/>
    <w:rsid w:val="00796395"/>
    <w:rsid w:val="007963F6"/>
    <w:rsid w:val="0079697D"/>
    <w:rsid w:val="00796C7C"/>
    <w:rsid w:val="0079739A"/>
    <w:rsid w:val="007A0091"/>
    <w:rsid w:val="007A00D2"/>
    <w:rsid w:val="007A201B"/>
    <w:rsid w:val="007A2CC2"/>
    <w:rsid w:val="007A3283"/>
    <w:rsid w:val="007A3994"/>
    <w:rsid w:val="007A3C83"/>
    <w:rsid w:val="007A4762"/>
    <w:rsid w:val="007A4763"/>
    <w:rsid w:val="007A4C40"/>
    <w:rsid w:val="007A4C87"/>
    <w:rsid w:val="007A5269"/>
    <w:rsid w:val="007A670A"/>
    <w:rsid w:val="007A6732"/>
    <w:rsid w:val="007B0CB0"/>
    <w:rsid w:val="007B2842"/>
    <w:rsid w:val="007B2F4B"/>
    <w:rsid w:val="007B30C6"/>
    <w:rsid w:val="007B3137"/>
    <w:rsid w:val="007B3781"/>
    <w:rsid w:val="007B3A96"/>
    <w:rsid w:val="007B3F1C"/>
    <w:rsid w:val="007B4229"/>
    <w:rsid w:val="007B5723"/>
    <w:rsid w:val="007B5924"/>
    <w:rsid w:val="007B5D5D"/>
    <w:rsid w:val="007B63F3"/>
    <w:rsid w:val="007B6502"/>
    <w:rsid w:val="007B6C0F"/>
    <w:rsid w:val="007B771F"/>
    <w:rsid w:val="007C073A"/>
    <w:rsid w:val="007C2007"/>
    <w:rsid w:val="007C3236"/>
    <w:rsid w:val="007C3465"/>
    <w:rsid w:val="007C3671"/>
    <w:rsid w:val="007C3A0D"/>
    <w:rsid w:val="007C3C81"/>
    <w:rsid w:val="007C3E0C"/>
    <w:rsid w:val="007C496E"/>
    <w:rsid w:val="007C4C62"/>
    <w:rsid w:val="007C50D8"/>
    <w:rsid w:val="007C5529"/>
    <w:rsid w:val="007C616C"/>
    <w:rsid w:val="007C69E3"/>
    <w:rsid w:val="007C7239"/>
    <w:rsid w:val="007C7BC1"/>
    <w:rsid w:val="007C7C7B"/>
    <w:rsid w:val="007C7E2F"/>
    <w:rsid w:val="007D0334"/>
    <w:rsid w:val="007D0561"/>
    <w:rsid w:val="007D0DF9"/>
    <w:rsid w:val="007D11B5"/>
    <w:rsid w:val="007D1391"/>
    <w:rsid w:val="007D17CC"/>
    <w:rsid w:val="007D1AA5"/>
    <w:rsid w:val="007D2009"/>
    <w:rsid w:val="007D2E2C"/>
    <w:rsid w:val="007D35AB"/>
    <w:rsid w:val="007D410C"/>
    <w:rsid w:val="007D4674"/>
    <w:rsid w:val="007D484E"/>
    <w:rsid w:val="007D4CA7"/>
    <w:rsid w:val="007D55F1"/>
    <w:rsid w:val="007D5902"/>
    <w:rsid w:val="007D6E6F"/>
    <w:rsid w:val="007D6EC5"/>
    <w:rsid w:val="007D748D"/>
    <w:rsid w:val="007E01B0"/>
    <w:rsid w:val="007E0219"/>
    <w:rsid w:val="007E0627"/>
    <w:rsid w:val="007E0950"/>
    <w:rsid w:val="007E170B"/>
    <w:rsid w:val="007E2EF5"/>
    <w:rsid w:val="007E2FA2"/>
    <w:rsid w:val="007E38AF"/>
    <w:rsid w:val="007E3D85"/>
    <w:rsid w:val="007E4D60"/>
    <w:rsid w:val="007E4D80"/>
    <w:rsid w:val="007E58E4"/>
    <w:rsid w:val="007E5E47"/>
    <w:rsid w:val="007E66A2"/>
    <w:rsid w:val="007E6BBB"/>
    <w:rsid w:val="007E7CD5"/>
    <w:rsid w:val="007F02BA"/>
    <w:rsid w:val="007F040C"/>
    <w:rsid w:val="007F0892"/>
    <w:rsid w:val="007F14E7"/>
    <w:rsid w:val="007F18AE"/>
    <w:rsid w:val="007F1FCA"/>
    <w:rsid w:val="007F200D"/>
    <w:rsid w:val="007F29CA"/>
    <w:rsid w:val="007F2A05"/>
    <w:rsid w:val="007F2CF3"/>
    <w:rsid w:val="007F33A7"/>
    <w:rsid w:val="007F374D"/>
    <w:rsid w:val="007F3C9E"/>
    <w:rsid w:val="007F3DA2"/>
    <w:rsid w:val="007F4809"/>
    <w:rsid w:val="007F5DE0"/>
    <w:rsid w:val="007F654C"/>
    <w:rsid w:val="007F67D8"/>
    <w:rsid w:val="007F69CC"/>
    <w:rsid w:val="007F6ED4"/>
    <w:rsid w:val="007F72ED"/>
    <w:rsid w:val="007F7ABF"/>
    <w:rsid w:val="00801386"/>
    <w:rsid w:val="00801485"/>
    <w:rsid w:val="0080184C"/>
    <w:rsid w:val="00802364"/>
    <w:rsid w:val="008026D8"/>
    <w:rsid w:val="00802A74"/>
    <w:rsid w:val="00803400"/>
    <w:rsid w:val="008038FA"/>
    <w:rsid w:val="008039B1"/>
    <w:rsid w:val="00803ADF"/>
    <w:rsid w:val="00803E54"/>
    <w:rsid w:val="00804604"/>
    <w:rsid w:val="00804C1A"/>
    <w:rsid w:val="00804D07"/>
    <w:rsid w:val="00805046"/>
    <w:rsid w:val="00805160"/>
    <w:rsid w:val="008054D7"/>
    <w:rsid w:val="00805B70"/>
    <w:rsid w:val="00806308"/>
    <w:rsid w:val="0080638E"/>
    <w:rsid w:val="00806C0A"/>
    <w:rsid w:val="00807DE5"/>
    <w:rsid w:val="00807EF3"/>
    <w:rsid w:val="00810234"/>
    <w:rsid w:val="00810416"/>
    <w:rsid w:val="00810E4A"/>
    <w:rsid w:val="0081119B"/>
    <w:rsid w:val="008115BE"/>
    <w:rsid w:val="00812196"/>
    <w:rsid w:val="00812293"/>
    <w:rsid w:val="00812860"/>
    <w:rsid w:val="00812DE8"/>
    <w:rsid w:val="008130D5"/>
    <w:rsid w:val="008133FF"/>
    <w:rsid w:val="00813658"/>
    <w:rsid w:val="008138FB"/>
    <w:rsid w:val="008139B1"/>
    <w:rsid w:val="00814606"/>
    <w:rsid w:val="0081472E"/>
    <w:rsid w:val="00814EBC"/>
    <w:rsid w:val="008152D7"/>
    <w:rsid w:val="0081549C"/>
    <w:rsid w:val="0081574F"/>
    <w:rsid w:val="00815C42"/>
    <w:rsid w:val="0081626B"/>
    <w:rsid w:val="008164A0"/>
    <w:rsid w:val="0081674F"/>
    <w:rsid w:val="00816A29"/>
    <w:rsid w:val="00816AD3"/>
    <w:rsid w:val="008173B2"/>
    <w:rsid w:val="008177CF"/>
    <w:rsid w:val="00817956"/>
    <w:rsid w:val="00817BA6"/>
    <w:rsid w:val="00817C35"/>
    <w:rsid w:val="008202C6"/>
    <w:rsid w:val="0082065C"/>
    <w:rsid w:val="00821F6C"/>
    <w:rsid w:val="0082235C"/>
    <w:rsid w:val="008226C9"/>
    <w:rsid w:val="00822B1D"/>
    <w:rsid w:val="00822DAA"/>
    <w:rsid w:val="00822FCF"/>
    <w:rsid w:val="008236E0"/>
    <w:rsid w:val="0082374F"/>
    <w:rsid w:val="00823A4D"/>
    <w:rsid w:val="00823C48"/>
    <w:rsid w:val="00823F58"/>
    <w:rsid w:val="0082496D"/>
    <w:rsid w:val="008249AD"/>
    <w:rsid w:val="008252F1"/>
    <w:rsid w:val="008252FD"/>
    <w:rsid w:val="008258BE"/>
    <w:rsid w:val="00825A5F"/>
    <w:rsid w:val="00825D84"/>
    <w:rsid w:val="00825E52"/>
    <w:rsid w:val="00826CA9"/>
    <w:rsid w:val="00826E38"/>
    <w:rsid w:val="008272C0"/>
    <w:rsid w:val="00827551"/>
    <w:rsid w:val="0083036B"/>
    <w:rsid w:val="00830C75"/>
    <w:rsid w:val="00830D4C"/>
    <w:rsid w:val="008313F4"/>
    <w:rsid w:val="008323BA"/>
    <w:rsid w:val="00832525"/>
    <w:rsid w:val="00832C5E"/>
    <w:rsid w:val="008333F3"/>
    <w:rsid w:val="00833950"/>
    <w:rsid w:val="00833ED2"/>
    <w:rsid w:val="00833EF7"/>
    <w:rsid w:val="00834AF6"/>
    <w:rsid w:val="00834C85"/>
    <w:rsid w:val="0083506A"/>
    <w:rsid w:val="008354B4"/>
    <w:rsid w:val="008356B3"/>
    <w:rsid w:val="008363C2"/>
    <w:rsid w:val="00836858"/>
    <w:rsid w:val="00837AA3"/>
    <w:rsid w:val="008408BB"/>
    <w:rsid w:val="00840ACB"/>
    <w:rsid w:val="00840B48"/>
    <w:rsid w:val="00840BAD"/>
    <w:rsid w:val="008415C4"/>
    <w:rsid w:val="00841E4E"/>
    <w:rsid w:val="00841E6D"/>
    <w:rsid w:val="00841FD6"/>
    <w:rsid w:val="008427C6"/>
    <w:rsid w:val="008428FA"/>
    <w:rsid w:val="00842B71"/>
    <w:rsid w:val="00842D3E"/>
    <w:rsid w:val="00842E93"/>
    <w:rsid w:val="008431FD"/>
    <w:rsid w:val="00843694"/>
    <w:rsid w:val="00843F3B"/>
    <w:rsid w:val="00844114"/>
    <w:rsid w:val="008444AA"/>
    <w:rsid w:val="0084524A"/>
    <w:rsid w:val="008452CE"/>
    <w:rsid w:val="0084534A"/>
    <w:rsid w:val="00845A7A"/>
    <w:rsid w:val="00846258"/>
    <w:rsid w:val="00846E74"/>
    <w:rsid w:val="00847177"/>
    <w:rsid w:val="00847529"/>
    <w:rsid w:val="008479F5"/>
    <w:rsid w:val="00847CBD"/>
    <w:rsid w:val="00850079"/>
    <w:rsid w:val="0085034D"/>
    <w:rsid w:val="00850D33"/>
    <w:rsid w:val="00850EE6"/>
    <w:rsid w:val="0085103F"/>
    <w:rsid w:val="008510BE"/>
    <w:rsid w:val="00851195"/>
    <w:rsid w:val="00851D0A"/>
    <w:rsid w:val="00851DE5"/>
    <w:rsid w:val="00851FA0"/>
    <w:rsid w:val="00852017"/>
    <w:rsid w:val="00852116"/>
    <w:rsid w:val="008532C0"/>
    <w:rsid w:val="00853D87"/>
    <w:rsid w:val="008540FC"/>
    <w:rsid w:val="008545AA"/>
    <w:rsid w:val="00855348"/>
    <w:rsid w:val="0085579E"/>
    <w:rsid w:val="00856970"/>
    <w:rsid w:val="00856BB8"/>
    <w:rsid w:val="00857F7B"/>
    <w:rsid w:val="00860292"/>
    <w:rsid w:val="0086046F"/>
    <w:rsid w:val="00860D68"/>
    <w:rsid w:val="008612BC"/>
    <w:rsid w:val="008614E4"/>
    <w:rsid w:val="0086169B"/>
    <w:rsid w:val="008618A6"/>
    <w:rsid w:val="008623DF"/>
    <w:rsid w:val="00862578"/>
    <w:rsid w:val="00862BC8"/>
    <w:rsid w:val="00862D21"/>
    <w:rsid w:val="008631E4"/>
    <w:rsid w:val="00863409"/>
    <w:rsid w:val="0086344B"/>
    <w:rsid w:val="008635A1"/>
    <w:rsid w:val="00863D9B"/>
    <w:rsid w:val="00865401"/>
    <w:rsid w:val="008658DA"/>
    <w:rsid w:val="00865B26"/>
    <w:rsid w:val="0086698D"/>
    <w:rsid w:val="00866B0F"/>
    <w:rsid w:val="00866ED1"/>
    <w:rsid w:val="008679D1"/>
    <w:rsid w:val="00867D74"/>
    <w:rsid w:val="00870394"/>
    <w:rsid w:val="008709E4"/>
    <w:rsid w:val="00871CB2"/>
    <w:rsid w:val="00872177"/>
    <w:rsid w:val="00872AD4"/>
    <w:rsid w:val="0087316C"/>
    <w:rsid w:val="00873BBB"/>
    <w:rsid w:val="00873E77"/>
    <w:rsid w:val="00874447"/>
    <w:rsid w:val="0087569A"/>
    <w:rsid w:val="00875B16"/>
    <w:rsid w:val="00875E2C"/>
    <w:rsid w:val="00876865"/>
    <w:rsid w:val="00876A15"/>
    <w:rsid w:val="00877EA3"/>
    <w:rsid w:val="008804DE"/>
    <w:rsid w:val="008808C7"/>
    <w:rsid w:val="008808FF"/>
    <w:rsid w:val="00880A58"/>
    <w:rsid w:val="008816FE"/>
    <w:rsid w:val="00881ACB"/>
    <w:rsid w:val="0088282D"/>
    <w:rsid w:val="00882A41"/>
    <w:rsid w:val="00883C66"/>
    <w:rsid w:val="00884AE7"/>
    <w:rsid w:val="0088531B"/>
    <w:rsid w:val="00885BC7"/>
    <w:rsid w:val="00885D93"/>
    <w:rsid w:val="00886192"/>
    <w:rsid w:val="00886292"/>
    <w:rsid w:val="0088686B"/>
    <w:rsid w:val="00886A3A"/>
    <w:rsid w:val="00886F58"/>
    <w:rsid w:val="00886FD7"/>
    <w:rsid w:val="00887138"/>
    <w:rsid w:val="0089061B"/>
    <w:rsid w:val="0089077E"/>
    <w:rsid w:val="0089078F"/>
    <w:rsid w:val="00890B00"/>
    <w:rsid w:val="00891156"/>
    <w:rsid w:val="00891273"/>
    <w:rsid w:val="00891426"/>
    <w:rsid w:val="008923C9"/>
    <w:rsid w:val="00892910"/>
    <w:rsid w:val="00892CCF"/>
    <w:rsid w:val="0089611C"/>
    <w:rsid w:val="00896BA9"/>
    <w:rsid w:val="00897AC2"/>
    <w:rsid w:val="008A12AA"/>
    <w:rsid w:val="008A186E"/>
    <w:rsid w:val="008A194E"/>
    <w:rsid w:val="008A198D"/>
    <w:rsid w:val="008A2310"/>
    <w:rsid w:val="008A29A2"/>
    <w:rsid w:val="008A29A9"/>
    <w:rsid w:val="008A2E49"/>
    <w:rsid w:val="008A311C"/>
    <w:rsid w:val="008A4110"/>
    <w:rsid w:val="008A4650"/>
    <w:rsid w:val="008A4CFC"/>
    <w:rsid w:val="008A5812"/>
    <w:rsid w:val="008A5AEF"/>
    <w:rsid w:val="008A6436"/>
    <w:rsid w:val="008A6697"/>
    <w:rsid w:val="008A6A5E"/>
    <w:rsid w:val="008A6FF5"/>
    <w:rsid w:val="008A7F17"/>
    <w:rsid w:val="008B0053"/>
    <w:rsid w:val="008B09A4"/>
    <w:rsid w:val="008B0A5C"/>
    <w:rsid w:val="008B0F7E"/>
    <w:rsid w:val="008B1597"/>
    <w:rsid w:val="008B1A37"/>
    <w:rsid w:val="008B270E"/>
    <w:rsid w:val="008B27FB"/>
    <w:rsid w:val="008B29E0"/>
    <w:rsid w:val="008B2C6C"/>
    <w:rsid w:val="008B3235"/>
    <w:rsid w:val="008B3A8E"/>
    <w:rsid w:val="008B44CB"/>
    <w:rsid w:val="008B4818"/>
    <w:rsid w:val="008B499F"/>
    <w:rsid w:val="008B4C15"/>
    <w:rsid w:val="008B4F71"/>
    <w:rsid w:val="008B516E"/>
    <w:rsid w:val="008B52AF"/>
    <w:rsid w:val="008B65C1"/>
    <w:rsid w:val="008B6854"/>
    <w:rsid w:val="008B6E03"/>
    <w:rsid w:val="008B7118"/>
    <w:rsid w:val="008B7DFA"/>
    <w:rsid w:val="008B7E52"/>
    <w:rsid w:val="008C0548"/>
    <w:rsid w:val="008C0FFA"/>
    <w:rsid w:val="008C101C"/>
    <w:rsid w:val="008C1C75"/>
    <w:rsid w:val="008C20EC"/>
    <w:rsid w:val="008C26DF"/>
    <w:rsid w:val="008C39CB"/>
    <w:rsid w:val="008C444C"/>
    <w:rsid w:val="008C4826"/>
    <w:rsid w:val="008C4D2F"/>
    <w:rsid w:val="008C4DFB"/>
    <w:rsid w:val="008C527A"/>
    <w:rsid w:val="008C63F1"/>
    <w:rsid w:val="008C67D2"/>
    <w:rsid w:val="008C69ED"/>
    <w:rsid w:val="008C6A51"/>
    <w:rsid w:val="008C6BA3"/>
    <w:rsid w:val="008C70A7"/>
    <w:rsid w:val="008C775D"/>
    <w:rsid w:val="008D047E"/>
    <w:rsid w:val="008D0558"/>
    <w:rsid w:val="008D06BA"/>
    <w:rsid w:val="008D0901"/>
    <w:rsid w:val="008D1345"/>
    <w:rsid w:val="008D1CDB"/>
    <w:rsid w:val="008D1EED"/>
    <w:rsid w:val="008D2562"/>
    <w:rsid w:val="008D4265"/>
    <w:rsid w:val="008D4C8F"/>
    <w:rsid w:val="008D4E9A"/>
    <w:rsid w:val="008D4F79"/>
    <w:rsid w:val="008D5A74"/>
    <w:rsid w:val="008D5F15"/>
    <w:rsid w:val="008D6578"/>
    <w:rsid w:val="008D6910"/>
    <w:rsid w:val="008D6EBF"/>
    <w:rsid w:val="008D7A0C"/>
    <w:rsid w:val="008D7AF6"/>
    <w:rsid w:val="008D7F2C"/>
    <w:rsid w:val="008E0BEA"/>
    <w:rsid w:val="008E1D8F"/>
    <w:rsid w:val="008E279E"/>
    <w:rsid w:val="008E2DF5"/>
    <w:rsid w:val="008E2EFC"/>
    <w:rsid w:val="008E310C"/>
    <w:rsid w:val="008E315A"/>
    <w:rsid w:val="008E32BC"/>
    <w:rsid w:val="008E35A4"/>
    <w:rsid w:val="008E3A96"/>
    <w:rsid w:val="008E40D9"/>
    <w:rsid w:val="008E42D4"/>
    <w:rsid w:val="008E4791"/>
    <w:rsid w:val="008E51AB"/>
    <w:rsid w:val="008E5CD6"/>
    <w:rsid w:val="008E5EA5"/>
    <w:rsid w:val="008E632F"/>
    <w:rsid w:val="008E65F6"/>
    <w:rsid w:val="008E660C"/>
    <w:rsid w:val="008E665E"/>
    <w:rsid w:val="008E6FFB"/>
    <w:rsid w:val="008E77BF"/>
    <w:rsid w:val="008F01F3"/>
    <w:rsid w:val="008F092F"/>
    <w:rsid w:val="008F0A4D"/>
    <w:rsid w:val="008F22D6"/>
    <w:rsid w:val="008F2C55"/>
    <w:rsid w:val="008F2DEA"/>
    <w:rsid w:val="008F336D"/>
    <w:rsid w:val="008F45D4"/>
    <w:rsid w:val="008F45E9"/>
    <w:rsid w:val="008F4FFD"/>
    <w:rsid w:val="008F553D"/>
    <w:rsid w:val="008F5C2C"/>
    <w:rsid w:val="008F5E0D"/>
    <w:rsid w:val="008F611D"/>
    <w:rsid w:val="008F6B69"/>
    <w:rsid w:val="008F7876"/>
    <w:rsid w:val="008F7B65"/>
    <w:rsid w:val="008F7E7B"/>
    <w:rsid w:val="008F7FCE"/>
    <w:rsid w:val="009009E1"/>
    <w:rsid w:val="009010BE"/>
    <w:rsid w:val="009027E3"/>
    <w:rsid w:val="00903344"/>
    <w:rsid w:val="00903DBC"/>
    <w:rsid w:val="009048A1"/>
    <w:rsid w:val="00905436"/>
    <w:rsid w:val="009055BC"/>
    <w:rsid w:val="00905ACF"/>
    <w:rsid w:val="00905FC2"/>
    <w:rsid w:val="0090610B"/>
    <w:rsid w:val="00906381"/>
    <w:rsid w:val="00906567"/>
    <w:rsid w:val="00906CDE"/>
    <w:rsid w:val="009073B3"/>
    <w:rsid w:val="00911119"/>
    <w:rsid w:val="009112F7"/>
    <w:rsid w:val="00911BCD"/>
    <w:rsid w:val="00912151"/>
    <w:rsid w:val="00912575"/>
    <w:rsid w:val="00912637"/>
    <w:rsid w:val="009139A5"/>
    <w:rsid w:val="00913B38"/>
    <w:rsid w:val="00913EFE"/>
    <w:rsid w:val="0091416F"/>
    <w:rsid w:val="00914A6C"/>
    <w:rsid w:val="00914F17"/>
    <w:rsid w:val="00915478"/>
    <w:rsid w:val="00916113"/>
    <w:rsid w:val="00916646"/>
    <w:rsid w:val="009167E9"/>
    <w:rsid w:val="00916E7A"/>
    <w:rsid w:val="00917260"/>
    <w:rsid w:val="009176F6"/>
    <w:rsid w:val="00917A66"/>
    <w:rsid w:val="00917E8F"/>
    <w:rsid w:val="00920647"/>
    <w:rsid w:val="009207D5"/>
    <w:rsid w:val="009207E3"/>
    <w:rsid w:val="00920B6F"/>
    <w:rsid w:val="00921F59"/>
    <w:rsid w:val="0092212D"/>
    <w:rsid w:val="00922CB7"/>
    <w:rsid w:val="00922E3E"/>
    <w:rsid w:val="00922F85"/>
    <w:rsid w:val="00923445"/>
    <w:rsid w:val="0092355C"/>
    <w:rsid w:val="00924579"/>
    <w:rsid w:val="00924AA5"/>
    <w:rsid w:val="00924EE7"/>
    <w:rsid w:val="00925513"/>
    <w:rsid w:val="00925CF7"/>
    <w:rsid w:val="00926413"/>
    <w:rsid w:val="00926514"/>
    <w:rsid w:val="00926D10"/>
    <w:rsid w:val="00926F5E"/>
    <w:rsid w:val="00927100"/>
    <w:rsid w:val="009306D3"/>
    <w:rsid w:val="009307C4"/>
    <w:rsid w:val="00930820"/>
    <w:rsid w:val="0093093C"/>
    <w:rsid w:val="00930F63"/>
    <w:rsid w:val="00932E87"/>
    <w:rsid w:val="0093325B"/>
    <w:rsid w:val="00933665"/>
    <w:rsid w:val="009337A0"/>
    <w:rsid w:val="009338EA"/>
    <w:rsid w:val="00933DC0"/>
    <w:rsid w:val="00934A39"/>
    <w:rsid w:val="009354D8"/>
    <w:rsid w:val="009364DC"/>
    <w:rsid w:val="00936B8A"/>
    <w:rsid w:val="0093752B"/>
    <w:rsid w:val="009378DD"/>
    <w:rsid w:val="00940099"/>
    <w:rsid w:val="00940B7A"/>
    <w:rsid w:val="00940F0A"/>
    <w:rsid w:val="0094148B"/>
    <w:rsid w:val="00941F61"/>
    <w:rsid w:val="0094261E"/>
    <w:rsid w:val="0094306D"/>
    <w:rsid w:val="00943B4B"/>
    <w:rsid w:val="00944DA3"/>
    <w:rsid w:val="00945127"/>
    <w:rsid w:val="00945817"/>
    <w:rsid w:val="0094584B"/>
    <w:rsid w:val="009458E6"/>
    <w:rsid w:val="00945B49"/>
    <w:rsid w:val="00945D90"/>
    <w:rsid w:val="00946735"/>
    <w:rsid w:val="00946E35"/>
    <w:rsid w:val="009470BC"/>
    <w:rsid w:val="0094731F"/>
    <w:rsid w:val="00950214"/>
    <w:rsid w:val="00950482"/>
    <w:rsid w:val="00950A19"/>
    <w:rsid w:val="00950ADB"/>
    <w:rsid w:val="00950C16"/>
    <w:rsid w:val="00951C8A"/>
    <w:rsid w:val="009525C3"/>
    <w:rsid w:val="00952EEF"/>
    <w:rsid w:val="00952F06"/>
    <w:rsid w:val="00953238"/>
    <w:rsid w:val="009538A1"/>
    <w:rsid w:val="0095391C"/>
    <w:rsid w:val="00953DE5"/>
    <w:rsid w:val="009551AF"/>
    <w:rsid w:val="00955999"/>
    <w:rsid w:val="00956145"/>
    <w:rsid w:val="00956302"/>
    <w:rsid w:val="0095681B"/>
    <w:rsid w:val="00956A6C"/>
    <w:rsid w:val="00956EBB"/>
    <w:rsid w:val="00956F5A"/>
    <w:rsid w:val="009574D2"/>
    <w:rsid w:val="00957644"/>
    <w:rsid w:val="00957838"/>
    <w:rsid w:val="00960224"/>
    <w:rsid w:val="009602DB"/>
    <w:rsid w:val="00960980"/>
    <w:rsid w:val="00960A70"/>
    <w:rsid w:val="00960DF3"/>
    <w:rsid w:val="009613C9"/>
    <w:rsid w:val="009618A0"/>
    <w:rsid w:val="00961985"/>
    <w:rsid w:val="00962326"/>
    <w:rsid w:val="00962C17"/>
    <w:rsid w:val="00963557"/>
    <w:rsid w:val="0096358C"/>
    <w:rsid w:val="009638FE"/>
    <w:rsid w:val="00963A37"/>
    <w:rsid w:val="00963B9C"/>
    <w:rsid w:val="00963D2C"/>
    <w:rsid w:val="00963EDC"/>
    <w:rsid w:val="0096573B"/>
    <w:rsid w:val="00966036"/>
    <w:rsid w:val="009662CF"/>
    <w:rsid w:val="009663C0"/>
    <w:rsid w:val="00966494"/>
    <w:rsid w:val="00967468"/>
    <w:rsid w:val="00967A3A"/>
    <w:rsid w:val="00967C7B"/>
    <w:rsid w:val="00967EED"/>
    <w:rsid w:val="00967F03"/>
    <w:rsid w:val="00970044"/>
    <w:rsid w:val="00970293"/>
    <w:rsid w:val="00970511"/>
    <w:rsid w:val="009708DE"/>
    <w:rsid w:val="009710D9"/>
    <w:rsid w:val="009712C6"/>
    <w:rsid w:val="00971FDD"/>
    <w:rsid w:val="0097207E"/>
    <w:rsid w:val="00972491"/>
    <w:rsid w:val="00972ED4"/>
    <w:rsid w:val="009735D2"/>
    <w:rsid w:val="00973813"/>
    <w:rsid w:val="00974440"/>
    <w:rsid w:val="00974755"/>
    <w:rsid w:val="00974862"/>
    <w:rsid w:val="009757C7"/>
    <w:rsid w:val="00975933"/>
    <w:rsid w:val="00976519"/>
    <w:rsid w:val="009767A6"/>
    <w:rsid w:val="00976871"/>
    <w:rsid w:val="00976D52"/>
    <w:rsid w:val="00977822"/>
    <w:rsid w:val="0097793A"/>
    <w:rsid w:val="00980375"/>
    <w:rsid w:val="00980397"/>
    <w:rsid w:val="009807AA"/>
    <w:rsid w:val="00982851"/>
    <w:rsid w:val="00983129"/>
    <w:rsid w:val="0098372E"/>
    <w:rsid w:val="009837B4"/>
    <w:rsid w:val="009845F5"/>
    <w:rsid w:val="00984B76"/>
    <w:rsid w:val="00985024"/>
    <w:rsid w:val="00985A51"/>
    <w:rsid w:val="00987942"/>
    <w:rsid w:val="00987AF6"/>
    <w:rsid w:val="009911E7"/>
    <w:rsid w:val="00991737"/>
    <w:rsid w:val="0099370B"/>
    <w:rsid w:val="00993CB8"/>
    <w:rsid w:val="0099453C"/>
    <w:rsid w:val="00994F99"/>
    <w:rsid w:val="00995A7E"/>
    <w:rsid w:val="00996559"/>
    <w:rsid w:val="00996EE4"/>
    <w:rsid w:val="009970C7"/>
    <w:rsid w:val="0099775F"/>
    <w:rsid w:val="00997C7F"/>
    <w:rsid w:val="009A0414"/>
    <w:rsid w:val="009A0A85"/>
    <w:rsid w:val="009A0EFE"/>
    <w:rsid w:val="009A1098"/>
    <w:rsid w:val="009A17B6"/>
    <w:rsid w:val="009A1CA9"/>
    <w:rsid w:val="009A1FBE"/>
    <w:rsid w:val="009A2D16"/>
    <w:rsid w:val="009A2E78"/>
    <w:rsid w:val="009A37C5"/>
    <w:rsid w:val="009A3C74"/>
    <w:rsid w:val="009A448B"/>
    <w:rsid w:val="009A5195"/>
    <w:rsid w:val="009A52A2"/>
    <w:rsid w:val="009A5AC2"/>
    <w:rsid w:val="009A609C"/>
    <w:rsid w:val="009A64C1"/>
    <w:rsid w:val="009A67FE"/>
    <w:rsid w:val="009A7228"/>
    <w:rsid w:val="009A7CCC"/>
    <w:rsid w:val="009B076A"/>
    <w:rsid w:val="009B07B8"/>
    <w:rsid w:val="009B22B1"/>
    <w:rsid w:val="009B2CF0"/>
    <w:rsid w:val="009B2FA7"/>
    <w:rsid w:val="009B30CA"/>
    <w:rsid w:val="009B315A"/>
    <w:rsid w:val="009B46A7"/>
    <w:rsid w:val="009B4770"/>
    <w:rsid w:val="009B4AC9"/>
    <w:rsid w:val="009B4EBD"/>
    <w:rsid w:val="009B5B07"/>
    <w:rsid w:val="009B6107"/>
    <w:rsid w:val="009B6251"/>
    <w:rsid w:val="009C0397"/>
    <w:rsid w:val="009C0947"/>
    <w:rsid w:val="009C18B6"/>
    <w:rsid w:val="009C1962"/>
    <w:rsid w:val="009C204B"/>
    <w:rsid w:val="009C25BE"/>
    <w:rsid w:val="009C2702"/>
    <w:rsid w:val="009C2899"/>
    <w:rsid w:val="009C3517"/>
    <w:rsid w:val="009C37BE"/>
    <w:rsid w:val="009C3BE8"/>
    <w:rsid w:val="009C400F"/>
    <w:rsid w:val="009C4133"/>
    <w:rsid w:val="009C4BEC"/>
    <w:rsid w:val="009C53B9"/>
    <w:rsid w:val="009C59AE"/>
    <w:rsid w:val="009C5ADB"/>
    <w:rsid w:val="009C64F2"/>
    <w:rsid w:val="009C6A01"/>
    <w:rsid w:val="009C6B72"/>
    <w:rsid w:val="009C6BDC"/>
    <w:rsid w:val="009C7039"/>
    <w:rsid w:val="009D116F"/>
    <w:rsid w:val="009D18A4"/>
    <w:rsid w:val="009D18EC"/>
    <w:rsid w:val="009D1934"/>
    <w:rsid w:val="009D207A"/>
    <w:rsid w:val="009D2A2A"/>
    <w:rsid w:val="009D2FE8"/>
    <w:rsid w:val="009D30C5"/>
    <w:rsid w:val="009D35C4"/>
    <w:rsid w:val="009D4AE4"/>
    <w:rsid w:val="009D4C07"/>
    <w:rsid w:val="009D4DE2"/>
    <w:rsid w:val="009D53C6"/>
    <w:rsid w:val="009D57B0"/>
    <w:rsid w:val="009D6370"/>
    <w:rsid w:val="009D6C4B"/>
    <w:rsid w:val="009D6D73"/>
    <w:rsid w:val="009D72D5"/>
    <w:rsid w:val="009D73C3"/>
    <w:rsid w:val="009D7464"/>
    <w:rsid w:val="009D7F49"/>
    <w:rsid w:val="009E050D"/>
    <w:rsid w:val="009E0FEE"/>
    <w:rsid w:val="009E15A0"/>
    <w:rsid w:val="009E19E4"/>
    <w:rsid w:val="009E2C44"/>
    <w:rsid w:val="009E2E3D"/>
    <w:rsid w:val="009E3777"/>
    <w:rsid w:val="009E3EC9"/>
    <w:rsid w:val="009E4557"/>
    <w:rsid w:val="009E46E3"/>
    <w:rsid w:val="009E4C28"/>
    <w:rsid w:val="009E622F"/>
    <w:rsid w:val="009E62D1"/>
    <w:rsid w:val="009E63A2"/>
    <w:rsid w:val="009E6B10"/>
    <w:rsid w:val="009F028D"/>
    <w:rsid w:val="009F15EF"/>
    <w:rsid w:val="009F1BE8"/>
    <w:rsid w:val="009F1ED7"/>
    <w:rsid w:val="009F32E5"/>
    <w:rsid w:val="009F388C"/>
    <w:rsid w:val="009F3DB3"/>
    <w:rsid w:val="009F3E12"/>
    <w:rsid w:val="009F4778"/>
    <w:rsid w:val="009F6C2E"/>
    <w:rsid w:val="009F6DB4"/>
    <w:rsid w:val="009F6F62"/>
    <w:rsid w:val="009F7263"/>
    <w:rsid w:val="009F7389"/>
    <w:rsid w:val="009F75B1"/>
    <w:rsid w:val="009F7747"/>
    <w:rsid w:val="009F7C00"/>
    <w:rsid w:val="009F7F74"/>
    <w:rsid w:val="00A00098"/>
    <w:rsid w:val="00A004AD"/>
    <w:rsid w:val="00A00ED6"/>
    <w:rsid w:val="00A013EC"/>
    <w:rsid w:val="00A01702"/>
    <w:rsid w:val="00A02079"/>
    <w:rsid w:val="00A02CAB"/>
    <w:rsid w:val="00A02D2C"/>
    <w:rsid w:val="00A02F19"/>
    <w:rsid w:val="00A03BC1"/>
    <w:rsid w:val="00A03C7E"/>
    <w:rsid w:val="00A03E09"/>
    <w:rsid w:val="00A04AC1"/>
    <w:rsid w:val="00A050CA"/>
    <w:rsid w:val="00A05F06"/>
    <w:rsid w:val="00A06428"/>
    <w:rsid w:val="00A068E4"/>
    <w:rsid w:val="00A070C3"/>
    <w:rsid w:val="00A074A3"/>
    <w:rsid w:val="00A07E35"/>
    <w:rsid w:val="00A10465"/>
    <w:rsid w:val="00A1087B"/>
    <w:rsid w:val="00A1158A"/>
    <w:rsid w:val="00A11CE6"/>
    <w:rsid w:val="00A12065"/>
    <w:rsid w:val="00A125A7"/>
    <w:rsid w:val="00A12ABD"/>
    <w:rsid w:val="00A1345C"/>
    <w:rsid w:val="00A13706"/>
    <w:rsid w:val="00A137BE"/>
    <w:rsid w:val="00A13E83"/>
    <w:rsid w:val="00A13FD1"/>
    <w:rsid w:val="00A14128"/>
    <w:rsid w:val="00A1499A"/>
    <w:rsid w:val="00A14D4E"/>
    <w:rsid w:val="00A15564"/>
    <w:rsid w:val="00A1568F"/>
    <w:rsid w:val="00A157CB"/>
    <w:rsid w:val="00A16025"/>
    <w:rsid w:val="00A162F1"/>
    <w:rsid w:val="00A166AB"/>
    <w:rsid w:val="00A16F70"/>
    <w:rsid w:val="00A17170"/>
    <w:rsid w:val="00A17675"/>
    <w:rsid w:val="00A1791C"/>
    <w:rsid w:val="00A17CBD"/>
    <w:rsid w:val="00A20332"/>
    <w:rsid w:val="00A2142A"/>
    <w:rsid w:val="00A223FB"/>
    <w:rsid w:val="00A22B02"/>
    <w:rsid w:val="00A23000"/>
    <w:rsid w:val="00A2404A"/>
    <w:rsid w:val="00A24239"/>
    <w:rsid w:val="00A24277"/>
    <w:rsid w:val="00A2463F"/>
    <w:rsid w:val="00A2480A"/>
    <w:rsid w:val="00A24873"/>
    <w:rsid w:val="00A24965"/>
    <w:rsid w:val="00A254B8"/>
    <w:rsid w:val="00A25B98"/>
    <w:rsid w:val="00A2614A"/>
    <w:rsid w:val="00A26C41"/>
    <w:rsid w:val="00A2748A"/>
    <w:rsid w:val="00A30003"/>
    <w:rsid w:val="00A30107"/>
    <w:rsid w:val="00A30A9D"/>
    <w:rsid w:val="00A30B5D"/>
    <w:rsid w:val="00A30F7D"/>
    <w:rsid w:val="00A310FC"/>
    <w:rsid w:val="00A315DE"/>
    <w:rsid w:val="00A317F6"/>
    <w:rsid w:val="00A318DF"/>
    <w:rsid w:val="00A31F70"/>
    <w:rsid w:val="00A328EF"/>
    <w:rsid w:val="00A3378B"/>
    <w:rsid w:val="00A33B2E"/>
    <w:rsid w:val="00A34159"/>
    <w:rsid w:val="00A344FA"/>
    <w:rsid w:val="00A34909"/>
    <w:rsid w:val="00A34B15"/>
    <w:rsid w:val="00A34D30"/>
    <w:rsid w:val="00A34FDD"/>
    <w:rsid w:val="00A35106"/>
    <w:rsid w:val="00A35CB7"/>
    <w:rsid w:val="00A35D46"/>
    <w:rsid w:val="00A36494"/>
    <w:rsid w:val="00A369CC"/>
    <w:rsid w:val="00A36D6D"/>
    <w:rsid w:val="00A37A68"/>
    <w:rsid w:val="00A40003"/>
    <w:rsid w:val="00A40766"/>
    <w:rsid w:val="00A40874"/>
    <w:rsid w:val="00A408E5"/>
    <w:rsid w:val="00A40CDB"/>
    <w:rsid w:val="00A41381"/>
    <w:rsid w:val="00A4141A"/>
    <w:rsid w:val="00A41988"/>
    <w:rsid w:val="00A41B13"/>
    <w:rsid w:val="00A41D65"/>
    <w:rsid w:val="00A42681"/>
    <w:rsid w:val="00A4357D"/>
    <w:rsid w:val="00A43A33"/>
    <w:rsid w:val="00A45672"/>
    <w:rsid w:val="00A45C14"/>
    <w:rsid w:val="00A4637F"/>
    <w:rsid w:val="00A4689E"/>
    <w:rsid w:val="00A47229"/>
    <w:rsid w:val="00A5009E"/>
    <w:rsid w:val="00A51438"/>
    <w:rsid w:val="00A51974"/>
    <w:rsid w:val="00A51E07"/>
    <w:rsid w:val="00A521A0"/>
    <w:rsid w:val="00A534F4"/>
    <w:rsid w:val="00A54055"/>
    <w:rsid w:val="00A546D1"/>
    <w:rsid w:val="00A546F1"/>
    <w:rsid w:val="00A55197"/>
    <w:rsid w:val="00A556D1"/>
    <w:rsid w:val="00A55881"/>
    <w:rsid w:val="00A5601A"/>
    <w:rsid w:val="00A560D0"/>
    <w:rsid w:val="00A56198"/>
    <w:rsid w:val="00A565C0"/>
    <w:rsid w:val="00A56E3D"/>
    <w:rsid w:val="00A573E7"/>
    <w:rsid w:val="00A60B2E"/>
    <w:rsid w:val="00A60D13"/>
    <w:rsid w:val="00A60E80"/>
    <w:rsid w:val="00A61113"/>
    <w:rsid w:val="00A614F4"/>
    <w:rsid w:val="00A6153C"/>
    <w:rsid w:val="00A616D2"/>
    <w:rsid w:val="00A6179B"/>
    <w:rsid w:val="00A6186A"/>
    <w:rsid w:val="00A62781"/>
    <w:rsid w:val="00A630A3"/>
    <w:rsid w:val="00A63374"/>
    <w:rsid w:val="00A6355D"/>
    <w:rsid w:val="00A63938"/>
    <w:rsid w:val="00A63E03"/>
    <w:rsid w:val="00A644CD"/>
    <w:rsid w:val="00A64B8E"/>
    <w:rsid w:val="00A652C4"/>
    <w:rsid w:val="00A65DDE"/>
    <w:rsid w:val="00A65F6B"/>
    <w:rsid w:val="00A66091"/>
    <w:rsid w:val="00A665FE"/>
    <w:rsid w:val="00A668AE"/>
    <w:rsid w:val="00A669BE"/>
    <w:rsid w:val="00A66BCD"/>
    <w:rsid w:val="00A66F5A"/>
    <w:rsid w:val="00A678A8"/>
    <w:rsid w:val="00A67CAA"/>
    <w:rsid w:val="00A70189"/>
    <w:rsid w:val="00A70568"/>
    <w:rsid w:val="00A71283"/>
    <w:rsid w:val="00A717AD"/>
    <w:rsid w:val="00A7202E"/>
    <w:rsid w:val="00A720C2"/>
    <w:rsid w:val="00A72745"/>
    <w:rsid w:val="00A72F3A"/>
    <w:rsid w:val="00A73899"/>
    <w:rsid w:val="00A73B99"/>
    <w:rsid w:val="00A7499D"/>
    <w:rsid w:val="00A74B27"/>
    <w:rsid w:val="00A74CE0"/>
    <w:rsid w:val="00A751F8"/>
    <w:rsid w:val="00A755B4"/>
    <w:rsid w:val="00A75741"/>
    <w:rsid w:val="00A75BA0"/>
    <w:rsid w:val="00A75EE1"/>
    <w:rsid w:val="00A762EB"/>
    <w:rsid w:val="00A76407"/>
    <w:rsid w:val="00A76C07"/>
    <w:rsid w:val="00A76EB3"/>
    <w:rsid w:val="00A77FF8"/>
    <w:rsid w:val="00A80027"/>
    <w:rsid w:val="00A8043C"/>
    <w:rsid w:val="00A80608"/>
    <w:rsid w:val="00A807F4"/>
    <w:rsid w:val="00A80BAD"/>
    <w:rsid w:val="00A8107A"/>
    <w:rsid w:val="00A8115A"/>
    <w:rsid w:val="00A82246"/>
    <w:rsid w:val="00A8293C"/>
    <w:rsid w:val="00A835A3"/>
    <w:rsid w:val="00A835E9"/>
    <w:rsid w:val="00A83656"/>
    <w:rsid w:val="00A8400A"/>
    <w:rsid w:val="00A84193"/>
    <w:rsid w:val="00A84972"/>
    <w:rsid w:val="00A854D9"/>
    <w:rsid w:val="00A856C7"/>
    <w:rsid w:val="00A86051"/>
    <w:rsid w:val="00A864E1"/>
    <w:rsid w:val="00A8657F"/>
    <w:rsid w:val="00A86D59"/>
    <w:rsid w:val="00A87B89"/>
    <w:rsid w:val="00A87C26"/>
    <w:rsid w:val="00A90003"/>
    <w:rsid w:val="00A9032B"/>
    <w:rsid w:val="00A90336"/>
    <w:rsid w:val="00A90BAC"/>
    <w:rsid w:val="00A9198B"/>
    <w:rsid w:val="00A92384"/>
    <w:rsid w:val="00A92B91"/>
    <w:rsid w:val="00A944B5"/>
    <w:rsid w:val="00A94751"/>
    <w:rsid w:val="00A951DA"/>
    <w:rsid w:val="00A95682"/>
    <w:rsid w:val="00A95964"/>
    <w:rsid w:val="00A95BF9"/>
    <w:rsid w:val="00A95C36"/>
    <w:rsid w:val="00A9688D"/>
    <w:rsid w:val="00A96E9B"/>
    <w:rsid w:val="00A97648"/>
    <w:rsid w:val="00A97792"/>
    <w:rsid w:val="00A9781F"/>
    <w:rsid w:val="00AA06CD"/>
    <w:rsid w:val="00AA11FC"/>
    <w:rsid w:val="00AA1BF1"/>
    <w:rsid w:val="00AA2396"/>
    <w:rsid w:val="00AA2573"/>
    <w:rsid w:val="00AA2851"/>
    <w:rsid w:val="00AA2E20"/>
    <w:rsid w:val="00AA33BD"/>
    <w:rsid w:val="00AA381E"/>
    <w:rsid w:val="00AA4268"/>
    <w:rsid w:val="00AA441A"/>
    <w:rsid w:val="00AA4545"/>
    <w:rsid w:val="00AA4AF1"/>
    <w:rsid w:val="00AA4D09"/>
    <w:rsid w:val="00AA5729"/>
    <w:rsid w:val="00AA62CB"/>
    <w:rsid w:val="00AA64D0"/>
    <w:rsid w:val="00AA6585"/>
    <w:rsid w:val="00AA675C"/>
    <w:rsid w:val="00AA6DBB"/>
    <w:rsid w:val="00AA6F1F"/>
    <w:rsid w:val="00AA70DA"/>
    <w:rsid w:val="00AA7367"/>
    <w:rsid w:val="00AA742D"/>
    <w:rsid w:val="00AA755B"/>
    <w:rsid w:val="00AA7772"/>
    <w:rsid w:val="00AA7A82"/>
    <w:rsid w:val="00AA7D6C"/>
    <w:rsid w:val="00AB00CE"/>
    <w:rsid w:val="00AB0729"/>
    <w:rsid w:val="00AB0CF5"/>
    <w:rsid w:val="00AB0D81"/>
    <w:rsid w:val="00AB1356"/>
    <w:rsid w:val="00AB1969"/>
    <w:rsid w:val="00AB1D06"/>
    <w:rsid w:val="00AB1E49"/>
    <w:rsid w:val="00AB2031"/>
    <w:rsid w:val="00AB2342"/>
    <w:rsid w:val="00AB250E"/>
    <w:rsid w:val="00AB2F77"/>
    <w:rsid w:val="00AB330E"/>
    <w:rsid w:val="00AB3713"/>
    <w:rsid w:val="00AB3C92"/>
    <w:rsid w:val="00AB3E0C"/>
    <w:rsid w:val="00AB41CE"/>
    <w:rsid w:val="00AB4743"/>
    <w:rsid w:val="00AB4ABE"/>
    <w:rsid w:val="00AB6683"/>
    <w:rsid w:val="00AB68C2"/>
    <w:rsid w:val="00AB6C0B"/>
    <w:rsid w:val="00AB6CF8"/>
    <w:rsid w:val="00AB78FB"/>
    <w:rsid w:val="00AB7B12"/>
    <w:rsid w:val="00AC0562"/>
    <w:rsid w:val="00AC0950"/>
    <w:rsid w:val="00AC0B2D"/>
    <w:rsid w:val="00AC0E22"/>
    <w:rsid w:val="00AC1976"/>
    <w:rsid w:val="00AC22FF"/>
    <w:rsid w:val="00AC293B"/>
    <w:rsid w:val="00AC3473"/>
    <w:rsid w:val="00AC3801"/>
    <w:rsid w:val="00AC3DB5"/>
    <w:rsid w:val="00AC4520"/>
    <w:rsid w:val="00AC59BF"/>
    <w:rsid w:val="00AC634C"/>
    <w:rsid w:val="00AC67E2"/>
    <w:rsid w:val="00AC6BED"/>
    <w:rsid w:val="00AC712E"/>
    <w:rsid w:val="00AC72A0"/>
    <w:rsid w:val="00AC740C"/>
    <w:rsid w:val="00AC7F49"/>
    <w:rsid w:val="00AD0802"/>
    <w:rsid w:val="00AD0C60"/>
    <w:rsid w:val="00AD2F3A"/>
    <w:rsid w:val="00AD5003"/>
    <w:rsid w:val="00AD56FD"/>
    <w:rsid w:val="00AD5B18"/>
    <w:rsid w:val="00AD62E5"/>
    <w:rsid w:val="00AD6708"/>
    <w:rsid w:val="00AD6EFD"/>
    <w:rsid w:val="00AD6FE6"/>
    <w:rsid w:val="00AD7795"/>
    <w:rsid w:val="00AD7DDC"/>
    <w:rsid w:val="00AE085E"/>
    <w:rsid w:val="00AE0F9B"/>
    <w:rsid w:val="00AE1099"/>
    <w:rsid w:val="00AE1140"/>
    <w:rsid w:val="00AE1B53"/>
    <w:rsid w:val="00AE1E26"/>
    <w:rsid w:val="00AE2586"/>
    <w:rsid w:val="00AE363B"/>
    <w:rsid w:val="00AE37FE"/>
    <w:rsid w:val="00AE475C"/>
    <w:rsid w:val="00AE4F40"/>
    <w:rsid w:val="00AE5610"/>
    <w:rsid w:val="00AE5B11"/>
    <w:rsid w:val="00AE5BC2"/>
    <w:rsid w:val="00AE5C96"/>
    <w:rsid w:val="00AE5F13"/>
    <w:rsid w:val="00AE617A"/>
    <w:rsid w:val="00AE67F7"/>
    <w:rsid w:val="00AE689E"/>
    <w:rsid w:val="00AE7F45"/>
    <w:rsid w:val="00AF089F"/>
    <w:rsid w:val="00AF1756"/>
    <w:rsid w:val="00AF1CC0"/>
    <w:rsid w:val="00AF2244"/>
    <w:rsid w:val="00AF2ABA"/>
    <w:rsid w:val="00AF378B"/>
    <w:rsid w:val="00AF37B5"/>
    <w:rsid w:val="00AF4048"/>
    <w:rsid w:val="00AF626B"/>
    <w:rsid w:val="00AF6AC4"/>
    <w:rsid w:val="00AF6F86"/>
    <w:rsid w:val="00AF6F94"/>
    <w:rsid w:val="00AF7AB8"/>
    <w:rsid w:val="00AF7B85"/>
    <w:rsid w:val="00B01465"/>
    <w:rsid w:val="00B01711"/>
    <w:rsid w:val="00B01A5E"/>
    <w:rsid w:val="00B0243F"/>
    <w:rsid w:val="00B030CD"/>
    <w:rsid w:val="00B0330E"/>
    <w:rsid w:val="00B0331F"/>
    <w:rsid w:val="00B049FE"/>
    <w:rsid w:val="00B04AA7"/>
    <w:rsid w:val="00B050CE"/>
    <w:rsid w:val="00B05E1B"/>
    <w:rsid w:val="00B05EC7"/>
    <w:rsid w:val="00B0662A"/>
    <w:rsid w:val="00B0713A"/>
    <w:rsid w:val="00B07FCC"/>
    <w:rsid w:val="00B1035C"/>
    <w:rsid w:val="00B11559"/>
    <w:rsid w:val="00B1166D"/>
    <w:rsid w:val="00B119FB"/>
    <w:rsid w:val="00B11B26"/>
    <w:rsid w:val="00B11EC9"/>
    <w:rsid w:val="00B11FEB"/>
    <w:rsid w:val="00B129F3"/>
    <w:rsid w:val="00B13013"/>
    <w:rsid w:val="00B13268"/>
    <w:rsid w:val="00B139B3"/>
    <w:rsid w:val="00B1422A"/>
    <w:rsid w:val="00B14392"/>
    <w:rsid w:val="00B14464"/>
    <w:rsid w:val="00B14651"/>
    <w:rsid w:val="00B14706"/>
    <w:rsid w:val="00B14750"/>
    <w:rsid w:val="00B1479E"/>
    <w:rsid w:val="00B14B54"/>
    <w:rsid w:val="00B14ECF"/>
    <w:rsid w:val="00B153C5"/>
    <w:rsid w:val="00B15734"/>
    <w:rsid w:val="00B15F33"/>
    <w:rsid w:val="00B16643"/>
    <w:rsid w:val="00B17E70"/>
    <w:rsid w:val="00B207C0"/>
    <w:rsid w:val="00B21457"/>
    <w:rsid w:val="00B2216C"/>
    <w:rsid w:val="00B224BF"/>
    <w:rsid w:val="00B226A9"/>
    <w:rsid w:val="00B22901"/>
    <w:rsid w:val="00B24163"/>
    <w:rsid w:val="00B24458"/>
    <w:rsid w:val="00B24B88"/>
    <w:rsid w:val="00B25050"/>
    <w:rsid w:val="00B25718"/>
    <w:rsid w:val="00B25E08"/>
    <w:rsid w:val="00B25E90"/>
    <w:rsid w:val="00B2677C"/>
    <w:rsid w:val="00B26895"/>
    <w:rsid w:val="00B27C6C"/>
    <w:rsid w:val="00B27E49"/>
    <w:rsid w:val="00B27ED1"/>
    <w:rsid w:val="00B3003A"/>
    <w:rsid w:val="00B30066"/>
    <w:rsid w:val="00B30364"/>
    <w:rsid w:val="00B3055F"/>
    <w:rsid w:val="00B3144D"/>
    <w:rsid w:val="00B32517"/>
    <w:rsid w:val="00B33864"/>
    <w:rsid w:val="00B34865"/>
    <w:rsid w:val="00B3506C"/>
    <w:rsid w:val="00B351A3"/>
    <w:rsid w:val="00B35434"/>
    <w:rsid w:val="00B35637"/>
    <w:rsid w:val="00B35C96"/>
    <w:rsid w:val="00B3659F"/>
    <w:rsid w:val="00B368A4"/>
    <w:rsid w:val="00B377FD"/>
    <w:rsid w:val="00B377FE"/>
    <w:rsid w:val="00B37AD9"/>
    <w:rsid w:val="00B37F2D"/>
    <w:rsid w:val="00B41587"/>
    <w:rsid w:val="00B41B22"/>
    <w:rsid w:val="00B41D85"/>
    <w:rsid w:val="00B41E5B"/>
    <w:rsid w:val="00B4218E"/>
    <w:rsid w:val="00B421A8"/>
    <w:rsid w:val="00B421CC"/>
    <w:rsid w:val="00B428B3"/>
    <w:rsid w:val="00B429EB"/>
    <w:rsid w:val="00B43AF4"/>
    <w:rsid w:val="00B43B5F"/>
    <w:rsid w:val="00B43B8A"/>
    <w:rsid w:val="00B44AC3"/>
    <w:rsid w:val="00B461B5"/>
    <w:rsid w:val="00B46CC2"/>
    <w:rsid w:val="00B46E49"/>
    <w:rsid w:val="00B473B1"/>
    <w:rsid w:val="00B4752C"/>
    <w:rsid w:val="00B47B79"/>
    <w:rsid w:val="00B47C71"/>
    <w:rsid w:val="00B50174"/>
    <w:rsid w:val="00B5044A"/>
    <w:rsid w:val="00B506EF"/>
    <w:rsid w:val="00B51CA3"/>
    <w:rsid w:val="00B5220A"/>
    <w:rsid w:val="00B53052"/>
    <w:rsid w:val="00B53534"/>
    <w:rsid w:val="00B53DB9"/>
    <w:rsid w:val="00B53EC2"/>
    <w:rsid w:val="00B54073"/>
    <w:rsid w:val="00B5471C"/>
    <w:rsid w:val="00B54897"/>
    <w:rsid w:val="00B5494B"/>
    <w:rsid w:val="00B54CA0"/>
    <w:rsid w:val="00B54F94"/>
    <w:rsid w:val="00B567BA"/>
    <w:rsid w:val="00B5685B"/>
    <w:rsid w:val="00B56BB9"/>
    <w:rsid w:val="00B57DAB"/>
    <w:rsid w:val="00B605EE"/>
    <w:rsid w:val="00B609E8"/>
    <w:rsid w:val="00B61120"/>
    <w:rsid w:val="00B613C6"/>
    <w:rsid w:val="00B61464"/>
    <w:rsid w:val="00B61D93"/>
    <w:rsid w:val="00B62399"/>
    <w:rsid w:val="00B623CF"/>
    <w:rsid w:val="00B626AD"/>
    <w:rsid w:val="00B635B5"/>
    <w:rsid w:val="00B63745"/>
    <w:rsid w:val="00B63811"/>
    <w:rsid w:val="00B643BF"/>
    <w:rsid w:val="00B65712"/>
    <w:rsid w:val="00B65914"/>
    <w:rsid w:val="00B661D3"/>
    <w:rsid w:val="00B665C9"/>
    <w:rsid w:val="00B66607"/>
    <w:rsid w:val="00B66D33"/>
    <w:rsid w:val="00B67835"/>
    <w:rsid w:val="00B70E68"/>
    <w:rsid w:val="00B71111"/>
    <w:rsid w:val="00B7128F"/>
    <w:rsid w:val="00B72578"/>
    <w:rsid w:val="00B72A9C"/>
    <w:rsid w:val="00B72D56"/>
    <w:rsid w:val="00B72DA2"/>
    <w:rsid w:val="00B735A3"/>
    <w:rsid w:val="00B7450F"/>
    <w:rsid w:val="00B749F7"/>
    <w:rsid w:val="00B755F2"/>
    <w:rsid w:val="00B768BF"/>
    <w:rsid w:val="00B770FC"/>
    <w:rsid w:val="00B77DC8"/>
    <w:rsid w:val="00B77F95"/>
    <w:rsid w:val="00B800A0"/>
    <w:rsid w:val="00B80874"/>
    <w:rsid w:val="00B8127F"/>
    <w:rsid w:val="00B81372"/>
    <w:rsid w:val="00B8222B"/>
    <w:rsid w:val="00B83254"/>
    <w:rsid w:val="00B834BF"/>
    <w:rsid w:val="00B838C4"/>
    <w:rsid w:val="00B83DEE"/>
    <w:rsid w:val="00B83F42"/>
    <w:rsid w:val="00B848E7"/>
    <w:rsid w:val="00B84D3E"/>
    <w:rsid w:val="00B84EAC"/>
    <w:rsid w:val="00B85009"/>
    <w:rsid w:val="00B85350"/>
    <w:rsid w:val="00B85761"/>
    <w:rsid w:val="00B86646"/>
    <w:rsid w:val="00B868CD"/>
    <w:rsid w:val="00B869AC"/>
    <w:rsid w:val="00B86EF0"/>
    <w:rsid w:val="00B876CD"/>
    <w:rsid w:val="00B87D13"/>
    <w:rsid w:val="00B87FEC"/>
    <w:rsid w:val="00B90C18"/>
    <w:rsid w:val="00B90C2C"/>
    <w:rsid w:val="00B91048"/>
    <w:rsid w:val="00B91494"/>
    <w:rsid w:val="00B91EEA"/>
    <w:rsid w:val="00B91F52"/>
    <w:rsid w:val="00B9365B"/>
    <w:rsid w:val="00B93ACD"/>
    <w:rsid w:val="00B93B37"/>
    <w:rsid w:val="00B93DFC"/>
    <w:rsid w:val="00B944D7"/>
    <w:rsid w:val="00B94EFA"/>
    <w:rsid w:val="00B953C0"/>
    <w:rsid w:val="00B95722"/>
    <w:rsid w:val="00B95846"/>
    <w:rsid w:val="00B95907"/>
    <w:rsid w:val="00B96B16"/>
    <w:rsid w:val="00B9729E"/>
    <w:rsid w:val="00B97494"/>
    <w:rsid w:val="00BA0282"/>
    <w:rsid w:val="00BA05F0"/>
    <w:rsid w:val="00BA0C29"/>
    <w:rsid w:val="00BA0C6E"/>
    <w:rsid w:val="00BA1801"/>
    <w:rsid w:val="00BA2CF1"/>
    <w:rsid w:val="00BA330B"/>
    <w:rsid w:val="00BA3540"/>
    <w:rsid w:val="00BA390B"/>
    <w:rsid w:val="00BA5821"/>
    <w:rsid w:val="00BA5A87"/>
    <w:rsid w:val="00BA5D47"/>
    <w:rsid w:val="00BA648D"/>
    <w:rsid w:val="00BA66D3"/>
    <w:rsid w:val="00BA68C5"/>
    <w:rsid w:val="00BA6DA8"/>
    <w:rsid w:val="00BB0B30"/>
    <w:rsid w:val="00BB13A3"/>
    <w:rsid w:val="00BB13DE"/>
    <w:rsid w:val="00BB1592"/>
    <w:rsid w:val="00BB195F"/>
    <w:rsid w:val="00BB257B"/>
    <w:rsid w:val="00BB2D7F"/>
    <w:rsid w:val="00BB3254"/>
    <w:rsid w:val="00BB3996"/>
    <w:rsid w:val="00BB3AC0"/>
    <w:rsid w:val="00BB416A"/>
    <w:rsid w:val="00BB488C"/>
    <w:rsid w:val="00BB4D3B"/>
    <w:rsid w:val="00BB5BDF"/>
    <w:rsid w:val="00BB5E88"/>
    <w:rsid w:val="00BB75C8"/>
    <w:rsid w:val="00BB77B7"/>
    <w:rsid w:val="00BC0288"/>
    <w:rsid w:val="00BC034E"/>
    <w:rsid w:val="00BC0CA7"/>
    <w:rsid w:val="00BC0F3D"/>
    <w:rsid w:val="00BC17B0"/>
    <w:rsid w:val="00BC1A55"/>
    <w:rsid w:val="00BC21E9"/>
    <w:rsid w:val="00BC2FBF"/>
    <w:rsid w:val="00BC3558"/>
    <w:rsid w:val="00BC37C5"/>
    <w:rsid w:val="00BC3B77"/>
    <w:rsid w:val="00BC4697"/>
    <w:rsid w:val="00BC4976"/>
    <w:rsid w:val="00BC509D"/>
    <w:rsid w:val="00BC5563"/>
    <w:rsid w:val="00BC62C6"/>
    <w:rsid w:val="00BC70E1"/>
    <w:rsid w:val="00BC7994"/>
    <w:rsid w:val="00BC7C70"/>
    <w:rsid w:val="00BD023A"/>
    <w:rsid w:val="00BD034E"/>
    <w:rsid w:val="00BD070E"/>
    <w:rsid w:val="00BD1923"/>
    <w:rsid w:val="00BD1A1E"/>
    <w:rsid w:val="00BD1D8C"/>
    <w:rsid w:val="00BD2737"/>
    <w:rsid w:val="00BD2AF3"/>
    <w:rsid w:val="00BD2B34"/>
    <w:rsid w:val="00BD2E9C"/>
    <w:rsid w:val="00BD3CE6"/>
    <w:rsid w:val="00BD5233"/>
    <w:rsid w:val="00BD524B"/>
    <w:rsid w:val="00BD53E6"/>
    <w:rsid w:val="00BD5772"/>
    <w:rsid w:val="00BD5EB0"/>
    <w:rsid w:val="00BD5FCB"/>
    <w:rsid w:val="00BD6F0B"/>
    <w:rsid w:val="00BD7046"/>
    <w:rsid w:val="00BD7209"/>
    <w:rsid w:val="00BD72C1"/>
    <w:rsid w:val="00BD786B"/>
    <w:rsid w:val="00BD7950"/>
    <w:rsid w:val="00BD7F54"/>
    <w:rsid w:val="00BE0067"/>
    <w:rsid w:val="00BE0070"/>
    <w:rsid w:val="00BE0943"/>
    <w:rsid w:val="00BE1828"/>
    <w:rsid w:val="00BE2236"/>
    <w:rsid w:val="00BE314E"/>
    <w:rsid w:val="00BE347B"/>
    <w:rsid w:val="00BE3823"/>
    <w:rsid w:val="00BE4455"/>
    <w:rsid w:val="00BE4577"/>
    <w:rsid w:val="00BE4BBD"/>
    <w:rsid w:val="00BE57A0"/>
    <w:rsid w:val="00BE5FBE"/>
    <w:rsid w:val="00BE6541"/>
    <w:rsid w:val="00BE65BD"/>
    <w:rsid w:val="00BE675C"/>
    <w:rsid w:val="00BE6B73"/>
    <w:rsid w:val="00BE7295"/>
    <w:rsid w:val="00BE7ABE"/>
    <w:rsid w:val="00BE7F9E"/>
    <w:rsid w:val="00BF12D1"/>
    <w:rsid w:val="00BF1859"/>
    <w:rsid w:val="00BF1B41"/>
    <w:rsid w:val="00BF1F44"/>
    <w:rsid w:val="00BF20E7"/>
    <w:rsid w:val="00BF2250"/>
    <w:rsid w:val="00BF29AE"/>
    <w:rsid w:val="00BF3995"/>
    <w:rsid w:val="00BF3AF7"/>
    <w:rsid w:val="00BF420D"/>
    <w:rsid w:val="00BF421D"/>
    <w:rsid w:val="00BF4A65"/>
    <w:rsid w:val="00BF4DFA"/>
    <w:rsid w:val="00BF5248"/>
    <w:rsid w:val="00BF577B"/>
    <w:rsid w:val="00BF57C0"/>
    <w:rsid w:val="00BF58A1"/>
    <w:rsid w:val="00BF5939"/>
    <w:rsid w:val="00BF5DC3"/>
    <w:rsid w:val="00BF611F"/>
    <w:rsid w:val="00BF6306"/>
    <w:rsid w:val="00BF6D39"/>
    <w:rsid w:val="00BF6DB1"/>
    <w:rsid w:val="00BF6F69"/>
    <w:rsid w:val="00BF73A9"/>
    <w:rsid w:val="00BF7422"/>
    <w:rsid w:val="00BF7A6D"/>
    <w:rsid w:val="00C012D3"/>
    <w:rsid w:val="00C0229E"/>
    <w:rsid w:val="00C02353"/>
    <w:rsid w:val="00C02701"/>
    <w:rsid w:val="00C02F41"/>
    <w:rsid w:val="00C0386C"/>
    <w:rsid w:val="00C03D55"/>
    <w:rsid w:val="00C042D4"/>
    <w:rsid w:val="00C04477"/>
    <w:rsid w:val="00C04714"/>
    <w:rsid w:val="00C04E91"/>
    <w:rsid w:val="00C064A0"/>
    <w:rsid w:val="00C072A0"/>
    <w:rsid w:val="00C07E70"/>
    <w:rsid w:val="00C105D0"/>
    <w:rsid w:val="00C118F4"/>
    <w:rsid w:val="00C12236"/>
    <w:rsid w:val="00C1232D"/>
    <w:rsid w:val="00C12D75"/>
    <w:rsid w:val="00C12E3B"/>
    <w:rsid w:val="00C13097"/>
    <w:rsid w:val="00C1340F"/>
    <w:rsid w:val="00C13AD9"/>
    <w:rsid w:val="00C13B1D"/>
    <w:rsid w:val="00C13E60"/>
    <w:rsid w:val="00C14794"/>
    <w:rsid w:val="00C14A35"/>
    <w:rsid w:val="00C14E15"/>
    <w:rsid w:val="00C15239"/>
    <w:rsid w:val="00C157E3"/>
    <w:rsid w:val="00C15B25"/>
    <w:rsid w:val="00C15BD4"/>
    <w:rsid w:val="00C15CF8"/>
    <w:rsid w:val="00C16062"/>
    <w:rsid w:val="00C1642A"/>
    <w:rsid w:val="00C17531"/>
    <w:rsid w:val="00C1796A"/>
    <w:rsid w:val="00C179EB"/>
    <w:rsid w:val="00C20D61"/>
    <w:rsid w:val="00C20F51"/>
    <w:rsid w:val="00C2195E"/>
    <w:rsid w:val="00C21964"/>
    <w:rsid w:val="00C23CFF"/>
    <w:rsid w:val="00C248A0"/>
    <w:rsid w:val="00C254DC"/>
    <w:rsid w:val="00C2555E"/>
    <w:rsid w:val="00C25F9C"/>
    <w:rsid w:val="00C27046"/>
    <w:rsid w:val="00C27640"/>
    <w:rsid w:val="00C30312"/>
    <w:rsid w:val="00C3031A"/>
    <w:rsid w:val="00C30802"/>
    <w:rsid w:val="00C316B4"/>
    <w:rsid w:val="00C317CA"/>
    <w:rsid w:val="00C31D79"/>
    <w:rsid w:val="00C3260E"/>
    <w:rsid w:val="00C326E1"/>
    <w:rsid w:val="00C32991"/>
    <w:rsid w:val="00C32A75"/>
    <w:rsid w:val="00C32C2E"/>
    <w:rsid w:val="00C33291"/>
    <w:rsid w:val="00C33487"/>
    <w:rsid w:val="00C35554"/>
    <w:rsid w:val="00C3557D"/>
    <w:rsid w:val="00C35D79"/>
    <w:rsid w:val="00C36A13"/>
    <w:rsid w:val="00C36AB5"/>
    <w:rsid w:val="00C372BD"/>
    <w:rsid w:val="00C37906"/>
    <w:rsid w:val="00C404F6"/>
    <w:rsid w:val="00C41265"/>
    <w:rsid w:val="00C4128B"/>
    <w:rsid w:val="00C4274C"/>
    <w:rsid w:val="00C4277E"/>
    <w:rsid w:val="00C42C0E"/>
    <w:rsid w:val="00C42E82"/>
    <w:rsid w:val="00C43801"/>
    <w:rsid w:val="00C43B73"/>
    <w:rsid w:val="00C448F0"/>
    <w:rsid w:val="00C450FC"/>
    <w:rsid w:val="00C45184"/>
    <w:rsid w:val="00C45192"/>
    <w:rsid w:val="00C4536D"/>
    <w:rsid w:val="00C45A29"/>
    <w:rsid w:val="00C46001"/>
    <w:rsid w:val="00C460F0"/>
    <w:rsid w:val="00C47D5E"/>
    <w:rsid w:val="00C50452"/>
    <w:rsid w:val="00C505EB"/>
    <w:rsid w:val="00C509CC"/>
    <w:rsid w:val="00C50D16"/>
    <w:rsid w:val="00C50FBF"/>
    <w:rsid w:val="00C535B2"/>
    <w:rsid w:val="00C5464F"/>
    <w:rsid w:val="00C55A7C"/>
    <w:rsid w:val="00C55BA8"/>
    <w:rsid w:val="00C55CEB"/>
    <w:rsid w:val="00C5632D"/>
    <w:rsid w:val="00C5668F"/>
    <w:rsid w:val="00C57998"/>
    <w:rsid w:val="00C57C9D"/>
    <w:rsid w:val="00C603D6"/>
    <w:rsid w:val="00C60857"/>
    <w:rsid w:val="00C60E83"/>
    <w:rsid w:val="00C611F1"/>
    <w:rsid w:val="00C626B0"/>
    <w:rsid w:val="00C6278A"/>
    <w:rsid w:val="00C639B1"/>
    <w:rsid w:val="00C647D0"/>
    <w:rsid w:val="00C65281"/>
    <w:rsid w:val="00C655ED"/>
    <w:rsid w:val="00C65ED9"/>
    <w:rsid w:val="00C66AA6"/>
    <w:rsid w:val="00C66DF1"/>
    <w:rsid w:val="00C67614"/>
    <w:rsid w:val="00C67972"/>
    <w:rsid w:val="00C70E35"/>
    <w:rsid w:val="00C71214"/>
    <w:rsid w:val="00C71A47"/>
    <w:rsid w:val="00C71BDE"/>
    <w:rsid w:val="00C74942"/>
    <w:rsid w:val="00C74CF8"/>
    <w:rsid w:val="00C74F9B"/>
    <w:rsid w:val="00C7666A"/>
    <w:rsid w:val="00C76AE4"/>
    <w:rsid w:val="00C804E9"/>
    <w:rsid w:val="00C80A7F"/>
    <w:rsid w:val="00C80D7B"/>
    <w:rsid w:val="00C815A8"/>
    <w:rsid w:val="00C81868"/>
    <w:rsid w:val="00C81C2E"/>
    <w:rsid w:val="00C81CCD"/>
    <w:rsid w:val="00C835C8"/>
    <w:rsid w:val="00C836F0"/>
    <w:rsid w:val="00C83DEA"/>
    <w:rsid w:val="00C8403D"/>
    <w:rsid w:val="00C84204"/>
    <w:rsid w:val="00C84272"/>
    <w:rsid w:val="00C84EDF"/>
    <w:rsid w:val="00C853EC"/>
    <w:rsid w:val="00C85ADC"/>
    <w:rsid w:val="00C86A9B"/>
    <w:rsid w:val="00C86CDD"/>
    <w:rsid w:val="00C870F2"/>
    <w:rsid w:val="00C873D8"/>
    <w:rsid w:val="00C87B5C"/>
    <w:rsid w:val="00C907CA"/>
    <w:rsid w:val="00C9129B"/>
    <w:rsid w:val="00C913B9"/>
    <w:rsid w:val="00C91630"/>
    <w:rsid w:val="00C9184A"/>
    <w:rsid w:val="00C92547"/>
    <w:rsid w:val="00C926B7"/>
    <w:rsid w:val="00C92786"/>
    <w:rsid w:val="00C92E50"/>
    <w:rsid w:val="00C93222"/>
    <w:rsid w:val="00C9328D"/>
    <w:rsid w:val="00C95526"/>
    <w:rsid w:val="00C95C6D"/>
    <w:rsid w:val="00C968F8"/>
    <w:rsid w:val="00C96919"/>
    <w:rsid w:val="00C969D8"/>
    <w:rsid w:val="00C97A73"/>
    <w:rsid w:val="00C97C4C"/>
    <w:rsid w:val="00CA02B9"/>
    <w:rsid w:val="00CA0777"/>
    <w:rsid w:val="00CA0893"/>
    <w:rsid w:val="00CA2223"/>
    <w:rsid w:val="00CA2930"/>
    <w:rsid w:val="00CA2E4A"/>
    <w:rsid w:val="00CA2FA9"/>
    <w:rsid w:val="00CA305C"/>
    <w:rsid w:val="00CA3744"/>
    <w:rsid w:val="00CA3C57"/>
    <w:rsid w:val="00CA3C68"/>
    <w:rsid w:val="00CA3D87"/>
    <w:rsid w:val="00CA465C"/>
    <w:rsid w:val="00CA57DC"/>
    <w:rsid w:val="00CA5FA9"/>
    <w:rsid w:val="00CA60A6"/>
    <w:rsid w:val="00CA61BF"/>
    <w:rsid w:val="00CA6B0C"/>
    <w:rsid w:val="00CA6EA3"/>
    <w:rsid w:val="00CA6F93"/>
    <w:rsid w:val="00CB02B6"/>
    <w:rsid w:val="00CB0482"/>
    <w:rsid w:val="00CB16F0"/>
    <w:rsid w:val="00CB1D32"/>
    <w:rsid w:val="00CB2430"/>
    <w:rsid w:val="00CB268E"/>
    <w:rsid w:val="00CB2A54"/>
    <w:rsid w:val="00CB2B4F"/>
    <w:rsid w:val="00CB2DB2"/>
    <w:rsid w:val="00CB395F"/>
    <w:rsid w:val="00CB3BED"/>
    <w:rsid w:val="00CB3CD2"/>
    <w:rsid w:val="00CB469D"/>
    <w:rsid w:val="00CB4CD6"/>
    <w:rsid w:val="00CB52E1"/>
    <w:rsid w:val="00CB5AD0"/>
    <w:rsid w:val="00CB61C7"/>
    <w:rsid w:val="00CB67BC"/>
    <w:rsid w:val="00CB71F0"/>
    <w:rsid w:val="00CB7225"/>
    <w:rsid w:val="00CB7524"/>
    <w:rsid w:val="00CC0038"/>
    <w:rsid w:val="00CC0B15"/>
    <w:rsid w:val="00CC131A"/>
    <w:rsid w:val="00CC169A"/>
    <w:rsid w:val="00CC278D"/>
    <w:rsid w:val="00CC2920"/>
    <w:rsid w:val="00CC2A0F"/>
    <w:rsid w:val="00CC34BB"/>
    <w:rsid w:val="00CC3677"/>
    <w:rsid w:val="00CC36A5"/>
    <w:rsid w:val="00CC440A"/>
    <w:rsid w:val="00CC44C1"/>
    <w:rsid w:val="00CC46E1"/>
    <w:rsid w:val="00CC66F8"/>
    <w:rsid w:val="00CC678E"/>
    <w:rsid w:val="00CC6FBB"/>
    <w:rsid w:val="00CC7065"/>
    <w:rsid w:val="00CC737E"/>
    <w:rsid w:val="00CC7F48"/>
    <w:rsid w:val="00CD0B2A"/>
    <w:rsid w:val="00CD1AA2"/>
    <w:rsid w:val="00CD1E37"/>
    <w:rsid w:val="00CD1ED5"/>
    <w:rsid w:val="00CD2384"/>
    <w:rsid w:val="00CD24C6"/>
    <w:rsid w:val="00CD3572"/>
    <w:rsid w:val="00CD3B23"/>
    <w:rsid w:val="00CD416B"/>
    <w:rsid w:val="00CD4D8C"/>
    <w:rsid w:val="00CD5052"/>
    <w:rsid w:val="00CD509E"/>
    <w:rsid w:val="00CD5693"/>
    <w:rsid w:val="00CD5BB1"/>
    <w:rsid w:val="00CD5C82"/>
    <w:rsid w:val="00CD607D"/>
    <w:rsid w:val="00CD62B6"/>
    <w:rsid w:val="00CD68B5"/>
    <w:rsid w:val="00CD7F0E"/>
    <w:rsid w:val="00CE03C5"/>
    <w:rsid w:val="00CE0E3D"/>
    <w:rsid w:val="00CE159D"/>
    <w:rsid w:val="00CE1653"/>
    <w:rsid w:val="00CE2075"/>
    <w:rsid w:val="00CE21E9"/>
    <w:rsid w:val="00CE2648"/>
    <w:rsid w:val="00CE2D6D"/>
    <w:rsid w:val="00CE3986"/>
    <w:rsid w:val="00CE3990"/>
    <w:rsid w:val="00CE3ABE"/>
    <w:rsid w:val="00CE3F32"/>
    <w:rsid w:val="00CE404B"/>
    <w:rsid w:val="00CE4062"/>
    <w:rsid w:val="00CE50B1"/>
    <w:rsid w:val="00CE513B"/>
    <w:rsid w:val="00CE53CA"/>
    <w:rsid w:val="00CE54CC"/>
    <w:rsid w:val="00CE5554"/>
    <w:rsid w:val="00CE5E56"/>
    <w:rsid w:val="00CE5EDD"/>
    <w:rsid w:val="00CE65E8"/>
    <w:rsid w:val="00CE71A3"/>
    <w:rsid w:val="00CE7D50"/>
    <w:rsid w:val="00CF06A0"/>
    <w:rsid w:val="00CF0AC6"/>
    <w:rsid w:val="00CF0AE3"/>
    <w:rsid w:val="00CF1BB5"/>
    <w:rsid w:val="00CF1C76"/>
    <w:rsid w:val="00CF2803"/>
    <w:rsid w:val="00CF3B8D"/>
    <w:rsid w:val="00CF3BDB"/>
    <w:rsid w:val="00CF4936"/>
    <w:rsid w:val="00CF4B60"/>
    <w:rsid w:val="00CF5E1B"/>
    <w:rsid w:val="00CF64BF"/>
    <w:rsid w:val="00D0058F"/>
    <w:rsid w:val="00D00B70"/>
    <w:rsid w:val="00D00FC6"/>
    <w:rsid w:val="00D0107D"/>
    <w:rsid w:val="00D01938"/>
    <w:rsid w:val="00D01C9D"/>
    <w:rsid w:val="00D01E16"/>
    <w:rsid w:val="00D032CB"/>
    <w:rsid w:val="00D03508"/>
    <w:rsid w:val="00D03589"/>
    <w:rsid w:val="00D03690"/>
    <w:rsid w:val="00D03B0F"/>
    <w:rsid w:val="00D0441A"/>
    <w:rsid w:val="00D04A8A"/>
    <w:rsid w:val="00D05190"/>
    <w:rsid w:val="00D05A07"/>
    <w:rsid w:val="00D06182"/>
    <w:rsid w:val="00D06854"/>
    <w:rsid w:val="00D06AF6"/>
    <w:rsid w:val="00D0739B"/>
    <w:rsid w:val="00D075F8"/>
    <w:rsid w:val="00D10BE4"/>
    <w:rsid w:val="00D10C1A"/>
    <w:rsid w:val="00D11104"/>
    <w:rsid w:val="00D111E9"/>
    <w:rsid w:val="00D112F8"/>
    <w:rsid w:val="00D117A2"/>
    <w:rsid w:val="00D1182D"/>
    <w:rsid w:val="00D12095"/>
    <w:rsid w:val="00D13700"/>
    <w:rsid w:val="00D13847"/>
    <w:rsid w:val="00D13BFB"/>
    <w:rsid w:val="00D13F69"/>
    <w:rsid w:val="00D13FC9"/>
    <w:rsid w:val="00D14167"/>
    <w:rsid w:val="00D1451B"/>
    <w:rsid w:val="00D14ECE"/>
    <w:rsid w:val="00D155CD"/>
    <w:rsid w:val="00D16422"/>
    <w:rsid w:val="00D165DD"/>
    <w:rsid w:val="00D16785"/>
    <w:rsid w:val="00D173E8"/>
    <w:rsid w:val="00D17792"/>
    <w:rsid w:val="00D20015"/>
    <w:rsid w:val="00D20926"/>
    <w:rsid w:val="00D20E39"/>
    <w:rsid w:val="00D215B0"/>
    <w:rsid w:val="00D21705"/>
    <w:rsid w:val="00D21B94"/>
    <w:rsid w:val="00D220A2"/>
    <w:rsid w:val="00D22A6C"/>
    <w:rsid w:val="00D22D0B"/>
    <w:rsid w:val="00D24114"/>
    <w:rsid w:val="00D249AC"/>
    <w:rsid w:val="00D253DB"/>
    <w:rsid w:val="00D25E4D"/>
    <w:rsid w:val="00D26650"/>
    <w:rsid w:val="00D26C43"/>
    <w:rsid w:val="00D270E3"/>
    <w:rsid w:val="00D27302"/>
    <w:rsid w:val="00D278F1"/>
    <w:rsid w:val="00D310A6"/>
    <w:rsid w:val="00D3177A"/>
    <w:rsid w:val="00D31D36"/>
    <w:rsid w:val="00D33702"/>
    <w:rsid w:val="00D33FE3"/>
    <w:rsid w:val="00D3432C"/>
    <w:rsid w:val="00D34603"/>
    <w:rsid w:val="00D34E87"/>
    <w:rsid w:val="00D3515E"/>
    <w:rsid w:val="00D35F1C"/>
    <w:rsid w:val="00D362AD"/>
    <w:rsid w:val="00D36587"/>
    <w:rsid w:val="00D368DE"/>
    <w:rsid w:val="00D377F2"/>
    <w:rsid w:val="00D3787D"/>
    <w:rsid w:val="00D41A57"/>
    <w:rsid w:val="00D425E4"/>
    <w:rsid w:val="00D42BFB"/>
    <w:rsid w:val="00D43730"/>
    <w:rsid w:val="00D44195"/>
    <w:rsid w:val="00D44819"/>
    <w:rsid w:val="00D44832"/>
    <w:rsid w:val="00D44931"/>
    <w:rsid w:val="00D44BEC"/>
    <w:rsid w:val="00D450D5"/>
    <w:rsid w:val="00D45C09"/>
    <w:rsid w:val="00D46B1D"/>
    <w:rsid w:val="00D47625"/>
    <w:rsid w:val="00D47797"/>
    <w:rsid w:val="00D47FE0"/>
    <w:rsid w:val="00D5016C"/>
    <w:rsid w:val="00D501BB"/>
    <w:rsid w:val="00D501F2"/>
    <w:rsid w:val="00D50E9B"/>
    <w:rsid w:val="00D5152F"/>
    <w:rsid w:val="00D518EA"/>
    <w:rsid w:val="00D51EE5"/>
    <w:rsid w:val="00D520D8"/>
    <w:rsid w:val="00D52317"/>
    <w:rsid w:val="00D52A44"/>
    <w:rsid w:val="00D53A62"/>
    <w:rsid w:val="00D53ABB"/>
    <w:rsid w:val="00D53CC4"/>
    <w:rsid w:val="00D53E3C"/>
    <w:rsid w:val="00D53EE8"/>
    <w:rsid w:val="00D53FE6"/>
    <w:rsid w:val="00D54576"/>
    <w:rsid w:val="00D546D2"/>
    <w:rsid w:val="00D560A5"/>
    <w:rsid w:val="00D561AF"/>
    <w:rsid w:val="00D57E0F"/>
    <w:rsid w:val="00D60C4F"/>
    <w:rsid w:val="00D613CC"/>
    <w:rsid w:val="00D61665"/>
    <w:rsid w:val="00D61A5D"/>
    <w:rsid w:val="00D61FFD"/>
    <w:rsid w:val="00D63259"/>
    <w:rsid w:val="00D636EA"/>
    <w:rsid w:val="00D63848"/>
    <w:rsid w:val="00D6407E"/>
    <w:rsid w:val="00D64164"/>
    <w:rsid w:val="00D6459F"/>
    <w:rsid w:val="00D649FC"/>
    <w:rsid w:val="00D64C1D"/>
    <w:rsid w:val="00D65203"/>
    <w:rsid w:val="00D66147"/>
    <w:rsid w:val="00D66875"/>
    <w:rsid w:val="00D66F22"/>
    <w:rsid w:val="00D67127"/>
    <w:rsid w:val="00D67816"/>
    <w:rsid w:val="00D708AD"/>
    <w:rsid w:val="00D716D7"/>
    <w:rsid w:val="00D734B0"/>
    <w:rsid w:val="00D7392C"/>
    <w:rsid w:val="00D739ED"/>
    <w:rsid w:val="00D73AFD"/>
    <w:rsid w:val="00D75522"/>
    <w:rsid w:val="00D75CDB"/>
    <w:rsid w:val="00D75FA0"/>
    <w:rsid w:val="00D76219"/>
    <w:rsid w:val="00D763C3"/>
    <w:rsid w:val="00D772C5"/>
    <w:rsid w:val="00D772F6"/>
    <w:rsid w:val="00D77351"/>
    <w:rsid w:val="00D776BB"/>
    <w:rsid w:val="00D779A4"/>
    <w:rsid w:val="00D81146"/>
    <w:rsid w:val="00D816AD"/>
    <w:rsid w:val="00D81FC4"/>
    <w:rsid w:val="00D82519"/>
    <w:rsid w:val="00D83397"/>
    <w:rsid w:val="00D8361C"/>
    <w:rsid w:val="00D85798"/>
    <w:rsid w:val="00D858B0"/>
    <w:rsid w:val="00D85A04"/>
    <w:rsid w:val="00D86220"/>
    <w:rsid w:val="00D86D7F"/>
    <w:rsid w:val="00D8762E"/>
    <w:rsid w:val="00D87713"/>
    <w:rsid w:val="00D87AEE"/>
    <w:rsid w:val="00D87DC2"/>
    <w:rsid w:val="00D92D09"/>
    <w:rsid w:val="00D93478"/>
    <w:rsid w:val="00D93A5F"/>
    <w:rsid w:val="00D94269"/>
    <w:rsid w:val="00D94BB1"/>
    <w:rsid w:val="00D9526D"/>
    <w:rsid w:val="00D95CD4"/>
    <w:rsid w:val="00D968B1"/>
    <w:rsid w:val="00DA03DF"/>
    <w:rsid w:val="00DA0ED3"/>
    <w:rsid w:val="00DA14A5"/>
    <w:rsid w:val="00DA1B50"/>
    <w:rsid w:val="00DA24DC"/>
    <w:rsid w:val="00DA2AB4"/>
    <w:rsid w:val="00DA2EDF"/>
    <w:rsid w:val="00DA38CA"/>
    <w:rsid w:val="00DA39C2"/>
    <w:rsid w:val="00DA4349"/>
    <w:rsid w:val="00DA492A"/>
    <w:rsid w:val="00DA7998"/>
    <w:rsid w:val="00DA7D63"/>
    <w:rsid w:val="00DB0340"/>
    <w:rsid w:val="00DB069D"/>
    <w:rsid w:val="00DB06EA"/>
    <w:rsid w:val="00DB08FF"/>
    <w:rsid w:val="00DB0BC8"/>
    <w:rsid w:val="00DB0CA1"/>
    <w:rsid w:val="00DB16C6"/>
    <w:rsid w:val="00DB1E42"/>
    <w:rsid w:val="00DB1F1B"/>
    <w:rsid w:val="00DB22DE"/>
    <w:rsid w:val="00DB2BCF"/>
    <w:rsid w:val="00DB39E6"/>
    <w:rsid w:val="00DB3CEA"/>
    <w:rsid w:val="00DB60EE"/>
    <w:rsid w:val="00DB6988"/>
    <w:rsid w:val="00DB6D9A"/>
    <w:rsid w:val="00DB75F5"/>
    <w:rsid w:val="00DB783E"/>
    <w:rsid w:val="00DC0165"/>
    <w:rsid w:val="00DC0283"/>
    <w:rsid w:val="00DC0803"/>
    <w:rsid w:val="00DC16B5"/>
    <w:rsid w:val="00DC1DF4"/>
    <w:rsid w:val="00DC2119"/>
    <w:rsid w:val="00DC397E"/>
    <w:rsid w:val="00DC39ED"/>
    <w:rsid w:val="00DC4B32"/>
    <w:rsid w:val="00DC54DA"/>
    <w:rsid w:val="00DC58E5"/>
    <w:rsid w:val="00DC5E25"/>
    <w:rsid w:val="00DC602B"/>
    <w:rsid w:val="00DC629D"/>
    <w:rsid w:val="00DC638C"/>
    <w:rsid w:val="00DC6AAF"/>
    <w:rsid w:val="00DC6D16"/>
    <w:rsid w:val="00DC7049"/>
    <w:rsid w:val="00DC7A0F"/>
    <w:rsid w:val="00DD11D5"/>
    <w:rsid w:val="00DD174F"/>
    <w:rsid w:val="00DD1C4B"/>
    <w:rsid w:val="00DD265F"/>
    <w:rsid w:val="00DD28BF"/>
    <w:rsid w:val="00DD2C27"/>
    <w:rsid w:val="00DD2E12"/>
    <w:rsid w:val="00DD2F75"/>
    <w:rsid w:val="00DD36EE"/>
    <w:rsid w:val="00DD38CB"/>
    <w:rsid w:val="00DD3B29"/>
    <w:rsid w:val="00DD49BE"/>
    <w:rsid w:val="00DD51BC"/>
    <w:rsid w:val="00DD520F"/>
    <w:rsid w:val="00DD6593"/>
    <w:rsid w:val="00DD6D75"/>
    <w:rsid w:val="00DD71E2"/>
    <w:rsid w:val="00DD7B0D"/>
    <w:rsid w:val="00DE0321"/>
    <w:rsid w:val="00DE0D77"/>
    <w:rsid w:val="00DE0DBB"/>
    <w:rsid w:val="00DE1A14"/>
    <w:rsid w:val="00DE280E"/>
    <w:rsid w:val="00DE2CDE"/>
    <w:rsid w:val="00DE2F8B"/>
    <w:rsid w:val="00DE4246"/>
    <w:rsid w:val="00DE49BE"/>
    <w:rsid w:val="00DE4D0F"/>
    <w:rsid w:val="00DE4EA5"/>
    <w:rsid w:val="00DE4F79"/>
    <w:rsid w:val="00DE5457"/>
    <w:rsid w:val="00DE5722"/>
    <w:rsid w:val="00DE61E0"/>
    <w:rsid w:val="00DE7BDA"/>
    <w:rsid w:val="00DE7C7E"/>
    <w:rsid w:val="00DF0F94"/>
    <w:rsid w:val="00DF1A17"/>
    <w:rsid w:val="00DF1D9A"/>
    <w:rsid w:val="00DF2680"/>
    <w:rsid w:val="00DF2B17"/>
    <w:rsid w:val="00DF3870"/>
    <w:rsid w:val="00DF39AB"/>
    <w:rsid w:val="00DF3CAE"/>
    <w:rsid w:val="00DF43FA"/>
    <w:rsid w:val="00DF6683"/>
    <w:rsid w:val="00DF6EF9"/>
    <w:rsid w:val="00DF7E21"/>
    <w:rsid w:val="00DF7F5A"/>
    <w:rsid w:val="00E00933"/>
    <w:rsid w:val="00E00C54"/>
    <w:rsid w:val="00E00C9C"/>
    <w:rsid w:val="00E01E8F"/>
    <w:rsid w:val="00E023A2"/>
    <w:rsid w:val="00E0240E"/>
    <w:rsid w:val="00E029BC"/>
    <w:rsid w:val="00E038BD"/>
    <w:rsid w:val="00E03B62"/>
    <w:rsid w:val="00E0596D"/>
    <w:rsid w:val="00E05D38"/>
    <w:rsid w:val="00E05FD6"/>
    <w:rsid w:val="00E06304"/>
    <w:rsid w:val="00E070FE"/>
    <w:rsid w:val="00E07238"/>
    <w:rsid w:val="00E07539"/>
    <w:rsid w:val="00E1012A"/>
    <w:rsid w:val="00E10220"/>
    <w:rsid w:val="00E102B1"/>
    <w:rsid w:val="00E104F1"/>
    <w:rsid w:val="00E10AF0"/>
    <w:rsid w:val="00E10DEC"/>
    <w:rsid w:val="00E1107C"/>
    <w:rsid w:val="00E11145"/>
    <w:rsid w:val="00E1126B"/>
    <w:rsid w:val="00E126B0"/>
    <w:rsid w:val="00E131CC"/>
    <w:rsid w:val="00E1385F"/>
    <w:rsid w:val="00E13F81"/>
    <w:rsid w:val="00E1485D"/>
    <w:rsid w:val="00E14DB0"/>
    <w:rsid w:val="00E152A6"/>
    <w:rsid w:val="00E160BA"/>
    <w:rsid w:val="00E16528"/>
    <w:rsid w:val="00E16739"/>
    <w:rsid w:val="00E17BE2"/>
    <w:rsid w:val="00E2042C"/>
    <w:rsid w:val="00E20448"/>
    <w:rsid w:val="00E20AE9"/>
    <w:rsid w:val="00E214C5"/>
    <w:rsid w:val="00E2196B"/>
    <w:rsid w:val="00E21CBE"/>
    <w:rsid w:val="00E22379"/>
    <w:rsid w:val="00E223D8"/>
    <w:rsid w:val="00E224F6"/>
    <w:rsid w:val="00E2379E"/>
    <w:rsid w:val="00E24C3B"/>
    <w:rsid w:val="00E24D6E"/>
    <w:rsid w:val="00E25756"/>
    <w:rsid w:val="00E25808"/>
    <w:rsid w:val="00E25A21"/>
    <w:rsid w:val="00E25C65"/>
    <w:rsid w:val="00E25C9C"/>
    <w:rsid w:val="00E261E0"/>
    <w:rsid w:val="00E269C3"/>
    <w:rsid w:val="00E27114"/>
    <w:rsid w:val="00E27839"/>
    <w:rsid w:val="00E27880"/>
    <w:rsid w:val="00E3106D"/>
    <w:rsid w:val="00E33156"/>
    <w:rsid w:val="00E33965"/>
    <w:rsid w:val="00E339A0"/>
    <w:rsid w:val="00E33D34"/>
    <w:rsid w:val="00E341D0"/>
    <w:rsid w:val="00E345BC"/>
    <w:rsid w:val="00E3461C"/>
    <w:rsid w:val="00E34D87"/>
    <w:rsid w:val="00E34DE3"/>
    <w:rsid w:val="00E370C8"/>
    <w:rsid w:val="00E37B03"/>
    <w:rsid w:val="00E37C1B"/>
    <w:rsid w:val="00E37D2F"/>
    <w:rsid w:val="00E406E7"/>
    <w:rsid w:val="00E40FF6"/>
    <w:rsid w:val="00E41BE0"/>
    <w:rsid w:val="00E41D11"/>
    <w:rsid w:val="00E42161"/>
    <w:rsid w:val="00E421A9"/>
    <w:rsid w:val="00E424A8"/>
    <w:rsid w:val="00E42806"/>
    <w:rsid w:val="00E428DA"/>
    <w:rsid w:val="00E431F7"/>
    <w:rsid w:val="00E437AE"/>
    <w:rsid w:val="00E43C28"/>
    <w:rsid w:val="00E441C9"/>
    <w:rsid w:val="00E44321"/>
    <w:rsid w:val="00E44783"/>
    <w:rsid w:val="00E44949"/>
    <w:rsid w:val="00E44DC2"/>
    <w:rsid w:val="00E45036"/>
    <w:rsid w:val="00E4603F"/>
    <w:rsid w:val="00E47605"/>
    <w:rsid w:val="00E50596"/>
    <w:rsid w:val="00E506EA"/>
    <w:rsid w:val="00E50A72"/>
    <w:rsid w:val="00E50AA9"/>
    <w:rsid w:val="00E50D6D"/>
    <w:rsid w:val="00E50EF0"/>
    <w:rsid w:val="00E52200"/>
    <w:rsid w:val="00E52DB0"/>
    <w:rsid w:val="00E52E81"/>
    <w:rsid w:val="00E53698"/>
    <w:rsid w:val="00E53EE2"/>
    <w:rsid w:val="00E54AC1"/>
    <w:rsid w:val="00E54BA4"/>
    <w:rsid w:val="00E552A6"/>
    <w:rsid w:val="00E55989"/>
    <w:rsid w:val="00E559B7"/>
    <w:rsid w:val="00E559EF"/>
    <w:rsid w:val="00E566E0"/>
    <w:rsid w:val="00E57640"/>
    <w:rsid w:val="00E57B0A"/>
    <w:rsid w:val="00E57BB9"/>
    <w:rsid w:val="00E60B11"/>
    <w:rsid w:val="00E60B55"/>
    <w:rsid w:val="00E61098"/>
    <w:rsid w:val="00E620FF"/>
    <w:rsid w:val="00E62DA9"/>
    <w:rsid w:val="00E63C61"/>
    <w:rsid w:val="00E64225"/>
    <w:rsid w:val="00E64EC7"/>
    <w:rsid w:val="00E657E0"/>
    <w:rsid w:val="00E65D25"/>
    <w:rsid w:val="00E6612A"/>
    <w:rsid w:val="00E662D0"/>
    <w:rsid w:val="00E6698F"/>
    <w:rsid w:val="00E66AA1"/>
    <w:rsid w:val="00E66D87"/>
    <w:rsid w:val="00E6718B"/>
    <w:rsid w:val="00E67F73"/>
    <w:rsid w:val="00E67F7C"/>
    <w:rsid w:val="00E70A66"/>
    <w:rsid w:val="00E70FF5"/>
    <w:rsid w:val="00E71A7F"/>
    <w:rsid w:val="00E72104"/>
    <w:rsid w:val="00E72A15"/>
    <w:rsid w:val="00E72A1B"/>
    <w:rsid w:val="00E73083"/>
    <w:rsid w:val="00E73708"/>
    <w:rsid w:val="00E74995"/>
    <w:rsid w:val="00E751C7"/>
    <w:rsid w:val="00E75EA0"/>
    <w:rsid w:val="00E760C9"/>
    <w:rsid w:val="00E763BD"/>
    <w:rsid w:val="00E763EB"/>
    <w:rsid w:val="00E76675"/>
    <w:rsid w:val="00E76AD8"/>
    <w:rsid w:val="00E779A3"/>
    <w:rsid w:val="00E8008A"/>
    <w:rsid w:val="00E81049"/>
    <w:rsid w:val="00E8142E"/>
    <w:rsid w:val="00E81F9A"/>
    <w:rsid w:val="00E835EF"/>
    <w:rsid w:val="00E83C60"/>
    <w:rsid w:val="00E84D04"/>
    <w:rsid w:val="00E851C6"/>
    <w:rsid w:val="00E852A1"/>
    <w:rsid w:val="00E8542C"/>
    <w:rsid w:val="00E85890"/>
    <w:rsid w:val="00E85A52"/>
    <w:rsid w:val="00E86243"/>
    <w:rsid w:val="00E865E8"/>
    <w:rsid w:val="00E867A1"/>
    <w:rsid w:val="00E867C0"/>
    <w:rsid w:val="00E8691E"/>
    <w:rsid w:val="00E86A63"/>
    <w:rsid w:val="00E870F8"/>
    <w:rsid w:val="00E877C8"/>
    <w:rsid w:val="00E90298"/>
    <w:rsid w:val="00E90764"/>
    <w:rsid w:val="00E90D98"/>
    <w:rsid w:val="00E91912"/>
    <w:rsid w:val="00E924B4"/>
    <w:rsid w:val="00E92522"/>
    <w:rsid w:val="00E92A75"/>
    <w:rsid w:val="00E92A80"/>
    <w:rsid w:val="00E92A8B"/>
    <w:rsid w:val="00E92F38"/>
    <w:rsid w:val="00E93389"/>
    <w:rsid w:val="00E93524"/>
    <w:rsid w:val="00E93739"/>
    <w:rsid w:val="00E93854"/>
    <w:rsid w:val="00E93F1E"/>
    <w:rsid w:val="00E93F75"/>
    <w:rsid w:val="00E94353"/>
    <w:rsid w:val="00E94ED2"/>
    <w:rsid w:val="00E95425"/>
    <w:rsid w:val="00E95889"/>
    <w:rsid w:val="00E9590B"/>
    <w:rsid w:val="00E96B67"/>
    <w:rsid w:val="00E975D2"/>
    <w:rsid w:val="00E97923"/>
    <w:rsid w:val="00E97AD1"/>
    <w:rsid w:val="00EA0157"/>
    <w:rsid w:val="00EA0500"/>
    <w:rsid w:val="00EA0B37"/>
    <w:rsid w:val="00EA1A20"/>
    <w:rsid w:val="00EA1F8C"/>
    <w:rsid w:val="00EA20E0"/>
    <w:rsid w:val="00EA25F7"/>
    <w:rsid w:val="00EA2608"/>
    <w:rsid w:val="00EA2D0F"/>
    <w:rsid w:val="00EA3C3A"/>
    <w:rsid w:val="00EA4D28"/>
    <w:rsid w:val="00EA4DC4"/>
    <w:rsid w:val="00EA6023"/>
    <w:rsid w:val="00EA60E5"/>
    <w:rsid w:val="00EA76B7"/>
    <w:rsid w:val="00EA7DAE"/>
    <w:rsid w:val="00EB01A5"/>
    <w:rsid w:val="00EB034F"/>
    <w:rsid w:val="00EB0370"/>
    <w:rsid w:val="00EB188F"/>
    <w:rsid w:val="00EB1D8F"/>
    <w:rsid w:val="00EB2391"/>
    <w:rsid w:val="00EB2834"/>
    <w:rsid w:val="00EB28B0"/>
    <w:rsid w:val="00EB2ABB"/>
    <w:rsid w:val="00EB2B94"/>
    <w:rsid w:val="00EB310F"/>
    <w:rsid w:val="00EB38C0"/>
    <w:rsid w:val="00EB3DCA"/>
    <w:rsid w:val="00EB4193"/>
    <w:rsid w:val="00EB42A9"/>
    <w:rsid w:val="00EB5405"/>
    <w:rsid w:val="00EB561D"/>
    <w:rsid w:val="00EB56D4"/>
    <w:rsid w:val="00EB58B4"/>
    <w:rsid w:val="00EB642B"/>
    <w:rsid w:val="00EB748B"/>
    <w:rsid w:val="00EB785E"/>
    <w:rsid w:val="00EC06A1"/>
    <w:rsid w:val="00EC0B2F"/>
    <w:rsid w:val="00EC0E56"/>
    <w:rsid w:val="00EC10B1"/>
    <w:rsid w:val="00EC14E9"/>
    <w:rsid w:val="00EC2839"/>
    <w:rsid w:val="00EC287B"/>
    <w:rsid w:val="00EC29A9"/>
    <w:rsid w:val="00EC4CAB"/>
    <w:rsid w:val="00EC631F"/>
    <w:rsid w:val="00EC645D"/>
    <w:rsid w:val="00EC6A39"/>
    <w:rsid w:val="00EC70BB"/>
    <w:rsid w:val="00EC7805"/>
    <w:rsid w:val="00ED00FD"/>
    <w:rsid w:val="00ED026B"/>
    <w:rsid w:val="00ED0B09"/>
    <w:rsid w:val="00ED0FF0"/>
    <w:rsid w:val="00ED1F89"/>
    <w:rsid w:val="00ED230D"/>
    <w:rsid w:val="00ED2CAC"/>
    <w:rsid w:val="00ED39A5"/>
    <w:rsid w:val="00ED3BA2"/>
    <w:rsid w:val="00ED4BF8"/>
    <w:rsid w:val="00ED5B5D"/>
    <w:rsid w:val="00ED636B"/>
    <w:rsid w:val="00ED70FB"/>
    <w:rsid w:val="00ED756F"/>
    <w:rsid w:val="00ED774E"/>
    <w:rsid w:val="00EE01A8"/>
    <w:rsid w:val="00EE170E"/>
    <w:rsid w:val="00EE182E"/>
    <w:rsid w:val="00EE2010"/>
    <w:rsid w:val="00EE2557"/>
    <w:rsid w:val="00EE2717"/>
    <w:rsid w:val="00EE2DF6"/>
    <w:rsid w:val="00EE2E33"/>
    <w:rsid w:val="00EE33CC"/>
    <w:rsid w:val="00EE3494"/>
    <w:rsid w:val="00EE4964"/>
    <w:rsid w:val="00EE5079"/>
    <w:rsid w:val="00EE5B41"/>
    <w:rsid w:val="00EE664A"/>
    <w:rsid w:val="00EE6FC6"/>
    <w:rsid w:val="00EE7421"/>
    <w:rsid w:val="00EE7A2B"/>
    <w:rsid w:val="00EE7AEC"/>
    <w:rsid w:val="00EF07BF"/>
    <w:rsid w:val="00EF1F1A"/>
    <w:rsid w:val="00EF2803"/>
    <w:rsid w:val="00EF2AF5"/>
    <w:rsid w:val="00EF2C89"/>
    <w:rsid w:val="00EF2E6F"/>
    <w:rsid w:val="00EF3137"/>
    <w:rsid w:val="00EF32C4"/>
    <w:rsid w:val="00EF34C4"/>
    <w:rsid w:val="00EF3B41"/>
    <w:rsid w:val="00EF3CBE"/>
    <w:rsid w:val="00EF3D95"/>
    <w:rsid w:val="00EF4072"/>
    <w:rsid w:val="00EF40DA"/>
    <w:rsid w:val="00EF5337"/>
    <w:rsid w:val="00EF5AE5"/>
    <w:rsid w:val="00EF5B1A"/>
    <w:rsid w:val="00EF6011"/>
    <w:rsid w:val="00EF6298"/>
    <w:rsid w:val="00EF78D9"/>
    <w:rsid w:val="00EF7B80"/>
    <w:rsid w:val="00F004ED"/>
    <w:rsid w:val="00F01124"/>
    <w:rsid w:val="00F0197D"/>
    <w:rsid w:val="00F01E32"/>
    <w:rsid w:val="00F01F67"/>
    <w:rsid w:val="00F0284D"/>
    <w:rsid w:val="00F02E11"/>
    <w:rsid w:val="00F03F13"/>
    <w:rsid w:val="00F041B6"/>
    <w:rsid w:val="00F043F9"/>
    <w:rsid w:val="00F0481D"/>
    <w:rsid w:val="00F0614C"/>
    <w:rsid w:val="00F0643A"/>
    <w:rsid w:val="00F066D7"/>
    <w:rsid w:val="00F10B4F"/>
    <w:rsid w:val="00F122ED"/>
    <w:rsid w:val="00F12CA5"/>
    <w:rsid w:val="00F13262"/>
    <w:rsid w:val="00F14268"/>
    <w:rsid w:val="00F148A1"/>
    <w:rsid w:val="00F15133"/>
    <w:rsid w:val="00F15A59"/>
    <w:rsid w:val="00F15E97"/>
    <w:rsid w:val="00F16766"/>
    <w:rsid w:val="00F16F5F"/>
    <w:rsid w:val="00F170C0"/>
    <w:rsid w:val="00F17352"/>
    <w:rsid w:val="00F17B9C"/>
    <w:rsid w:val="00F20479"/>
    <w:rsid w:val="00F226C0"/>
    <w:rsid w:val="00F227FA"/>
    <w:rsid w:val="00F22F6D"/>
    <w:rsid w:val="00F236FF"/>
    <w:rsid w:val="00F243EB"/>
    <w:rsid w:val="00F249D7"/>
    <w:rsid w:val="00F25F97"/>
    <w:rsid w:val="00F26173"/>
    <w:rsid w:val="00F26270"/>
    <w:rsid w:val="00F26602"/>
    <w:rsid w:val="00F266A2"/>
    <w:rsid w:val="00F26EED"/>
    <w:rsid w:val="00F27731"/>
    <w:rsid w:val="00F27CB7"/>
    <w:rsid w:val="00F27FCE"/>
    <w:rsid w:val="00F3064F"/>
    <w:rsid w:val="00F306FA"/>
    <w:rsid w:val="00F30A12"/>
    <w:rsid w:val="00F31475"/>
    <w:rsid w:val="00F32012"/>
    <w:rsid w:val="00F327F8"/>
    <w:rsid w:val="00F32895"/>
    <w:rsid w:val="00F3291E"/>
    <w:rsid w:val="00F32AB8"/>
    <w:rsid w:val="00F3392B"/>
    <w:rsid w:val="00F344DF"/>
    <w:rsid w:val="00F34F67"/>
    <w:rsid w:val="00F3581D"/>
    <w:rsid w:val="00F35B93"/>
    <w:rsid w:val="00F365CB"/>
    <w:rsid w:val="00F36606"/>
    <w:rsid w:val="00F3714A"/>
    <w:rsid w:val="00F37316"/>
    <w:rsid w:val="00F37405"/>
    <w:rsid w:val="00F377F0"/>
    <w:rsid w:val="00F378F1"/>
    <w:rsid w:val="00F4005C"/>
    <w:rsid w:val="00F40266"/>
    <w:rsid w:val="00F40A79"/>
    <w:rsid w:val="00F413F1"/>
    <w:rsid w:val="00F416EE"/>
    <w:rsid w:val="00F4177D"/>
    <w:rsid w:val="00F41C48"/>
    <w:rsid w:val="00F4201D"/>
    <w:rsid w:val="00F430FF"/>
    <w:rsid w:val="00F434A0"/>
    <w:rsid w:val="00F4447A"/>
    <w:rsid w:val="00F44C2D"/>
    <w:rsid w:val="00F4509B"/>
    <w:rsid w:val="00F46292"/>
    <w:rsid w:val="00F467BF"/>
    <w:rsid w:val="00F46937"/>
    <w:rsid w:val="00F46BEF"/>
    <w:rsid w:val="00F46E3B"/>
    <w:rsid w:val="00F475C5"/>
    <w:rsid w:val="00F475E3"/>
    <w:rsid w:val="00F478A9"/>
    <w:rsid w:val="00F47DDA"/>
    <w:rsid w:val="00F47FA8"/>
    <w:rsid w:val="00F50194"/>
    <w:rsid w:val="00F5090C"/>
    <w:rsid w:val="00F50C7A"/>
    <w:rsid w:val="00F50CD7"/>
    <w:rsid w:val="00F51115"/>
    <w:rsid w:val="00F51EDA"/>
    <w:rsid w:val="00F520CA"/>
    <w:rsid w:val="00F5251F"/>
    <w:rsid w:val="00F52BF0"/>
    <w:rsid w:val="00F53189"/>
    <w:rsid w:val="00F532A6"/>
    <w:rsid w:val="00F53BE2"/>
    <w:rsid w:val="00F554B1"/>
    <w:rsid w:val="00F556EB"/>
    <w:rsid w:val="00F559C8"/>
    <w:rsid w:val="00F56084"/>
    <w:rsid w:val="00F560E3"/>
    <w:rsid w:val="00F56538"/>
    <w:rsid w:val="00F569B9"/>
    <w:rsid w:val="00F56CE7"/>
    <w:rsid w:val="00F56DFF"/>
    <w:rsid w:val="00F57BF9"/>
    <w:rsid w:val="00F57FF6"/>
    <w:rsid w:val="00F60A90"/>
    <w:rsid w:val="00F60BF3"/>
    <w:rsid w:val="00F60DB0"/>
    <w:rsid w:val="00F6112B"/>
    <w:rsid w:val="00F61874"/>
    <w:rsid w:val="00F619E8"/>
    <w:rsid w:val="00F62BC5"/>
    <w:rsid w:val="00F631C2"/>
    <w:rsid w:val="00F6410C"/>
    <w:rsid w:val="00F6482D"/>
    <w:rsid w:val="00F64A7D"/>
    <w:rsid w:val="00F64DA1"/>
    <w:rsid w:val="00F64EF5"/>
    <w:rsid w:val="00F6551E"/>
    <w:rsid w:val="00F65A4B"/>
    <w:rsid w:val="00F65B9F"/>
    <w:rsid w:val="00F65FA1"/>
    <w:rsid w:val="00F66A49"/>
    <w:rsid w:val="00F66E50"/>
    <w:rsid w:val="00F670FA"/>
    <w:rsid w:val="00F676B0"/>
    <w:rsid w:val="00F6798D"/>
    <w:rsid w:val="00F679F0"/>
    <w:rsid w:val="00F7028E"/>
    <w:rsid w:val="00F71034"/>
    <w:rsid w:val="00F7122A"/>
    <w:rsid w:val="00F71CBA"/>
    <w:rsid w:val="00F72036"/>
    <w:rsid w:val="00F724F2"/>
    <w:rsid w:val="00F727FF"/>
    <w:rsid w:val="00F72A89"/>
    <w:rsid w:val="00F74627"/>
    <w:rsid w:val="00F750DF"/>
    <w:rsid w:val="00F75719"/>
    <w:rsid w:val="00F75CE7"/>
    <w:rsid w:val="00F760FE"/>
    <w:rsid w:val="00F761DE"/>
    <w:rsid w:val="00F762C7"/>
    <w:rsid w:val="00F76FA8"/>
    <w:rsid w:val="00F771F2"/>
    <w:rsid w:val="00F7748B"/>
    <w:rsid w:val="00F775CB"/>
    <w:rsid w:val="00F779A7"/>
    <w:rsid w:val="00F80E32"/>
    <w:rsid w:val="00F81636"/>
    <w:rsid w:val="00F8208E"/>
    <w:rsid w:val="00F8244F"/>
    <w:rsid w:val="00F82745"/>
    <w:rsid w:val="00F831B2"/>
    <w:rsid w:val="00F83A13"/>
    <w:rsid w:val="00F83C9A"/>
    <w:rsid w:val="00F83DC4"/>
    <w:rsid w:val="00F84065"/>
    <w:rsid w:val="00F84352"/>
    <w:rsid w:val="00F84EE1"/>
    <w:rsid w:val="00F8546E"/>
    <w:rsid w:val="00F85807"/>
    <w:rsid w:val="00F86824"/>
    <w:rsid w:val="00F86CE5"/>
    <w:rsid w:val="00F873A6"/>
    <w:rsid w:val="00F8752D"/>
    <w:rsid w:val="00F87BCE"/>
    <w:rsid w:val="00F87C5D"/>
    <w:rsid w:val="00F87C88"/>
    <w:rsid w:val="00F87E05"/>
    <w:rsid w:val="00F90F7E"/>
    <w:rsid w:val="00F912F4"/>
    <w:rsid w:val="00F914C1"/>
    <w:rsid w:val="00F917E0"/>
    <w:rsid w:val="00F91CB1"/>
    <w:rsid w:val="00F92590"/>
    <w:rsid w:val="00F926D3"/>
    <w:rsid w:val="00F92AAE"/>
    <w:rsid w:val="00F92B32"/>
    <w:rsid w:val="00F93E54"/>
    <w:rsid w:val="00F94016"/>
    <w:rsid w:val="00F943D9"/>
    <w:rsid w:val="00F94FB9"/>
    <w:rsid w:val="00F95661"/>
    <w:rsid w:val="00F95728"/>
    <w:rsid w:val="00F9658C"/>
    <w:rsid w:val="00F96743"/>
    <w:rsid w:val="00F975B7"/>
    <w:rsid w:val="00F977E8"/>
    <w:rsid w:val="00F978F1"/>
    <w:rsid w:val="00F97B70"/>
    <w:rsid w:val="00FA0776"/>
    <w:rsid w:val="00FA1501"/>
    <w:rsid w:val="00FA1554"/>
    <w:rsid w:val="00FA3316"/>
    <w:rsid w:val="00FA34FA"/>
    <w:rsid w:val="00FA3774"/>
    <w:rsid w:val="00FA3811"/>
    <w:rsid w:val="00FA3CAD"/>
    <w:rsid w:val="00FA3E39"/>
    <w:rsid w:val="00FA3F57"/>
    <w:rsid w:val="00FA41EC"/>
    <w:rsid w:val="00FA452F"/>
    <w:rsid w:val="00FA4946"/>
    <w:rsid w:val="00FA6380"/>
    <w:rsid w:val="00FA64CC"/>
    <w:rsid w:val="00FA6E9C"/>
    <w:rsid w:val="00FA6FFD"/>
    <w:rsid w:val="00FA76C7"/>
    <w:rsid w:val="00FA7A64"/>
    <w:rsid w:val="00FB028A"/>
    <w:rsid w:val="00FB0448"/>
    <w:rsid w:val="00FB0AF2"/>
    <w:rsid w:val="00FB1A6E"/>
    <w:rsid w:val="00FB2252"/>
    <w:rsid w:val="00FB289F"/>
    <w:rsid w:val="00FB2AD6"/>
    <w:rsid w:val="00FB2CAA"/>
    <w:rsid w:val="00FB3175"/>
    <w:rsid w:val="00FB37B4"/>
    <w:rsid w:val="00FB3A94"/>
    <w:rsid w:val="00FB4646"/>
    <w:rsid w:val="00FB4F70"/>
    <w:rsid w:val="00FB50D0"/>
    <w:rsid w:val="00FB5613"/>
    <w:rsid w:val="00FB5C46"/>
    <w:rsid w:val="00FB5D71"/>
    <w:rsid w:val="00FB6AD5"/>
    <w:rsid w:val="00FB7190"/>
    <w:rsid w:val="00FB7222"/>
    <w:rsid w:val="00FC10A0"/>
    <w:rsid w:val="00FC1710"/>
    <w:rsid w:val="00FC1C45"/>
    <w:rsid w:val="00FC1DDD"/>
    <w:rsid w:val="00FC2499"/>
    <w:rsid w:val="00FC32D1"/>
    <w:rsid w:val="00FC33EE"/>
    <w:rsid w:val="00FC38E1"/>
    <w:rsid w:val="00FC392E"/>
    <w:rsid w:val="00FC4919"/>
    <w:rsid w:val="00FC4BDC"/>
    <w:rsid w:val="00FC5E07"/>
    <w:rsid w:val="00FC645A"/>
    <w:rsid w:val="00FC6B40"/>
    <w:rsid w:val="00FC7208"/>
    <w:rsid w:val="00FC7821"/>
    <w:rsid w:val="00FC7ABA"/>
    <w:rsid w:val="00FC7B19"/>
    <w:rsid w:val="00FD062B"/>
    <w:rsid w:val="00FD0A74"/>
    <w:rsid w:val="00FD0C6F"/>
    <w:rsid w:val="00FD0F9F"/>
    <w:rsid w:val="00FD1215"/>
    <w:rsid w:val="00FD13E6"/>
    <w:rsid w:val="00FD1453"/>
    <w:rsid w:val="00FD1BDD"/>
    <w:rsid w:val="00FD2074"/>
    <w:rsid w:val="00FD2214"/>
    <w:rsid w:val="00FD22D5"/>
    <w:rsid w:val="00FD2348"/>
    <w:rsid w:val="00FD2BBB"/>
    <w:rsid w:val="00FD2CA2"/>
    <w:rsid w:val="00FD2E91"/>
    <w:rsid w:val="00FD2FE6"/>
    <w:rsid w:val="00FD42C5"/>
    <w:rsid w:val="00FD435F"/>
    <w:rsid w:val="00FD4E3C"/>
    <w:rsid w:val="00FD5EE3"/>
    <w:rsid w:val="00FD5F54"/>
    <w:rsid w:val="00FD6B74"/>
    <w:rsid w:val="00FE0784"/>
    <w:rsid w:val="00FE0DA0"/>
    <w:rsid w:val="00FE159B"/>
    <w:rsid w:val="00FE1B6C"/>
    <w:rsid w:val="00FE1C2B"/>
    <w:rsid w:val="00FE31E1"/>
    <w:rsid w:val="00FE37B8"/>
    <w:rsid w:val="00FE4A0E"/>
    <w:rsid w:val="00FE4BCD"/>
    <w:rsid w:val="00FE4D82"/>
    <w:rsid w:val="00FE5D6C"/>
    <w:rsid w:val="00FE5DFE"/>
    <w:rsid w:val="00FE64C9"/>
    <w:rsid w:val="00FE6C08"/>
    <w:rsid w:val="00FE76E5"/>
    <w:rsid w:val="00FE7939"/>
    <w:rsid w:val="00FE7CA3"/>
    <w:rsid w:val="00FF017F"/>
    <w:rsid w:val="00FF0423"/>
    <w:rsid w:val="00FF1298"/>
    <w:rsid w:val="00FF1A30"/>
    <w:rsid w:val="00FF22B2"/>
    <w:rsid w:val="00FF22EB"/>
    <w:rsid w:val="00FF2827"/>
    <w:rsid w:val="00FF2FE8"/>
    <w:rsid w:val="00FF32BE"/>
    <w:rsid w:val="00FF333F"/>
    <w:rsid w:val="00FF3ADC"/>
    <w:rsid w:val="00FF46FD"/>
    <w:rsid w:val="00FF4E70"/>
    <w:rsid w:val="00FF5040"/>
    <w:rsid w:val="00FF5B79"/>
    <w:rsid w:val="00FF65E5"/>
    <w:rsid w:val="00FF69FD"/>
    <w:rsid w:val="00FF7165"/>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82"/>
    <o:shapelayout v:ext="edit">
      <o:idmap v:ext="edit" data="1"/>
    </o:shapelayout>
  </w:shapeDefaults>
  <w:decimalSymbol w:val="."/>
  <w:listSeparator w:val=","/>
  <w14:docId w14:val="24EB8D74"/>
  <w15:chartTrackingRefBased/>
  <w15:docId w15:val="{4127715C-A7C3-4468-B897-AE97E8E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39"/>
    <w:rPr>
      <w:sz w:val="24"/>
      <w:szCs w:val="24"/>
    </w:rPr>
  </w:style>
  <w:style w:type="paragraph" w:styleId="Heading2">
    <w:name w:val="heading 2"/>
    <w:basedOn w:val="Normal"/>
    <w:next w:val="Normal"/>
    <w:link w:val="Heading2Char"/>
    <w:qFormat/>
    <w:locked/>
    <w:rsid w:val="001219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1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28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A41381"/>
    <w:rPr>
      <w:rFonts w:ascii="Tahoma" w:hAnsi="Tahoma" w:cs="Tahoma"/>
      <w:sz w:val="16"/>
      <w:szCs w:val="16"/>
    </w:rPr>
  </w:style>
  <w:style w:type="character" w:customStyle="1" w:styleId="BalloonTextChar">
    <w:name w:val="Balloon Text Char"/>
    <w:basedOn w:val="DefaultParagraphFont"/>
    <w:link w:val="BalloonText"/>
    <w:uiPriority w:val="99"/>
    <w:locked/>
    <w:rsid w:val="00A41381"/>
    <w:rPr>
      <w:rFonts w:ascii="Tahoma" w:hAnsi="Tahoma" w:cs="Tahoma"/>
      <w:sz w:val="16"/>
      <w:szCs w:val="16"/>
    </w:rPr>
  </w:style>
  <w:style w:type="paragraph" w:styleId="Header">
    <w:name w:val="header"/>
    <w:basedOn w:val="Normal"/>
    <w:link w:val="HeaderChar"/>
    <w:uiPriority w:val="99"/>
    <w:rsid w:val="00C95526"/>
    <w:pPr>
      <w:tabs>
        <w:tab w:val="center" w:pos="4680"/>
        <w:tab w:val="right" w:pos="9360"/>
      </w:tabs>
    </w:pPr>
  </w:style>
  <w:style w:type="character" w:customStyle="1" w:styleId="HeaderChar">
    <w:name w:val="Header Char"/>
    <w:basedOn w:val="DefaultParagraphFont"/>
    <w:link w:val="Header"/>
    <w:uiPriority w:val="99"/>
    <w:locked/>
    <w:rsid w:val="00C95526"/>
    <w:rPr>
      <w:rFonts w:cs="Times New Roman"/>
      <w:sz w:val="24"/>
      <w:szCs w:val="24"/>
    </w:rPr>
  </w:style>
  <w:style w:type="paragraph" w:styleId="Footer">
    <w:name w:val="footer"/>
    <w:basedOn w:val="Normal"/>
    <w:link w:val="FooterChar"/>
    <w:uiPriority w:val="99"/>
    <w:rsid w:val="00C95526"/>
    <w:pPr>
      <w:tabs>
        <w:tab w:val="center" w:pos="4680"/>
        <w:tab w:val="right" w:pos="9360"/>
      </w:tabs>
    </w:pPr>
  </w:style>
  <w:style w:type="character" w:customStyle="1" w:styleId="FooterChar">
    <w:name w:val="Footer Char"/>
    <w:basedOn w:val="DefaultParagraphFont"/>
    <w:link w:val="Footer"/>
    <w:uiPriority w:val="99"/>
    <w:locked/>
    <w:rsid w:val="00C95526"/>
    <w:rPr>
      <w:rFonts w:cs="Times New Roman"/>
      <w:sz w:val="24"/>
      <w:szCs w:val="24"/>
    </w:rPr>
  </w:style>
  <w:style w:type="paragraph" w:styleId="FootnoteText">
    <w:name w:val="footnote text"/>
    <w:basedOn w:val="Normal"/>
    <w:link w:val="FootnoteTextChar"/>
    <w:rsid w:val="00623647"/>
    <w:rPr>
      <w:sz w:val="20"/>
      <w:szCs w:val="20"/>
    </w:rPr>
  </w:style>
  <w:style w:type="character" w:customStyle="1" w:styleId="FootnoteTextChar">
    <w:name w:val="Footnote Text Char"/>
    <w:basedOn w:val="DefaultParagraphFont"/>
    <w:link w:val="FootnoteText"/>
    <w:uiPriority w:val="99"/>
    <w:locked/>
    <w:rsid w:val="00623647"/>
    <w:rPr>
      <w:rFonts w:cs="Times New Roman"/>
    </w:rPr>
  </w:style>
  <w:style w:type="character" w:styleId="FootnoteReference">
    <w:name w:val="footnote reference"/>
    <w:basedOn w:val="DefaultParagraphFont"/>
    <w:rsid w:val="00623647"/>
    <w:rPr>
      <w:rFonts w:cs="Times New Roman"/>
      <w:vertAlign w:val="superscript"/>
    </w:rPr>
  </w:style>
  <w:style w:type="paragraph" w:styleId="BodyText">
    <w:name w:val="Body Text"/>
    <w:aliases w:val="b"/>
    <w:basedOn w:val="Normal"/>
    <w:link w:val="BodyTextChar"/>
    <w:uiPriority w:val="99"/>
    <w:rsid w:val="00111B51"/>
    <w:pPr>
      <w:spacing w:after="120"/>
    </w:pPr>
  </w:style>
  <w:style w:type="character" w:customStyle="1" w:styleId="BodyTextChar">
    <w:name w:val="Body Text Char"/>
    <w:aliases w:val="b Char"/>
    <w:basedOn w:val="DefaultParagraphFont"/>
    <w:link w:val="BodyText"/>
    <w:uiPriority w:val="99"/>
    <w:locked/>
    <w:rsid w:val="00111B51"/>
    <w:rPr>
      <w:rFonts w:cs="Times New Roman"/>
      <w:sz w:val="24"/>
      <w:szCs w:val="24"/>
    </w:rPr>
  </w:style>
  <w:style w:type="paragraph" w:customStyle="1" w:styleId="CListL2">
    <w:name w:val="CList_L2"/>
    <w:basedOn w:val="Normal"/>
    <w:next w:val="BodyText"/>
    <w:uiPriority w:val="99"/>
    <w:rsid w:val="00111B51"/>
    <w:pPr>
      <w:keepNext/>
      <w:tabs>
        <w:tab w:val="left" w:pos="720"/>
        <w:tab w:val="left" w:pos="1440"/>
      </w:tabs>
      <w:spacing w:before="120" w:after="120"/>
      <w:ind w:left="360" w:hanging="360"/>
    </w:pPr>
    <w:rPr>
      <w:rFonts w:ascii="Univers" w:hAnsi="Univers"/>
      <w:b/>
      <w:szCs w:val="20"/>
    </w:rPr>
  </w:style>
  <w:style w:type="character" w:customStyle="1" w:styleId="Heading2Char">
    <w:name w:val="Heading 2 Char"/>
    <w:basedOn w:val="DefaultParagraphFont"/>
    <w:link w:val="Heading2"/>
    <w:rsid w:val="00121911"/>
    <w:rPr>
      <w:rFonts w:ascii="Cambria" w:hAnsi="Cambria"/>
      <w:b/>
      <w:bCs/>
      <w:i/>
      <w:iCs/>
      <w:sz w:val="28"/>
      <w:szCs w:val="28"/>
    </w:rPr>
  </w:style>
  <w:style w:type="paragraph" w:customStyle="1" w:styleId="Paragraph">
    <w:name w:val="Paragraph"/>
    <w:basedOn w:val="BodyText"/>
    <w:rsid w:val="00121911"/>
    <w:pPr>
      <w:suppressAutoHyphens/>
      <w:spacing w:before="120" w:after="0"/>
      <w:jc w:val="both"/>
    </w:pPr>
    <w:rPr>
      <w:kern w:val="16"/>
      <w:szCs w:val="20"/>
    </w:rPr>
  </w:style>
  <w:style w:type="paragraph" w:styleId="ListParagraph">
    <w:name w:val="List Paragraph"/>
    <w:basedOn w:val="Normal"/>
    <w:uiPriority w:val="99"/>
    <w:qFormat/>
    <w:rsid w:val="00C84204"/>
    <w:pPr>
      <w:ind w:left="720"/>
      <w:contextualSpacing/>
    </w:pPr>
  </w:style>
  <w:style w:type="paragraph" w:styleId="Revision">
    <w:name w:val="Revision"/>
    <w:hidden/>
    <w:uiPriority w:val="99"/>
    <w:semiHidden/>
    <w:rsid w:val="00511C37"/>
    <w:rPr>
      <w:sz w:val="24"/>
      <w:szCs w:val="24"/>
    </w:rPr>
  </w:style>
  <w:style w:type="paragraph" w:styleId="CommentText">
    <w:name w:val="annotation text"/>
    <w:basedOn w:val="Normal"/>
    <w:link w:val="CommentTextChar"/>
    <w:uiPriority w:val="99"/>
    <w:semiHidden/>
    <w:rsid w:val="00E00933"/>
    <w:rPr>
      <w:sz w:val="20"/>
      <w:szCs w:val="20"/>
    </w:rPr>
  </w:style>
  <w:style w:type="character" w:customStyle="1" w:styleId="CommentTextChar">
    <w:name w:val="Comment Text Char"/>
    <w:basedOn w:val="DefaultParagraphFont"/>
    <w:link w:val="CommentText"/>
    <w:uiPriority w:val="99"/>
    <w:semiHidden/>
    <w:rsid w:val="00E00933"/>
    <w:rPr>
      <w:sz w:val="20"/>
      <w:szCs w:val="20"/>
    </w:rPr>
  </w:style>
  <w:style w:type="character" w:styleId="Hyperlink">
    <w:name w:val="Hyperlink"/>
    <w:basedOn w:val="DefaultParagraphFont"/>
    <w:rsid w:val="007E01B0"/>
    <w:rPr>
      <w:color w:val="0000FF"/>
      <w:u w:val="single"/>
    </w:rPr>
  </w:style>
  <w:style w:type="character" w:styleId="FollowedHyperlink">
    <w:name w:val="FollowedHyperlink"/>
    <w:basedOn w:val="DefaultParagraphFont"/>
    <w:uiPriority w:val="99"/>
    <w:semiHidden/>
    <w:unhideWhenUsed/>
    <w:rsid w:val="00E730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0153">
      <w:bodyDiv w:val="1"/>
      <w:marLeft w:val="0"/>
      <w:marRight w:val="0"/>
      <w:marTop w:val="0"/>
      <w:marBottom w:val="0"/>
      <w:divBdr>
        <w:top w:val="none" w:sz="0" w:space="0" w:color="auto"/>
        <w:left w:val="none" w:sz="0" w:space="0" w:color="auto"/>
        <w:bottom w:val="none" w:sz="0" w:space="0" w:color="auto"/>
        <w:right w:val="none" w:sz="0" w:space="0" w:color="auto"/>
      </w:divBdr>
    </w:div>
    <w:div w:id="667758380">
      <w:bodyDiv w:val="1"/>
      <w:marLeft w:val="0"/>
      <w:marRight w:val="0"/>
      <w:marTop w:val="0"/>
      <w:marBottom w:val="0"/>
      <w:divBdr>
        <w:top w:val="none" w:sz="0" w:space="0" w:color="auto"/>
        <w:left w:val="none" w:sz="0" w:space="0" w:color="auto"/>
        <w:bottom w:val="none" w:sz="0" w:space="0" w:color="auto"/>
        <w:right w:val="none" w:sz="0" w:space="0" w:color="auto"/>
      </w:divBdr>
    </w:div>
    <w:div w:id="780999059">
      <w:marLeft w:val="0"/>
      <w:marRight w:val="0"/>
      <w:marTop w:val="0"/>
      <w:marBottom w:val="0"/>
      <w:divBdr>
        <w:top w:val="none" w:sz="0" w:space="0" w:color="auto"/>
        <w:left w:val="none" w:sz="0" w:space="0" w:color="auto"/>
        <w:bottom w:val="none" w:sz="0" w:space="0" w:color="auto"/>
        <w:right w:val="none" w:sz="0" w:space="0" w:color="auto"/>
      </w:divBdr>
    </w:div>
    <w:div w:id="780999060">
      <w:marLeft w:val="0"/>
      <w:marRight w:val="0"/>
      <w:marTop w:val="0"/>
      <w:marBottom w:val="0"/>
      <w:divBdr>
        <w:top w:val="none" w:sz="0" w:space="0" w:color="auto"/>
        <w:left w:val="none" w:sz="0" w:space="0" w:color="auto"/>
        <w:bottom w:val="none" w:sz="0" w:space="0" w:color="auto"/>
        <w:right w:val="none" w:sz="0" w:space="0" w:color="auto"/>
      </w:divBdr>
    </w:div>
    <w:div w:id="780999061">
      <w:marLeft w:val="0"/>
      <w:marRight w:val="0"/>
      <w:marTop w:val="0"/>
      <w:marBottom w:val="0"/>
      <w:divBdr>
        <w:top w:val="none" w:sz="0" w:space="0" w:color="auto"/>
        <w:left w:val="none" w:sz="0" w:space="0" w:color="auto"/>
        <w:bottom w:val="none" w:sz="0" w:space="0" w:color="auto"/>
        <w:right w:val="none" w:sz="0" w:space="0" w:color="auto"/>
      </w:divBdr>
    </w:div>
    <w:div w:id="780999062">
      <w:marLeft w:val="0"/>
      <w:marRight w:val="0"/>
      <w:marTop w:val="0"/>
      <w:marBottom w:val="0"/>
      <w:divBdr>
        <w:top w:val="none" w:sz="0" w:space="0" w:color="auto"/>
        <w:left w:val="none" w:sz="0" w:space="0" w:color="auto"/>
        <w:bottom w:val="none" w:sz="0" w:space="0" w:color="auto"/>
        <w:right w:val="none" w:sz="0" w:space="0" w:color="auto"/>
      </w:divBdr>
    </w:div>
    <w:div w:id="780999063">
      <w:marLeft w:val="0"/>
      <w:marRight w:val="0"/>
      <w:marTop w:val="0"/>
      <w:marBottom w:val="0"/>
      <w:divBdr>
        <w:top w:val="none" w:sz="0" w:space="0" w:color="auto"/>
        <w:left w:val="none" w:sz="0" w:space="0" w:color="auto"/>
        <w:bottom w:val="none" w:sz="0" w:space="0" w:color="auto"/>
        <w:right w:val="none" w:sz="0" w:space="0" w:color="auto"/>
      </w:divBdr>
    </w:div>
    <w:div w:id="780999064">
      <w:marLeft w:val="0"/>
      <w:marRight w:val="0"/>
      <w:marTop w:val="0"/>
      <w:marBottom w:val="0"/>
      <w:divBdr>
        <w:top w:val="none" w:sz="0" w:space="0" w:color="auto"/>
        <w:left w:val="none" w:sz="0" w:space="0" w:color="auto"/>
        <w:bottom w:val="none" w:sz="0" w:space="0" w:color="auto"/>
        <w:right w:val="none" w:sz="0" w:space="0" w:color="auto"/>
      </w:divBdr>
    </w:div>
    <w:div w:id="780999065">
      <w:marLeft w:val="0"/>
      <w:marRight w:val="0"/>
      <w:marTop w:val="0"/>
      <w:marBottom w:val="0"/>
      <w:divBdr>
        <w:top w:val="none" w:sz="0" w:space="0" w:color="auto"/>
        <w:left w:val="none" w:sz="0" w:space="0" w:color="auto"/>
        <w:bottom w:val="none" w:sz="0" w:space="0" w:color="auto"/>
        <w:right w:val="none" w:sz="0" w:space="0" w:color="auto"/>
      </w:divBdr>
    </w:div>
    <w:div w:id="780999066">
      <w:marLeft w:val="0"/>
      <w:marRight w:val="0"/>
      <w:marTop w:val="0"/>
      <w:marBottom w:val="0"/>
      <w:divBdr>
        <w:top w:val="none" w:sz="0" w:space="0" w:color="auto"/>
        <w:left w:val="none" w:sz="0" w:space="0" w:color="auto"/>
        <w:bottom w:val="none" w:sz="0" w:space="0" w:color="auto"/>
        <w:right w:val="none" w:sz="0" w:space="0" w:color="auto"/>
      </w:divBdr>
    </w:div>
    <w:div w:id="780999067">
      <w:marLeft w:val="0"/>
      <w:marRight w:val="0"/>
      <w:marTop w:val="0"/>
      <w:marBottom w:val="0"/>
      <w:divBdr>
        <w:top w:val="none" w:sz="0" w:space="0" w:color="auto"/>
        <w:left w:val="none" w:sz="0" w:space="0" w:color="auto"/>
        <w:bottom w:val="none" w:sz="0" w:space="0" w:color="auto"/>
        <w:right w:val="none" w:sz="0" w:space="0" w:color="auto"/>
      </w:divBdr>
    </w:div>
    <w:div w:id="780999068">
      <w:marLeft w:val="0"/>
      <w:marRight w:val="0"/>
      <w:marTop w:val="0"/>
      <w:marBottom w:val="0"/>
      <w:divBdr>
        <w:top w:val="none" w:sz="0" w:space="0" w:color="auto"/>
        <w:left w:val="none" w:sz="0" w:space="0" w:color="auto"/>
        <w:bottom w:val="none" w:sz="0" w:space="0" w:color="auto"/>
        <w:right w:val="none" w:sz="0" w:space="0" w:color="auto"/>
      </w:divBdr>
    </w:div>
    <w:div w:id="780999069">
      <w:marLeft w:val="0"/>
      <w:marRight w:val="0"/>
      <w:marTop w:val="0"/>
      <w:marBottom w:val="0"/>
      <w:divBdr>
        <w:top w:val="none" w:sz="0" w:space="0" w:color="auto"/>
        <w:left w:val="none" w:sz="0" w:space="0" w:color="auto"/>
        <w:bottom w:val="none" w:sz="0" w:space="0" w:color="auto"/>
        <w:right w:val="none" w:sz="0" w:space="0" w:color="auto"/>
      </w:divBdr>
    </w:div>
    <w:div w:id="780999070">
      <w:marLeft w:val="0"/>
      <w:marRight w:val="0"/>
      <w:marTop w:val="0"/>
      <w:marBottom w:val="0"/>
      <w:divBdr>
        <w:top w:val="none" w:sz="0" w:space="0" w:color="auto"/>
        <w:left w:val="none" w:sz="0" w:space="0" w:color="auto"/>
        <w:bottom w:val="none" w:sz="0" w:space="0" w:color="auto"/>
        <w:right w:val="none" w:sz="0" w:space="0" w:color="auto"/>
      </w:divBdr>
    </w:div>
    <w:div w:id="780999071">
      <w:marLeft w:val="0"/>
      <w:marRight w:val="0"/>
      <w:marTop w:val="0"/>
      <w:marBottom w:val="0"/>
      <w:divBdr>
        <w:top w:val="none" w:sz="0" w:space="0" w:color="auto"/>
        <w:left w:val="none" w:sz="0" w:space="0" w:color="auto"/>
        <w:bottom w:val="none" w:sz="0" w:space="0" w:color="auto"/>
        <w:right w:val="none" w:sz="0" w:space="0" w:color="auto"/>
      </w:divBdr>
    </w:div>
    <w:div w:id="780999072">
      <w:marLeft w:val="0"/>
      <w:marRight w:val="0"/>
      <w:marTop w:val="0"/>
      <w:marBottom w:val="0"/>
      <w:divBdr>
        <w:top w:val="none" w:sz="0" w:space="0" w:color="auto"/>
        <w:left w:val="none" w:sz="0" w:space="0" w:color="auto"/>
        <w:bottom w:val="none" w:sz="0" w:space="0" w:color="auto"/>
        <w:right w:val="none" w:sz="0" w:space="0" w:color="auto"/>
      </w:divBdr>
    </w:div>
    <w:div w:id="780999073">
      <w:marLeft w:val="0"/>
      <w:marRight w:val="0"/>
      <w:marTop w:val="0"/>
      <w:marBottom w:val="0"/>
      <w:divBdr>
        <w:top w:val="none" w:sz="0" w:space="0" w:color="auto"/>
        <w:left w:val="none" w:sz="0" w:space="0" w:color="auto"/>
        <w:bottom w:val="none" w:sz="0" w:space="0" w:color="auto"/>
        <w:right w:val="none" w:sz="0" w:space="0" w:color="auto"/>
      </w:divBdr>
    </w:div>
    <w:div w:id="780999074">
      <w:marLeft w:val="0"/>
      <w:marRight w:val="0"/>
      <w:marTop w:val="0"/>
      <w:marBottom w:val="0"/>
      <w:divBdr>
        <w:top w:val="none" w:sz="0" w:space="0" w:color="auto"/>
        <w:left w:val="none" w:sz="0" w:space="0" w:color="auto"/>
        <w:bottom w:val="none" w:sz="0" w:space="0" w:color="auto"/>
        <w:right w:val="none" w:sz="0" w:space="0" w:color="auto"/>
      </w:divBdr>
    </w:div>
    <w:div w:id="780999075">
      <w:marLeft w:val="0"/>
      <w:marRight w:val="0"/>
      <w:marTop w:val="0"/>
      <w:marBottom w:val="0"/>
      <w:divBdr>
        <w:top w:val="none" w:sz="0" w:space="0" w:color="auto"/>
        <w:left w:val="none" w:sz="0" w:space="0" w:color="auto"/>
        <w:bottom w:val="none" w:sz="0" w:space="0" w:color="auto"/>
        <w:right w:val="none" w:sz="0" w:space="0" w:color="auto"/>
      </w:divBdr>
    </w:div>
    <w:div w:id="780999076">
      <w:marLeft w:val="0"/>
      <w:marRight w:val="0"/>
      <w:marTop w:val="0"/>
      <w:marBottom w:val="0"/>
      <w:divBdr>
        <w:top w:val="none" w:sz="0" w:space="0" w:color="auto"/>
        <w:left w:val="none" w:sz="0" w:space="0" w:color="auto"/>
        <w:bottom w:val="none" w:sz="0" w:space="0" w:color="auto"/>
        <w:right w:val="none" w:sz="0" w:space="0" w:color="auto"/>
      </w:divBdr>
    </w:div>
    <w:div w:id="780999077">
      <w:marLeft w:val="0"/>
      <w:marRight w:val="0"/>
      <w:marTop w:val="0"/>
      <w:marBottom w:val="0"/>
      <w:divBdr>
        <w:top w:val="none" w:sz="0" w:space="0" w:color="auto"/>
        <w:left w:val="none" w:sz="0" w:space="0" w:color="auto"/>
        <w:bottom w:val="none" w:sz="0" w:space="0" w:color="auto"/>
        <w:right w:val="none" w:sz="0" w:space="0" w:color="auto"/>
      </w:divBdr>
    </w:div>
    <w:div w:id="780999078">
      <w:marLeft w:val="0"/>
      <w:marRight w:val="0"/>
      <w:marTop w:val="0"/>
      <w:marBottom w:val="0"/>
      <w:divBdr>
        <w:top w:val="none" w:sz="0" w:space="0" w:color="auto"/>
        <w:left w:val="none" w:sz="0" w:space="0" w:color="auto"/>
        <w:bottom w:val="none" w:sz="0" w:space="0" w:color="auto"/>
        <w:right w:val="none" w:sz="0" w:space="0" w:color="auto"/>
      </w:divBdr>
    </w:div>
    <w:div w:id="780999079">
      <w:marLeft w:val="0"/>
      <w:marRight w:val="0"/>
      <w:marTop w:val="0"/>
      <w:marBottom w:val="0"/>
      <w:divBdr>
        <w:top w:val="none" w:sz="0" w:space="0" w:color="auto"/>
        <w:left w:val="none" w:sz="0" w:space="0" w:color="auto"/>
        <w:bottom w:val="none" w:sz="0" w:space="0" w:color="auto"/>
        <w:right w:val="none" w:sz="0" w:space="0" w:color="auto"/>
      </w:divBdr>
    </w:div>
    <w:div w:id="780999080">
      <w:marLeft w:val="0"/>
      <w:marRight w:val="0"/>
      <w:marTop w:val="0"/>
      <w:marBottom w:val="0"/>
      <w:divBdr>
        <w:top w:val="none" w:sz="0" w:space="0" w:color="auto"/>
        <w:left w:val="none" w:sz="0" w:space="0" w:color="auto"/>
        <w:bottom w:val="none" w:sz="0" w:space="0" w:color="auto"/>
        <w:right w:val="none" w:sz="0" w:space="0" w:color="auto"/>
      </w:divBdr>
    </w:div>
    <w:div w:id="780999081">
      <w:marLeft w:val="0"/>
      <w:marRight w:val="0"/>
      <w:marTop w:val="0"/>
      <w:marBottom w:val="0"/>
      <w:divBdr>
        <w:top w:val="none" w:sz="0" w:space="0" w:color="auto"/>
        <w:left w:val="none" w:sz="0" w:space="0" w:color="auto"/>
        <w:bottom w:val="none" w:sz="0" w:space="0" w:color="auto"/>
        <w:right w:val="none" w:sz="0" w:space="0" w:color="auto"/>
      </w:divBdr>
    </w:div>
    <w:div w:id="780999082">
      <w:marLeft w:val="0"/>
      <w:marRight w:val="0"/>
      <w:marTop w:val="0"/>
      <w:marBottom w:val="0"/>
      <w:divBdr>
        <w:top w:val="none" w:sz="0" w:space="0" w:color="auto"/>
        <w:left w:val="none" w:sz="0" w:space="0" w:color="auto"/>
        <w:bottom w:val="none" w:sz="0" w:space="0" w:color="auto"/>
        <w:right w:val="none" w:sz="0" w:space="0" w:color="auto"/>
      </w:divBdr>
    </w:div>
    <w:div w:id="780999083">
      <w:marLeft w:val="0"/>
      <w:marRight w:val="0"/>
      <w:marTop w:val="0"/>
      <w:marBottom w:val="0"/>
      <w:divBdr>
        <w:top w:val="none" w:sz="0" w:space="0" w:color="auto"/>
        <w:left w:val="none" w:sz="0" w:space="0" w:color="auto"/>
        <w:bottom w:val="none" w:sz="0" w:space="0" w:color="auto"/>
        <w:right w:val="none" w:sz="0" w:space="0" w:color="auto"/>
      </w:divBdr>
    </w:div>
    <w:div w:id="780999084">
      <w:marLeft w:val="0"/>
      <w:marRight w:val="0"/>
      <w:marTop w:val="0"/>
      <w:marBottom w:val="0"/>
      <w:divBdr>
        <w:top w:val="none" w:sz="0" w:space="0" w:color="auto"/>
        <w:left w:val="none" w:sz="0" w:space="0" w:color="auto"/>
        <w:bottom w:val="none" w:sz="0" w:space="0" w:color="auto"/>
        <w:right w:val="none" w:sz="0" w:space="0" w:color="auto"/>
      </w:divBdr>
    </w:div>
    <w:div w:id="1441217663">
      <w:bodyDiv w:val="1"/>
      <w:marLeft w:val="0"/>
      <w:marRight w:val="0"/>
      <w:marTop w:val="0"/>
      <w:marBottom w:val="0"/>
      <w:divBdr>
        <w:top w:val="none" w:sz="0" w:space="0" w:color="auto"/>
        <w:left w:val="none" w:sz="0" w:space="0" w:color="auto"/>
        <w:bottom w:val="none" w:sz="0" w:space="0" w:color="auto"/>
        <w:right w:val="none" w:sz="0" w:space="0" w:color="auto"/>
      </w:divBdr>
    </w:div>
    <w:div w:id="1600337131">
      <w:bodyDiv w:val="1"/>
      <w:marLeft w:val="0"/>
      <w:marRight w:val="0"/>
      <w:marTop w:val="0"/>
      <w:marBottom w:val="0"/>
      <w:divBdr>
        <w:top w:val="none" w:sz="0" w:space="0" w:color="auto"/>
        <w:left w:val="none" w:sz="0" w:space="0" w:color="auto"/>
        <w:bottom w:val="none" w:sz="0" w:space="0" w:color="auto"/>
        <w:right w:val="none" w:sz="0" w:space="0" w:color="auto"/>
      </w:divBdr>
    </w:div>
    <w:div w:id="1683166733">
      <w:bodyDiv w:val="1"/>
      <w:marLeft w:val="0"/>
      <w:marRight w:val="0"/>
      <w:marTop w:val="0"/>
      <w:marBottom w:val="0"/>
      <w:divBdr>
        <w:top w:val="none" w:sz="0" w:space="0" w:color="auto"/>
        <w:left w:val="none" w:sz="0" w:space="0" w:color="auto"/>
        <w:bottom w:val="none" w:sz="0" w:space="0" w:color="auto"/>
        <w:right w:val="none" w:sz="0" w:space="0" w:color="auto"/>
      </w:divBdr>
    </w:div>
    <w:div w:id="2031449192">
      <w:bodyDiv w:val="1"/>
      <w:marLeft w:val="0"/>
      <w:marRight w:val="0"/>
      <w:marTop w:val="0"/>
      <w:marBottom w:val="0"/>
      <w:divBdr>
        <w:top w:val="none" w:sz="0" w:space="0" w:color="auto"/>
        <w:left w:val="none" w:sz="0" w:space="0" w:color="auto"/>
        <w:bottom w:val="none" w:sz="0" w:space="0" w:color="auto"/>
        <w:right w:val="none" w:sz="0" w:space="0" w:color="auto"/>
      </w:divBdr>
    </w:div>
    <w:div w:id="20906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aiso.com/2812/281211a4d4cf70.pdf" TargetMode="External"/><Relationship Id="rId1" Type="http://schemas.openxmlformats.org/officeDocument/2006/relationships/hyperlink" Target="http://www.caiso.com/2821/2821927940df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5409;#Stakeholder comments on updating ICPM, exceptional dispatch pricing and bid mitigation draft tariff language|91b9b5fb-8929-4d9c-b6b6-315d221e8f09;#3;#Archived|0019c6e1-8c5e-460c-a653-a944372c5015;#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1607A-ACB9-4084-90AB-F6110A8046AA}"/>
</file>

<file path=customXml/itemProps2.xml><?xml version="1.0" encoding="utf-8"?>
<ds:datastoreItem xmlns:ds="http://schemas.openxmlformats.org/officeDocument/2006/customXml" ds:itemID="{1EE50B3D-5B56-4FAF-AB55-40E22D4669D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44F7DFB0-F1DC-450A-8B78-49B4525AD553}"/>
</file>

<file path=customXml/itemProps4.xml><?xml version="1.0" encoding="utf-8"?>
<ds:datastoreItem xmlns:ds="http://schemas.openxmlformats.org/officeDocument/2006/customXml" ds:itemID="{8C485ED7-E68D-4021-9755-4281868B3FCC}">
  <ds:schemaRefs>
    <ds:schemaRef ds:uri="http://schemas.openxmlformats.org/officeDocument/2006/bibliography"/>
  </ds:schemaRefs>
</ds:datastoreItem>
</file>

<file path=customXml/itemProps5.xml><?xml version="1.0" encoding="utf-8"?>
<ds:datastoreItem xmlns:ds="http://schemas.openxmlformats.org/officeDocument/2006/customXml" ds:itemID="{606DF601-FB68-44B0-9F6D-D01DAB8945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22195</CharactersWithSpaces>
  <SharedDoc>false</SharedDoc>
  <HLinks>
    <vt:vector size="12" baseType="variant">
      <vt:variant>
        <vt:i4>1507343</vt:i4>
      </vt:variant>
      <vt:variant>
        <vt:i4>3</vt:i4>
      </vt:variant>
      <vt:variant>
        <vt:i4>0</vt:i4>
      </vt:variant>
      <vt:variant>
        <vt:i4>5</vt:i4>
      </vt:variant>
      <vt:variant>
        <vt:lpwstr>http://www.caiso.com/2812/281211a4d4cf70.pdf</vt:lpwstr>
      </vt:variant>
      <vt:variant>
        <vt:lpwstr/>
      </vt:variant>
      <vt:variant>
        <vt:i4>7405627</vt:i4>
      </vt:variant>
      <vt:variant>
        <vt:i4>0</vt:i4>
      </vt:variant>
      <vt:variant>
        <vt:i4>0</vt:i4>
      </vt:variant>
      <vt:variant>
        <vt:i4>5</vt:i4>
      </vt:variant>
      <vt:variant>
        <vt:lpwstr>http://www.caiso.com/2821/2821927940df0.pdf</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of Stakeholder Comments on the Capacity Procurement Mechanism Draft Tariff Language 2010-Nov-02</dc:title>
  <dc:subject/>
  <dc:creator>Quadro</dc:creator>
  <cp:keywords/>
  <cp:lastModifiedBy>Morgan, Amanda</cp:lastModifiedBy>
  <cp:revision>2</cp:revision>
  <dcterms:created xsi:type="dcterms:W3CDTF">2025-06-12T20:11:00Z</dcterms:created>
  <dcterms:modified xsi:type="dcterms:W3CDTF">2025-06-12T20:11:00Z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gFAAsdpvfP9KDXIvdprHQNZlVB5y0Te9gPbA7ZFrcV+g948UnsTAWxPl22RS7gDl0F0PNiULIOXn0y8C
r7GU8YkaF+EQeOVeOIIoEYdRE5ubyWaBDwruVi0UaN9AWRCYfuiwDSuBFuu7FcbblC5xeRX4wED0
LOGBFNI+rCftOkcekeeehOFlW/iZ1zrsZTKnrzObxAGoAIrtjOSssv4gdC8SrCNyu5T9Gkv13GxW
mWGtAzahI/8pf9GVm</vt:lpwstr>
  </property>
  <property fmtid="{D5CDD505-2E9C-101B-9397-08002B2CF9AE}" pid="3" name="RESPONSE_SENDER_NAME">
    <vt:lpwstr>sAAA2RgG6J6jCJ1uVi7Rvw0go1gjjVvA5dchzSU+kZynlQw=</vt:lpwstr>
  </property>
  <property fmtid="{D5CDD505-2E9C-101B-9397-08002B2CF9AE}" pid="4" name="EMAIL_OWNER_ADDRESS">
    <vt:lpwstr>sAAAUYtyAkeNWR5BWXLasyxlDA6YrVkKL/RKw1M/96v5T2A=</vt:lpwstr>
  </property>
  <property fmtid="{D5CDD505-2E9C-101B-9397-08002B2CF9AE}" pid="5" name="MAIL_MSG_ID2">
    <vt:lpwstr>GQRgelKLdubkNU5MPJlFWfTNbc1AnXCYi704JLKmwnFf1wIHFfYUetNns/2
AF8MnB/TPXVC0GNeEhtjU+H2cab4MG8UssatcQ==</vt:lpwstr>
  </property>
  <property fmtid="{D5CDD505-2E9C-101B-9397-08002B2CF9AE}" pid="6" name="RevDate">
    <vt:lpwstr>2010-11-02T15:40:31Z</vt:lpwstr>
  </property>
  <property fmtid="{D5CDD505-2E9C-101B-9397-08002B2CF9AE}" pid="7" name="ISOKeywords">
    <vt:lpwstr/>
  </property>
  <property fmtid="{D5CDD505-2E9C-101B-9397-08002B2CF9AE}" pid="8" name="ISOGroup">
    <vt:lpwstr>5409;#Stakeholder comments on updating ICPM, exceptional dispatch pricing and bid mitigation draft tariff language|91b9b5fb-8929-4d9c-b6b6-315d221e8f09</vt:lpwstr>
  </property>
  <property fmtid="{D5CDD505-2E9C-101B-9397-08002B2CF9AE}" pid="9" name="ISOTopic">
    <vt:lpwstr>7;#Stakeholder processes|71659ab1-dac7-419e-9529-abc47c232b66</vt:lpwstr>
  </property>
  <property fmtid="{D5CDD505-2E9C-101B-9397-08002B2CF9AE}" pid="10" name="Order">
    <vt:lpwstr>25431800.0000000</vt:lpwstr>
  </property>
  <property fmtid="{D5CDD505-2E9C-101B-9397-08002B2CF9AE}" pid="11" name="ISOArchive">
    <vt:lpwstr>3;#Archived|0019c6e1-8c5e-460c-a653-a944372c5015</vt:lpwstr>
  </property>
  <property fmtid="{D5CDD505-2E9C-101B-9397-08002B2CF9AE}" pid="12" name="OriginalUriCopy">
    <vt:lpwstr>http://www.caiso.com/2842/2842dc6f6d7f0.doc, http://www.caiso.com/2842/2842dc6f6d7f0.doc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http://www.caiso.com/2842/2842dc6f6d7f0.doc, /2842/2842dc6f6d7f0.doc</vt:lpwstr>
  </property>
  <property fmtid="{D5CDD505-2E9C-101B-9397-08002B2CF9AE}" pid="16" name="ContentTypeId">
    <vt:lpwstr>0x010100776092249CC62C48AA17033F357BFB4B</vt:lpwstr>
  </property>
</Properties>
</file>