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35" w:rsidRPr="00871B7B" w:rsidRDefault="00823A35" w:rsidP="00823A35">
      <w:pPr>
        <w:spacing w:after="0" w:line="240" w:lineRule="auto"/>
        <w:jc w:val="center"/>
        <w:rPr>
          <w:rFonts w:ascii="Arial" w:hAnsi="Arial" w:cs="Arial"/>
          <w:b/>
          <w:color w:val="000000"/>
          <w:sz w:val="24"/>
          <w:szCs w:val="24"/>
        </w:rPr>
      </w:pPr>
      <w:bookmarkStart w:id="0" w:name="_GoBack"/>
      <w:bookmarkEnd w:id="0"/>
      <w:r w:rsidRPr="00871B7B">
        <w:rPr>
          <w:rFonts w:ascii="Arial" w:hAnsi="Arial" w:cs="Arial"/>
          <w:b/>
          <w:color w:val="000000"/>
          <w:sz w:val="24"/>
          <w:szCs w:val="24"/>
        </w:rPr>
        <w:t>Multi-Stage Generator (MSG) Configuration Group Registration</w:t>
      </w:r>
    </w:p>
    <w:p w:rsidR="00823A35" w:rsidRPr="00871B7B" w:rsidRDefault="00823A35" w:rsidP="00823A35">
      <w:pPr>
        <w:spacing w:after="0" w:line="240" w:lineRule="auto"/>
        <w:jc w:val="center"/>
        <w:rPr>
          <w:rFonts w:ascii="Arial" w:hAnsi="Arial" w:cs="Arial"/>
          <w:b/>
          <w:color w:val="000000"/>
          <w:sz w:val="24"/>
          <w:szCs w:val="24"/>
        </w:rPr>
      </w:pPr>
      <w:r w:rsidRPr="00871B7B">
        <w:rPr>
          <w:rFonts w:ascii="Arial" w:hAnsi="Arial" w:cs="Arial"/>
          <w:b/>
          <w:color w:val="000000"/>
          <w:sz w:val="24"/>
          <w:szCs w:val="24"/>
        </w:rPr>
        <w:t>PROCEDURE AND FORM</w:t>
      </w:r>
    </w:p>
    <w:p w:rsidR="00823A35" w:rsidRDefault="00823A35"/>
    <w:p w:rsidR="00823A35" w:rsidRPr="00871B7B" w:rsidRDefault="00823A35" w:rsidP="00823A35">
      <w:pPr>
        <w:spacing w:after="0" w:line="240" w:lineRule="auto"/>
        <w:rPr>
          <w:rFonts w:ascii="Arial" w:hAnsi="Arial" w:cs="Arial"/>
          <w:b/>
          <w:color w:val="000000"/>
          <w:sz w:val="24"/>
          <w:szCs w:val="24"/>
        </w:rPr>
      </w:pPr>
      <w:r w:rsidRPr="00871B7B">
        <w:rPr>
          <w:rFonts w:ascii="Arial" w:hAnsi="Arial" w:cs="Arial"/>
          <w:b/>
          <w:color w:val="000000"/>
          <w:sz w:val="24"/>
          <w:szCs w:val="24"/>
        </w:rPr>
        <w:t>BACKGROUND</w:t>
      </w:r>
    </w:p>
    <w:p w:rsidR="00823A35" w:rsidRPr="00871B7B" w:rsidRDefault="00823A35" w:rsidP="00823A35">
      <w:pPr>
        <w:spacing w:after="0" w:line="240" w:lineRule="auto"/>
        <w:jc w:val="both"/>
        <w:rPr>
          <w:rFonts w:ascii="Arial" w:hAnsi="Arial" w:cs="Arial"/>
          <w:b/>
          <w:color w:val="000000"/>
          <w:sz w:val="20"/>
          <w:szCs w:val="20"/>
        </w:rPr>
      </w:pPr>
    </w:p>
    <w:p w:rsidR="00823A35" w:rsidRDefault="00823A35" w:rsidP="00823A35">
      <w:pPr>
        <w:pStyle w:val="BPM2"/>
        <w:numPr>
          <w:ilvl w:val="0"/>
          <w:numId w:val="0"/>
        </w:numPr>
        <w:spacing w:line="276" w:lineRule="auto"/>
      </w:pPr>
      <w:r>
        <w:t>M</w:t>
      </w:r>
      <w:r w:rsidRPr="00871B7B">
        <w:t xml:space="preserve">inimum </w:t>
      </w:r>
      <w:r>
        <w:t>U</w:t>
      </w:r>
      <w:r w:rsidRPr="00871B7B">
        <w:t xml:space="preserve">p </w:t>
      </w:r>
      <w:r>
        <w:t>T</w:t>
      </w:r>
      <w:r w:rsidRPr="00871B7B">
        <w:t xml:space="preserve">ime </w:t>
      </w:r>
      <w:r>
        <w:t>(MUT) and Minimum Down T</w:t>
      </w:r>
      <w:r w:rsidRPr="00871B7B">
        <w:t>ime (MDT</w:t>
      </w:r>
      <w:r>
        <w:t xml:space="preserve">) constraints are enforced at the MSG Resource (plant) level and at individual MSG Configuration levels.  MUT and MDT may also be specified for a group of MSG Configurations. </w:t>
      </w:r>
    </w:p>
    <w:p w:rsidR="00823A35" w:rsidRDefault="00823A35" w:rsidP="00823A35">
      <w:pPr>
        <w:pStyle w:val="BPM2"/>
        <w:numPr>
          <w:ilvl w:val="0"/>
          <w:numId w:val="2"/>
        </w:numPr>
        <w:spacing w:line="276" w:lineRule="auto"/>
      </w:pPr>
      <w:r>
        <w:t xml:space="preserve">Plant level: MUT includes the Transition Times of all the MSG Configurations being switched.  </w:t>
      </w:r>
    </w:p>
    <w:p w:rsidR="00823A35" w:rsidRDefault="00823A35" w:rsidP="00823A35">
      <w:pPr>
        <w:pStyle w:val="BPM2"/>
        <w:numPr>
          <w:ilvl w:val="0"/>
          <w:numId w:val="2"/>
        </w:numPr>
        <w:spacing w:line="276" w:lineRule="auto"/>
      </w:pPr>
      <w:r>
        <w:t xml:space="preserve">Grouped configurations level: </w:t>
      </w:r>
    </w:p>
    <w:p w:rsidR="00823A35" w:rsidRDefault="00823A35" w:rsidP="00823A35">
      <w:pPr>
        <w:pStyle w:val="BPM2"/>
        <w:numPr>
          <w:ilvl w:val="1"/>
          <w:numId w:val="2"/>
        </w:numPr>
        <w:spacing w:line="276" w:lineRule="auto"/>
      </w:pPr>
      <w:r>
        <w:t>MUT represents the total time that the MSG R</w:t>
      </w:r>
      <w:r w:rsidRPr="00443782">
        <w:t>esource</w:t>
      </w:r>
      <w:r>
        <w:t xml:space="preserve"> must stay within the group.  For example, suppose a MSG R</w:t>
      </w:r>
      <w:r w:rsidRPr="00443782">
        <w:t>esource</w:t>
      </w:r>
      <w:r>
        <w:t xml:space="preserve"> has 6 configurations, with configurations 5 and 6 part of a group with a MUT of 6 hours.  Once dispatched into either configurations 5 or 6, the resource may transit freely between configuration 5 and 6, but cannot move to a different configuration until the 6-hour MUT has passed. Transition time between MSG configurations within the group is considered as “ON” Time of the group.</w:t>
      </w:r>
    </w:p>
    <w:p w:rsidR="00823A35" w:rsidRDefault="00823A35" w:rsidP="00823A35">
      <w:pPr>
        <w:pStyle w:val="BPM2"/>
        <w:numPr>
          <w:ilvl w:val="1"/>
          <w:numId w:val="2"/>
        </w:numPr>
        <w:spacing w:line="276" w:lineRule="auto"/>
      </w:pPr>
      <w:r>
        <w:t>MDT represents the total time that the MSG R</w:t>
      </w:r>
      <w:r w:rsidRPr="00443782">
        <w:t>esource</w:t>
      </w:r>
      <w:r>
        <w:t xml:space="preserve"> must stay outside of the group.  When considering the MDT of a group of configurations, the time that the MSG Resource is operating in a configuration outside the group or within transition outside of the group  is considered as the “OFF” time period for the group, in addition to the time that the resource is off line.</w:t>
      </w:r>
    </w:p>
    <w:p w:rsidR="00823A35" w:rsidRDefault="00823A35" w:rsidP="00823A35">
      <w:pPr>
        <w:pStyle w:val="BPM2"/>
        <w:numPr>
          <w:ilvl w:val="0"/>
          <w:numId w:val="2"/>
        </w:numPr>
        <w:spacing w:line="276" w:lineRule="auto"/>
      </w:pPr>
      <w:r>
        <w:t>Configuration level: When considering the MDT of a given MSG Configuration, the time that the MSG Resource is operating on a different configuration or transitioning is considered as the “OFF” time period for the given MSG Configuration, in addition to the time that the resource is off line.</w:t>
      </w:r>
    </w:p>
    <w:p w:rsidR="00823A35" w:rsidRDefault="00823A35"/>
    <w:p w:rsidR="00823A35" w:rsidRPr="00440039" w:rsidRDefault="00823A35" w:rsidP="00823A35">
      <w:pPr>
        <w:rPr>
          <w:rFonts w:ascii="Arial" w:hAnsi="Arial" w:cs="Arial"/>
          <w:b/>
        </w:rPr>
      </w:pPr>
      <w:r w:rsidRPr="00440039">
        <w:rPr>
          <w:rFonts w:ascii="Arial" w:hAnsi="Arial" w:cs="Arial"/>
          <w:b/>
        </w:rPr>
        <w:t>TO REGISTER</w:t>
      </w:r>
    </w:p>
    <w:p w:rsidR="00823A35" w:rsidRDefault="00823A35" w:rsidP="00823A35">
      <w:pPr>
        <w:pStyle w:val="BPM2"/>
        <w:numPr>
          <w:ilvl w:val="0"/>
          <w:numId w:val="0"/>
        </w:numPr>
        <w:spacing w:line="276" w:lineRule="auto"/>
      </w:pPr>
      <w:r>
        <w:t xml:space="preserve">Use the form on the following page to create an MSG configuration group and to add or update the MUT and </w:t>
      </w:r>
      <w:r w:rsidRPr="00871B7B">
        <w:t xml:space="preserve">MDT </w:t>
      </w:r>
      <w:r>
        <w:t xml:space="preserve">constraints </w:t>
      </w:r>
      <w:r w:rsidRPr="00871B7B">
        <w:t xml:space="preserve">for </w:t>
      </w:r>
      <w:r>
        <w:t xml:space="preserve">the configuration </w:t>
      </w:r>
      <w:r w:rsidRPr="00871B7B">
        <w:t>group</w:t>
      </w:r>
      <w:r>
        <w:t xml:space="preserve">.  Email the completed form to </w:t>
      </w:r>
      <w:hyperlink r:id="rId10" w:history="1">
        <w:r w:rsidRPr="005216D2">
          <w:t>RDT@caiso.com</w:t>
        </w:r>
      </w:hyperlink>
      <w:r>
        <w:t xml:space="preserve">.   </w:t>
      </w:r>
    </w:p>
    <w:p w:rsidR="00823A35" w:rsidRDefault="00823A35" w:rsidP="00823A35">
      <w:pPr>
        <w:pStyle w:val="BPM2"/>
        <w:numPr>
          <w:ilvl w:val="0"/>
          <w:numId w:val="0"/>
        </w:numPr>
        <w:spacing w:line="276" w:lineRule="auto"/>
      </w:pPr>
      <w:r>
        <w:t>Items of note:</w:t>
      </w:r>
    </w:p>
    <w:p w:rsidR="00823A35" w:rsidRDefault="00823A35" w:rsidP="00823A35">
      <w:pPr>
        <w:pStyle w:val="BPM2"/>
        <w:numPr>
          <w:ilvl w:val="0"/>
          <w:numId w:val="3"/>
        </w:numPr>
        <w:spacing w:line="276" w:lineRule="auto"/>
      </w:pPr>
      <w:r>
        <w:t>To update the MUT or MDT of the MSG resource or configuration, submit an updated Generator Resource Data Template (RDT) through the Master File User Interface.</w:t>
      </w:r>
    </w:p>
    <w:p w:rsidR="00823A35" w:rsidRDefault="00823A35" w:rsidP="00823A35">
      <w:pPr>
        <w:pStyle w:val="BPM2"/>
        <w:numPr>
          <w:ilvl w:val="0"/>
          <w:numId w:val="3"/>
        </w:numPr>
        <w:spacing w:line="276" w:lineRule="auto"/>
      </w:pPr>
      <w:r w:rsidRPr="00823A35">
        <w:t xml:space="preserve">The configuration grouping information is not viewable in the RDT.  To see the information once the group is created, send an email to </w:t>
      </w:r>
      <w:hyperlink r:id="rId11" w:history="1">
        <w:r w:rsidRPr="00823A35">
          <w:t>RDT@caiso.com</w:t>
        </w:r>
      </w:hyperlink>
      <w:r w:rsidRPr="00823A35">
        <w:t>.</w:t>
      </w:r>
    </w:p>
    <w:p w:rsidR="00823A35" w:rsidRDefault="00823A35" w:rsidP="00823A35">
      <w:pPr>
        <w:ind w:left="360"/>
        <w:rPr>
          <w:rFonts w:ascii="Arial" w:hAnsi="Arial" w:cs="Arial"/>
          <w:b/>
          <w:color w:val="FF0000"/>
        </w:rPr>
      </w:pPr>
    </w:p>
    <w:p w:rsidR="00823A35" w:rsidRDefault="00823A35" w:rsidP="00823A35">
      <w:pPr>
        <w:ind w:left="360"/>
        <w:rPr>
          <w:rFonts w:ascii="Arial" w:hAnsi="Arial" w:cs="Arial"/>
          <w:b/>
          <w:color w:val="FF0000"/>
        </w:rPr>
      </w:pPr>
    </w:p>
    <w:p w:rsidR="00823A35" w:rsidRPr="00823A35" w:rsidRDefault="00823A35" w:rsidP="00823A35">
      <w:pPr>
        <w:ind w:left="360"/>
        <w:rPr>
          <w:rFonts w:ascii="Arial" w:hAnsi="Arial" w:cs="Arial"/>
          <w:b/>
          <w:color w:val="FF0000"/>
        </w:rPr>
      </w:pPr>
      <w:r w:rsidRPr="00823A35">
        <w:rPr>
          <w:rFonts w:ascii="Arial" w:hAnsi="Arial" w:cs="Arial"/>
          <w:b/>
          <w:color w:val="FF0000"/>
        </w:rPr>
        <w:t>Please submit completed form to RDT@caiso.com.</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829"/>
      </w:tblGrid>
      <w:tr w:rsidR="00823A35" w:rsidRPr="000C1507" w:rsidTr="00F72268">
        <w:trPr>
          <w:jc w:val="center"/>
        </w:trPr>
        <w:tc>
          <w:tcPr>
            <w:tcW w:w="4509" w:type="dxa"/>
            <w:shd w:val="clear" w:color="auto" w:fill="DDD9C3"/>
          </w:tcPr>
          <w:p w:rsidR="00823A35" w:rsidRPr="000C1507" w:rsidRDefault="00823A35" w:rsidP="00F72268">
            <w:pPr>
              <w:rPr>
                <w:rFonts w:ascii="Arial" w:hAnsi="Arial" w:cs="Arial"/>
                <w:b/>
                <w:i/>
                <w:color w:val="0000FF"/>
              </w:rPr>
            </w:pPr>
            <w:r w:rsidRPr="000C1507">
              <w:rPr>
                <w:rFonts w:ascii="Arial" w:hAnsi="Arial" w:cs="Arial"/>
                <w:b/>
              </w:rPr>
              <w:t>Resource ID</w:t>
            </w:r>
            <w:r>
              <w:rPr>
                <w:rFonts w:ascii="Arial" w:hAnsi="Arial" w:cs="Arial"/>
                <w:b/>
              </w:rPr>
              <w:t>:</w:t>
            </w:r>
          </w:p>
        </w:tc>
        <w:tc>
          <w:tcPr>
            <w:tcW w:w="4829" w:type="dxa"/>
            <w:shd w:val="clear" w:color="auto" w:fill="auto"/>
          </w:tcPr>
          <w:p w:rsidR="00823A35" w:rsidRPr="000C1507" w:rsidRDefault="00823A35" w:rsidP="00F72268">
            <w:pPr>
              <w:rPr>
                <w:rFonts w:ascii="Arial" w:hAnsi="Arial" w:cs="Arial"/>
                <w:i/>
                <w:color w:val="0000FF"/>
              </w:rPr>
            </w:pPr>
            <w:r w:rsidRPr="000C1507">
              <w:rPr>
                <w:rFonts w:ascii="Arial" w:hAnsi="Arial" w:cs="Arial"/>
                <w:i/>
                <w:color w:val="0000FF"/>
              </w:rPr>
              <w:t>&lt;Enter the resource ID to which this constraint applies&gt;</w:t>
            </w:r>
          </w:p>
        </w:tc>
      </w:tr>
      <w:tr w:rsidR="00823A35" w:rsidRPr="000C1507" w:rsidTr="00F72268">
        <w:trPr>
          <w:jc w:val="center"/>
        </w:trPr>
        <w:tc>
          <w:tcPr>
            <w:tcW w:w="4509" w:type="dxa"/>
            <w:shd w:val="clear" w:color="auto" w:fill="DDD9C3"/>
          </w:tcPr>
          <w:p w:rsidR="00823A35" w:rsidRPr="000C1507" w:rsidRDefault="00823A35" w:rsidP="00F72268">
            <w:pPr>
              <w:rPr>
                <w:rFonts w:ascii="Arial" w:hAnsi="Arial" w:cs="Arial"/>
                <w:b/>
              </w:rPr>
            </w:pPr>
            <w:r w:rsidRPr="00440039">
              <w:rPr>
                <w:rFonts w:ascii="Arial" w:hAnsi="Arial" w:cs="Arial"/>
                <w:b/>
              </w:rPr>
              <w:t xml:space="preserve">Configuration Group </w:t>
            </w:r>
            <w:r>
              <w:rPr>
                <w:rFonts w:ascii="Arial" w:hAnsi="Arial" w:cs="Arial"/>
                <w:b/>
              </w:rPr>
              <w:t>MUT</w:t>
            </w:r>
            <w:r w:rsidRPr="000C1507">
              <w:rPr>
                <w:rFonts w:ascii="Arial" w:hAnsi="Arial" w:cs="Arial"/>
                <w:b/>
              </w:rPr>
              <w:t xml:space="preserve"> (in minutes)</w:t>
            </w:r>
            <w:r w:rsidRPr="000C1507">
              <w:rPr>
                <w:rStyle w:val="FootnoteReference"/>
                <w:rFonts w:ascii="Arial" w:hAnsi="Arial" w:cs="Arial"/>
                <w:b/>
              </w:rPr>
              <w:footnoteReference w:id="1"/>
            </w:r>
            <w:r>
              <w:rPr>
                <w:rFonts w:ascii="Arial" w:hAnsi="Arial" w:cs="Arial"/>
                <w:b/>
              </w:rPr>
              <w:t xml:space="preserve"> </w:t>
            </w:r>
          </w:p>
        </w:tc>
        <w:tc>
          <w:tcPr>
            <w:tcW w:w="4829" w:type="dxa"/>
            <w:shd w:val="clear" w:color="auto" w:fill="DDD9C3"/>
          </w:tcPr>
          <w:p w:rsidR="00823A35" w:rsidRPr="00440039" w:rsidRDefault="00823A35" w:rsidP="00F72268">
            <w:pPr>
              <w:rPr>
                <w:rFonts w:ascii="Arial" w:hAnsi="Arial" w:cs="Arial"/>
                <w:b/>
              </w:rPr>
            </w:pPr>
            <w:r>
              <w:rPr>
                <w:rFonts w:ascii="Arial" w:hAnsi="Arial" w:cs="Arial"/>
                <w:b/>
              </w:rPr>
              <w:t>Configuration Group M</w:t>
            </w:r>
            <w:r w:rsidRPr="000C1507">
              <w:rPr>
                <w:rFonts w:ascii="Arial" w:hAnsi="Arial" w:cs="Arial"/>
                <w:b/>
              </w:rPr>
              <w:t>DT (in minutes)</w:t>
            </w:r>
            <w:r w:rsidRPr="000C1507">
              <w:rPr>
                <w:rFonts w:ascii="Arial" w:hAnsi="Arial" w:cs="Arial"/>
                <w:b/>
                <w:vertAlign w:val="superscript"/>
              </w:rPr>
              <w:t>1</w:t>
            </w:r>
            <w:r>
              <w:rPr>
                <w:rFonts w:ascii="Arial" w:hAnsi="Arial" w:cs="Arial"/>
                <w:b/>
              </w:rPr>
              <w:t xml:space="preserve"> </w:t>
            </w:r>
          </w:p>
        </w:tc>
      </w:tr>
      <w:tr w:rsidR="00823A35" w:rsidRPr="000C1507" w:rsidTr="00F72268">
        <w:trPr>
          <w:trHeight w:val="458"/>
          <w:jc w:val="center"/>
        </w:trPr>
        <w:tc>
          <w:tcPr>
            <w:tcW w:w="4509" w:type="dxa"/>
          </w:tcPr>
          <w:p w:rsidR="00823A35" w:rsidRPr="000C1507" w:rsidRDefault="00823A35" w:rsidP="00F72268">
            <w:pPr>
              <w:rPr>
                <w:rFonts w:ascii="Arial" w:hAnsi="Arial" w:cs="Arial"/>
              </w:rPr>
            </w:pPr>
            <w:r w:rsidRPr="000C1507">
              <w:rPr>
                <w:rFonts w:ascii="Arial" w:hAnsi="Arial" w:cs="Arial"/>
                <w:i/>
                <w:color w:val="0000FF"/>
              </w:rPr>
              <w:t>&lt;in Minutes&gt;</w:t>
            </w:r>
          </w:p>
        </w:tc>
        <w:tc>
          <w:tcPr>
            <w:tcW w:w="4829" w:type="dxa"/>
          </w:tcPr>
          <w:p w:rsidR="00823A35" w:rsidRPr="000C1507" w:rsidRDefault="00823A35" w:rsidP="00F72268">
            <w:pPr>
              <w:rPr>
                <w:rFonts w:ascii="Arial" w:hAnsi="Arial" w:cs="Arial"/>
              </w:rPr>
            </w:pPr>
            <w:r w:rsidRPr="000C1507">
              <w:rPr>
                <w:rFonts w:ascii="Arial" w:hAnsi="Arial" w:cs="Arial"/>
                <w:i/>
                <w:color w:val="0000FF"/>
              </w:rPr>
              <w:t>&lt;in Minutes&gt;</w:t>
            </w:r>
          </w:p>
        </w:tc>
      </w:tr>
      <w:tr w:rsidR="00823A35" w:rsidRPr="000C1507" w:rsidTr="00F72268">
        <w:trPr>
          <w:jc w:val="center"/>
        </w:trPr>
        <w:tc>
          <w:tcPr>
            <w:tcW w:w="9338" w:type="dxa"/>
            <w:gridSpan w:val="2"/>
            <w:shd w:val="clear" w:color="auto" w:fill="DDD9C3"/>
          </w:tcPr>
          <w:p w:rsidR="00823A35" w:rsidRPr="000C1507" w:rsidRDefault="00823A35" w:rsidP="00F72268">
            <w:pPr>
              <w:rPr>
                <w:rFonts w:ascii="Arial" w:hAnsi="Arial" w:cs="Arial"/>
                <w:b/>
              </w:rPr>
            </w:pPr>
            <w:r w:rsidRPr="000C1507">
              <w:rPr>
                <w:rFonts w:ascii="Arial" w:hAnsi="Arial" w:cs="Arial"/>
                <w:b/>
              </w:rPr>
              <w:t>List of Configurations</w:t>
            </w:r>
            <w:r w:rsidRPr="000C1507">
              <w:rPr>
                <w:rStyle w:val="FootnoteReference"/>
                <w:rFonts w:ascii="Arial" w:hAnsi="Arial" w:cs="Arial"/>
                <w:b/>
              </w:rPr>
              <w:footnoteReference w:id="2"/>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bl>
    <w:p w:rsidR="00823A35" w:rsidRPr="00823A35" w:rsidRDefault="00823A35" w:rsidP="00823A35">
      <w:pPr>
        <w:ind w:left="360"/>
        <w:rPr>
          <w:rFonts w:ascii="Arial" w:hAnsi="Arial" w:cs="Arial"/>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829"/>
      </w:tblGrid>
      <w:tr w:rsidR="00823A35" w:rsidRPr="000C1507" w:rsidTr="00F72268">
        <w:trPr>
          <w:trHeight w:val="386"/>
          <w:jc w:val="center"/>
        </w:trPr>
        <w:tc>
          <w:tcPr>
            <w:tcW w:w="4509" w:type="dxa"/>
            <w:shd w:val="clear" w:color="auto" w:fill="DDD9C3"/>
          </w:tcPr>
          <w:p w:rsidR="00823A35" w:rsidRPr="000C1507" w:rsidRDefault="00823A35" w:rsidP="00F72268">
            <w:pPr>
              <w:rPr>
                <w:rFonts w:ascii="Arial" w:hAnsi="Arial" w:cs="Arial"/>
                <w:b/>
                <w:i/>
                <w:color w:val="0000FF"/>
              </w:rPr>
            </w:pPr>
            <w:r w:rsidRPr="000C1507">
              <w:rPr>
                <w:rFonts w:ascii="Arial" w:hAnsi="Arial" w:cs="Arial"/>
                <w:b/>
              </w:rPr>
              <w:t>Resource ID</w:t>
            </w:r>
            <w:r>
              <w:rPr>
                <w:rFonts w:ascii="Arial" w:hAnsi="Arial" w:cs="Arial"/>
                <w:b/>
              </w:rPr>
              <w:t>:</w:t>
            </w:r>
          </w:p>
        </w:tc>
        <w:tc>
          <w:tcPr>
            <w:tcW w:w="4829" w:type="dxa"/>
            <w:shd w:val="clear" w:color="auto" w:fill="auto"/>
          </w:tcPr>
          <w:p w:rsidR="00823A35" w:rsidRPr="000C1507" w:rsidRDefault="00823A35" w:rsidP="00F72268">
            <w:pPr>
              <w:rPr>
                <w:rFonts w:ascii="Arial" w:hAnsi="Arial" w:cs="Arial"/>
                <w:i/>
                <w:color w:val="0000FF"/>
              </w:rPr>
            </w:pPr>
            <w:r w:rsidRPr="000C1507">
              <w:rPr>
                <w:rFonts w:ascii="Arial" w:hAnsi="Arial" w:cs="Arial"/>
                <w:i/>
                <w:color w:val="0000FF"/>
              </w:rPr>
              <w:t>&lt;Enter the resource ID to which this constraint applies&gt;</w:t>
            </w:r>
          </w:p>
        </w:tc>
      </w:tr>
      <w:tr w:rsidR="00823A35" w:rsidRPr="000C1507" w:rsidTr="00F72268">
        <w:trPr>
          <w:jc w:val="center"/>
        </w:trPr>
        <w:tc>
          <w:tcPr>
            <w:tcW w:w="4509" w:type="dxa"/>
            <w:shd w:val="clear" w:color="auto" w:fill="DDD9C3"/>
          </w:tcPr>
          <w:p w:rsidR="00823A35" w:rsidRPr="000C1507" w:rsidRDefault="00823A35" w:rsidP="00F72268">
            <w:pPr>
              <w:rPr>
                <w:rFonts w:ascii="Arial" w:hAnsi="Arial" w:cs="Arial"/>
                <w:b/>
              </w:rPr>
            </w:pPr>
            <w:r w:rsidRPr="00440039">
              <w:rPr>
                <w:rFonts w:ascii="Arial" w:hAnsi="Arial" w:cs="Arial"/>
                <w:b/>
              </w:rPr>
              <w:t xml:space="preserve">Configuration Group </w:t>
            </w:r>
            <w:r>
              <w:rPr>
                <w:rFonts w:ascii="Arial" w:hAnsi="Arial" w:cs="Arial"/>
                <w:b/>
              </w:rPr>
              <w:t>MUT</w:t>
            </w:r>
            <w:r w:rsidRPr="000C1507">
              <w:rPr>
                <w:rFonts w:ascii="Arial" w:hAnsi="Arial" w:cs="Arial"/>
                <w:b/>
              </w:rPr>
              <w:t xml:space="preserve"> (in minutes)</w:t>
            </w:r>
            <w:r w:rsidRPr="000C1507">
              <w:rPr>
                <w:rFonts w:ascii="Arial" w:hAnsi="Arial" w:cs="Arial"/>
                <w:b/>
                <w:vertAlign w:val="superscript"/>
              </w:rPr>
              <w:t>1</w:t>
            </w:r>
          </w:p>
        </w:tc>
        <w:tc>
          <w:tcPr>
            <w:tcW w:w="4829" w:type="dxa"/>
            <w:shd w:val="clear" w:color="auto" w:fill="DDD9C3"/>
          </w:tcPr>
          <w:p w:rsidR="00823A35" w:rsidRPr="000C1507" w:rsidRDefault="00823A35" w:rsidP="00F72268">
            <w:pPr>
              <w:rPr>
                <w:rFonts w:ascii="Arial" w:hAnsi="Arial" w:cs="Arial"/>
                <w:b/>
              </w:rPr>
            </w:pPr>
            <w:r>
              <w:rPr>
                <w:rFonts w:ascii="Arial" w:hAnsi="Arial" w:cs="Arial"/>
                <w:b/>
              </w:rPr>
              <w:t>Configuration Group M</w:t>
            </w:r>
            <w:r w:rsidRPr="000C1507">
              <w:rPr>
                <w:rFonts w:ascii="Arial" w:hAnsi="Arial" w:cs="Arial"/>
                <w:b/>
              </w:rPr>
              <w:t>DT (in minutes)</w:t>
            </w:r>
            <w:r w:rsidRPr="000C1507">
              <w:rPr>
                <w:rFonts w:ascii="Arial" w:hAnsi="Arial" w:cs="Arial"/>
                <w:b/>
                <w:vertAlign w:val="superscript"/>
              </w:rPr>
              <w:t>1</w:t>
            </w:r>
          </w:p>
        </w:tc>
      </w:tr>
      <w:tr w:rsidR="00823A35" w:rsidRPr="000C1507" w:rsidTr="00F72268">
        <w:trPr>
          <w:trHeight w:val="458"/>
          <w:jc w:val="center"/>
        </w:trPr>
        <w:tc>
          <w:tcPr>
            <w:tcW w:w="4509" w:type="dxa"/>
          </w:tcPr>
          <w:p w:rsidR="00823A35" w:rsidRPr="000C1507" w:rsidRDefault="00823A35" w:rsidP="00F72268">
            <w:pPr>
              <w:rPr>
                <w:rFonts w:ascii="Arial" w:hAnsi="Arial" w:cs="Arial"/>
              </w:rPr>
            </w:pPr>
            <w:r w:rsidRPr="000C1507">
              <w:rPr>
                <w:rFonts w:ascii="Arial" w:hAnsi="Arial" w:cs="Arial"/>
                <w:i/>
                <w:color w:val="0000FF"/>
              </w:rPr>
              <w:t>&lt;in Minutes&gt;</w:t>
            </w:r>
          </w:p>
        </w:tc>
        <w:tc>
          <w:tcPr>
            <w:tcW w:w="4829" w:type="dxa"/>
          </w:tcPr>
          <w:p w:rsidR="00823A35" w:rsidRPr="000C1507" w:rsidRDefault="00823A35" w:rsidP="00F72268">
            <w:pPr>
              <w:rPr>
                <w:rFonts w:ascii="Arial" w:hAnsi="Arial" w:cs="Arial"/>
              </w:rPr>
            </w:pPr>
            <w:r w:rsidRPr="000C1507">
              <w:rPr>
                <w:rFonts w:ascii="Arial" w:hAnsi="Arial" w:cs="Arial"/>
                <w:i/>
                <w:color w:val="0000FF"/>
              </w:rPr>
              <w:t>&lt;in Minutes&gt;</w:t>
            </w:r>
          </w:p>
        </w:tc>
      </w:tr>
      <w:tr w:rsidR="00823A35" w:rsidRPr="000C1507" w:rsidTr="00F72268">
        <w:trPr>
          <w:jc w:val="center"/>
        </w:trPr>
        <w:tc>
          <w:tcPr>
            <w:tcW w:w="9338" w:type="dxa"/>
            <w:gridSpan w:val="2"/>
            <w:shd w:val="clear" w:color="auto" w:fill="DDD9C3"/>
          </w:tcPr>
          <w:p w:rsidR="00823A35" w:rsidRPr="000C1507" w:rsidRDefault="00823A35" w:rsidP="00F72268">
            <w:pPr>
              <w:rPr>
                <w:rFonts w:ascii="Arial" w:hAnsi="Arial" w:cs="Arial"/>
                <w:b/>
              </w:rPr>
            </w:pPr>
            <w:r w:rsidRPr="000C1507">
              <w:rPr>
                <w:rFonts w:ascii="Arial" w:hAnsi="Arial" w:cs="Arial"/>
                <w:b/>
              </w:rPr>
              <w:t>List of Configurations</w:t>
            </w:r>
            <w:r w:rsidRPr="000C1507">
              <w:rPr>
                <w:rFonts w:ascii="Arial" w:hAnsi="Arial" w:cs="Arial"/>
                <w:b/>
                <w:vertAlign w:val="superscript"/>
              </w:rPr>
              <w:t>2</w:t>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r w:rsidR="00823A35" w:rsidRPr="000C1507" w:rsidTr="00F72268">
        <w:trPr>
          <w:jc w:val="center"/>
        </w:trPr>
        <w:tc>
          <w:tcPr>
            <w:tcW w:w="9338" w:type="dxa"/>
            <w:gridSpan w:val="2"/>
          </w:tcPr>
          <w:p w:rsidR="00823A35" w:rsidRPr="000C1507" w:rsidRDefault="00823A35" w:rsidP="00F72268">
            <w:pPr>
              <w:rPr>
                <w:rFonts w:ascii="Arial" w:hAnsi="Arial" w:cs="Arial"/>
              </w:rPr>
            </w:pPr>
            <w:r w:rsidRPr="000C1507">
              <w:rPr>
                <w:rFonts w:ascii="Arial" w:hAnsi="Arial" w:cs="Arial"/>
                <w:i/>
                <w:color w:val="0000FF"/>
              </w:rPr>
              <w:t>[enter CONFIG ID]</w:t>
            </w:r>
          </w:p>
        </w:tc>
      </w:tr>
    </w:tbl>
    <w:p w:rsidR="00823A35" w:rsidRPr="00823A35" w:rsidRDefault="00823A35" w:rsidP="00823A35">
      <w:pPr>
        <w:ind w:left="360"/>
        <w:rPr>
          <w:i/>
        </w:rPr>
      </w:pPr>
    </w:p>
    <w:p w:rsidR="00823A35" w:rsidRPr="00823A35" w:rsidRDefault="00823A35" w:rsidP="00823A35">
      <w:pPr>
        <w:pStyle w:val="BPM2"/>
        <w:numPr>
          <w:ilvl w:val="0"/>
          <w:numId w:val="0"/>
        </w:numPr>
        <w:spacing w:line="276" w:lineRule="auto"/>
        <w:ind w:left="360"/>
      </w:pPr>
      <w:r w:rsidRPr="00C163B0">
        <w:rPr>
          <w:i/>
        </w:rPr>
        <w:t>&lt;Please copy and paste one of the above tables if registering more than two configuration groups &gt;</w:t>
      </w:r>
    </w:p>
    <w:sectPr w:rsidR="00823A35" w:rsidRPr="00823A35" w:rsidSect="00823A35">
      <w:headerReference w:type="default" r:id="rId12"/>
      <w:footerReference w:type="default" r:id="rId13"/>
      <w:pgSz w:w="12240" w:h="15840" w:code="1"/>
      <w:pgMar w:top="288"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E6" w:rsidRDefault="00A35AE6" w:rsidP="00A35AE6">
      <w:pPr>
        <w:spacing w:after="0" w:line="240" w:lineRule="auto"/>
      </w:pPr>
      <w:r>
        <w:separator/>
      </w:r>
    </w:p>
  </w:endnote>
  <w:endnote w:type="continuationSeparator" w:id="0">
    <w:p w:rsidR="00A35AE6" w:rsidRDefault="00A35AE6" w:rsidP="00A3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409448"/>
      <w:docPartObj>
        <w:docPartGallery w:val="Page Numbers (Bottom of Page)"/>
        <w:docPartUnique/>
      </w:docPartObj>
    </w:sdtPr>
    <w:sdtEndPr>
      <w:rPr>
        <w:noProof/>
      </w:rPr>
    </w:sdtEndPr>
    <w:sdtContent>
      <w:p w:rsidR="00823A35" w:rsidRDefault="00823A35">
        <w:pPr>
          <w:pStyle w:val="Footer"/>
          <w:jc w:val="center"/>
        </w:pPr>
        <w:r>
          <w:fldChar w:fldCharType="begin"/>
        </w:r>
        <w:r>
          <w:instrText xml:space="preserve"> PAGE   \* MERGEFORMAT </w:instrText>
        </w:r>
        <w:r>
          <w:fldChar w:fldCharType="separate"/>
        </w:r>
        <w:r w:rsidR="004D7D6D">
          <w:rPr>
            <w:noProof/>
          </w:rPr>
          <w:t>1</w:t>
        </w:r>
        <w:r>
          <w:rPr>
            <w:noProof/>
          </w:rPr>
          <w:fldChar w:fldCharType="end"/>
        </w:r>
      </w:p>
    </w:sdtContent>
  </w:sdt>
  <w:p w:rsidR="00823A35" w:rsidRDefault="00823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E6" w:rsidRDefault="00A35AE6" w:rsidP="00A35AE6">
      <w:pPr>
        <w:spacing w:after="0" w:line="240" w:lineRule="auto"/>
      </w:pPr>
      <w:r>
        <w:separator/>
      </w:r>
    </w:p>
  </w:footnote>
  <w:footnote w:type="continuationSeparator" w:id="0">
    <w:p w:rsidR="00A35AE6" w:rsidRDefault="00A35AE6" w:rsidP="00A35AE6">
      <w:pPr>
        <w:spacing w:after="0" w:line="240" w:lineRule="auto"/>
      </w:pPr>
      <w:r>
        <w:continuationSeparator/>
      </w:r>
    </w:p>
  </w:footnote>
  <w:footnote w:id="1">
    <w:p w:rsidR="00823A35" w:rsidRDefault="00823A35" w:rsidP="00823A35">
      <w:pPr>
        <w:pStyle w:val="FootnoteText"/>
      </w:pPr>
      <w:r>
        <w:rPr>
          <w:rStyle w:val="FootnoteReference"/>
        </w:rPr>
        <w:footnoteRef/>
      </w:r>
      <w:r>
        <w:t xml:space="preserve"> For any group A,</w:t>
      </w:r>
    </w:p>
    <w:p w:rsidR="00823A35" w:rsidRDefault="00823A35" w:rsidP="00823A35">
      <w:pPr>
        <w:pStyle w:val="FootnoteText"/>
        <w:ind w:left="720"/>
      </w:pPr>
      <w:r>
        <w:t>MUT(Plant) &gt;= MUT(A)</w:t>
      </w:r>
    </w:p>
    <w:p w:rsidR="00823A35" w:rsidRDefault="00823A35" w:rsidP="00823A35">
      <w:pPr>
        <w:pStyle w:val="FootnoteText"/>
        <w:ind w:left="720"/>
      </w:pPr>
      <w:r>
        <w:t>MDT(Plant) &lt;= MDT(A)</w:t>
      </w:r>
    </w:p>
    <w:p w:rsidR="00823A35" w:rsidRDefault="00823A35" w:rsidP="00823A35">
      <w:pPr>
        <w:pStyle w:val="FootnoteText"/>
        <w:spacing w:before="240"/>
      </w:pPr>
      <w:r>
        <w:t>These rules are used for data error checking. If a registration violates these rules, then ISO will discuss with market participants for verification and/or reasoning.</w:t>
      </w:r>
    </w:p>
    <w:p w:rsidR="00823A35" w:rsidRPr="00440039" w:rsidRDefault="00823A35" w:rsidP="00823A35">
      <w:pPr>
        <w:pStyle w:val="FootnoteText"/>
        <w:spacing w:before="240"/>
      </w:pPr>
    </w:p>
  </w:footnote>
  <w:footnote w:id="2">
    <w:p w:rsidR="00823A35" w:rsidRDefault="00823A35" w:rsidP="00823A35">
      <w:pPr>
        <w:pStyle w:val="FootnoteText"/>
      </w:pPr>
      <w:r>
        <w:rPr>
          <w:rStyle w:val="FootnoteReference"/>
        </w:rPr>
        <w:footnoteRef/>
      </w:r>
      <w:r>
        <w:t xml:space="preserve"> All configurations must belong to the same resource and a configuration may be included in only one group.</w:t>
      </w:r>
    </w:p>
    <w:p w:rsidR="00823A35" w:rsidRDefault="00823A35" w:rsidP="00823A3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115" w:type="dxa"/>
      </w:tblCellMar>
      <w:tblLook w:val="0000" w:firstRow="0" w:lastRow="0" w:firstColumn="0" w:lastColumn="0" w:noHBand="0" w:noVBand="0"/>
    </w:tblPr>
    <w:tblGrid>
      <w:gridCol w:w="3415"/>
      <w:gridCol w:w="3060"/>
      <w:gridCol w:w="2340"/>
      <w:gridCol w:w="2003"/>
    </w:tblGrid>
    <w:tr w:rsidR="00A35AE6" w:rsidTr="00A35AE6">
      <w:trPr>
        <w:trHeight w:val="710"/>
      </w:trPr>
      <w:tc>
        <w:tcPr>
          <w:tcW w:w="3415" w:type="dxa"/>
        </w:tcPr>
        <w:p w:rsidR="00A35AE6" w:rsidRPr="001B3CFB" w:rsidRDefault="00A35AE6" w:rsidP="00A35AE6">
          <w:pPr>
            <w:pStyle w:val="Header"/>
            <w:spacing w:before="120" w:after="120"/>
            <w:rPr>
              <w:rFonts w:ascii="Arial Narrow" w:hAnsi="Arial Narrow" w:cs="Arial"/>
              <w:b/>
              <w:bCs/>
            </w:rPr>
          </w:pPr>
          <w:r>
            <w:rPr>
              <w:rFonts w:ascii="Arial Narrow" w:hAnsi="Arial Narrow" w:cs="Arial"/>
              <w:b/>
              <w:noProof/>
            </w:rPr>
            <w:drawing>
              <wp:inline distT="0" distB="0" distL="0" distR="0" wp14:anchorId="20C1C7BF" wp14:editId="4518A581">
                <wp:extent cx="1780486" cy="332509"/>
                <wp:effectExtent l="0" t="0" r="0" b="0"/>
                <wp:docPr id="2" name="Picture 2"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439" cy="334554"/>
                        </a:xfrm>
                        <a:prstGeom prst="rect">
                          <a:avLst/>
                        </a:prstGeom>
                        <a:noFill/>
                        <a:ln>
                          <a:noFill/>
                        </a:ln>
                      </pic:spPr>
                    </pic:pic>
                  </a:graphicData>
                </a:graphic>
              </wp:inline>
            </w:drawing>
          </w:r>
        </w:p>
      </w:tc>
      <w:tc>
        <w:tcPr>
          <w:tcW w:w="3060" w:type="dxa"/>
        </w:tcPr>
        <w:p w:rsidR="00A35AE6" w:rsidRPr="001B3CFB" w:rsidRDefault="00A35AE6" w:rsidP="00A35AE6">
          <w:pPr>
            <w:pStyle w:val="Header"/>
            <w:spacing w:before="120" w:after="120"/>
            <w:rPr>
              <w:rFonts w:ascii="Arial Narrow" w:hAnsi="Arial Narrow" w:cs="Arial"/>
              <w:b/>
              <w:bCs/>
            </w:rPr>
          </w:pPr>
          <w:r>
            <w:rPr>
              <w:rFonts w:ascii="Arial Narrow" w:hAnsi="Arial Narrow" w:cs="Arial"/>
            </w:rPr>
            <w:t xml:space="preserve">Entity and Resource </w:t>
          </w:r>
          <w:r w:rsidRPr="001B3CFB">
            <w:rPr>
              <w:rFonts w:ascii="Arial Narrow" w:hAnsi="Arial Narrow" w:cs="Arial"/>
            </w:rPr>
            <w:t>Maintenance</w:t>
          </w:r>
        </w:p>
      </w:tc>
      <w:tc>
        <w:tcPr>
          <w:tcW w:w="2340" w:type="dxa"/>
        </w:tcPr>
        <w:p w:rsidR="00A35AE6" w:rsidRPr="001B3CFB" w:rsidRDefault="00A35AE6" w:rsidP="00A35AE6">
          <w:pPr>
            <w:pStyle w:val="Header"/>
            <w:spacing w:before="120" w:after="120"/>
            <w:rPr>
              <w:rFonts w:ascii="Arial Narrow" w:hAnsi="Arial Narrow" w:cs="Arial"/>
              <w:b/>
              <w:bCs/>
            </w:rPr>
          </w:pPr>
          <w:r w:rsidRPr="001B3CFB">
            <w:rPr>
              <w:rFonts w:ascii="Arial Narrow" w:hAnsi="Arial Narrow" w:cs="Arial"/>
              <w:b/>
              <w:bCs/>
            </w:rPr>
            <w:t>Version No.</w:t>
          </w:r>
        </w:p>
      </w:tc>
      <w:tc>
        <w:tcPr>
          <w:tcW w:w="2003" w:type="dxa"/>
        </w:tcPr>
        <w:p w:rsidR="00A35AE6" w:rsidRPr="00FC3F0E" w:rsidRDefault="00A35AE6" w:rsidP="00A35AE6">
          <w:pPr>
            <w:pStyle w:val="Header"/>
            <w:spacing w:before="120" w:after="120"/>
            <w:rPr>
              <w:rFonts w:ascii="Arial Narrow" w:hAnsi="Arial Narrow" w:cs="Arial"/>
            </w:rPr>
          </w:pPr>
          <w:r>
            <w:rPr>
              <w:rFonts w:ascii="Arial Narrow" w:hAnsi="Arial Narrow" w:cs="Arial"/>
            </w:rPr>
            <w:t>1.1</w:t>
          </w:r>
        </w:p>
      </w:tc>
    </w:tr>
    <w:tr w:rsidR="00A35AE6" w:rsidTr="00A35AE6">
      <w:trPr>
        <w:cantSplit/>
        <w:trHeight w:val="278"/>
      </w:trPr>
      <w:tc>
        <w:tcPr>
          <w:tcW w:w="6475" w:type="dxa"/>
          <w:gridSpan w:val="2"/>
          <w:vMerge w:val="restart"/>
          <w:vAlign w:val="center"/>
        </w:tcPr>
        <w:p w:rsidR="00A35AE6" w:rsidRPr="00F35946" w:rsidRDefault="00A35AE6" w:rsidP="00A35AE6">
          <w:pPr>
            <w:pStyle w:val="Header"/>
            <w:jc w:val="center"/>
            <w:rPr>
              <w:rFonts w:ascii="Arial Narrow" w:hAnsi="Arial Narrow" w:cs="Arial"/>
              <w:b/>
              <w:bCs/>
              <w:sz w:val="18"/>
              <w:szCs w:val="18"/>
            </w:rPr>
          </w:pPr>
          <w:r>
            <w:rPr>
              <w:rFonts w:ascii="Arial Narrow" w:hAnsi="Arial Narrow" w:cs="Arial"/>
              <w:b/>
              <w:bCs/>
            </w:rPr>
            <w:t>Multi-Stage Generator (MSG) Configuration Group Registration</w:t>
          </w:r>
        </w:p>
      </w:tc>
      <w:tc>
        <w:tcPr>
          <w:tcW w:w="2340" w:type="dxa"/>
        </w:tcPr>
        <w:p w:rsidR="00A35AE6" w:rsidRPr="001B3CFB" w:rsidRDefault="00A35AE6" w:rsidP="00A35AE6">
          <w:pPr>
            <w:pStyle w:val="Header"/>
            <w:spacing w:after="120"/>
            <w:rPr>
              <w:rFonts w:ascii="Arial Narrow" w:hAnsi="Arial Narrow" w:cs="Arial"/>
              <w:b/>
              <w:bCs/>
            </w:rPr>
          </w:pPr>
          <w:r w:rsidRPr="001B3CFB">
            <w:rPr>
              <w:rFonts w:ascii="Arial Narrow" w:hAnsi="Arial Narrow" w:cs="Arial"/>
              <w:b/>
              <w:bCs/>
            </w:rPr>
            <w:t>Revision Date</w:t>
          </w:r>
        </w:p>
      </w:tc>
      <w:tc>
        <w:tcPr>
          <w:tcW w:w="2003" w:type="dxa"/>
        </w:tcPr>
        <w:p w:rsidR="00A35AE6" w:rsidRPr="00FC3F0E" w:rsidRDefault="00A35AE6" w:rsidP="00A35AE6">
          <w:pPr>
            <w:pStyle w:val="Header"/>
            <w:spacing w:after="120"/>
            <w:rPr>
              <w:rFonts w:ascii="Arial Narrow" w:hAnsi="Arial Narrow" w:cs="Arial"/>
            </w:rPr>
          </w:pPr>
          <w:r>
            <w:rPr>
              <w:rFonts w:ascii="Arial Narrow" w:hAnsi="Arial Narrow" w:cs="Arial"/>
            </w:rPr>
            <w:t>7/27/2016</w:t>
          </w:r>
        </w:p>
      </w:tc>
    </w:tr>
    <w:tr w:rsidR="00A35AE6" w:rsidTr="00A35AE6">
      <w:trPr>
        <w:cantSplit/>
        <w:trHeight w:val="323"/>
      </w:trPr>
      <w:tc>
        <w:tcPr>
          <w:tcW w:w="6475" w:type="dxa"/>
          <w:gridSpan w:val="2"/>
          <w:vMerge/>
        </w:tcPr>
        <w:p w:rsidR="00A35AE6" w:rsidRPr="001B3CFB" w:rsidRDefault="00A35AE6" w:rsidP="00A35AE6">
          <w:pPr>
            <w:pStyle w:val="Header"/>
            <w:spacing w:before="240"/>
            <w:rPr>
              <w:rFonts w:ascii="Arial Narrow" w:hAnsi="Arial Narrow" w:cs="Arial"/>
              <w:b/>
              <w:bCs/>
            </w:rPr>
          </w:pPr>
        </w:p>
      </w:tc>
      <w:tc>
        <w:tcPr>
          <w:tcW w:w="2340" w:type="dxa"/>
        </w:tcPr>
        <w:p w:rsidR="00A35AE6" w:rsidRPr="001B3CFB" w:rsidRDefault="00A35AE6" w:rsidP="00A35AE6">
          <w:pPr>
            <w:pStyle w:val="Header"/>
            <w:spacing w:before="120" w:after="120"/>
            <w:rPr>
              <w:rFonts w:ascii="Arial Narrow" w:hAnsi="Arial Narrow" w:cs="Arial"/>
              <w:b/>
              <w:bCs/>
            </w:rPr>
          </w:pPr>
          <w:r w:rsidRPr="001B3CFB">
            <w:rPr>
              <w:rFonts w:ascii="Arial Narrow" w:hAnsi="Arial Narrow" w:cs="Arial"/>
              <w:b/>
              <w:bCs/>
            </w:rPr>
            <w:t>Distribution Restriction</w:t>
          </w:r>
        </w:p>
      </w:tc>
      <w:tc>
        <w:tcPr>
          <w:tcW w:w="2003" w:type="dxa"/>
        </w:tcPr>
        <w:p w:rsidR="00A35AE6" w:rsidRPr="001B3CFB" w:rsidRDefault="00A35AE6" w:rsidP="00A35AE6">
          <w:pPr>
            <w:pStyle w:val="Header"/>
            <w:spacing w:before="120" w:after="120"/>
            <w:rPr>
              <w:rFonts w:ascii="Arial Narrow" w:hAnsi="Arial Narrow" w:cs="Arial"/>
            </w:rPr>
          </w:pPr>
          <w:r w:rsidRPr="001B3CFB">
            <w:rPr>
              <w:rFonts w:ascii="Arial Narrow" w:hAnsi="Arial Narrow" w:cs="Arial"/>
            </w:rPr>
            <w:t>none</w:t>
          </w:r>
        </w:p>
      </w:tc>
    </w:tr>
  </w:tbl>
  <w:p w:rsidR="00A35AE6" w:rsidRDefault="00A35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1" w15:restartNumberingAfterBreak="0">
    <w:nsid w:val="48360B2E"/>
    <w:multiLevelType w:val="hybridMultilevel"/>
    <w:tmpl w:val="366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04663"/>
    <w:multiLevelType w:val="hybridMultilevel"/>
    <w:tmpl w:val="FEBA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E6"/>
    <w:rsid w:val="004D7D6D"/>
    <w:rsid w:val="005E6F90"/>
    <w:rsid w:val="00823A35"/>
    <w:rsid w:val="00A3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216053-33C4-4065-BAAE-0FD756F3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AE6"/>
  </w:style>
  <w:style w:type="paragraph" w:styleId="Footer">
    <w:name w:val="footer"/>
    <w:basedOn w:val="Normal"/>
    <w:link w:val="FooterChar"/>
    <w:uiPriority w:val="99"/>
    <w:unhideWhenUsed/>
    <w:rsid w:val="00A35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E6"/>
  </w:style>
  <w:style w:type="paragraph" w:customStyle="1" w:styleId="Bullet1HRt">
    <w:name w:val="Bullet1[HRt]"/>
    <w:basedOn w:val="Normal"/>
    <w:rsid w:val="00823A35"/>
    <w:pPr>
      <w:numPr>
        <w:numId w:val="1"/>
      </w:numPr>
      <w:spacing w:after="240" w:line="300" w:lineRule="auto"/>
      <w:jc w:val="both"/>
    </w:pPr>
    <w:rPr>
      <w:rFonts w:ascii="Arial" w:eastAsia="Times New Roman" w:hAnsi="Arial"/>
      <w:szCs w:val="20"/>
    </w:rPr>
  </w:style>
  <w:style w:type="paragraph" w:customStyle="1" w:styleId="BPM2">
    <w:name w:val="BPM2"/>
    <w:basedOn w:val="Bullet1HRt"/>
    <w:link w:val="BPM2Char"/>
    <w:qFormat/>
    <w:rsid w:val="00823A35"/>
    <w:rPr>
      <w:rFonts w:cs="Arial"/>
    </w:rPr>
  </w:style>
  <w:style w:type="character" w:customStyle="1" w:styleId="BPM2Char">
    <w:name w:val="BPM2 Char"/>
    <w:link w:val="BPM2"/>
    <w:rsid w:val="00823A35"/>
    <w:rPr>
      <w:rFonts w:ascii="Arial" w:eastAsia="Times New Roman" w:hAnsi="Arial" w:cs="Arial"/>
      <w:szCs w:val="20"/>
    </w:rPr>
  </w:style>
  <w:style w:type="paragraph" w:styleId="CommentText">
    <w:name w:val="annotation text"/>
    <w:basedOn w:val="Normal"/>
    <w:link w:val="CommentTextChar"/>
    <w:uiPriority w:val="99"/>
    <w:semiHidden/>
    <w:unhideWhenUsed/>
    <w:rsid w:val="00823A35"/>
    <w:pPr>
      <w:spacing w:line="240" w:lineRule="auto"/>
    </w:pPr>
    <w:rPr>
      <w:sz w:val="20"/>
      <w:szCs w:val="20"/>
    </w:rPr>
  </w:style>
  <w:style w:type="character" w:customStyle="1" w:styleId="CommentTextChar">
    <w:name w:val="Comment Text Char"/>
    <w:basedOn w:val="DefaultParagraphFont"/>
    <w:link w:val="CommentText"/>
    <w:uiPriority w:val="99"/>
    <w:semiHidden/>
    <w:rsid w:val="00823A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3A35"/>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823A35"/>
    <w:rPr>
      <w:rFonts w:ascii="Calibri" w:eastAsia="Calibri" w:hAnsi="Calibri" w:cs="Times New Roman"/>
      <w:b/>
      <w:bCs/>
      <w:sz w:val="20"/>
      <w:szCs w:val="20"/>
      <w:lang w:val="x-none" w:eastAsia="x-none"/>
    </w:rPr>
  </w:style>
  <w:style w:type="paragraph" w:styleId="FootnoteText">
    <w:name w:val="footnote text"/>
    <w:basedOn w:val="Normal"/>
    <w:link w:val="FootnoteTextChar"/>
    <w:uiPriority w:val="99"/>
    <w:unhideWhenUsed/>
    <w:rsid w:val="00823A35"/>
    <w:pPr>
      <w:spacing w:after="0" w:line="240" w:lineRule="auto"/>
    </w:pPr>
    <w:rPr>
      <w:rFonts w:ascii="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823A35"/>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823A35"/>
    <w:rPr>
      <w:vertAlign w:val="superscript"/>
    </w:rPr>
  </w:style>
  <w:style w:type="paragraph" w:styleId="ListParagraph">
    <w:name w:val="List Paragraph"/>
    <w:basedOn w:val="Normal"/>
    <w:uiPriority w:val="34"/>
    <w:qFormat/>
    <w:rsid w:val="0082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T@cais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DT@cai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OSummary xmlns="2613f182-e424-487f-ac7f-33bed2fc986a">Use this form to create a configuration group and establish a minimum up time and minimum down time for the group.</ISOSummary>
    <ISOGroupSequence xmlns="2613f182-e424-487f-ac7f-33bed2fc986a" xsi:nil="true"/>
    <PostDate xmlns="2613f182-e424-487f-ac7f-33bed2fc986a">2019-03-13T16:29:48+00:00</PostDate>
    <Content_x0020_Owner xmlns="2613f182-e424-487f-ac7f-33bed2fc986a">
      <UserInfo>
        <DisplayName>Cordner, Lee</DisplayName>
        <AccountId>181</AccountId>
        <AccountType/>
      </UserInfo>
    </Content_x0020_Owner>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ISOOwner xmlns="2613f182-e424-487f-ac7f-33bed2fc986a">Cordner, Lee</ISOOwner>
    <ISOContributor xmlns="2613f182-e424-487f-ac7f-33bed2fc986a">
      <UserInfo>
        <DisplayName>Kurlinski, Ryan</DisplayName>
        <AccountId>262</AccountId>
        <AccountType/>
      </UserInfo>
    </ISOContributor>
    <TaxCatchAll xmlns="2613f182-e424-487f-ac7f-33bed2fc986a">
      <Value>1</Value>
      <Value>39</Value>
    </TaxCatchAll>
    <ISOTopicTaxHTField0 xmlns="2613f182-e424-487f-ac7f-33bed2fc986a">
      <Terms xmlns="http://schemas.microsoft.com/office/infopath/2007/PartnerControls">
        <TermInfo xmlns="http://schemas.microsoft.com/office/infopath/2007/PartnerControls">
          <TermName xmlns="http://schemas.microsoft.com/office/infopath/2007/PartnerControls">Market ＆ Operations</TermName>
          <TermId xmlns="http://schemas.microsoft.com/office/infopath/2007/PartnerControls">dc22bd67-8e85-4f4c-b58a-157bc4ef61e7</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 xsi:nil="true"/>
    <Content_x0020_Administrator xmlns="2613f182-e424-487f-ac7f-33bed2fc986a">
      <UserInfo>
        <DisplayName>Kurlinski, Ryan</DisplayName>
        <AccountId>262</AccountId>
        <AccountType/>
      </UserInfo>
    </Content_x0020_Administrator>
    <ISODescription xmlns="2613f182-e424-487f-ac7f-33bed2fc986a" xsi:nil="true"/>
    <ISOArchiveTaxHTField0 xmlns="2613f182-e424-487f-ac7f-33bed2fc986a">Not Archivedd4ac4999-fa66-470b-a400-7ab6671d1fab</ISOArchiveTaxHTField0>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Orig_x0020_Post_x0020_Date xmlns="5bcbeff6-7c02-4b0f-b125-f1b3d566cc14">2016-07-27T20:59:02+00:00</Orig_x0020_Post_x0020_Date>
    <Document_x0020_Type xmlns="5bcbeff6-7c02-4b0f-b125-f1b3d566cc14">Form/Template</Document_x0020_Type>
    <ContentReviewInterval xmlns="5bcbeff6-7c02-4b0f-b125-f1b3d566cc14">24</ContentReviewInterval>
    <ParentISOGroups xmlns="5bcbeff6-7c02-4b0f-b125-f1b3d566cc14" xsi:nil="true"/>
    <News_x0020_Release xmlns="5bcbeff6-7c02-4b0f-b125-f1b3d566cc14">false</News_x0020_Release>
    <Market_x0020_Notice xmlns="5bcbeff6-7c02-4b0f-b125-f1b3d566cc14">false</Market_x0020_Notice>
    <IsDisabled xmlns="5bcbeff6-7c02-4b0f-b125-f1b3d566cc14">false</IsDisabled>
    <CrawlableUniqueID xmlns="5bcbeff6-7c02-4b0f-b125-f1b3d566cc14">0e0a02d5-892f-47ed-a7d8-62d272704967</CrawlableUniqueID>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8D8FD6BB-6B55-4F2B-8961-1E7617478EAF}"/>
</file>

<file path=customXml/itemProps2.xml><?xml version="1.0" encoding="utf-8"?>
<ds:datastoreItem xmlns:ds="http://schemas.openxmlformats.org/officeDocument/2006/customXml" ds:itemID="{E3A86FD2-4112-4708-90FB-92565937C01F}"/>
</file>

<file path=customXml/itemProps3.xml><?xml version="1.0" encoding="utf-8"?>
<ds:datastoreItem xmlns:ds="http://schemas.openxmlformats.org/officeDocument/2006/customXml" ds:itemID="{C69A1830-779F-48C2-B3AB-88211E261BD7}"/>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Multi-stage Generator Configuration Group Registration Form</vt:lpstr>
    </vt:vector>
  </TitlesOfParts>
  <Company>CAISO</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Multi-stage Generator Configuration Group Registration Form</dc:title>
  <dc:subject/>
  <dc:creator>Trapnell, Anne</dc:creator>
  <cp:keywords/>
  <dc:description/>
  <cp:lastModifiedBy>Spector, Bob</cp:lastModifiedBy>
  <cp:revision>2</cp:revision>
  <dcterms:created xsi:type="dcterms:W3CDTF">2019-03-13T16:28:00Z</dcterms:created>
  <dcterms:modified xsi:type="dcterms:W3CDTF">2019-03-13T16:28:00Z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Group">
    <vt:lpwstr/>
  </property>
  <property fmtid="{D5CDD505-2E9C-101B-9397-08002B2CF9AE}" pid="4" name="ISOArchive">
    <vt:lpwstr>1;#Not Archived|d4ac4999-fa66-470b-a400-7ab6671d1fab</vt:lpwstr>
  </property>
  <property fmtid="{D5CDD505-2E9C-101B-9397-08002B2CF9AE}" pid="5" name="ISOTopic">
    <vt:lpwstr>39;#Market ＆ Operations|dc22bd67-8e85-4f4c-b58a-157bc4ef61e7</vt:lpwstr>
  </property>
  <property fmtid="{D5CDD505-2E9C-101B-9397-08002B2CF9AE}" pid="6" name="ISOKeywords">
    <vt:lpwstr/>
  </property>
  <property fmtid="{D5CDD505-2E9C-101B-9397-08002B2CF9AE}" pid="7" name="OriginalUriCopy">
    <vt:lpwstr/>
  </property>
  <property fmtid="{D5CDD505-2E9C-101B-9397-08002B2CF9AE}" pid="8" name="PageLink">
    <vt:lpwstr/>
  </property>
  <property fmtid="{D5CDD505-2E9C-101B-9397-08002B2CF9AE}" pid="9" name="OriginalURIBackup">
    <vt:lpwstr/>
  </property>
  <property fmtid="{D5CDD505-2E9C-101B-9397-08002B2CF9AE}" pid="10" name="Order">
    <vt:r8>3284000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