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E28E6" w14:textId="77777777" w:rsidR="005E7E4A" w:rsidRPr="00D73767" w:rsidRDefault="004D7D0A" w:rsidP="00DD4B56">
      <w:pPr>
        <w:spacing w:after="240"/>
        <w:jc w:val="center"/>
        <w:rPr>
          <w:b/>
        </w:rPr>
      </w:pPr>
      <w:r w:rsidRPr="00D73767">
        <w:rPr>
          <w:b/>
        </w:rPr>
        <w:t xml:space="preserve">Comments </w:t>
      </w:r>
      <w:proofErr w:type="gramStart"/>
      <w:r w:rsidRPr="00D73767">
        <w:rPr>
          <w:b/>
        </w:rPr>
        <w:t>of</w:t>
      </w:r>
      <w:proofErr w:type="gramEnd"/>
      <w:r w:rsidRPr="00D73767">
        <w:rPr>
          <w:b/>
        </w:rPr>
        <w:t xml:space="preserve"> </w:t>
      </w:r>
      <w:r w:rsidR="00157C8C" w:rsidRPr="00D73767">
        <w:rPr>
          <w:b/>
        </w:rPr>
        <w:t>NRG Energy</w:t>
      </w:r>
    </w:p>
    <w:p w14:paraId="6853DF29" w14:textId="77777777" w:rsidR="00F12D3C" w:rsidRPr="00D73767" w:rsidRDefault="00C4611D" w:rsidP="00B51542">
      <w:pPr>
        <w:jc w:val="center"/>
        <w:rPr>
          <w:b/>
        </w:rPr>
      </w:pPr>
      <w:r w:rsidRPr="00D73767">
        <w:rPr>
          <w:b/>
        </w:rPr>
        <w:t>Subject:</w:t>
      </w:r>
      <w:r w:rsidR="00AF1EFA" w:rsidRPr="00D73767">
        <w:rPr>
          <w:b/>
        </w:rPr>
        <w:t xml:space="preserve"> </w:t>
      </w:r>
      <w:r w:rsidR="00F12D3C" w:rsidRPr="00D73767">
        <w:rPr>
          <w:b/>
        </w:rPr>
        <w:t xml:space="preserve">Standard Capacity Product Amendment Filing </w:t>
      </w:r>
    </w:p>
    <w:p w14:paraId="74A51F67" w14:textId="77777777" w:rsidR="00F12D3C" w:rsidRPr="00D73767" w:rsidRDefault="00F12D3C" w:rsidP="00B51542">
      <w:pPr>
        <w:jc w:val="center"/>
        <w:rPr>
          <w:b/>
        </w:rPr>
      </w:pPr>
      <w:r w:rsidRPr="00D73767">
        <w:rPr>
          <w:b/>
        </w:rPr>
        <w:t>4</w:t>
      </w:r>
      <w:r w:rsidRPr="00D73767">
        <w:rPr>
          <w:b/>
          <w:vertAlign w:val="superscript"/>
        </w:rPr>
        <w:t>th</w:t>
      </w:r>
      <w:r w:rsidRPr="00D73767">
        <w:rPr>
          <w:b/>
        </w:rPr>
        <w:t xml:space="preserve"> Replacement CAISO Tariff- </w:t>
      </w:r>
    </w:p>
    <w:p w14:paraId="7DB2A7C1" w14:textId="77777777" w:rsidR="005E7E4A" w:rsidRPr="00D73767" w:rsidRDefault="00F12D3C" w:rsidP="00B51542">
      <w:pPr>
        <w:jc w:val="center"/>
        <w:rPr>
          <w:b/>
        </w:rPr>
      </w:pPr>
      <w:r w:rsidRPr="00D73767">
        <w:rPr>
          <w:b/>
        </w:rPr>
        <w:t>April 9, 2009</w:t>
      </w:r>
    </w:p>
    <w:p w14:paraId="49DA8256" w14:textId="77777777" w:rsidR="00F12D3C" w:rsidRDefault="00F12D3C" w:rsidP="00B51542">
      <w:pPr>
        <w:jc w:val="center"/>
        <w:rPr>
          <w:b/>
          <w:sz w:val="36"/>
          <w:szCs w:val="36"/>
        </w:rPr>
      </w:pPr>
    </w:p>
    <w:tbl>
      <w:tblPr>
        <w:tblStyle w:val="TableGrid"/>
        <w:tblpPr w:leftFromText="180" w:rightFromText="180" w:vertAnchor="page" w:horzAnchor="margin" w:tblpY="3241"/>
        <w:tblW w:w="9468" w:type="dxa"/>
        <w:shd w:val="clear" w:color="auto" w:fill="C0C0C0"/>
        <w:tblCellMar>
          <w:top w:w="29" w:type="dxa"/>
          <w:left w:w="115" w:type="dxa"/>
          <w:bottom w:w="29" w:type="dxa"/>
          <w:right w:w="115" w:type="dxa"/>
        </w:tblCellMar>
        <w:tblLook w:val="01E0" w:firstRow="1" w:lastRow="1" w:firstColumn="1" w:lastColumn="1" w:noHBand="0" w:noVBand="0"/>
      </w:tblPr>
      <w:tblGrid>
        <w:gridCol w:w="3175"/>
        <w:gridCol w:w="3953"/>
        <w:gridCol w:w="2340"/>
      </w:tblGrid>
      <w:tr w:rsidR="00E319DC" w14:paraId="4CAC2FB6" w14:textId="77777777" w:rsidTr="00C072BB">
        <w:trPr>
          <w:trHeight w:val="541"/>
        </w:trPr>
        <w:tc>
          <w:tcPr>
            <w:tcW w:w="3175" w:type="dxa"/>
            <w:shd w:val="clear" w:color="auto" w:fill="C0C0C0"/>
          </w:tcPr>
          <w:p w14:paraId="5EC6F462" w14:textId="77777777" w:rsidR="00E319DC" w:rsidRPr="009062C7" w:rsidRDefault="00E319DC" w:rsidP="00C072BB">
            <w:pPr>
              <w:jc w:val="both"/>
              <w:rPr>
                <w:b/>
              </w:rPr>
            </w:pPr>
            <w:r w:rsidRPr="009062C7">
              <w:rPr>
                <w:b/>
              </w:rPr>
              <w:t xml:space="preserve">Submitted by </w:t>
            </w:r>
          </w:p>
        </w:tc>
        <w:tc>
          <w:tcPr>
            <w:tcW w:w="3953" w:type="dxa"/>
            <w:shd w:val="clear" w:color="auto" w:fill="C0C0C0"/>
          </w:tcPr>
          <w:p w14:paraId="119A36F6" w14:textId="77777777" w:rsidR="00E319DC" w:rsidRPr="009062C7" w:rsidRDefault="00E319DC" w:rsidP="00C072BB">
            <w:pPr>
              <w:jc w:val="both"/>
              <w:rPr>
                <w:b/>
              </w:rPr>
            </w:pPr>
            <w:r w:rsidRPr="009062C7">
              <w:rPr>
                <w:b/>
              </w:rPr>
              <w:t>Company</w:t>
            </w:r>
          </w:p>
        </w:tc>
        <w:tc>
          <w:tcPr>
            <w:tcW w:w="2340" w:type="dxa"/>
            <w:shd w:val="clear" w:color="auto" w:fill="C0C0C0"/>
          </w:tcPr>
          <w:p w14:paraId="643B294C" w14:textId="77777777" w:rsidR="00E319DC" w:rsidRPr="009062C7" w:rsidRDefault="00E319DC" w:rsidP="00C072BB">
            <w:pPr>
              <w:jc w:val="both"/>
              <w:rPr>
                <w:b/>
              </w:rPr>
            </w:pPr>
            <w:r w:rsidRPr="009062C7">
              <w:rPr>
                <w:b/>
              </w:rPr>
              <w:t>Date Submitted</w:t>
            </w:r>
          </w:p>
        </w:tc>
      </w:tr>
      <w:tr w:rsidR="00E319DC" w14:paraId="6DE28FE8" w14:textId="77777777" w:rsidTr="00C072BB">
        <w:tblPrEx>
          <w:shd w:val="clear" w:color="auto" w:fill="auto"/>
        </w:tblPrEx>
        <w:trPr>
          <w:trHeight w:val="1083"/>
        </w:trPr>
        <w:tc>
          <w:tcPr>
            <w:tcW w:w="3175" w:type="dxa"/>
          </w:tcPr>
          <w:p w14:paraId="04AF3090" w14:textId="77777777" w:rsidR="00E319DC" w:rsidRDefault="00E319DC" w:rsidP="00C072BB">
            <w:pPr>
              <w:rPr>
                <w:i/>
              </w:rPr>
            </w:pPr>
            <w:r>
              <w:rPr>
                <w:i/>
              </w:rPr>
              <w:t>Kerry Hattevik</w:t>
            </w:r>
          </w:p>
          <w:p w14:paraId="4FE6B6D0" w14:textId="77777777" w:rsidR="00E319DC" w:rsidRPr="00762C18" w:rsidRDefault="00E319DC" w:rsidP="00C072BB">
            <w:pPr>
              <w:rPr>
                <w:i/>
              </w:rPr>
            </w:pPr>
            <w:r>
              <w:rPr>
                <w:i/>
              </w:rPr>
              <w:t>510 898-1847</w:t>
            </w:r>
          </w:p>
        </w:tc>
        <w:tc>
          <w:tcPr>
            <w:tcW w:w="3953" w:type="dxa"/>
          </w:tcPr>
          <w:p w14:paraId="610033BC" w14:textId="77777777" w:rsidR="00E319DC" w:rsidRPr="00762C18" w:rsidRDefault="00E319DC" w:rsidP="00C072BB">
            <w:pPr>
              <w:rPr>
                <w:i/>
              </w:rPr>
            </w:pPr>
            <w:r>
              <w:rPr>
                <w:i/>
              </w:rPr>
              <w:t>NRG Energy</w:t>
            </w:r>
          </w:p>
        </w:tc>
        <w:tc>
          <w:tcPr>
            <w:tcW w:w="2340" w:type="dxa"/>
          </w:tcPr>
          <w:p w14:paraId="5FCD9BE5" w14:textId="77777777" w:rsidR="00E319DC" w:rsidRPr="00762C18" w:rsidRDefault="00931DAE" w:rsidP="00C072BB">
            <w:pPr>
              <w:rPr>
                <w:i/>
              </w:rPr>
            </w:pPr>
            <w:r>
              <w:rPr>
                <w:i/>
              </w:rPr>
              <w:t>4/21</w:t>
            </w:r>
            <w:r w:rsidR="00E319DC">
              <w:rPr>
                <w:i/>
              </w:rPr>
              <w:t>/09</w:t>
            </w:r>
          </w:p>
        </w:tc>
      </w:tr>
    </w:tbl>
    <w:p w14:paraId="27B7B0D1" w14:textId="77777777" w:rsidR="00E319DC" w:rsidRDefault="00E319DC" w:rsidP="00E319DC">
      <w:pPr>
        <w:jc w:val="both"/>
      </w:pPr>
    </w:p>
    <w:p w14:paraId="4D070D61" w14:textId="77777777" w:rsidR="00D73767" w:rsidRDefault="00D73767" w:rsidP="00D73767">
      <w:pPr>
        <w:pStyle w:val="Default"/>
        <w:rPr>
          <w:sz w:val="23"/>
          <w:szCs w:val="23"/>
        </w:rPr>
      </w:pPr>
      <w:r>
        <w:rPr>
          <w:sz w:val="23"/>
          <w:szCs w:val="23"/>
        </w:rPr>
        <w:t>NRG Energy provides these comments on the CAISO’s Standard Capacity Product (“SCP”) Amendment Filing 4</w:t>
      </w:r>
      <w:r>
        <w:rPr>
          <w:position w:val="10"/>
          <w:sz w:val="23"/>
          <w:szCs w:val="23"/>
          <w:vertAlign w:val="superscript"/>
        </w:rPr>
        <w:t xml:space="preserve">th </w:t>
      </w:r>
      <w:r>
        <w:rPr>
          <w:sz w:val="23"/>
          <w:szCs w:val="23"/>
        </w:rPr>
        <w:t xml:space="preserve">Replacement CAISO Tariff (“SCP Tariff Amendment”), issued April 9, 2009. NRG appreciates this opportunity to review and provide input on the draft language of the SCP Tariff Amendment. NRG supports the CAISO initiative to standardize the capacity product but </w:t>
      </w:r>
      <w:r w:rsidR="00FD4A8F">
        <w:rPr>
          <w:sz w:val="23"/>
          <w:szCs w:val="23"/>
        </w:rPr>
        <w:t xml:space="preserve">requests </w:t>
      </w:r>
      <w:r>
        <w:rPr>
          <w:sz w:val="23"/>
          <w:szCs w:val="23"/>
        </w:rPr>
        <w:t>clarification and</w:t>
      </w:r>
      <w:r w:rsidR="00FD4A8F">
        <w:rPr>
          <w:sz w:val="23"/>
          <w:szCs w:val="23"/>
        </w:rPr>
        <w:t xml:space="preserve"> /</w:t>
      </w:r>
      <w:r>
        <w:rPr>
          <w:sz w:val="23"/>
          <w:szCs w:val="23"/>
        </w:rPr>
        <w:t xml:space="preserve">or modification on the following issues: </w:t>
      </w:r>
    </w:p>
    <w:p w14:paraId="229918B5" w14:textId="77777777" w:rsidR="00D73767" w:rsidRDefault="00D73767" w:rsidP="00D73767">
      <w:pPr>
        <w:pStyle w:val="Default"/>
        <w:rPr>
          <w:sz w:val="23"/>
          <w:szCs w:val="23"/>
        </w:rPr>
      </w:pPr>
    </w:p>
    <w:p w14:paraId="6655A2C1" w14:textId="77777777" w:rsidR="00D73767" w:rsidRDefault="00D73767" w:rsidP="00D73767">
      <w:pPr>
        <w:pStyle w:val="Default"/>
        <w:numPr>
          <w:ilvl w:val="0"/>
          <w:numId w:val="21"/>
        </w:numPr>
        <w:rPr>
          <w:sz w:val="23"/>
          <w:szCs w:val="23"/>
        </w:rPr>
      </w:pPr>
      <w:proofErr w:type="gramStart"/>
      <w:r>
        <w:rPr>
          <w:sz w:val="23"/>
          <w:szCs w:val="23"/>
        </w:rPr>
        <w:t>The CAISO</w:t>
      </w:r>
      <w:proofErr w:type="gramEnd"/>
      <w:r>
        <w:rPr>
          <w:sz w:val="23"/>
          <w:szCs w:val="23"/>
        </w:rPr>
        <w:t xml:space="preserve"> should c</w:t>
      </w:r>
      <w:r w:rsidR="00820BBE">
        <w:rPr>
          <w:sz w:val="23"/>
          <w:szCs w:val="23"/>
        </w:rPr>
        <w:t>larify the instances in which it</w:t>
      </w:r>
      <w:r>
        <w:rPr>
          <w:sz w:val="23"/>
          <w:szCs w:val="23"/>
        </w:rPr>
        <w:t xml:space="preserve"> will insert an Ancillary Services bid on behalf of a resource</w:t>
      </w:r>
      <w:r w:rsidR="00FD4A8F">
        <w:rPr>
          <w:sz w:val="23"/>
          <w:szCs w:val="23"/>
        </w:rPr>
        <w:t xml:space="preserve"> </w:t>
      </w:r>
      <w:proofErr w:type="gramStart"/>
      <w:r w:rsidR="00FD4A8F">
        <w:rPr>
          <w:sz w:val="23"/>
          <w:szCs w:val="23"/>
        </w:rPr>
        <w:t>owner;</w:t>
      </w:r>
      <w:proofErr w:type="gramEnd"/>
    </w:p>
    <w:p w14:paraId="7E51BF7E" w14:textId="77777777" w:rsidR="00D73767" w:rsidRDefault="00D73767" w:rsidP="00D73767">
      <w:pPr>
        <w:pStyle w:val="Default"/>
        <w:ind w:left="1080"/>
        <w:rPr>
          <w:sz w:val="23"/>
          <w:szCs w:val="23"/>
        </w:rPr>
      </w:pPr>
    </w:p>
    <w:p w14:paraId="212C4EDE" w14:textId="77777777" w:rsidR="00D73767" w:rsidRDefault="00D73767" w:rsidP="00D73767">
      <w:pPr>
        <w:pStyle w:val="Default"/>
        <w:numPr>
          <w:ilvl w:val="0"/>
          <w:numId w:val="21"/>
        </w:numPr>
        <w:rPr>
          <w:sz w:val="23"/>
          <w:szCs w:val="23"/>
        </w:rPr>
      </w:pPr>
      <w:r>
        <w:rPr>
          <w:sz w:val="23"/>
          <w:szCs w:val="23"/>
        </w:rPr>
        <w:t>The CAISO s</w:t>
      </w:r>
      <w:r w:rsidR="00FD4A8F">
        <w:rPr>
          <w:sz w:val="23"/>
          <w:szCs w:val="23"/>
        </w:rPr>
        <w:t>hould publish the M</w:t>
      </w:r>
      <w:r>
        <w:rPr>
          <w:sz w:val="23"/>
          <w:szCs w:val="23"/>
        </w:rPr>
        <w:t>onthly Availability Standard by July 1 so capacity buyers and sellers can consider the performance standard in tran</w:t>
      </w:r>
      <w:r w:rsidR="004A1563">
        <w:rPr>
          <w:sz w:val="23"/>
          <w:szCs w:val="23"/>
        </w:rPr>
        <w:t>s</w:t>
      </w:r>
      <w:r>
        <w:rPr>
          <w:sz w:val="23"/>
          <w:szCs w:val="23"/>
        </w:rPr>
        <w:t>actions;</w:t>
      </w:r>
      <w:r>
        <w:rPr>
          <w:sz w:val="23"/>
          <w:szCs w:val="23"/>
        </w:rPr>
        <w:br/>
      </w:r>
    </w:p>
    <w:p w14:paraId="3BDA6B7F" w14:textId="77777777" w:rsidR="001410D7" w:rsidRDefault="00D73767" w:rsidP="00D73767">
      <w:pPr>
        <w:pStyle w:val="Default"/>
        <w:numPr>
          <w:ilvl w:val="0"/>
          <w:numId w:val="21"/>
        </w:numPr>
        <w:rPr>
          <w:sz w:val="23"/>
          <w:szCs w:val="23"/>
        </w:rPr>
      </w:pPr>
      <w:r>
        <w:rPr>
          <w:sz w:val="23"/>
          <w:szCs w:val="23"/>
        </w:rPr>
        <w:t xml:space="preserve">The CAISO should consider </w:t>
      </w:r>
      <w:proofErr w:type="gramStart"/>
      <w:r>
        <w:rPr>
          <w:sz w:val="23"/>
          <w:szCs w:val="23"/>
        </w:rPr>
        <w:t>the Local</w:t>
      </w:r>
      <w:proofErr w:type="gramEnd"/>
      <w:r>
        <w:rPr>
          <w:sz w:val="23"/>
          <w:szCs w:val="23"/>
        </w:rPr>
        <w:t xml:space="preserve"> Capacity Resource</w:t>
      </w:r>
      <w:r w:rsidR="00B154BA">
        <w:rPr>
          <w:sz w:val="23"/>
          <w:szCs w:val="23"/>
        </w:rPr>
        <w:t>s</w:t>
      </w:r>
      <w:r>
        <w:rPr>
          <w:sz w:val="23"/>
          <w:szCs w:val="23"/>
        </w:rPr>
        <w:t xml:space="preserve"> not located at the same bus </w:t>
      </w:r>
      <w:proofErr w:type="gramStart"/>
      <w:r>
        <w:rPr>
          <w:sz w:val="23"/>
          <w:szCs w:val="23"/>
        </w:rPr>
        <w:t>in</w:t>
      </w:r>
      <w:proofErr w:type="gramEnd"/>
      <w:r>
        <w:rPr>
          <w:sz w:val="23"/>
          <w:szCs w:val="23"/>
        </w:rPr>
        <w:t xml:space="preserve"> its unit substitution pre-qualification process</w:t>
      </w:r>
      <w:r w:rsidR="00FD4A8F">
        <w:rPr>
          <w:sz w:val="23"/>
          <w:szCs w:val="23"/>
        </w:rPr>
        <w:t>;</w:t>
      </w:r>
      <w:r w:rsidR="001410D7">
        <w:rPr>
          <w:sz w:val="23"/>
          <w:szCs w:val="23"/>
        </w:rPr>
        <w:br/>
      </w:r>
    </w:p>
    <w:p w14:paraId="455AC09A" w14:textId="77777777" w:rsidR="00D73767" w:rsidRDefault="001410D7" w:rsidP="00D73767">
      <w:pPr>
        <w:pStyle w:val="Default"/>
        <w:numPr>
          <w:ilvl w:val="0"/>
          <w:numId w:val="21"/>
        </w:numPr>
        <w:rPr>
          <w:sz w:val="23"/>
          <w:szCs w:val="23"/>
        </w:rPr>
      </w:pPr>
      <w:r>
        <w:rPr>
          <w:sz w:val="23"/>
          <w:szCs w:val="23"/>
        </w:rPr>
        <w:t xml:space="preserve">Section 40.9.6.1 (1) should be clarified to only apply </w:t>
      </w:r>
      <w:r w:rsidR="00FD4A8F">
        <w:rPr>
          <w:sz w:val="23"/>
          <w:szCs w:val="23"/>
        </w:rPr>
        <w:t>non-performance penalties to the portion</w:t>
      </w:r>
      <w:r w:rsidR="00A9328D">
        <w:rPr>
          <w:sz w:val="23"/>
          <w:szCs w:val="23"/>
        </w:rPr>
        <w:t xml:space="preserve"> of the unit</w:t>
      </w:r>
      <w:r w:rsidR="00FD4A8F">
        <w:rPr>
          <w:sz w:val="23"/>
          <w:szCs w:val="23"/>
        </w:rPr>
        <w:t xml:space="preserve"> under a RA obligation; </w:t>
      </w:r>
      <w:r>
        <w:rPr>
          <w:sz w:val="23"/>
          <w:szCs w:val="23"/>
        </w:rPr>
        <w:br/>
      </w:r>
      <w:r w:rsidR="00783503">
        <w:rPr>
          <w:sz w:val="23"/>
          <w:szCs w:val="23"/>
        </w:rPr>
        <w:br/>
      </w:r>
    </w:p>
    <w:p w14:paraId="459BA924" w14:textId="77777777" w:rsidR="00D12683" w:rsidRPr="00783503" w:rsidRDefault="00783503" w:rsidP="00D86634">
      <w:pPr>
        <w:spacing w:after="120"/>
        <w:jc w:val="both"/>
        <w:rPr>
          <w:rFonts w:cs="Arial"/>
          <w:b/>
          <w:bCs/>
          <w:u w:val="single"/>
        </w:rPr>
      </w:pPr>
      <w:r w:rsidRPr="00043A29">
        <w:rPr>
          <w:rFonts w:cs="Arial"/>
          <w:b/>
          <w:bCs/>
        </w:rPr>
        <w:t>1.</w:t>
      </w:r>
      <w:r w:rsidRPr="00783503">
        <w:rPr>
          <w:rFonts w:cs="Arial"/>
          <w:b/>
          <w:bCs/>
          <w:u w:val="single"/>
        </w:rPr>
        <w:t xml:space="preserve"> Energ</w:t>
      </w:r>
      <w:r w:rsidR="0020252F">
        <w:rPr>
          <w:rFonts w:cs="Arial"/>
          <w:b/>
          <w:bCs/>
          <w:u w:val="single"/>
        </w:rPr>
        <w:t>y Self-Schedule Curtailment to M</w:t>
      </w:r>
      <w:r w:rsidRPr="00783503">
        <w:rPr>
          <w:rFonts w:cs="Arial"/>
          <w:b/>
          <w:bCs/>
          <w:u w:val="single"/>
        </w:rPr>
        <w:t>eet the Ancillary Services Requirements</w:t>
      </w:r>
      <w:r>
        <w:rPr>
          <w:rFonts w:cs="Arial"/>
          <w:b/>
          <w:bCs/>
          <w:u w:val="single"/>
        </w:rPr>
        <w:br/>
      </w:r>
    </w:p>
    <w:p w14:paraId="7FB491B5" w14:textId="77777777" w:rsidR="00FD4A8F" w:rsidRDefault="00D12683" w:rsidP="00783503">
      <w:pPr>
        <w:autoSpaceDE w:val="0"/>
        <w:autoSpaceDN w:val="0"/>
        <w:adjustRightInd w:val="0"/>
      </w:pPr>
      <w:r w:rsidRPr="00D12683">
        <w:t>Section 40.5.1(1)</w:t>
      </w:r>
      <w:r w:rsidR="00D743D3">
        <w:t xml:space="preserve"> </w:t>
      </w:r>
      <w:r w:rsidR="00783503">
        <w:t xml:space="preserve">(iv) and Section 40.6.1(4) provide that the CAISO will honor energy self </w:t>
      </w:r>
      <w:r w:rsidR="00DD485A">
        <w:t>schedules</w:t>
      </w:r>
      <w:r w:rsidR="00FD4A8F">
        <w:t xml:space="preserve"> unless </w:t>
      </w:r>
      <w:r w:rsidR="00783503">
        <w:t xml:space="preserve">the ISO is unable to meet its full ancillary service requirement. </w:t>
      </w:r>
      <w:r w:rsidR="00F300A5">
        <w:t xml:space="preserve">If the ISO reduces energy self schedules to provide ancillary </w:t>
      </w:r>
      <w:proofErr w:type="gramStart"/>
      <w:r w:rsidR="00F300A5">
        <w:t>services</w:t>
      </w:r>
      <w:proofErr w:type="gramEnd"/>
      <w:r w:rsidR="00F300A5">
        <w:t xml:space="preserve"> the draft tariff provides:</w:t>
      </w:r>
    </w:p>
    <w:p w14:paraId="4D46BF78" w14:textId="77777777" w:rsidR="00FD4A8F" w:rsidRDefault="00783503" w:rsidP="00FD4A8F">
      <w:pPr>
        <w:autoSpaceDE w:val="0"/>
        <w:autoSpaceDN w:val="0"/>
        <w:adjustRightInd w:val="0"/>
        <w:ind w:left="900"/>
      </w:pPr>
      <w:proofErr w:type="gramStart"/>
      <w:r w:rsidRPr="00783503">
        <w:rPr>
          <w:i/>
        </w:rPr>
        <w:t>the</w:t>
      </w:r>
      <w:proofErr w:type="gramEnd"/>
      <w:r w:rsidRPr="00783503">
        <w:rPr>
          <w:i/>
        </w:rPr>
        <w:t xml:space="preserve"> Ancillary Service Marginal Price for that Ancillary Service will be calculated in accordance with Section 27.1.2 using the Ancillary Service Bids submitted by the Scheduling Coordinator for the Resource Adequacy Resource or inserted by the CAISO pursuant to this Section </w:t>
      </w:r>
      <w:proofErr w:type="gramStart"/>
      <w:r w:rsidRPr="00783503">
        <w:rPr>
          <w:i/>
        </w:rPr>
        <w:t>40.6.1, and</w:t>
      </w:r>
      <w:proofErr w:type="gramEnd"/>
      <w:r w:rsidRPr="00783503">
        <w:rPr>
          <w:i/>
        </w:rPr>
        <w:t xml:space="preserve"> using the resource’s Default Energy Bid to determine the Resource Adequacy Resource’s opportunity cost of Energy.</w:t>
      </w:r>
      <w:r w:rsidRPr="00783503">
        <w:br/>
      </w:r>
    </w:p>
    <w:p w14:paraId="2E2C3C08" w14:textId="77777777" w:rsidR="00D12683" w:rsidRPr="004A1563" w:rsidRDefault="00783503" w:rsidP="00FD4A8F">
      <w:pPr>
        <w:autoSpaceDE w:val="0"/>
        <w:autoSpaceDN w:val="0"/>
        <w:adjustRightInd w:val="0"/>
        <w:rPr>
          <w:b/>
          <w:u w:val="single"/>
        </w:rPr>
      </w:pPr>
      <w:proofErr w:type="gramStart"/>
      <w:r>
        <w:lastRenderedPageBreak/>
        <w:t>T</w:t>
      </w:r>
      <w:r w:rsidR="00D12683" w:rsidRPr="00D12683">
        <w:t>he CAISO</w:t>
      </w:r>
      <w:proofErr w:type="gramEnd"/>
      <w:r w:rsidR="00D12683" w:rsidRPr="00D12683">
        <w:t xml:space="preserve"> should clarify the instances in which it will use the submitted ancillary services bid and when it will insert the bid for the resource owner.</w:t>
      </w:r>
      <w:r w:rsidR="00D12683">
        <w:br/>
      </w:r>
    </w:p>
    <w:p w14:paraId="7207C5C9" w14:textId="77777777" w:rsidR="00D12683" w:rsidRPr="00F7670A" w:rsidRDefault="004A1563" w:rsidP="00FD4A8F">
      <w:pPr>
        <w:numPr>
          <w:ilvl w:val="0"/>
          <w:numId w:val="22"/>
        </w:numPr>
        <w:tabs>
          <w:tab w:val="clear" w:pos="720"/>
          <w:tab w:val="num" w:pos="0"/>
        </w:tabs>
        <w:ind w:left="0" w:firstLine="0"/>
        <w:rPr>
          <w:b/>
          <w:u w:val="single"/>
        </w:rPr>
      </w:pPr>
      <w:r w:rsidRPr="004A1563">
        <w:rPr>
          <w:b/>
          <w:u w:val="single"/>
        </w:rPr>
        <w:t>The CAISO</w:t>
      </w:r>
      <w:r w:rsidRPr="004A1563">
        <w:rPr>
          <w:b/>
          <w:sz w:val="23"/>
          <w:szCs w:val="23"/>
          <w:u w:val="single"/>
        </w:rPr>
        <w:t xml:space="preserve"> </w:t>
      </w:r>
      <w:r w:rsidR="0020252F">
        <w:rPr>
          <w:b/>
          <w:sz w:val="23"/>
          <w:szCs w:val="23"/>
          <w:u w:val="single"/>
        </w:rPr>
        <w:t xml:space="preserve">Should </w:t>
      </w:r>
      <w:r>
        <w:rPr>
          <w:b/>
          <w:sz w:val="23"/>
          <w:szCs w:val="23"/>
          <w:u w:val="single"/>
        </w:rPr>
        <w:t>Publish the M</w:t>
      </w:r>
      <w:r w:rsidRPr="004A1563">
        <w:rPr>
          <w:b/>
          <w:sz w:val="23"/>
          <w:szCs w:val="23"/>
          <w:u w:val="single"/>
        </w:rPr>
        <w:t>onthly Availability Standard by July 1</w:t>
      </w:r>
      <w:r>
        <w:rPr>
          <w:sz w:val="23"/>
          <w:szCs w:val="23"/>
        </w:rPr>
        <w:t xml:space="preserve"> </w:t>
      </w:r>
      <w:r>
        <w:rPr>
          <w:sz w:val="23"/>
          <w:szCs w:val="23"/>
        </w:rPr>
        <w:br/>
      </w:r>
      <w:r>
        <w:t xml:space="preserve"> </w:t>
      </w:r>
      <w:r>
        <w:br/>
        <w:t>40.9.4.1 states</w:t>
      </w:r>
      <w:r w:rsidR="00D12683" w:rsidRPr="00D12683">
        <w:t xml:space="preserve"> </w:t>
      </w:r>
      <w:r w:rsidR="00D12683" w:rsidRPr="0020252F">
        <w:rPr>
          <w:i/>
        </w:rPr>
        <w:t>“The CAISO shall calculate and publish the monthly Availability Standards for the next Resource Adequacy Compliance Year in accordance with the schedule set forth in the Business Practice Manual</w:t>
      </w:r>
      <w:r w:rsidR="00D12683" w:rsidRPr="00D12683">
        <w:t xml:space="preserve">.”  </w:t>
      </w:r>
      <w:r>
        <w:t>NRG maintains</w:t>
      </w:r>
      <w:r w:rsidR="00FD4A8F">
        <w:t xml:space="preserve"> that</w:t>
      </w:r>
      <w:r w:rsidR="00D12683">
        <w:t xml:space="preserve"> it </w:t>
      </w:r>
      <w:r>
        <w:t xml:space="preserve">is </w:t>
      </w:r>
      <w:r w:rsidR="00D12683">
        <w:t xml:space="preserve">critical to establish a date for publication </w:t>
      </w:r>
      <w:r w:rsidR="00FD4A8F">
        <w:t>to allow sufficient time for transacting parties to</w:t>
      </w:r>
      <w:r w:rsidR="00D12683">
        <w:t xml:space="preserve"> analyze</w:t>
      </w:r>
      <w:r>
        <w:t xml:space="preserve"> the </w:t>
      </w:r>
      <w:r w:rsidR="001623E3">
        <w:t>performance risks</w:t>
      </w:r>
      <w:r w:rsidR="00D12683">
        <w:t>. Therefore</w:t>
      </w:r>
      <w:r w:rsidR="001623E3">
        <w:t>, the tariff should specify</w:t>
      </w:r>
      <w:r w:rsidR="00D12683">
        <w:t xml:space="preserve"> that the </w:t>
      </w:r>
      <w:r w:rsidR="001623E3">
        <w:t xml:space="preserve">ISO </w:t>
      </w:r>
      <w:r w:rsidR="00D12683">
        <w:t xml:space="preserve">will publish the availability standard </w:t>
      </w:r>
      <w:r w:rsidR="00D12683" w:rsidRPr="00D12683">
        <w:t>“no later than July 1”</w:t>
      </w:r>
      <w:r w:rsidR="00D12683">
        <w:t>.</w:t>
      </w:r>
      <w:r w:rsidR="005A761F">
        <w:br/>
      </w:r>
    </w:p>
    <w:p w14:paraId="2F3BA9C8" w14:textId="77777777" w:rsidR="00263574" w:rsidRPr="00D12683" w:rsidRDefault="00F7670A" w:rsidP="00FD4A8F">
      <w:pPr>
        <w:numPr>
          <w:ilvl w:val="0"/>
          <w:numId w:val="22"/>
        </w:numPr>
        <w:ind w:hanging="720"/>
      </w:pPr>
      <w:r w:rsidRPr="00F7670A">
        <w:rPr>
          <w:b/>
          <w:u w:val="single"/>
        </w:rPr>
        <w:t>Section 40.9.4.2.1</w:t>
      </w:r>
      <w:r>
        <w:rPr>
          <w:b/>
          <w:u w:val="single"/>
        </w:rPr>
        <w:t xml:space="preserve"> Should Provide that </w:t>
      </w:r>
      <w:r w:rsidR="00263574">
        <w:rPr>
          <w:b/>
          <w:u w:val="single"/>
        </w:rPr>
        <w:t xml:space="preserve">Local Capacity Resources be considered for Unit Substitution in the Pre-Qualification Process </w:t>
      </w:r>
    </w:p>
    <w:p w14:paraId="1EED1794" w14:textId="77777777" w:rsidR="005A761F" w:rsidRDefault="005A761F" w:rsidP="005A761F">
      <w:pPr>
        <w:rPr>
          <w:rFonts w:ascii="Garamond" w:hAnsi="Garamond"/>
          <w:b/>
          <w:bCs/>
          <w:color w:val="0000FF"/>
          <w:sz w:val="28"/>
          <w:szCs w:val="28"/>
        </w:rPr>
      </w:pPr>
    </w:p>
    <w:p w14:paraId="08AE4BE8" w14:textId="77777777" w:rsidR="00DD38DA" w:rsidRPr="00DD38DA" w:rsidRDefault="0020252F" w:rsidP="00FD4A8F">
      <w:pPr>
        <w:spacing w:after="120"/>
        <w:ind w:left="360"/>
        <w:rPr>
          <w:bCs/>
        </w:rPr>
      </w:pPr>
      <w:r>
        <w:t xml:space="preserve">NRG requests modification of the </w:t>
      </w:r>
      <w:r w:rsidR="001E219A" w:rsidRPr="00DD38DA">
        <w:t>paragraph</w:t>
      </w:r>
      <w:r w:rsidR="00FD4A8F">
        <w:t xml:space="preserve"> to aid </w:t>
      </w:r>
      <w:r w:rsidR="00DD38DA" w:rsidRPr="00DD38DA">
        <w:t>capacity ow</w:t>
      </w:r>
      <w:r w:rsidR="001E219A" w:rsidRPr="00DD38DA">
        <w:t>ner</w:t>
      </w:r>
      <w:r w:rsidR="00F7670A">
        <w:t>s in estimating</w:t>
      </w:r>
      <w:r w:rsidR="001E219A" w:rsidRPr="00DD38DA">
        <w:t xml:space="preserve"> the likelihood </w:t>
      </w:r>
      <w:r w:rsidR="00DD38DA" w:rsidRPr="00DD38DA">
        <w:t xml:space="preserve">that the ISO will approve a unit substitution. The </w:t>
      </w:r>
      <w:r w:rsidR="00F7670A">
        <w:t xml:space="preserve">Draft </w:t>
      </w:r>
      <w:r w:rsidR="00DD38DA" w:rsidRPr="00DD38DA">
        <w:t>tariff states:</w:t>
      </w:r>
      <w:r w:rsidR="00F7670A">
        <w:br/>
      </w:r>
    </w:p>
    <w:p w14:paraId="21A2AD2B" w14:textId="77777777" w:rsidR="00DD38DA" w:rsidRPr="00F7670A" w:rsidRDefault="00DD38DA" w:rsidP="00DD38DA">
      <w:pPr>
        <w:autoSpaceDE w:val="0"/>
        <w:autoSpaceDN w:val="0"/>
        <w:adjustRightInd w:val="0"/>
        <w:ind w:left="1440"/>
        <w:rPr>
          <w:i/>
        </w:rPr>
      </w:pPr>
      <w:r w:rsidRPr="00F7670A">
        <w:rPr>
          <w:i/>
        </w:rPr>
        <w:t xml:space="preserve">If the alternate resource is located </w:t>
      </w:r>
      <w:proofErr w:type="gramStart"/>
      <w:r w:rsidRPr="00F7670A">
        <w:rPr>
          <w:i/>
        </w:rPr>
        <w:t>at</w:t>
      </w:r>
      <w:proofErr w:type="gramEnd"/>
      <w:r w:rsidRPr="00F7670A">
        <w:rPr>
          <w:i/>
        </w:rPr>
        <w:t xml:space="preserve"> the same bus as the Resource Adequacy Resource it would replace and </w:t>
      </w:r>
      <w:proofErr w:type="gramStart"/>
      <w:r w:rsidRPr="00F7670A">
        <w:rPr>
          <w:i/>
        </w:rPr>
        <w:t>has</w:t>
      </w:r>
      <w:proofErr w:type="gramEnd"/>
      <w:r w:rsidRPr="00F7670A">
        <w:rPr>
          <w:i/>
        </w:rPr>
        <w:t xml:space="preserve"> similar operational characteristics, the CAISO will approve the pre-qualification request as a substitute resource for use in the subsequent Resource Adequacy Compliance Year.</w:t>
      </w:r>
      <w:r w:rsidRPr="00F7670A">
        <w:rPr>
          <w:i/>
        </w:rPr>
        <w:br/>
      </w:r>
    </w:p>
    <w:p w14:paraId="78DA12B3" w14:textId="77777777" w:rsidR="00DD38DA" w:rsidRPr="00DD38DA" w:rsidRDefault="00DD38DA" w:rsidP="00DD38DA">
      <w:pPr>
        <w:spacing w:after="120"/>
        <w:jc w:val="both"/>
      </w:pPr>
      <w:r w:rsidRPr="00DD38DA">
        <w:t>However, the CAISO provides that:</w:t>
      </w:r>
    </w:p>
    <w:p w14:paraId="610C5330" w14:textId="77777777" w:rsidR="00DD38DA" w:rsidRPr="00F7670A" w:rsidRDefault="00DD38DA" w:rsidP="00DD38DA">
      <w:pPr>
        <w:autoSpaceDE w:val="0"/>
        <w:autoSpaceDN w:val="0"/>
        <w:adjustRightInd w:val="0"/>
        <w:ind w:left="1440"/>
        <w:rPr>
          <w:i/>
        </w:rPr>
      </w:pPr>
      <w:r w:rsidRPr="00F7670A">
        <w:rPr>
          <w:i/>
        </w:rPr>
        <w:t xml:space="preserve">Additionally, when a Local Capacity Area Resource Adequacy Resource subsequently has a Forced Outage or de-rate, the Scheduling Coordinator may request to substitute a non-pre-qualified resource. The CAISO will grant the request if the alternate resource is (i) located at the same bus and meets the CAISO’s operational needs, or (ii) if not located at the same bus, is located in the same Local Capacity Area, and which meets the CAISO’s effectiveness and operational needs, including size of resource, as determined by the CAISO in its reasonable discretion. </w:t>
      </w:r>
    </w:p>
    <w:p w14:paraId="30E04383" w14:textId="77777777" w:rsidR="00DD38DA" w:rsidRDefault="00DD38DA" w:rsidP="00DD38DA">
      <w:pPr>
        <w:spacing w:after="120"/>
        <w:ind w:left="360"/>
        <w:jc w:val="both"/>
        <w:rPr>
          <w:bCs/>
        </w:rPr>
      </w:pPr>
    </w:p>
    <w:p w14:paraId="268AC1B9" w14:textId="77777777" w:rsidR="00D12683" w:rsidRDefault="00DD38DA" w:rsidP="00DD38DA">
      <w:pPr>
        <w:spacing w:after="120"/>
        <w:ind w:left="360"/>
        <w:jc w:val="both"/>
      </w:pPr>
      <w:r>
        <w:rPr>
          <w:bCs/>
        </w:rPr>
        <w:t xml:space="preserve">NRG requests that the ISO include the ability to apply for pre-qualification of a capacity resource that </w:t>
      </w:r>
      <w:proofErr w:type="gramStart"/>
      <w:r>
        <w:rPr>
          <w:bCs/>
        </w:rPr>
        <w:t>is located in</w:t>
      </w:r>
      <w:proofErr w:type="gramEnd"/>
      <w:r>
        <w:rPr>
          <w:bCs/>
        </w:rPr>
        <w:t xml:space="preserve"> the same Local Capacity Area but may not be connected </w:t>
      </w:r>
      <w:proofErr w:type="gramStart"/>
      <w:r>
        <w:rPr>
          <w:bCs/>
        </w:rPr>
        <w:t>at</w:t>
      </w:r>
      <w:proofErr w:type="gramEnd"/>
      <w:r>
        <w:rPr>
          <w:bCs/>
        </w:rPr>
        <w:t xml:space="preserve"> the sam</w:t>
      </w:r>
      <w:r w:rsidR="00F7670A">
        <w:rPr>
          <w:bCs/>
        </w:rPr>
        <w:t>e bus. The reason for this reque</w:t>
      </w:r>
      <w:r>
        <w:rPr>
          <w:bCs/>
        </w:rPr>
        <w:t xml:space="preserve">st </w:t>
      </w:r>
      <w:r w:rsidRPr="00B312BE">
        <w:rPr>
          <w:bCs/>
        </w:rPr>
        <w:t>is that</w:t>
      </w:r>
      <w:r w:rsidR="00FD4A8F">
        <w:rPr>
          <w:bCs/>
        </w:rPr>
        <w:t>,</w:t>
      </w:r>
      <w:r w:rsidRPr="00B312BE">
        <w:rPr>
          <w:bCs/>
        </w:rPr>
        <w:t xml:space="preserve"> as written</w:t>
      </w:r>
      <w:r w:rsidR="00FD4A8F">
        <w:rPr>
          <w:bCs/>
        </w:rPr>
        <w:t>,</w:t>
      </w:r>
      <w:r w:rsidRPr="00B312BE">
        <w:rPr>
          <w:bCs/>
        </w:rPr>
        <w:t xml:space="preserve"> a c</w:t>
      </w:r>
      <w:r w:rsidR="00D73767">
        <w:rPr>
          <w:bCs/>
        </w:rPr>
        <w:t>apacity supplier has uncertaint</w:t>
      </w:r>
      <w:r w:rsidRPr="00B312BE">
        <w:rPr>
          <w:bCs/>
        </w:rPr>
        <w:t xml:space="preserve">y about the ability to </w:t>
      </w:r>
      <w:r w:rsidR="00F7670A">
        <w:rPr>
          <w:bCs/>
        </w:rPr>
        <w:t>substitute a local resource in a</w:t>
      </w:r>
      <w:r w:rsidRPr="00B312BE">
        <w:rPr>
          <w:bCs/>
        </w:rPr>
        <w:t xml:space="preserve"> forward timeframe. </w:t>
      </w:r>
      <w:r w:rsidR="00F7670A">
        <w:t xml:space="preserve">This uncertainty will </w:t>
      </w:r>
      <w:r w:rsidR="005A761F" w:rsidRPr="00B312BE">
        <w:t xml:space="preserve">lead the generator to assume less flexibility for unit substitution when assessing the risk of outage penalty when pricing the </w:t>
      </w:r>
      <w:r w:rsidR="00F7670A">
        <w:t xml:space="preserve">capacity </w:t>
      </w:r>
      <w:r w:rsidR="005A761F" w:rsidRPr="00B312BE">
        <w:t xml:space="preserve">product. </w:t>
      </w:r>
      <w:r w:rsidRPr="00B312BE">
        <w:t xml:space="preserve"> Consideration of local area substitution in the pre-qualification process will </w:t>
      </w:r>
      <w:r w:rsidR="00B312BE" w:rsidRPr="00B312BE">
        <w:t>allow suppli</w:t>
      </w:r>
      <w:r w:rsidR="00D73767">
        <w:t xml:space="preserve">ers to know the risks of </w:t>
      </w:r>
      <w:proofErr w:type="gramStart"/>
      <w:r w:rsidR="00D73767">
        <w:t>an out</w:t>
      </w:r>
      <w:r w:rsidR="00B312BE" w:rsidRPr="00B312BE">
        <w:t>a</w:t>
      </w:r>
      <w:r w:rsidR="00D73767">
        <w:t>g</w:t>
      </w:r>
      <w:r w:rsidR="00B312BE" w:rsidRPr="00B312BE">
        <w:t>es</w:t>
      </w:r>
      <w:proofErr w:type="gramEnd"/>
      <w:r w:rsidR="00B312BE" w:rsidRPr="00B312BE">
        <w:t xml:space="preserve"> and the ability to hedge that risk when pricing the capacity product. </w:t>
      </w:r>
    </w:p>
    <w:p w14:paraId="34369479" w14:textId="77777777" w:rsidR="00043A29" w:rsidRPr="00043A29" w:rsidRDefault="00043A29" w:rsidP="00DD38DA">
      <w:pPr>
        <w:spacing w:after="120"/>
        <w:ind w:left="360"/>
        <w:jc w:val="both"/>
      </w:pPr>
    </w:p>
    <w:p w14:paraId="2CEABDA0" w14:textId="77777777" w:rsidR="00043A29" w:rsidRDefault="00DD485A" w:rsidP="00223D2F">
      <w:pPr>
        <w:numPr>
          <w:ilvl w:val="0"/>
          <w:numId w:val="22"/>
        </w:numPr>
        <w:tabs>
          <w:tab w:val="clear" w:pos="720"/>
        </w:tabs>
        <w:ind w:left="0" w:firstLine="0"/>
      </w:pPr>
      <w:r w:rsidRPr="00043A29">
        <w:rPr>
          <w:b/>
          <w:u w:val="single"/>
        </w:rPr>
        <w:lastRenderedPageBreak/>
        <w:t>The Determination of Resource Adequacy Capacity Subject to Non-Availability Charges</w:t>
      </w:r>
      <w:r>
        <w:rPr>
          <w:b/>
          <w:u w:val="single"/>
        </w:rPr>
        <w:t xml:space="preserve"> Requires Clarifica</w:t>
      </w:r>
      <w:r w:rsidRPr="00043A29">
        <w:rPr>
          <w:b/>
          <w:u w:val="single"/>
        </w:rPr>
        <w:t>tion</w:t>
      </w:r>
      <w:r>
        <w:t xml:space="preserve"> </w:t>
      </w:r>
      <w:r>
        <w:br/>
      </w:r>
      <w:r>
        <w:br/>
      </w:r>
      <w:r w:rsidRPr="00043A29">
        <w:t xml:space="preserve"> Section 40.9.6.1 (1) </w:t>
      </w:r>
      <w:r>
        <w:t>States that i</w:t>
      </w:r>
      <w:r w:rsidRPr="00043A29">
        <w:t xml:space="preserve">f a unit is available less than 50% of the month, the non-availability charge will apply to the entire capacity of the resource. </w:t>
      </w:r>
      <w:r>
        <w:br/>
      </w:r>
      <w:r>
        <w:br/>
      </w:r>
      <w:r w:rsidR="00043A29">
        <w:t xml:space="preserve">The ISO </w:t>
      </w:r>
      <w:r w:rsidR="00FD4A8F">
        <w:t xml:space="preserve">should </w:t>
      </w:r>
      <w:r w:rsidR="00043A29">
        <w:t>clarify how this provision would be applied to a capacity resource with only a partial capacity commitment</w:t>
      </w:r>
      <w:r w:rsidR="001410D7">
        <w:t xml:space="preserve"> where </w:t>
      </w:r>
      <w:r w:rsidR="00223D2F">
        <w:t>there is no obligation to offer</w:t>
      </w:r>
      <w:r w:rsidR="001410D7">
        <w:t xml:space="preserve"> the entire unit’s capacity. If a capacity resource is forced out for 50% of the month the non-Availability charges should be ap</w:t>
      </w:r>
      <w:r w:rsidR="00223D2F">
        <w:t xml:space="preserve">plicable </w:t>
      </w:r>
      <w:r w:rsidR="001410D7">
        <w:t>o</w:t>
      </w:r>
      <w:r w:rsidR="00FD4A8F">
        <w:t>nly</w:t>
      </w:r>
      <w:r w:rsidR="00223D2F">
        <w:t xml:space="preserve"> to</w:t>
      </w:r>
      <w:r w:rsidR="00FD4A8F">
        <w:t xml:space="preserve"> t</w:t>
      </w:r>
      <w:r w:rsidR="0038201E">
        <w:t>he portion of the unit that has</w:t>
      </w:r>
      <w:r w:rsidR="001410D7">
        <w:t xml:space="preserve"> </w:t>
      </w:r>
      <w:proofErr w:type="gramStart"/>
      <w:r w:rsidR="001410D7">
        <w:t>a RA</w:t>
      </w:r>
      <w:proofErr w:type="gramEnd"/>
      <w:r w:rsidR="001410D7">
        <w:t xml:space="preserve"> obligation. </w:t>
      </w:r>
    </w:p>
    <w:p w14:paraId="44796A88" w14:textId="77777777" w:rsidR="00FD4A8F" w:rsidRDefault="00FD4A8F" w:rsidP="00FD4A8F">
      <w:pPr>
        <w:ind w:left="360"/>
        <w:rPr>
          <w:b/>
          <w:u w:val="single"/>
        </w:rPr>
      </w:pPr>
    </w:p>
    <w:p w14:paraId="00F8C138" w14:textId="77777777" w:rsidR="00C306BF" w:rsidRDefault="0038201E" w:rsidP="00223D2F">
      <w:pPr>
        <w:rPr>
          <w:b/>
          <w:u w:val="single"/>
        </w:rPr>
      </w:pPr>
      <w:r>
        <w:rPr>
          <w:b/>
          <w:u w:val="single"/>
        </w:rPr>
        <w:t xml:space="preserve">Other </w:t>
      </w:r>
      <w:r w:rsidR="00C306BF">
        <w:rPr>
          <w:b/>
          <w:u w:val="single"/>
        </w:rPr>
        <w:t>Issues</w:t>
      </w:r>
    </w:p>
    <w:p w14:paraId="621944B4" w14:textId="77777777" w:rsidR="00223D2F" w:rsidRDefault="00223D2F" w:rsidP="00FD4A8F">
      <w:pPr>
        <w:ind w:left="360"/>
      </w:pPr>
    </w:p>
    <w:p w14:paraId="7E6D928B" w14:textId="77777777" w:rsidR="0038201E" w:rsidRDefault="0038201E" w:rsidP="00223D2F">
      <w:r>
        <w:t xml:space="preserve">While not raised specifically in relation to the </w:t>
      </w:r>
      <w:r>
        <w:rPr>
          <w:sz w:val="23"/>
          <w:szCs w:val="23"/>
        </w:rPr>
        <w:t>SCP Tariff Amendment, NRG continues to have broader concerns with the SCE proposal that we plan to raise in our comments to FERC. Therefore, while we submit these comments to provide constructive feedback on the SCP Tariff Amendment, we retain the right to highlight additional issues at FERC as discussed further below.</w:t>
      </w:r>
    </w:p>
    <w:p w14:paraId="4C9BCC0A" w14:textId="77777777" w:rsidR="0038201E" w:rsidRDefault="0038201E" w:rsidP="00FD4A8F">
      <w:pPr>
        <w:ind w:left="360"/>
      </w:pPr>
    </w:p>
    <w:p w14:paraId="0FEF8B0E" w14:textId="77777777" w:rsidR="00C306BF" w:rsidRDefault="00C306BF" w:rsidP="00223D2F">
      <w:pPr>
        <w:rPr>
          <w:b/>
          <w:u w:val="single"/>
        </w:rPr>
      </w:pPr>
      <w:r w:rsidRPr="00C306BF">
        <w:t>While</w:t>
      </w:r>
      <w:r>
        <w:t xml:space="preserve"> NRG </w:t>
      </w:r>
      <w:r w:rsidR="003A22A2">
        <w:t xml:space="preserve">understands the ISO’s reasoning for the Ancillary Services must offer and does not oppose the requirement for RA resources, NRG </w:t>
      </w:r>
      <w:r w:rsidR="007340C8">
        <w:t xml:space="preserve">plans to </w:t>
      </w:r>
      <w:r w:rsidR="003A22A2">
        <w:t xml:space="preserve">request that FERC be clear </w:t>
      </w:r>
      <w:r w:rsidR="007340C8">
        <w:t>that units bound by the AS must offer retain full bidding flexibility up to the bid cap to reflect operating constraints</w:t>
      </w:r>
      <w:r w:rsidR="0038201E">
        <w:t xml:space="preserve"> of generating units</w:t>
      </w:r>
      <w:r w:rsidR="007340C8">
        <w:t xml:space="preserve">. </w:t>
      </w:r>
      <w:r w:rsidR="00C129B9">
        <w:t>In addition, w</w:t>
      </w:r>
      <w:r w:rsidR="0038201E">
        <w:t xml:space="preserve">ith the implementation of the AS must offer, there exists no reason for further delay </w:t>
      </w:r>
      <w:r w:rsidR="00C129B9">
        <w:t xml:space="preserve">in </w:t>
      </w:r>
      <w:r w:rsidR="0038201E">
        <w:t xml:space="preserve">implementing scarcity pricing.  </w:t>
      </w:r>
      <w:r w:rsidR="00C129B9">
        <w:t>W</w:t>
      </w:r>
      <w:r w:rsidR="007340C8">
        <w:t>hile NRG understand</w:t>
      </w:r>
      <w:r w:rsidR="0038201E">
        <w:t>s</w:t>
      </w:r>
      <w:r w:rsidR="007340C8">
        <w:t xml:space="preserve"> the various constraints in the initial implementation of the SCP, NRG continues</w:t>
      </w:r>
      <w:r w:rsidR="0038201E">
        <w:t xml:space="preserve"> to have concerns with</w:t>
      </w:r>
      <w:r w:rsidR="007340C8">
        <w:t xml:space="preserve"> exempting hydro, QFs, intermittent, and demand response capacity resources from performance requirements. NRG believes the ISO should establish a date by which all capacity resource</w:t>
      </w:r>
      <w:r w:rsidR="0038201E">
        <w:t>s</w:t>
      </w:r>
      <w:r w:rsidR="007340C8">
        <w:t xml:space="preserve"> will have performance standards comparable </w:t>
      </w:r>
      <w:r w:rsidR="0038201E">
        <w:t xml:space="preserve">to fossil resources. </w:t>
      </w:r>
      <w:r w:rsidR="00C129B9">
        <w:t xml:space="preserve">In addition, </w:t>
      </w:r>
      <w:r w:rsidR="007340C8">
        <w:t xml:space="preserve">NRG will request that the FERC set a date by which </w:t>
      </w:r>
      <w:r w:rsidR="0038201E">
        <w:t>GADs data will have to be submitted by all quali</w:t>
      </w:r>
      <w:r w:rsidR="00223D2F">
        <w:t xml:space="preserve">fied capacity resources and </w:t>
      </w:r>
      <w:r w:rsidR="0038201E">
        <w:t>capacity resources will be tested by the ISO for ambient temperature de-rates to establish a net qualifying capacity quantity. At that time, GADs data should supplant SLIC for use in assessing performance.</w:t>
      </w:r>
      <w:r w:rsidR="007340C8">
        <w:t xml:space="preserve"> </w:t>
      </w:r>
      <w:r w:rsidR="003A22A2">
        <w:t xml:space="preserve"> </w:t>
      </w:r>
      <w:r w:rsidR="0038201E">
        <w:br/>
      </w:r>
    </w:p>
    <w:p w14:paraId="73B64F61" w14:textId="77777777" w:rsidR="00FD4A8F" w:rsidRDefault="00FD4A8F" w:rsidP="00223D2F">
      <w:pPr>
        <w:rPr>
          <w:b/>
          <w:u w:val="single"/>
        </w:rPr>
      </w:pPr>
      <w:r>
        <w:rPr>
          <w:b/>
          <w:u w:val="single"/>
        </w:rPr>
        <w:t>Conclusion</w:t>
      </w:r>
    </w:p>
    <w:p w14:paraId="34103E64" w14:textId="77777777" w:rsidR="00223D2F" w:rsidRDefault="00223D2F" w:rsidP="00FD4A8F">
      <w:pPr>
        <w:ind w:left="360"/>
      </w:pPr>
    </w:p>
    <w:p w14:paraId="6E36496F" w14:textId="77777777" w:rsidR="00FD4A8F" w:rsidRPr="00FD4A8F" w:rsidRDefault="00FD4A8F" w:rsidP="00223D2F">
      <w:pPr>
        <w:ind w:left="360" w:hanging="360"/>
      </w:pPr>
      <w:r w:rsidRPr="00FD4A8F">
        <w:t>NRG</w:t>
      </w:r>
      <w:r>
        <w:t xml:space="preserve"> appreciates the opportunity to </w:t>
      </w:r>
      <w:proofErr w:type="gramStart"/>
      <w:r>
        <w:t>comments</w:t>
      </w:r>
      <w:proofErr w:type="gramEnd"/>
      <w:r>
        <w:t xml:space="preserve"> on the CAISO </w:t>
      </w:r>
      <w:r>
        <w:rPr>
          <w:sz w:val="23"/>
          <w:szCs w:val="23"/>
        </w:rPr>
        <w:t>SCP Tariff Amendment.</w:t>
      </w:r>
    </w:p>
    <w:p w14:paraId="33AC0FA0" w14:textId="77777777" w:rsidR="00043A29" w:rsidRPr="005A761F" w:rsidRDefault="00043A29" w:rsidP="00DD38DA">
      <w:pPr>
        <w:spacing w:after="120"/>
        <w:ind w:left="360"/>
        <w:jc w:val="both"/>
        <w:rPr>
          <w:bCs/>
        </w:rPr>
      </w:pPr>
    </w:p>
    <w:sectPr w:rsidR="00043A29" w:rsidRPr="005A761F" w:rsidSect="00FD4A8F">
      <w:headerReference w:type="default" r:id="rId11"/>
      <w:footerReference w:type="default" r:id="rId12"/>
      <w:pgSz w:w="12240" w:h="15840"/>
      <w:pgMar w:top="1440" w:right="21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B48C0" w14:textId="77777777" w:rsidR="00FA7E1D" w:rsidRDefault="00FA7E1D">
      <w:r>
        <w:separator/>
      </w:r>
    </w:p>
  </w:endnote>
  <w:endnote w:type="continuationSeparator" w:id="0">
    <w:p w14:paraId="4EF87E3F" w14:textId="77777777" w:rsidR="00FA7E1D" w:rsidRDefault="00FA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D0AB" w14:textId="77777777" w:rsidR="00223D2F" w:rsidRPr="005908BC" w:rsidRDefault="00223D2F">
    <w:pPr>
      <w:pStyle w:val="Footer"/>
      <w:rPr>
        <w:rFonts w:cs="Arial"/>
        <w:sz w:val="20"/>
        <w:szCs w:val="20"/>
      </w:rPr>
    </w:pPr>
    <w:r>
      <w:rPr>
        <w:rFonts w:cs="Arial"/>
        <w:sz w:val="20"/>
        <w:szCs w:val="20"/>
      </w:rPr>
      <w:t>NRG Comments</w:t>
    </w:r>
    <w:r w:rsidRPr="005908BC">
      <w:rPr>
        <w:rFonts w:cs="Arial"/>
        <w:sz w:val="20"/>
        <w:szCs w:val="20"/>
      </w:rPr>
      <w:tab/>
    </w:r>
    <w:r w:rsidRPr="005908BC">
      <w:rPr>
        <w:rFonts w:cs="Arial"/>
        <w:szCs w:val="20"/>
      </w:rPr>
      <w:t xml:space="preserve">Page </w:t>
    </w:r>
    <w:r w:rsidRPr="005908BC">
      <w:rPr>
        <w:rStyle w:val="PageNumber"/>
        <w:rFonts w:cs="Arial"/>
        <w:szCs w:val="20"/>
      </w:rPr>
      <w:fldChar w:fldCharType="begin"/>
    </w:r>
    <w:r w:rsidRPr="005908BC">
      <w:rPr>
        <w:rStyle w:val="PageNumber"/>
        <w:rFonts w:cs="Arial"/>
        <w:szCs w:val="20"/>
      </w:rPr>
      <w:instrText xml:space="preserve"> PAGE </w:instrText>
    </w:r>
    <w:r w:rsidRPr="005908BC">
      <w:rPr>
        <w:rStyle w:val="PageNumber"/>
        <w:rFonts w:cs="Arial"/>
        <w:szCs w:val="20"/>
      </w:rPr>
      <w:fldChar w:fldCharType="separate"/>
    </w:r>
    <w:r w:rsidR="00586D9A">
      <w:rPr>
        <w:rStyle w:val="PageNumber"/>
        <w:rFonts w:cs="Arial"/>
        <w:noProof/>
        <w:szCs w:val="20"/>
      </w:rPr>
      <w:t>1</w:t>
    </w:r>
    <w:r w:rsidRPr="005908BC">
      <w:rPr>
        <w:rStyle w:val="PageNumber"/>
        <w:rFonts w:cs="Arial"/>
        <w:szCs w:val="20"/>
      </w:rPr>
      <w:fldChar w:fldCharType="end"/>
    </w:r>
    <w:r w:rsidRPr="005908BC">
      <w:rPr>
        <w:rStyle w:val="PageNumber"/>
        <w:rFonts w:cs="Arial"/>
        <w:sz w:val="20"/>
        <w:szCs w:val="20"/>
      </w:rPr>
      <w:tab/>
    </w:r>
    <w:r w:rsidRPr="005908BC">
      <w:rPr>
        <w:rStyle w:val="PageNumber"/>
        <w:rFonts w:cs="Arial"/>
        <w:sz w:val="20"/>
        <w:szCs w:val="20"/>
      </w:rPr>
      <w:fldChar w:fldCharType="begin"/>
    </w:r>
    <w:r w:rsidRPr="005908BC">
      <w:rPr>
        <w:rStyle w:val="PageNumber"/>
        <w:rFonts w:cs="Arial"/>
        <w:sz w:val="20"/>
        <w:szCs w:val="20"/>
      </w:rPr>
      <w:instrText xml:space="preserve"> DATE \@ "M/d/yyyy" </w:instrText>
    </w:r>
    <w:r w:rsidRPr="005908BC">
      <w:rPr>
        <w:rStyle w:val="PageNumber"/>
        <w:rFonts w:cs="Arial"/>
        <w:sz w:val="20"/>
        <w:szCs w:val="20"/>
      </w:rPr>
      <w:fldChar w:fldCharType="separate"/>
    </w:r>
    <w:r w:rsidR="008C78BB">
      <w:rPr>
        <w:rStyle w:val="PageNumber"/>
        <w:rFonts w:cs="Arial"/>
        <w:noProof/>
        <w:sz w:val="20"/>
        <w:szCs w:val="20"/>
      </w:rPr>
      <w:t>7/2/2025</w:t>
    </w:r>
    <w:r w:rsidRPr="005908BC">
      <w:rPr>
        <w:rStyle w:val="PageNumbe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888B5" w14:textId="77777777" w:rsidR="00FA7E1D" w:rsidRDefault="00FA7E1D">
      <w:r>
        <w:separator/>
      </w:r>
    </w:p>
  </w:footnote>
  <w:footnote w:type="continuationSeparator" w:id="0">
    <w:p w14:paraId="6AA5259C" w14:textId="77777777" w:rsidR="00FA7E1D" w:rsidRDefault="00FA7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5B61F" w14:textId="77777777" w:rsidR="00223D2F" w:rsidRPr="00376020" w:rsidRDefault="00223D2F" w:rsidP="00376020">
    <w:pPr>
      <w:pStyle w:val="Header"/>
      <w:tabs>
        <w:tab w:val="clear" w:pos="4320"/>
        <w:tab w:val="clear" w:pos="8640"/>
        <w:tab w:val="right" w:pos="9360"/>
      </w:tabs>
      <w:rPr>
        <w:b/>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22694"/>
    <w:multiLevelType w:val="hybridMultilevel"/>
    <w:tmpl w:val="4C06FD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0427111"/>
    <w:multiLevelType w:val="hybridMultilevel"/>
    <w:tmpl w:val="CD7C9228"/>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133453FB"/>
    <w:multiLevelType w:val="hybridMultilevel"/>
    <w:tmpl w:val="142E80A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80F3E17"/>
    <w:multiLevelType w:val="hybridMultilevel"/>
    <w:tmpl w:val="F1528B9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2861BD8">
      <w:start w:val="4"/>
      <w:numFmt w:val="decimal"/>
      <w:lvlText w:val="%3."/>
      <w:lvlJc w:val="left"/>
      <w:pPr>
        <w:tabs>
          <w:tab w:val="num" w:pos="2340"/>
        </w:tabs>
        <w:ind w:left="2340" w:hanging="360"/>
      </w:pPr>
      <w:rPr>
        <w:rFonts w:ascii="Arial" w:hAnsi="Arial" w:cs="Arial" w:hint="default"/>
        <w:color w:val="0000FF"/>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976584"/>
    <w:multiLevelType w:val="hybridMultilevel"/>
    <w:tmpl w:val="8EB89D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F76273A"/>
    <w:multiLevelType w:val="hybridMultilevel"/>
    <w:tmpl w:val="F7784016"/>
    <w:lvl w:ilvl="0" w:tplc="96222B6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1B22731"/>
    <w:multiLevelType w:val="hybridMultilevel"/>
    <w:tmpl w:val="F8B8695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38C50AE"/>
    <w:multiLevelType w:val="hybridMultilevel"/>
    <w:tmpl w:val="D2B6176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BA07E9"/>
    <w:multiLevelType w:val="hybridMultilevel"/>
    <w:tmpl w:val="58926F5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4D579F"/>
    <w:multiLevelType w:val="hybridMultilevel"/>
    <w:tmpl w:val="6DF256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DF376A"/>
    <w:multiLevelType w:val="multilevel"/>
    <w:tmpl w:val="77AC6B7E"/>
    <w:lvl w:ilvl="0">
      <w:start w:val="2"/>
      <w:numFmt w:val="decimal"/>
      <w:lvlText w:val="%1."/>
      <w:lvlJc w:val="left"/>
      <w:pPr>
        <w:tabs>
          <w:tab w:val="num" w:pos="720"/>
        </w:tabs>
        <w:ind w:left="720" w:hanging="360"/>
      </w:pPr>
      <w:rPr>
        <w:rFonts w:hint="default"/>
        <w:b/>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F9836B7"/>
    <w:multiLevelType w:val="hybridMultilevel"/>
    <w:tmpl w:val="AE76606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51C81A49"/>
    <w:multiLevelType w:val="hybridMultilevel"/>
    <w:tmpl w:val="B82622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891694"/>
    <w:multiLevelType w:val="hybridMultilevel"/>
    <w:tmpl w:val="BECC09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C76F3C"/>
    <w:multiLevelType w:val="hybridMultilevel"/>
    <w:tmpl w:val="316A2EF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A901830"/>
    <w:multiLevelType w:val="hybridMultilevel"/>
    <w:tmpl w:val="8416D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7975C1"/>
    <w:multiLevelType w:val="hybridMultilevel"/>
    <w:tmpl w:val="98124E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515D33"/>
    <w:multiLevelType w:val="hybridMultilevel"/>
    <w:tmpl w:val="2A26532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3B1DA6"/>
    <w:multiLevelType w:val="hybridMultilevel"/>
    <w:tmpl w:val="2A7EA9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BE578BE"/>
    <w:multiLevelType w:val="hybridMultilevel"/>
    <w:tmpl w:val="1E82ABBA"/>
    <w:lvl w:ilvl="0" w:tplc="F8FC5E28">
      <w:start w:val="2"/>
      <w:numFmt w:val="decimal"/>
      <w:lvlText w:val="%1."/>
      <w:lvlJc w:val="left"/>
      <w:pPr>
        <w:tabs>
          <w:tab w:val="num" w:pos="720"/>
        </w:tabs>
        <w:ind w:left="720" w:hanging="360"/>
      </w:pPr>
      <w:rPr>
        <w:rFonts w:hint="default"/>
        <w:b/>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2059D4"/>
    <w:multiLevelType w:val="hybridMultilevel"/>
    <w:tmpl w:val="DA349F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1" w15:restartNumberingAfterBreak="0">
    <w:nsid w:val="7C58196D"/>
    <w:multiLevelType w:val="hybridMultilevel"/>
    <w:tmpl w:val="6682E6E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2" w15:restartNumberingAfterBreak="0">
    <w:nsid w:val="7DF44EE3"/>
    <w:multiLevelType w:val="hybridMultilevel"/>
    <w:tmpl w:val="ABB0EEA8"/>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16cid:durableId="1563325539">
    <w:abstractNumId w:val="12"/>
  </w:num>
  <w:num w:numId="2" w16cid:durableId="1131705624">
    <w:abstractNumId w:val="3"/>
  </w:num>
  <w:num w:numId="3" w16cid:durableId="1770272079">
    <w:abstractNumId w:val="5"/>
  </w:num>
  <w:num w:numId="4" w16cid:durableId="1549876289">
    <w:abstractNumId w:val="13"/>
  </w:num>
  <w:num w:numId="5" w16cid:durableId="1147748161">
    <w:abstractNumId w:val="17"/>
  </w:num>
  <w:num w:numId="6" w16cid:durableId="1632712717">
    <w:abstractNumId w:val="0"/>
  </w:num>
  <w:num w:numId="7" w16cid:durableId="2121678742">
    <w:abstractNumId w:val="18"/>
  </w:num>
  <w:num w:numId="8" w16cid:durableId="230626200">
    <w:abstractNumId w:val="16"/>
  </w:num>
  <w:num w:numId="9" w16cid:durableId="1527520890">
    <w:abstractNumId w:val="8"/>
  </w:num>
  <w:num w:numId="10" w16cid:durableId="1588422465">
    <w:abstractNumId w:val="14"/>
  </w:num>
  <w:num w:numId="11" w16cid:durableId="1749036099">
    <w:abstractNumId w:val="20"/>
  </w:num>
  <w:num w:numId="12" w16cid:durableId="1166944408">
    <w:abstractNumId w:val="4"/>
  </w:num>
  <w:num w:numId="13" w16cid:durableId="256863859">
    <w:abstractNumId w:val="7"/>
  </w:num>
  <w:num w:numId="14" w16cid:durableId="1957445873">
    <w:abstractNumId w:val="11"/>
  </w:num>
  <w:num w:numId="15" w16cid:durableId="704864647">
    <w:abstractNumId w:val="22"/>
  </w:num>
  <w:num w:numId="16" w16cid:durableId="1102726906">
    <w:abstractNumId w:val="1"/>
  </w:num>
  <w:num w:numId="17" w16cid:durableId="512767634">
    <w:abstractNumId w:val="9"/>
  </w:num>
  <w:num w:numId="18" w16cid:durableId="1064255949">
    <w:abstractNumId w:val="6"/>
  </w:num>
  <w:num w:numId="19" w16cid:durableId="60511226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1408226">
    <w:abstractNumId w:val="15"/>
  </w:num>
  <w:num w:numId="21" w16cid:durableId="1748727494">
    <w:abstractNumId w:val="2"/>
  </w:num>
  <w:num w:numId="22" w16cid:durableId="1400249459">
    <w:abstractNumId w:val="19"/>
  </w:num>
  <w:num w:numId="23" w16cid:durableId="5534709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C7"/>
    <w:rsid w:val="0003256C"/>
    <w:rsid w:val="00043488"/>
    <w:rsid w:val="00043A29"/>
    <w:rsid w:val="00043C6E"/>
    <w:rsid w:val="00056C0C"/>
    <w:rsid w:val="000613F0"/>
    <w:rsid w:val="00077323"/>
    <w:rsid w:val="000915E0"/>
    <w:rsid w:val="00093C3A"/>
    <w:rsid w:val="000A3B30"/>
    <w:rsid w:val="000A7C19"/>
    <w:rsid w:val="000C35C3"/>
    <w:rsid w:val="000C7665"/>
    <w:rsid w:val="000D5235"/>
    <w:rsid w:val="000E7567"/>
    <w:rsid w:val="00102619"/>
    <w:rsid w:val="00102EDC"/>
    <w:rsid w:val="001129F5"/>
    <w:rsid w:val="001410D7"/>
    <w:rsid w:val="00142E09"/>
    <w:rsid w:val="00145165"/>
    <w:rsid w:val="001524D1"/>
    <w:rsid w:val="00157C8C"/>
    <w:rsid w:val="001623E3"/>
    <w:rsid w:val="00171357"/>
    <w:rsid w:val="001744D9"/>
    <w:rsid w:val="00190D22"/>
    <w:rsid w:val="001D69F5"/>
    <w:rsid w:val="001E219A"/>
    <w:rsid w:val="001E3E66"/>
    <w:rsid w:val="001E43D4"/>
    <w:rsid w:val="001E52F0"/>
    <w:rsid w:val="0020252F"/>
    <w:rsid w:val="00204434"/>
    <w:rsid w:val="00205289"/>
    <w:rsid w:val="002159C4"/>
    <w:rsid w:val="002212AC"/>
    <w:rsid w:val="00223D2F"/>
    <w:rsid w:val="00236D50"/>
    <w:rsid w:val="0024531F"/>
    <w:rsid w:val="00263574"/>
    <w:rsid w:val="002721BC"/>
    <w:rsid w:val="00283CB4"/>
    <w:rsid w:val="0028742C"/>
    <w:rsid w:val="00290F7A"/>
    <w:rsid w:val="002C2E77"/>
    <w:rsid w:val="002C3D39"/>
    <w:rsid w:val="002E32CA"/>
    <w:rsid w:val="002F6862"/>
    <w:rsid w:val="0030212D"/>
    <w:rsid w:val="003148CD"/>
    <w:rsid w:val="00314E03"/>
    <w:rsid w:val="00323661"/>
    <w:rsid w:val="00330F9E"/>
    <w:rsid w:val="00335520"/>
    <w:rsid w:val="0034245D"/>
    <w:rsid w:val="00342BD7"/>
    <w:rsid w:val="0034540B"/>
    <w:rsid w:val="003502C2"/>
    <w:rsid w:val="003529B5"/>
    <w:rsid w:val="00361DD1"/>
    <w:rsid w:val="00371C8E"/>
    <w:rsid w:val="00375EAD"/>
    <w:rsid w:val="00376020"/>
    <w:rsid w:val="0038201E"/>
    <w:rsid w:val="003824D1"/>
    <w:rsid w:val="00395F06"/>
    <w:rsid w:val="003A22A2"/>
    <w:rsid w:val="003C266F"/>
    <w:rsid w:val="003C7C0F"/>
    <w:rsid w:val="003E3FD9"/>
    <w:rsid w:val="003E4410"/>
    <w:rsid w:val="003E4B76"/>
    <w:rsid w:val="003E7413"/>
    <w:rsid w:val="00420C6A"/>
    <w:rsid w:val="004305D9"/>
    <w:rsid w:val="0043126C"/>
    <w:rsid w:val="00431EB4"/>
    <w:rsid w:val="00442D21"/>
    <w:rsid w:val="00460956"/>
    <w:rsid w:val="004670AA"/>
    <w:rsid w:val="00483E4A"/>
    <w:rsid w:val="004A1563"/>
    <w:rsid w:val="004B7419"/>
    <w:rsid w:val="004C0ADA"/>
    <w:rsid w:val="004C39FD"/>
    <w:rsid w:val="004D7D0A"/>
    <w:rsid w:val="004E103B"/>
    <w:rsid w:val="004E7D46"/>
    <w:rsid w:val="00505B79"/>
    <w:rsid w:val="00516859"/>
    <w:rsid w:val="00534340"/>
    <w:rsid w:val="00546058"/>
    <w:rsid w:val="005473CD"/>
    <w:rsid w:val="00562693"/>
    <w:rsid w:val="00565E9E"/>
    <w:rsid w:val="00570928"/>
    <w:rsid w:val="00582D0A"/>
    <w:rsid w:val="00586D9A"/>
    <w:rsid w:val="005908BC"/>
    <w:rsid w:val="005A3F21"/>
    <w:rsid w:val="005A761F"/>
    <w:rsid w:val="005D1D95"/>
    <w:rsid w:val="005D6A75"/>
    <w:rsid w:val="005E7E4A"/>
    <w:rsid w:val="00636FD3"/>
    <w:rsid w:val="00644345"/>
    <w:rsid w:val="00652839"/>
    <w:rsid w:val="0068080A"/>
    <w:rsid w:val="0068764E"/>
    <w:rsid w:val="006920A9"/>
    <w:rsid w:val="00692585"/>
    <w:rsid w:val="0069710E"/>
    <w:rsid w:val="006E4690"/>
    <w:rsid w:val="00702E34"/>
    <w:rsid w:val="007175FF"/>
    <w:rsid w:val="007315BD"/>
    <w:rsid w:val="00733909"/>
    <w:rsid w:val="007340C8"/>
    <w:rsid w:val="007422E6"/>
    <w:rsid w:val="00750D6D"/>
    <w:rsid w:val="00753073"/>
    <w:rsid w:val="007536D5"/>
    <w:rsid w:val="00762C18"/>
    <w:rsid w:val="007727E1"/>
    <w:rsid w:val="00783503"/>
    <w:rsid w:val="007906A7"/>
    <w:rsid w:val="007956DA"/>
    <w:rsid w:val="007A0F34"/>
    <w:rsid w:val="007B0C12"/>
    <w:rsid w:val="007C5248"/>
    <w:rsid w:val="007C5BF2"/>
    <w:rsid w:val="007E3286"/>
    <w:rsid w:val="008161B1"/>
    <w:rsid w:val="00820AD2"/>
    <w:rsid w:val="00820BBE"/>
    <w:rsid w:val="0082319B"/>
    <w:rsid w:val="008454EC"/>
    <w:rsid w:val="00846C54"/>
    <w:rsid w:val="008704ED"/>
    <w:rsid w:val="00871730"/>
    <w:rsid w:val="008C070A"/>
    <w:rsid w:val="008C78BB"/>
    <w:rsid w:val="008D61B1"/>
    <w:rsid w:val="008E3773"/>
    <w:rsid w:val="008E533D"/>
    <w:rsid w:val="008F2523"/>
    <w:rsid w:val="00902FA3"/>
    <w:rsid w:val="00903A77"/>
    <w:rsid w:val="009062C7"/>
    <w:rsid w:val="00920588"/>
    <w:rsid w:val="00921D1D"/>
    <w:rsid w:val="00931D27"/>
    <w:rsid w:val="00931DAE"/>
    <w:rsid w:val="00932E96"/>
    <w:rsid w:val="00955FF3"/>
    <w:rsid w:val="009569AC"/>
    <w:rsid w:val="00973B69"/>
    <w:rsid w:val="00981A77"/>
    <w:rsid w:val="009820C3"/>
    <w:rsid w:val="009848A8"/>
    <w:rsid w:val="00995240"/>
    <w:rsid w:val="009A5144"/>
    <w:rsid w:val="009B259F"/>
    <w:rsid w:val="009B4605"/>
    <w:rsid w:val="009B5132"/>
    <w:rsid w:val="009B5EDC"/>
    <w:rsid w:val="009D6778"/>
    <w:rsid w:val="009E64E4"/>
    <w:rsid w:val="009F3098"/>
    <w:rsid w:val="009F63B3"/>
    <w:rsid w:val="00A034A8"/>
    <w:rsid w:val="00A06835"/>
    <w:rsid w:val="00A07A1A"/>
    <w:rsid w:val="00A17ED7"/>
    <w:rsid w:val="00A31524"/>
    <w:rsid w:val="00A41493"/>
    <w:rsid w:val="00A56387"/>
    <w:rsid w:val="00A56CF5"/>
    <w:rsid w:val="00A610A9"/>
    <w:rsid w:val="00A63C08"/>
    <w:rsid w:val="00A67657"/>
    <w:rsid w:val="00A9328D"/>
    <w:rsid w:val="00AB28E9"/>
    <w:rsid w:val="00AB4F06"/>
    <w:rsid w:val="00AD0537"/>
    <w:rsid w:val="00AD1CF5"/>
    <w:rsid w:val="00AE4A94"/>
    <w:rsid w:val="00AF0037"/>
    <w:rsid w:val="00AF1EFA"/>
    <w:rsid w:val="00B03C44"/>
    <w:rsid w:val="00B05F28"/>
    <w:rsid w:val="00B135FB"/>
    <w:rsid w:val="00B13946"/>
    <w:rsid w:val="00B154BA"/>
    <w:rsid w:val="00B312BE"/>
    <w:rsid w:val="00B32E9A"/>
    <w:rsid w:val="00B429AB"/>
    <w:rsid w:val="00B449F2"/>
    <w:rsid w:val="00B51542"/>
    <w:rsid w:val="00B5538A"/>
    <w:rsid w:val="00B57436"/>
    <w:rsid w:val="00B70684"/>
    <w:rsid w:val="00B7478F"/>
    <w:rsid w:val="00B920AB"/>
    <w:rsid w:val="00B95C95"/>
    <w:rsid w:val="00BA2DE1"/>
    <w:rsid w:val="00BB1C87"/>
    <w:rsid w:val="00BB68D8"/>
    <w:rsid w:val="00BC7FA3"/>
    <w:rsid w:val="00C072BB"/>
    <w:rsid w:val="00C07A04"/>
    <w:rsid w:val="00C10462"/>
    <w:rsid w:val="00C12317"/>
    <w:rsid w:val="00C129B9"/>
    <w:rsid w:val="00C25FB5"/>
    <w:rsid w:val="00C3046F"/>
    <w:rsid w:val="00C306BF"/>
    <w:rsid w:val="00C33C81"/>
    <w:rsid w:val="00C40911"/>
    <w:rsid w:val="00C4611D"/>
    <w:rsid w:val="00C57FA2"/>
    <w:rsid w:val="00C6503F"/>
    <w:rsid w:val="00C761A3"/>
    <w:rsid w:val="00C80710"/>
    <w:rsid w:val="00C82D01"/>
    <w:rsid w:val="00C9063C"/>
    <w:rsid w:val="00C93FF2"/>
    <w:rsid w:val="00CE3B4C"/>
    <w:rsid w:val="00D0410D"/>
    <w:rsid w:val="00D121D1"/>
    <w:rsid w:val="00D12683"/>
    <w:rsid w:val="00D22DCB"/>
    <w:rsid w:val="00D26FCC"/>
    <w:rsid w:val="00D3605E"/>
    <w:rsid w:val="00D542F3"/>
    <w:rsid w:val="00D60041"/>
    <w:rsid w:val="00D63550"/>
    <w:rsid w:val="00D727E1"/>
    <w:rsid w:val="00D73767"/>
    <w:rsid w:val="00D743D3"/>
    <w:rsid w:val="00D86634"/>
    <w:rsid w:val="00D93F36"/>
    <w:rsid w:val="00DB23EC"/>
    <w:rsid w:val="00DB570C"/>
    <w:rsid w:val="00DC0CBF"/>
    <w:rsid w:val="00DD38DA"/>
    <w:rsid w:val="00DD485A"/>
    <w:rsid w:val="00DD4B56"/>
    <w:rsid w:val="00DF0A0F"/>
    <w:rsid w:val="00E00E7C"/>
    <w:rsid w:val="00E02D9F"/>
    <w:rsid w:val="00E079AD"/>
    <w:rsid w:val="00E319DC"/>
    <w:rsid w:val="00E46D48"/>
    <w:rsid w:val="00E95E73"/>
    <w:rsid w:val="00EA477F"/>
    <w:rsid w:val="00EB3859"/>
    <w:rsid w:val="00EC47DF"/>
    <w:rsid w:val="00ED0520"/>
    <w:rsid w:val="00ED372C"/>
    <w:rsid w:val="00EF506B"/>
    <w:rsid w:val="00F12347"/>
    <w:rsid w:val="00F12D3C"/>
    <w:rsid w:val="00F2196D"/>
    <w:rsid w:val="00F23164"/>
    <w:rsid w:val="00F300A5"/>
    <w:rsid w:val="00F3600B"/>
    <w:rsid w:val="00F37CDC"/>
    <w:rsid w:val="00F406FA"/>
    <w:rsid w:val="00F41896"/>
    <w:rsid w:val="00F45147"/>
    <w:rsid w:val="00F46DD5"/>
    <w:rsid w:val="00F56511"/>
    <w:rsid w:val="00F569D0"/>
    <w:rsid w:val="00F6344F"/>
    <w:rsid w:val="00F7670A"/>
    <w:rsid w:val="00F86CDB"/>
    <w:rsid w:val="00F90F74"/>
    <w:rsid w:val="00F9120F"/>
    <w:rsid w:val="00F93834"/>
    <w:rsid w:val="00FA7E1D"/>
    <w:rsid w:val="00FB58C8"/>
    <w:rsid w:val="00FC7ED1"/>
    <w:rsid w:val="00FD1C40"/>
    <w:rsid w:val="00FD4A8F"/>
    <w:rsid w:val="00FD5113"/>
    <w:rsid w:val="00FE3155"/>
    <w:rsid w:val="00FF5609"/>
    <w:rsid w:val="00FF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216C29"/>
  <w15:chartTrackingRefBased/>
  <w15:docId w15:val="{80B89404-3701-42F7-85DB-166AEC6F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06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67657"/>
    <w:rPr>
      <w:color w:val="0000FF"/>
      <w:u w:val="single"/>
    </w:rPr>
  </w:style>
  <w:style w:type="paragraph" w:styleId="Header">
    <w:name w:val="header"/>
    <w:basedOn w:val="Normal"/>
    <w:rsid w:val="00C4611D"/>
    <w:pPr>
      <w:tabs>
        <w:tab w:val="center" w:pos="4320"/>
        <w:tab w:val="right" w:pos="8640"/>
      </w:tabs>
    </w:pPr>
  </w:style>
  <w:style w:type="paragraph" w:styleId="Footer">
    <w:name w:val="footer"/>
    <w:basedOn w:val="Normal"/>
    <w:rsid w:val="00C4611D"/>
    <w:pPr>
      <w:tabs>
        <w:tab w:val="center" w:pos="4320"/>
        <w:tab w:val="right" w:pos="8640"/>
      </w:tabs>
    </w:pPr>
  </w:style>
  <w:style w:type="character" w:styleId="PageNumber">
    <w:name w:val="page number"/>
    <w:basedOn w:val="DefaultParagraphFont"/>
    <w:rsid w:val="00C4611D"/>
  </w:style>
  <w:style w:type="paragraph" w:styleId="BodyText">
    <w:name w:val="Body Text"/>
    <w:basedOn w:val="Normal"/>
    <w:rsid w:val="00A06835"/>
    <w:rPr>
      <w:szCs w:val="20"/>
    </w:rPr>
  </w:style>
  <w:style w:type="paragraph" w:styleId="FootnoteText">
    <w:name w:val="footnote text"/>
    <w:aliases w:val="Style 14,fn,Style 18,Style 10"/>
    <w:basedOn w:val="Normal"/>
    <w:link w:val="FootnoteTextChar"/>
    <w:semiHidden/>
    <w:rsid w:val="00D86634"/>
    <w:pPr>
      <w:spacing w:after="120"/>
    </w:pPr>
    <w:rPr>
      <w:sz w:val="20"/>
    </w:rPr>
  </w:style>
  <w:style w:type="character" w:customStyle="1" w:styleId="FootnoteTextChar">
    <w:name w:val="Footnote Text Char"/>
    <w:aliases w:val="Style 14 Char,fn Char,Style 18 Char,Style 10 Char"/>
    <w:basedOn w:val="DefaultParagraphFont"/>
    <w:link w:val="FootnoteText"/>
    <w:rsid w:val="00D86634"/>
    <w:rPr>
      <w:szCs w:val="24"/>
      <w:lang w:val="en-US" w:eastAsia="en-US" w:bidi="ar-SA"/>
    </w:rPr>
  </w:style>
  <w:style w:type="character" w:styleId="FootnoteReference">
    <w:name w:val="footnote reference"/>
    <w:aliases w:val="Style 13,Style 12,Style 15,Style 17,Style 9"/>
    <w:basedOn w:val="DefaultParagraphFont"/>
    <w:semiHidden/>
    <w:rsid w:val="00D86634"/>
    <w:rPr>
      <w:rFonts w:ascii="Times New Roman" w:hAnsi="Times New Roman"/>
      <w:vertAlign w:val="superscript"/>
    </w:rPr>
  </w:style>
  <w:style w:type="paragraph" w:customStyle="1" w:styleId="BodyTextStyleIndented">
    <w:name w:val="Body Text Style Indented"/>
    <w:basedOn w:val="Normal"/>
    <w:link w:val="BodyTextStyleIndentedChar"/>
    <w:rsid w:val="00D86634"/>
    <w:pPr>
      <w:spacing w:before="120" w:after="120" w:line="480" w:lineRule="auto"/>
      <w:ind w:firstLine="1080"/>
    </w:pPr>
    <w:rPr>
      <w:szCs w:val="20"/>
    </w:rPr>
  </w:style>
  <w:style w:type="character" w:customStyle="1" w:styleId="BodyTextStyleIndentedChar">
    <w:name w:val="Body Text Style Indented Char"/>
    <w:basedOn w:val="DefaultParagraphFont"/>
    <w:link w:val="BodyTextStyleIndented"/>
    <w:rsid w:val="00D86634"/>
    <w:rPr>
      <w:sz w:val="24"/>
      <w:lang w:val="en-US" w:eastAsia="en-US" w:bidi="ar-SA"/>
    </w:rPr>
  </w:style>
  <w:style w:type="paragraph" w:styleId="BalloonText">
    <w:name w:val="Balloon Text"/>
    <w:basedOn w:val="Normal"/>
    <w:semiHidden/>
    <w:rsid w:val="00056C0C"/>
    <w:rPr>
      <w:rFonts w:ascii="Tahoma" w:hAnsi="Tahoma" w:cs="Tahoma"/>
      <w:sz w:val="16"/>
      <w:szCs w:val="16"/>
    </w:rPr>
  </w:style>
  <w:style w:type="paragraph" w:customStyle="1" w:styleId="Default">
    <w:name w:val="Default"/>
    <w:rsid w:val="00D7376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49671">
      <w:bodyDiv w:val="1"/>
      <w:marLeft w:val="0"/>
      <w:marRight w:val="0"/>
      <w:marTop w:val="0"/>
      <w:marBottom w:val="0"/>
      <w:divBdr>
        <w:top w:val="none" w:sz="0" w:space="0" w:color="auto"/>
        <w:left w:val="none" w:sz="0" w:space="0" w:color="auto"/>
        <w:bottom w:val="none" w:sz="0" w:space="0" w:color="auto"/>
        <w:right w:val="none" w:sz="0" w:space="0" w:color="auto"/>
      </w:divBdr>
    </w:div>
    <w:div w:id="1075082450">
      <w:bodyDiv w:val="1"/>
      <w:marLeft w:val="0"/>
      <w:marRight w:val="0"/>
      <w:marTop w:val="0"/>
      <w:marBottom w:val="0"/>
      <w:divBdr>
        <w:top w:val="none" w:sz="0" w:space="0" w:color="auto"/>
        <w:left w:val="none" w:sz="0" w:space="0" w:color="auto"/>
        <w:bottom w:val="none" w:sz="0" w:space="0" w:color="auto"/>
        <w:right w:val="none" w:sz="0" w:space="0" w:color="auto"/>
      </w:divBdr>
    </w:div>
    <w:div w:id="1316834766">
      <w:bodyDiv w:val="1"/>
      <w:marLeft w:val="0"/>
      <w:marRight w:val="0"/>
      <w:marTop w:val="0"/>
      <w:marBottom w:val="0"/>
      <w:divBdr>
        <w:top w:val="none" w:sz="0" w:space="0" w:color="auto"/>
        <w:left w:val="none" w:sz="0" w:space="0" w:color="auto"/>
        <w:bottom w:val="none" w:sz="0" w:space="0" w:color="auto"/>
        <w:right w:val="none" w:sz="0" w:space="0" w:color="auto"/>
      </w:divBdr>
      <w:divsChild>
        <w:div w:id="37903970">
          <w:marLeft w:val="0"/>
          <w:marRight w:val="0"/>
          <w:marTop w:val="0"/>
          <w:marBottom w:val="0"/>
          <w:divBdr>
            <w:top w:val="none" w:sz="0" w:space="0" w:color="auto"/>
            <w:left w:val="none" w:sz="0" w:space="0" w:color="auto"/>
            <w:bottom w:val="none" w:sz="0" w:space="0" w:color="auto"/>
            <w:right w:val="none" w:sz="0" w:space="0" w:color="auto"/>
          </w:divBdr>
        </w:div>
        <w:div w:id="55664796">
          <w:marLeft w:val="0"/>
          <w:marRight w:val="0"/>
          <w:marTop w:val="0"/>
          <w:marBottom w:val="0"/>
          <w:divBdr>
            <w:top w:val="none" w:sz="0" w:space="0" w:color="auto"/>
            <w:left w:val="none" w:sz="0" w:space="0" w:color="auto"/>
            <w:bottom w:val="none" w:sz="0" w:space="0" w:color="auto"/>
            <w:right w:val="none" w:sz="0" w:space="0" w:color="auto"/>
          </w:divBdr>
        </w:div>
        <w:div w:id="207230145">
          <w:marLeft w:val="0"/>
          <w:marRight w:val="0"/>
          <w:marTop w:val="0"/>
          <w:marBottom w:val="0"/>
          <w:divBdr>
            <w:top w:val="none" w:sz="0" w:space="0" w:color="auto"/>
            <w:left w:val="none" w:sz="0" w:space="0" w:color="auto"/>
            <w:bottom w:val="none" w:sz="0" w:space="0" w:color="auto"/>
            <w:right w:val="none" w:sz="0" w:space="0" w:color="auto"/>
          </w:divBdr>
        </w:div>
        <w:div w:id="408574799">
          <w:marLeft w:val="0"/>
          <w:marRight w:val="0"/>
          <w:marTop w:val="0"/>
          <w:marBottom w:val="0"/>
          <w:divBdr>
            <w:top w:val="none" w:sz="0" w:space="0" w:color="auto"/>
            <w:left w:val="none" w:sz="0" w:space="0" w:color="auto"/>
            <w:bottom w:val="none" w:sz="0" w:space="0" w:color="auto"/>
            <w:right w:val="none" w:sz="0" w:space="0" w:color="auto"/>
          </w:divBdr>
        </w:div>
        <w:div w:id="544299198">
          <w:marLeft w:val="0"/>
          <w:marRight w:val="0"/>
          <w:marTop w:val="0"/>
          <w:marBottom w:val="0"/>
          <w:divBdr>
            <w:top w:val="none" w:sz="0" w:space="0" w:color="auto"/>
            <w:left w:val="none" w:sz="0" w:space="0" w:color="auto"/>
            <w:bottom w:val="none" w:sz="0" w:space="0" w:color="auto"/>
            <w:right w:val="none" w:sz="0" w:space="0" w:color="auto"/>
          </w:divBdr>
        </w:div>
        <w:div w:id="1168442795">
          <w:marLeft w:val="0"/>
          <w:marRight w:val="0"/>
          <w:marTop w:val="0"/>
          <w:marBottom w:val="0"/>
          <w:divBdr>
            <w:top w:val="none" w:sz="0" w:space="0" w:color="auto"/>
            <w:left w:val="none" w:sz="0" w:space="0" w:color="auto"/>
            <w:bottom w:val="none" w:sz="0" w:space="0" w:color="auto"/>
            <w:right w:val="none" w:sz="0" w:space="0" w:color="auto"/>
          </w:divBdr>
        </w:div>
        <w:div w:id="1824151709">
          <w:marLeft w:val="0"/>
          <w:marRight w:val="0"/>
          <w:marTop w:val="0"/>
          <w:marBottom w:val="0"/>
          <w:divBdr>
            <w:top w:val="none" w:sz="0" w:space="0" w:color="auto"/>
            <w:left w:val="none" w:sz="0" w:space="0" w:color="auto"/>
            <w:bottom w:val="none" w:sz="0" w:space="0" w:color="auto"/>
            <w:right w:val="none" w:sz="0" w:space="0" w:color="auto"/>
          </w:divBdr>
        </w:div>
        <w:div w:id="2017345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10205;#Standard RA Capacity|b5e7fad7-6668-419c-88da-7feadc2edc09;#3;#Archived|0019c6e1-8c5e-460c-a653-a944372c5015;#848;#Stakeholder Comments on Standard RA Capacity Product Tariff Modifications|77af1e4f-c062-4944-8f8d-86197f829cd0;#7;#Stakeholder processes|71659ab1-dac7-419e-9529-abc47c232b66]]></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03D6E-4AE7-435E-8035-FB2D55CCE2A6}"/>
</file>

<file path=customXml/itemProps2.xml><?xml version="1.0" encoding="utf-8"?>
<ds:datastoreItem xmlns:ds="http://schemas.openxmlformats.org/officeDocument/2006/customXml" ds:itemID="{7A3333C1-821F-4190-9467-79285664AD11}"/>
</file>

<file path=customXml/itemProps3.xml><?xml version="1.0" encoding="utf-8"?>
<ds:datastoreItem xmlns:ds="http://schemas.openxmlformats.org/officeDocument/2006/customXml" ds:itemID="{43355F37-2548-4280-8D33-35FE124171D7}">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07BE1B7F-DB35-4767-832E-ECBA6CEBD1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CRR Stakeholder </vt:lpstr>
    </vt:vector>
  </TitlesOfParts>
  <Company>California ISO</Company>
  <LinksUpToDate>false</LinksUpToDate>
  <CharactersWithSpaces>6823</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NRG Comments on SCP Draft Tariff Language 20-Apr-2009</dc:title>
  <dc:subject/>
  <dc:creator>James Blatchford</dc:creator>
  <cp:keywords/>
  <dc:description/>
  <cp:lastModifiedBy>Pearson, Hannah</cp:lastModifiedBy>
  <cp:revision>2</cp:revision>
  <cp:lastPrinted>2008-12-04T23:22:00Z</cp:lastPrinted>
  <dcterms:created xsi:type="dcterms:W3CDTF">2025-07-02T21:56:00Z</dcterms:created>
  <dcterms:modified xsi:type="dcterms:W3CDTF">2025-07-02T21:56:00Z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2009-04-22T08:26:44Z</vt:lpwstr>
  </property>
  <property fmtid="{D5CDD505-2E9C-101B-9397-08002B2CF9AE}" pid="3" name="ISOKeywords">
    <vt:lpwstr>10205;#Standard RA Capacity|b5e7fad7-6668-419c-88da-7feadc2edc09</vt:lpwstr>
  </property>
  <property fmtid="{D5CDD505-2E9C-101B-9397-08002B2CF9AE}" pid="4" name="ISOGroup">
    <vt:lpwstr>848;#Stakeholder Comments on Standard RA Capacity Product Tariff Modifications|77af1e4f-c062-4944-8f8d-86197f829cd0</vt:lpwstr>
  </property>
  <property fmtid="{D5CDD505-2E9C-101B-9397-08002B2CF9AE}" pid="5" name="ISOTopic">
    <vt:lpwstr>7;#Stakeholder processes|71659ab1-dac7-419e-9529-abc47c232b66</vt:lpwstr>
  </property>
  <property fmtid="{D5CDD505-2E9C-101B-9397-08002B2CF9AE}" pid="6" name="Order">
    <vt:lpwstr>25722000.0000000</vt:lpwstr>
  </property>
  <property fmtid="{D5CDD505-2E9C-101B-9397-08002B2CF9AE}" pid="7" name="ISOArchive">
    <vt:lpwstr>3;#Archived|0019c6e1-8c5e-460c-a653-a944372c5015</vt:lpwstr>
  </property>
  <property fmtid="{D5CDD505-2E9C-101B-9397-08002B2CF9AE}" pid="8" name="OriginalUriCopy">
    <vt:lpwstr>http://www.caiso.com/2398/239876c45af10.doc, http://www.caiso.com/2398/239876c45af10.doc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http://www.caiso.com/2398/239876c45af10.doc, /2398/239876c45af10.doc</vt:lpwstr>
  </property>
  <property fmtid="{D5CDD505-2E9C-101B-9397-08002B2CF9AE}" pid="12" name="ContentTypeId">
    <vt:lpwstr>0x010100776092249CC62C48AA17033F357BFB4B</vt:lpwstr>
  </property>
</Properties>
</file>