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8127" w14:textId="270B8E1B" w:rsidR="006E7ABB" w:rsidRDefault="006C4A18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 wp14:anchorId="7432268C" wp14:editId="3388ED7C">
            <wp:extent cx="404812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874A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A3FEB8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46FB4B4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C7451C1" w14:textId="77777777" w:rsidR="006E7ABB" w:rsidRPr="00AE5792" w:rsidRDefault="00AE5792" w:rsidP="00523D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Overview of Proposed Tariff Amendment</w:t>
      </w:r>
    </w:p>
    <w:p w14:paraId="75713652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3DE67F" w14:textId="77777777" w:rsidR="0020229C" w:rsidRDefault="0020229C" w:rsidP="00523D0D">
      <w:pPr>
        <w:jc w:val="center"/>
        <w:rPr>
          <w:rFonts w:ascii="Arial" w:hAnsi="Arial" w:cs="Arial"/>
          <w:b/>
          <w:sz w:val="28"/>
          <w:szCs w:val="28"/>
        </w:rPr>
      </w:pPr>
    </w:p>
    <w:p w14:paraId="48C04F9B" w14:textId="77777777" w:rsidR="00BB2258" w:rsidRPr="0020229C" w:rsidRDefault="00BB2258" w:rsidP="00523D0D">
      <w:pPr>
        <w:jc w:val="center"/>
        <w:rPr>
          <w:rFonts w:ascii="Arial" w:hAnsi="Arial" w:cs="Arial"/>
          <w:b/>
          <w:sz w:val="28"/>
          <w:szCs w:val="28"/>
        </w:rPr>
      </w:pPr>
    </w:p>
    <w:p w14:paraId="14BAD35D" w14:textId="77777777" w:rsidR="006E7ABB" w:rsidRPr="00AE5792" w:rsidRDefault="00AE5792" w:rsidP="00523D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Regarding </w:t>
      </w:r>
      <w:r w:rsidR="00BB2258">
        <w:rPr>
          <w:rFonts w:ascii="Arial" w:hAnsi="Arial" w:cs="Arial"/>
          <w:b/>
          <w:sz w:val="28"/>
          <w:szCs w:val="28"/>
        </w:rPr>
        <w:t>Procedures For Penalty Allocation Requests To FERC</w:t>
      </w:r>
    </w:p>
    <w:p w14:paraId="5E4B5965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B163E4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51E065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1A4FDD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76D4EF" w14:textId="77777777" w:rsidR="00BF5CCE" w:rsidRDefault="00BF5CCE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D3B436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B537DD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2CCE42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F1A3EC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2A8ECC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4B4D78A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BDA226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E025D8D" w14:textId="77777777" w:rsidR="006E7ABB" w:rsidRPr="00BB2258" w:rsidRDefault="00BB2258" w:rsidP="00523D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9, 2011</w:t>
      </w:r>
    </w:p>
    <w:p w14:paraId="7BCBCA94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427803B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A6F4A01" w14:textId="77777777" w:rsidR="006E7ABB" w:rsidRDefault="006E7ABB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6E7ABB" w:rsidSect="00141B0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A76B16C" w14:textId="77777777" w:rsidR="00141B04" w:rsidRDefault="00523D0D" w:rsidP="00523D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3D0D">
        <w:rPr>
          <w:rFonts w:ascii="Arial" w:hAnsi="Arial" w:cs="Arial"/>
          <w:b/>
          <w:sz w:val="28"/>
          <w:szCs w:val="28"/>
          <w:u w:val="single"/>
        </w:rPr>
        <w:lastRenderedPageBreak/>
        <w:t>Overview of Proposed Amendment</w:t>
      </w:r>
    </w:p>
    <w:p w14:paraId="66816AC0" w14:textId="77777777" w:rsidR="00523D0D" w:rsidRDefault="00523D0D" w:rsidP="00F32D1F">
      <w:pPr>
        <w:rPr>
          <w:rFonts w:ascii="Arial" w:hAnsi="Arial" w:cs="Arial"/>
          <w:b/>
          <w:u w:val="single"/>
        </w:rPr>
      </w:pPr>
    </w:p>
    <w:p w14:paraId="0DE944E2" w14:textId="77777777" w:rsidR="00F32D1F" w:rsidRPr="00F32D1F" w:rsidRDefault="00F32D1F" w:rsidP="00F32D1F">
      <w:pPr>
        <w:pStyle w:val="ListParagraph"/>
        <w:numPr>
          <w:ilvl w:val="0"/>
          <w:numId w:val="1"/>
        </w:numPr>
        <w:ind w:left="9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4904529D" w14:textId="77777777" w:rsidR="00F32D1F" w:rsidRDefault="00F32D1F" w:rsidP="00F32D1F">
      <w:pPr>
        <w:rPr>
          <w:rFonts w:ascii="Arial" w:hAnsi="Arial" w:cs="Arial"/>
          <w:b/>
        </w:rPr>
      </w:pPr>
    </w:p>
    <w:p w14:paraId="45E239EF" w14:textId="77777777" w:rsidR="00D97689" w:rsidRDefault="00D97689" w:rsidP="00F32D1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California I</w:t>
      </w:r>
      <w:r w:rsidR="008C0460">
        <w:rPr>
          <w:rFonts w:ascii="Arial" w:hAnsi="Arial" w:cs="Arial"/>
          <w:sz w:val="22"/>
          <w:szCs w:val="22"/>
        </w:rPr>
        <w:t>ndependent System Operator (</w:t>
      </w:r>
      <w:r>
        <w:rPr>
          <w:rFonts w:ascii="Arial" w:hAnsi="Arial" w:cs="Arial"/>
          <w:sz w:val="22"/>
          <w:szCs w:val="22"/>
        </w:rPr>
        <w:t xml:space="preserve">ISO) </w:t>
      </w:r>
      <w:r w:rsidR="008C0460">
        <w:rPr>
          <w:rFonts w:ascii="Arial" w:hAnsi="Arial" w:cs="Arial"/>
          <w:sz w:val="22"/>
          <w:szCs w:val="22"/>
        </w:rPr>
        <w:t>is proposing</w:t>
      </w:r>
      <w:r>
        <w:rPr>
          <w:rFonts w:ascii="Arial" w:hAnsi="Arial" w:cs="Arial"/>
          <w:sz w:val="22"/>
          <w:szCs w:val="22"/>
        </w:rPr>
        <w:t xml:space="preserve"> </w:t>
      </w:r>
      <w:r w:rsidR="002B6C80">
        <w:rPr>
          <w:rFonts w:ascii="Arial" w:hAnsi="Arial" w:cs="Arial"/>
          <w:sz w:val="22"/>
          <w:szCs w:val="22"/>
        </w:rPr>
        <w:t xml:space="preserve">tariff </w:t>
      </w:r>
      <w:r>
        <w:rPr>
          <w:rFonts w:ascii="Arial" w:hAnsi="Arial" w:cs="Arial"/>
          <w:sz w:val="22"/>
          <w:szCs w:val="22"/>
        </w:rPr>
        <w:t>amendments</w:t>
      </w:r>
      <w:r w:rsidR="002B6C80">
        <w:rPr>
          <w:rFonts w:ascii="Arial" w:hAnsi="Arial" w:cs="Arial"/>
          <w:sz w:val="22"/>
          <w:szCs w:val="22"/>
        </w:rPr>
        <w:t>, consistent with FERC’s Guidance Order</w:t>
      </w:r>
      <w:r w:rsidR="002B6C80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2B6C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that </w:t>
      </w:r>
      <w:r w:rsidR="008C0460">
        <w:rPr>
          <w:rFonts w:ascii="Arial" w:hAnsi="Arial" w:cs="Arial"/>
          <w:sz w:val="22"/>
          <w:szCs w:val="22"/>
        </w:rPr>
        <w:t>detail</w:t>
      </w:r>
      <w:r>
        <w:rPr>
          <w:rFonts w:ascii="Arial" w:hAnsi="Arial" w:cs="Arial"/>
          <w:sz w:val="22"/>
          <w:szCs w:val="22"/>
        </w:rPr>
        <w:t xml:space="preserve"> the process through which</w:t>
      </w:r>
      <w:r w:rsidR="008C0460">
        <w:rPr>
          <w:rFonts w:ascii="Arial" w:hAnsi="Arial" w:cs="Arial"/>
          <w:sz w:val="22"/>
          <w:szCs w:val="22"/>
        </w:rPr>
        <w:t xml:space="preserve"> it</w:t>
      </w:r>
      <w:r>
        <w:rPr>
          <w:rFonts w:ascii="Arial" w:hAnsi="Arial" w:cs="Arial"/>
          <w:sz w:val="22"/>
          <w:szCs w:val="22"/>
        </w:rPr>
        <w:t xml:space="preserve"> may seek authority from F</w:t>
      </w:r>
      <w:r w:rsidR="008C0460">
        <w:rPr>
          <w:rFonts w:ascii="Arial" w:hAnsi="Arial" w:cs="Arial"/>
          <w:sz w:val="22"/>
          <w:szCs w:val="22"/>
        </w:rPr>
        <w:t>ERC</w:t>
      </w:r>
      <w:r>
        <w:rPr>
          <w:rFonts w:ascii="Arial" w:hAnsi="Arial" w:cs="Arial"/>
          <w:sz w:val="22"/>
          <w:szCs w:val="22"/>
        </w:rPr>
        <w:t>, on a case-by-case basis</w:t>
      </w:r>
      <w:r w:rsidR="00184F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allocate any </w:t>
      </w:r>
      <w:r w:rsidR="002B6C80">
        <w:rPr>
          <w:rFonts w:ascii="Arial" w:hAnsi="Arial" w:cs="Arial"/>
          <w:sz w:val="22"/>
          <w:szCs w:val="22"/>
        </w:rPr>
        <w:t xml:space="preserve">monetary </w:t>
      </w:r>
      <w:r>
        <w:rPr>
          <w:rFonts w:ascii="Arial" w:hAnsi="Arial" w:cs="Arial"/>
          <w:sz w:val="22"/>
          <w:szCs w:val="22"/>
        </w:rPr>
        <w:t>penalties that may be imposed on</w:t>
      </w:r>
      <w:r w:rsidR="008C0460">
        <w:rPr>
          <w:rFonts w:ascii="Arial" w:hAnsi="Arial" w:cs="Arial"/>
          <w:sz w:val="22"/>
          <w:szCs w:val="22"/>
        </w:rPr>
        <w:t xml:space="preserve"> it </w:t>
      </w:r>
      <w:r>
        <w:rPr>
          <w:rFonts w:ascii="Arial" w:hAnsi="Arial" w:cs="Arial"/>
          <w:sz w:val="22"/>
          <w:szCs w:val="22"/>
        </w:rPr>
        <w:t>by FERC or other regulatory bodies</w:t>
      </w:r>
      <w:r w:rsidR="001D6453">
        <w:rPr>
          <w:rFonts w:ascii="Arial" w:hAnsi="Arial" w:cs="Arial"/>
          <w:sz w:val="22"/>
          <w:szCs w:val="22"/>
        </w:rPr>
        <w:t xml:space="preserve">, including </w:t>
      </w:r>
      <w:r w:rsidR="005C3FEF">
        <w:rPr>
          <w:rFonts w:ascii="Arial" w:hAnsi="Arial" w:cs="Arial"/>
          <w:sz w:val="22"/>
          <w:szCs w:val="22"/>
        </w:rPr>
        <w:t>N</w:t>
      </w:r>
      <w:r w:rsidR="008C0460">
        <w:rPr>
          <w:rFonts w:ascii="Arial" w:hAnsi="Arial" w:cs="Arial"/>
          <w:sz w:val="22"/>
          <w:szCs w:val="22"/>
        </w:rPr>
        <w:t>ERC and WECC</w:t>
      </w:r>
      <w:r>
        <w:rPr>
          <w:rFonts w:ascii="Arial" w:hAnsi="Arial" w:cs="Arial"/>
          <w:sz w:val="22"/>
          <w:szCs w:val="22"/>
        </w:rPr>
        <w:t>.</w:t>
      </w:r>
      <w:r w:rsidR="00184FA2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12D56B0E" w14:textId="77777777" w:rsidR="00D97689" w:rsidRDefault="00D97689" w:rsidP="00F32D1F">
      <w:pPr>
        <w:ind w:firstLine="720"/>
        <w:rPr>
          <w:rFonts w:ascii="Arial" w:hAnsi="Arial" w:cs="Arial"/>
          <w:sz w:val="22"/>
          <w:szCs w:val="22"/>
        </w:rPr>
      </w:pPr>
    </w:p>
    <w:p w14:paraId="2078BAC6" w14:textId="77777777" w:rsidR="00F32D1F" w:rsidRPr="00F32D1F" w:rsidRDefault="00F32D1F" w:rsidP="00F32D1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No. 672, which implemented </w:t>
      </w:r>
      <w:r w:rsidR="008C0460">
        <w:rPr>
          <w:rFonts w:ascii="Arial" w:hAnsi="Arial" w:cs="Arial"/>
          <w:sz w:val="22"/>
          <w:szCs w:val="22"/>
        </w:rPr>
        <w:t>various</w:t>
      </w:r>
      <w:r>
        <w:rPr>
          <w:rFonts w:ascii="Arial" w:hAnsi="Arial" w:cs="Arial"/>
          <w:sz w:val="22"/>
          <w:szCs w:val="22"/>
        </w:rPr>
        <w:t xml:space="preserve"> requirements of the Energy Poli</w:t>
      </w:r>
      <w:r w:rsidR="0073489F">
        <w:rPr>
          <w:rFonts w:ascii="Arial" w:hAnsi="Arial" w:cs="Arial"/>
          <w:sz w:val="22"/>
          <w:szCs w:val="22"/>
        </w:rPr>
        <w:t>cy Act of 2005 (EPA</w:t>
      </w:r>
      <w:r w:rsidR="002B6C80">
        <w:rPr>
          <w:rFonts w:ascii="Arial" w:hAnsi="Arial" w:cs="Arial"/>
          <w:sz w:val="22"/>
          <w:szCs w:val="22"/>
        </w:rPr>
        <w:t>ct</w:t>
      </w:r>
      <w:r w:rsidR="0073489F">
        <w:rPr>
          <w:rFonts w:ascii="Arial" w:hAnsi="Arial" w:cs="Arial"/>
          <w:sz w:val="22"/>
          <w:szCs w:val="22"/>
        </w:rPr>
        <w:t xml:space="preserve"> 2005),</w:t>
      </w:r>
      <w:r>
        <w:rPr>
          <w:rFonts w:ascii="Arial" w:hAnsi="Arial" w:cs="Arial"/>
          <w:sz w:val="22"/>
          <w:szCs w:val="22"/>
        </w:rPr>
        <w:t xml:space="preserve"> F</w:t>
      </w:r>
      <w:r w:rsidR="00D97689">
        <w:rPr>
          <w:rFonts w:ascii="Arial" w:hAnsi="Arial" w:cs="Arial"/>
          <w:sz w:val="22"/>
          <w:szCs w:val="22"/>
        </w:rPr>
        <w:t>ERC</w:t>
      </w:r>
      <w:r>
        <w:rPr>
          <w:rFonts w:ascii="Arial" w:hAnsi="Arial" w:cs="Arial"/>
          <w:sz w:val="22"/>
          <w:szCs w:val="22"/>
        </w:rPr>
        <w:t xml:space="preserve"> considered the issue of how </w:t>
      </w:r>
      <w:r w:rsidR="00706B95">
        <w:rPr>
          <w:rFonts w:ascii="Arial" w:hAnsi="Arial" w:cs="Arial"/>
          <w:sz w:val="22"/>
          <w:szCs w:val="22"/>
        </w:rPr>
        <w:t xml:space="preserve">the penalty provisions of </w:t>
      </w:r>
      <w:r w:rsidR="008C0460">
        <w:rPr>
          <w:rFonts w:ascii="Arial" w:hAnsi="Arial" w:cs="Arial"/>
          <w:sz w:val="22"/>
          <w:szCs w:val="22"/>
        </w:rPr>
        <w:t>the statute</w:t>
      </w:r>
      <w:r w:rsidR="00706B95">
        <w:rPr>
          <w:rFonts w:ascii="Arial" w:hAnsi="Arial" w:cs="Arial"/>
          <w:sz w:val="22"/>
          <w:szCs w:val="22"/>
        </w:rPr>
        <w:t xml:space="preserve"> should apply to RTOs and ISOs </w:t>
      </w:r>
      <w:r w:rsidR="00D97689">
        <w:rPr>
          <w:rFonts w:ascii="Arial" w:hAnsi="Arial" w:cs="Arial"/>
          <w:sz w:val="22"/>
          <w:szCs w:val="22"/>
        </w:rPr>
        <w:t xml:space="preserve">that operate on a </w:t>
      </w:r>
      <w:r w:rsidR="00706B95">
        <w:rPr>
          <w:rFonts w:ascii="Arial" w:hAnsi="Arial" w:cs="Arial"/>
          <w:sz w:val="22"/>
          <w:szCs w:val="22"/>
        </w:rPr>
        <w:t xml:space="preserve">non-profit </w:t>
      </w:r>
      <w:r w:rsidR="00D97689">
        <w:rPr>
          <w:rFonts w:ascii="Arial" w:hAnsi="Arial" w:cs="Arial"/>
          <w:sz w:val="22"/>
          <w:szCs w:val="22"/>
        </w:rPr>
        <w:t xml:space="preserve">basis and may </w:t>
      </w:r>
      <w:r w:rsidR="007A6DE8">
        <w:rPr>
          <w:rFonts w:ascii="Arial" w:hAnsi="Arial" w:cs="Arial"/>
          <w:sz w:val="22"/>
          <w:szCs w:val="22"/>
        </w:rPr>
        <w:t>lack</w:t>
      </w:r>
      <w:r w:rsidR="00D97689">
        <w:rPr>
          <w:rFonts w:ascii="Arial" w:hAnsi="Arial" w:cs="Arial"/>
          <w:sz w:val="22"/>
          <w:szCs w:val="22"/>
        </w:rPr>
        <w:t xml:space="preserve"> the ability to pay monetary penalties without </w:t>
      </w:r>
      <w:r w:rsidR="008C0460">
        <w:rPr>
          <w:rFonts w:ascii="Arial" w:hAnsi="Arial" w:cs="Arial"/>
          <w:sz w:val="22"/>
          <w:szCs w:val="22"/>
        </w:rPr>
        <w:t>a</w:t>
      </w:r>
      <w:r w:rsidR="00D97689">
        <w:rPr>
          <w:rFonts w:ascii="Arial" w:hAnsi="Arial" w:cs="Arial"/>
          <w:sz w:val="22"/>
          <w:szCs w:val="22"/>
        </w:rPr>
        <w:t xml:space="preserve"> means of recovering the cost.  </w:t>
      </w:r>
      <w:r w:rsidR="00706B95">
        <w:rPr>
          <w:rFonts w:ascii="Arial" w:hAnsi="Arial" w:cs="Arial"/>
          <w:sz w:val="22"/>
          <w:szCs w:val="22"/>
        </w:rPr>
        <w:t>FERC denied requests to exempt non-profit RTOs and ISOs from</w:t>
      </w:r>
      <w:r w:rsidR="008C0460">
        <w:rPr>
          <w:rFonts w:ascii="Arial" w:hAnsi="Arial" w:cs="Arial"/>
          <w:sz w:val="22"/>
          <w:szCs w:val="22"/>
        </w:rPr>
        <w:t xml:space="preserve"> such </w:t>
      </w:r>
      <w:r w:rsidR="00706B95">
        <w:rPr>
          <w:rFonts w:ascii="Arial" w:hAnsi="Arial" w:cs="Arial"/>
          <w:sz w:val="22"/>
          <w:szCs w:val="22"/>
        </w:rPr>
        <w:t xml:space="preserve">penalties or to give </w:t>
      </w:r>
      <w:r w:rsidR="00D97689">
        <w:rPr>
          <w:rFonts w:ascii="Arial" w:hAnsi="Arial" w:cs="Arial"/>
          <w:sz w:val="22"/>
          <w:szCs w:val="22"/>
        </w:rPr>
        <w:t>such entities blanket authority to recover such</w:t>
      </w:r>
      <w:r w:rsidR="00706B95">
        <w:rPr>
          <w:rFonts w:ascii="Arial" w:hAnsi="Arial" w:cs="Arial"/>
          <w:sz w:val="22"/>
          <w:szCs w:val="22"/>
        </w:rPr>
        <w:t xml:space="preserve"> costs from their market participants, and instead </w:t>
      </w:r>
      <w:r w:rsidR="00BF5CCE">
        <w:rPr>
          <w:rFonts w:ascii="Arial" w:hAnsi="Arial" w:cs="Arial"/>
          <w:sz w:val="22"/>
          <w:szCs w:val="22"/>
        </w:rPr>
        <w:t>conclude</w:t>
      </w:r>
      <w:r w:rsidR="00D97689">
        <w:rPr>
          <w:rFonts w:ascii="Arial" w:hAnsi="Arial" w:cs="Arial"/>
          <w:sz w:val="22"/>
          <w:szCs w:val="22"/>
        </w:rPr>
        <w:t>d</w:t>
      </w:r>
      <w:r w:rsidR="00706B95">
        <w:rPr>
          <w:rFonts w:ascii="Arial" w:hAnsi="Arial" w:cs="Arial"/>
          <w:sz w:val="22"/>
          <w:szCs w:val="22"/>
        </w:rPr>
        <w:t xml:space="preserve"> that it would consider such penalty allocation requests on a case-by-case basis.</w:t>
      </w:r>
      <w:r w:rsidR="007A6DE8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2B6C80">
        <w:rPr>
          <w:rFonts w:ascii="Arial" w:hAnsi="Arial" w:cs="Arial"/>
          <w:sz w:val="22"/>
          <w:szCs w:val="22"/>
        </w:rPr>
        <w:t xml:space="preserve">  More recently, FERC issued its</w:t>
      </w:r>
      <w:r w:rsidR="00706B95">
        <w:rPr>
          <w:rFonts w:ascii="Arial" w:hAnsi="Arial" w:cs="Arial"/>
          <w:sz w:val="22"/>
          <w:szCs w:val="22"/>
        </w:rPr>
        <w:t xml:space="preserve"> Guidance Order</w:t>
      </w:r>
      <w:r w:rsidR="002B6C80">
        <w:rPr>
          <w:rFonts w:ascii="Arial" w:hAnsi="Arial" w:cs="Arial"/>
          <w:sz w:val="22"/>
          <w:szCs w:val="22"/>
        </w:rPr>
        <w:t xml:space="preserve"> on penalty allocation, which </w:t>
      </w:r>
      <w:r w:rsidR="008C0460">
        <w:rPr>
          <w:rFonts w:ascii="Arial" w:hAnsi="Arial" w:cs="Arial"/>
          <w:sz w:val="22"/>
          <w:szCs w:val="22"/>
        </w:rPr>
        <w:t>identifies</w:t>
      </w:r>
      <w:r w:rsidR="00706B95">
        <w:rPr>
          <w:rFonts w:ascii="Arial" w:hAnsi="Arial" w:cs="Arial"/>
          <w:sz w:val="22"/>
          <w:szCs w:val="22"/>
        </w:rPr>
        <w:t xml:space="preserve"> </w:t>
      </w:r>
      <w:r w:rsidR="0074077B">
        <w:rPr>
          <w:rFonts w:ascii="Arial" w:hAnsi="Arial" w:cs="Arial"/>
          <w:sz w:val="22"/>
          <w:szCs w:val="22"/>
        </w:rPr>
        <w:t xml:space="preserve">a process that ISOs and RTOs </w:t>
      </w:r>
      <w:r w:rsidR="00D97689">
        <w:rPr>
          <w:rFonts w:ascii="Arial" w:hAnsi="Arial" w:cs="Arial"/>
          <w:sz w:val="22"/>
          <w:szCs w:val="22"/>
        </w:rPr>
        <w:t>may</w:t>
      </w:r>
      <w:r w:rsidR="0074077B">
        <w:rPr>
          <w:rFonts w:ascii="Arial" w:hAnsi="Arial" w:cs="Arial"/>
          <w:sz w:val="22"/>
          <w:szCs w:val="22"/>
        </w:rPr>
        <w:t xml:space="preserve"> follow </w:t>
      </w:r>
      <w:r w:rsidR="008C0460">
        <w:rPr>
          <w:rFonts w:ascii="Arial" w:hAnsi="Arial" w:cs="Arial"/>
          <w:sz w:val="22"/>
          <w:szCs w:val="22"/>
        </w:rPr>
        <w:t>to</w:t>
      </w:r>
      <w:r w:rsidR="0074077B">
        <w:rPr>
          <w:rFonts w:ascii="Arial" w:hAnsi="Arial" w:cs="Arial"/>
          <w:sz w:val="22"/>
          <w:szCs w:val="22"/>
        </w:rPr>
        <w:t xml:space="preserve"> obtain FERC’s case-</w:t>
      </w:r>
      <w:r w:rsidR="008C0460">
        <w:rPr>
          <w:rFonts w:ascii="Arial" w:hAnsi="Arial" w:cs="Arial"/>
          <w:sz w:val="22"/>
          <w:szCs w:val="22"/>
        </w:rPr>
        <w:t>specific</w:t>
      </w:r>
      <w:r w:rsidR="0074077B">
        <w:rPr>
          <w:rFonts w:ascii="Arial" w:hAnsi="Arial" w:cs="Arial"/>
          <w:sz w:val="22"/>
          <w:szCs w:val="22"/>
        </w:rPr>
        <w:t xml:space="preserve"> review of a proposed penalty allocation.  </w:t>
      </w:r>
    </w:p>
    <w:p w14:paraId="52A20ABB" w14:textId="77777777" w:rsidR="00F32D1F" w:rsidRDefault="00F32D1F" w:rsidP="00F32D1F">
      <w:pPr>
        <w:ind w:firstLine="720"/>
        <w:rPr>
          <w:rFonts w:ascii="Arial" w:hAnsi="Arial" w:cs="Arial"/>
        </w:rPr>
      </w:pPr>
    </w:p>
    <w:p w14:paraId="2D8288BE" w14:textId="77777777" w:rsidR="00F32D1F" w:rsidRDefault="0074077B" w:rsidP="00F32D1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response to FERC’s Guidance Order, ISOs and RTOs have been updating their tariffs to include provisions detail</w:t>
      </w:r>
      <w:r w:rsidR="008C046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procedures that </w:t>
      </w:r>
      <w:r w:rsidR="00A83C26">
        <w:rPr>
          <w:rFonts w:ascii="Arial" w:hAnsi="Arial" w:cs="Arial"/>
          <w:sz w:val="22"/>
          <w:szCs w:val="22"/>
        </w:rPr>
        <w:t>the</w:t>
      </w:r>
      <w:r w:rsidR="008C0460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will </w:t>
      </w:r>
      <w:r w:rsidR="00A83C26">
        <w:rPr>
          <w:rFonts w:ascii="Arial" w:hAnsi="Arial" w:cs="Arial"/>
          <w:sz w:val="22"/>
          <w:szCs w:val="22"/>
        </w:rPr>
        <w:t>follow in</w:t>
      </w:r>
      <w:r>
        <w:rPr>
          <w:rFonts w:ascii="Arial" w:hAnsi="Arial" w:cs="Arial"/>
          <w:sz w:val="22"/>
          <w:szCs w:val="22"/>
        </w:rPr>
        <w:t xml:space="preserve"> seeking FERC’s case-by-case review.  </w:t>
      </w:r>
      <w:r w:rsidR="00A83C26">
        <w:rPr>
          <w:rFonts w:ascii="Arial" w:hAnsi="Arial" w:cs="Arial"/>
          <w:sz w:val="22"/>
          <w:szCs w:val="22"/>
        </w:rPr>
        <w:t xml:space="preserve">To date, the New York Independent System Operator (NYISO), </w:t>
      </w:r>
      <w:r w:rsidR="00D97689">
        <w:rPr>
          <w:rFonts w:ascii="Arial" w:hAnsi="Arial" w:cs="Arial"/>
          <w:sz w:val="22"/>
          <w:szCs w:val="22"/>
        </w:rPr>
        <w:t>the Midwest Independent Transmission System Operator (MISO), the Southwest Power Pool (SPP), and the PJM Interconnection (PJM), have each filed, and received FERC’s approval</w:t>
      </w:r>
      <w:r w:rsidR="008C0460">
        <w:rPr>
          <w:rFonts w:ascii="Arial" w:hAnsi="Arial" w:cs="Arial"/>
          <w:sz w:val="22"/>
          <w:szCs w:val="22"/>
        </w:rPr>
        <w:t xml:space="preserve"> for</w:t>
      </w:r>
      <w:r w:rsidR="00D97689">
        <w:rPr>
          <w:rFonts w:ascii="Arial" w:hAnsi="Arial" w:cs="Arial"/>
          <w:sz w:val="22"/>
          <w:szCs w:val="22"/>
        </w:rPr>
        <w:t>, such tariff amendments.</w:t>
      </w:r>
      <w:r w:rsidR="00806C4A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D97689">
        <w:rPr>
          <w:rFonts w:ascii="Arial" w:hAnsi="Arial" w:cs="Arial"/>
          <w:sz w:val="22"/>
          <w:szCs w:val="22"/>
        </w:rPr>
        <w:t xml:space="preserve">  The </w:t>
      </w:r>
      <w:r w:rsidR="008C0460">
        <w:rPr>
          <w:rFonts w:ascii="Arial" w:hAnsi="Arial" w:cs="Arial"/>
          <w:sz w:val="22"/>
          <w:szCs w:val="22"/>
        </w:rPr>
        <w:t xml:space="preserve">California </w:t>
      </w:r>
      <w:r w:rsidR="00D97689">
        <w:rPr>
          <w:rFonts w:ascii="Arial" w:hAnsi="Arial" w:cs="Arial"/>
          <w:sz w:val="22"/>
          <w:szCs w:val="22"/>
        </w:rPr>
        <w:t>ISO’s proposed tariff amendments</w:t>
      </w:r>
      <w:r w:rsidR="004267A1">
        <w:rPr>
          <w:rFonts w:ascii="Arial" w:hAnsi="Arial" w:cs="Arial"/>
          <w:sz w:val="22"/>
          <w:szCs w:val="22"/>
        </w:rPr>
        <w:t>, which</w:t>
      </w:r>
      <w:r w:rsidR="00D97689">
        <w:rPr>
          <w:rFonts w:ascii="Arial" w:hAnsi="Arial" w:cs="Arial"/>
          <w:sz w:val="22"/>
          <w:szCs w:val="22"/>
        </w:rPr>
        <w:t xml:space="preserve"> are s</w:t>
      </w:r>
      <w:r w:rsidR="004267A1">
        <w:rPr>
          <w:rFonts w:ascii="Arial" w:hAnsi="Arial" w:cs="Arial"/>
          <w:sz w:val="22"/>
          <w:szCs w:val="22"/>
        </w:rPr>
        <w:t>imilar to the revisions adopted</w:t>
      </w:r>
      <w:r w:rsidR="00D97689">
        <w:rPr>
          <w:rFonts w:ascii="Arial" w:hAnsi="Arial" w:cs="Arial"/>
          <w:sz w:val="22"/>
          <w:szCs w:val="22"/>
        </w:rPr>
        <w:t xml:space="preserve"> by these other ISOs and RTOs</w:t>
      </w:r>
      <w:r w:rsidR="004267A1">
        <w:rPr>
          <w:rFonts w:ascii="Arial" w:hAnsi="Arial" w:cs="Arial"/>
          <w:sz w:val="22"/>
          <w:szCs w:val="22"/>
        </w:rPr>
        <w:t xml:space="preserve">, </w:t>
      </w:r>
      <w:r w:rsidR="00253654">
        <w:rPr>
          <w:rFonts w:ascii="Arial" w:hAnsi="Arial" w:cs="Arial"/>
          <w:sz w:val="22"/>
          <w:szCs w:val="22"/>
        </w:rPr>
        <w:t xml:space="preserve">set forth the process the ISO </w:t>
      </w:r>
      <w:r w:rsidR="00BF5CCE">
        <w:rPr>
          <w:rFonts w:ascii="Arial" w:hAnsi="Arial" w:cs="Arial"/>
          <w:sz w:val="22"/>
          <w:szCs w:val="22"/>
        </w:rPr>
        <w:t>propose</w:t>
      </w:r>
      <w:r w:rsidR="00253654">
        <w:rPr>
          <w:rFonts w:ascii="Arial" w:hAnsi="Arial" w:cs="Arial"/>
          <w:sz w:val="22"/>
          <w:szCs w:val="22"/>
        </w:rPr>
        <w:t xml:space="preserve">s to follow for </w:t>
      </w:r>
      <w:r w:rsidR="008C0460">
        <w:rPr>
          <w:rFonts w:ascii="Arial" w:hAnsi="Arial" w:cs="Arial"/>
          <w:sz w:val="22"/>
          <w:szCs w:val="22"/>
        </w:rPr>
        <w:t>seeking</w:t>
      </w:r>
      <w:r w:rsidR="00253654">
        <w:rPr>
          <w:rFonts w:ascii="Arial" w:hAnsi="Arial" w:cs="Arial"/>
          <w:sz w:val="22"/>
          <w:szCs w:val="22"/>
        </w:rPr>
        <w:t xml:space="preserve"> FERC approval of a</w:t>
      </w:r>
      <w:r w:rsidR="008C0460">
        <w:rPr>
          <w:rFonts w:ascii="Arial" w:hAnsi="Arial" w:cs="Arial"/>
          <w:sz w:val="22"/>
          <w:szCs w:val="22"/>
        </w:rPr>
        <w:t>ny proposed</w:t>
      </w:r>
      <w:r w:rsidR="00253654">
        <w:rPr>
          <w:rFonts w:ascii="Arial" w:hAnsi="Arial" w:cs="Arial"/>
          <w:sz w:val="22"/>
          <w:szCs w:val="22"/>
        </w:rPr>
        <w:t xml:space="preserve"> penalty allocation, consistent with the </w:t>
      </w:r>
      <w:r w:rsidR="008C0460">
        <w:rPr>
          <w:rFonts w:ascii="Arial" w:hAnsi="Arial" w:cs="Arial"/>
          <w:sz w:val="22"/>
          <w:szCs w:val="22"/>
        </w:rPr>
        <w:t>process</w:t>
      </w:r>
      <w:r w:rsidR="00253654">
        <w:rPr>
          <w:rFonts w:ascii="Arial" w:hAnsi="Arial" w:cs="Arial"/>
          <w:sz w:val="22"/>
          <w:szCs w:val="22"/>
        </w:rPr>
        <w:t xml:space="preserve"> </w:t>
      </w:r>
      <w:r w:rsidR="008C0460">
        <w:rPr>
          <w:rFonts w:ascii="Arial" w:hAnsi="Arial" w:cs="Arial"/>
          <w:sz w:val="22"/>
          <w:szCs w:val="22"/>
        </w:rPr>
        <w:t>set forth</w:t>
      </w:r>
      <w:r w:rsidR="00253654">
        <w:rPr>
          <w:rFonts w:ascii="Arial" w:hAnsi="Arial" w:cs="Arial"/>
          <w:sz w:val="22"/>
          <w:szCs w:val="22"/>
        </w:rPr>
        <w:t xml:space="preserve"> in the Guidance Order.  </w:t>
      </w:r>
    </w:p>
    <w:p w14:paraId="03C4AE94" w14:textId="77777777" w:rsidR="004267A1" w:rsidRDefault="004267A1" w:rsidP="00F32D1F">
      <w:pPr>
        <w:ind w:firstLine="720"/>
        <w:rPr>
          <w:rFonts w:ascii="Arial" w:hAnsi="Arial" w:cs="Arial"/>
          <w:sz w:val="22"/>
          <w:szCs w:val="22"/>
        </w:rPr>
      </w:pPr>
    </w:p>
    <w:p w14:paraId="2B6A172B" w14:textId="77777777" w:rsidR="00F32D1F" w:rsidRPr="00F32D1F" w:rsidRDefault="00F32D1F" w:rsidP="00F32D1F">
      <w:pPr>
        <w:pStyle w:val="ListParagraph"/>
        <w:numPr>
          <w:ilvl w:val="0"/>
          <w:numId w:val="1"/>
        </w:numPr>
        <w:ind w:left="9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Summary of Proposed Amendment</w:t>
      </w:r>
    </w:p>
    <w:p w14:paraId="20079754" w14:textId="77777777" w:rsidR="00F32D1F" w:rsidRDefault="00F32D1F" w:rsidP="00F32D1F">
      <w:pPr>
        <w:rPr>
          <w:rFonts w:ascii="Arial" w:hAnsi="Arial" w:cs="Arial"/>
          <w:b/>
          <w:u w:val="single"/>
        </w:rPr>
      </w:pPr>
    </w:p>
    <w:p w14:paraId="5E4528A9" w14:textId="77777777" w:rsidR="0050557D" w:rsidRDefault="00EE46C9" w:rsidP="0025365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complete draft of the ISO’s </w:t>
      </w:r>
      <w:r w:rsidR="0050557D">
        <w:rPr>
          <w:rFonts w:ascii="Arial" w:hAnsi="Arial" w:cs="Arial"/>
          <w:sz w:val="22"/>
          <w:szCs w:val="22"/>
        </w:rPr>
        <w:t>proposed revisions to the Tariff</w:t>
      </w:r>
      <w:r>
        <w:rPr>
          <w:rFonts w:ascii="Arial" w:hAnsi="Arial" w:cs="Arial"/>
          <w:sz w:val="22"/>
          <w:szCs w:val="22"/>
        </w:rPr>
        <w:t xml:space="preserve"> is being posted</w:t>
      </w:r>
      <w:r w:rsidR="0050557D">
        <w:rPr>
          <w:rFonts w:ascii="Arial" w:hAnsi="Arial" w:cs="Arial"/>
          <w:sz w:val="22"/>
          <w:szCs w:val="22"/>
        </w:rPr>
        <w:t xml:space="preserve"> </w:t>
      </w:r>
      <w:r w:rsidR="008C0460">
        <w:rPr>
          <w:rFonts w:ascii="Arial" w:hAnsi="Arial" w:cs="Arial"/>
          <w:sz w:val="22"/>
          <w:szCs w:val="22"/>
        </w:rPr>
        <w:t xml:space="preserve">on the ISO’s website </w:t>
      </w:r>
      <w:r w:rsidR="0050557D">
        <w:rPr>
          <w:rFonts w:ascii="Arial" w:hAnsi="Arial" w:cs="Arial"/>
          <w:sz w:val="22"/>
          <w:szCs w:val="22"/>
        </w:rPr>
        <w:t>along with this overview</w:t>
      </w:r>
      <w:r>
        <w:rPr>
          <w:rFonts w:ascii="Arial" w:hAnsi="Arial" w:cs="Arial"/>
          <w:sz w:val="22"/>
          <w:szCs w:val="22"/>
        </w:rPr>
        <w:t xml:space="preserve"> document</w:t>
      </w:r>
      <w:r w:rsidR="0050557D">
        <w:rPr>
          <w:rFonts w:ascii="Arial" w:hAnsi="Arial" w:cs="Arial"/>
          <w:sz w:val="22"/>
          <w:szCs w:val="22"/>
        </w:rPr>
        <w:t>.</w:t>
      </w:r>
    </w:p>
    <w:p w14:paraId="1E35CF9C" w14:textId="77777777" w:rsidR="0050557D" w:rsidRDefault="0050557D" w:rsidP="00253654">
      <w:pPr>
        <w:ind w:firstLine="720"/>
        <w:rPr>
          <w:rFonts w:ascii="Arial" w:hAnsi="Arial" w:cs="Arial"/>
          <w:sz w:val="22"/>
          <w:szCs w:val="22"/>
        </w:rPr>
      </w:pPr>
    </w:p>
    <w:p w14:paraId="116A62F3" w14:textId="77777777" w:rsidR="005C3FEF" w:rsidRDefault="00B0053A" w:rsidP="0025365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Consistent with FERC’s </w:t>
      </w:r>
      <w:r w:rsidR="008C0460">
        <w:rPr>
          <w:rFonts w:ascii="Arial" w:hAnsi="Arial" w:cs="Arial"/>
          <w:sz w:val="22"/>
          <w:szCs w:val="22"/>
        </w:rPr>
        <w:t>input</w:t>
      </w:r>
      <w:r>
        <w:rPr>
          <w:rFonts w:ascii="Arial" w:hAnsi="Arial" w:cs="Arial"/>
          <w:sz w:val="22"/>
          <w:szCs w:val="22"/>
        </w:rPr>
        <w:t xml:space="preserve"> in the Guidance Order, the ISO</w:t>
      </w:r>
      <w:r w:rsidR="00BF5CCE">
        <w:rPr>
          <w:rFonts w:ascii="Arial" w:hAnsi="Arial" w:cs="Arial"/>
          <w:sz w:val="22"/>
          <w:szCs w:val="22"/>
        </w:rPr>
        <w:t>’s proposal</w:t>
      </w:r>
      <w:r>
        <w:rPr>
          <w:rFonts w:ascii="Arial" w:hAnsi="Arial" w:cs="Arial"/>
          <w:sz w:val="22"/>
          <w:szCs w:val="22"/>
        </w:rPr>
        <w:t xml:space="preserve"> address</w:t>
      </w:r>
      <w:r w:rsidR="00BF5CC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two scenarios: (1) a request to FERC for authority to directly allocate the cost of a penalty to a particular market participant or market participants whose conduct may have contributed to the penalty; and (2) a request to FERC to allocate </w:t>
      </w:r>
      <w:r w:rsidR="00BF5CCE">
        <w:rPr>
          <w:rFonts w:ascii="Arial" w:hAnsi="Arial" w:cs="Arial"/>
          <w:sz w:val="22"/>
          <w:szCs w:val="22"/>
        </w:rPr>
        <w:t xml:space="preserve">the cost </w:t>
      </w:r>
      <w:r w:rsidR="008C0460">
        <w:rPr>
          <w:rFonts w:ascii="Arial" w:hAnsi="Arial" w:cs="Arial"/>
          <w:sz w:val="22"/>
          <w:szCs w:val="22"/>
        </w:rPr>
        <w:t xml:space="preserve">to market participants in general </w:t>
      </w:r>
      <w:r w:rsidR="00BF5CC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a penalty</w:t>
      </w:r>
      <w:r w:rsidR="008C0460">
        <w:rPr>
          <w:rFonts w:ascii="Arial" w:hAnsi="Arial" w:cs="Arial"/>
          <w:sz w:val="22"/>
          <w:szCs w:val="22"/>
        </w:rPr>
        <w:t xml:space="preserve"> that is not subject to direct allocation to specific market participant</w:t>
      </w:r>
      <w:r w:rsidR="00BF5CCE">
        <w:rPr>
          <w:rFonts w:ascii="Arial" w:hAnsi="Arial" w:cs="Arial"/>
          <w:sz w:val="22"/>
          <w:szCs w:val="22"/>
        </w:rPr>
        <w:t>s</w:t>
      </w:r>
      <w:r w:rsidR="008C0460">
        <w:rPr>
          <w:rFonts w:ascii="Arial" w:hAnsi="Arial" w:cs="Arial"/>
          <w:sz w:val="22"/>
          <w:szCs w:val="22"/>
        </w:rPr>
        <w:t xml:space="preserve">.  </w:t>
      </w:r>
    </w:p>
    <w:p w14:paraId="3962BE7F" w14:textId="77777777" w:rsidR="005C3FEF" w:rsidRDefault="005C3FEF" w:rsidP="00253654">
      <w:pPr>
        <w:ind w:firstLine="720"/>
        <w:rPr>
          <w:rFonts w:ascii="Arial" w:hAnsi="Arial" w:cs="Arial"/>
          <w:sz w:val="22"/>
          <w:szCs w:val="22"/>
        </w:rPr>
      </w:pPr>
    </w:p>
    <w:p w14:paraId="1C32ED26" w14:textId="77777777" w:rsidR="0050557D" w:rsidRDefault="0050557D" w:rsidP="0025365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process for seek</w:t>
      </w:r>
      <w:r w:rsidR="005C3FEF">
        <w:rPr>
          <w:rFonts w:ascii="Arial" w:hAnsi="Arial" w:cs="Arial"/>
          <w:sz w:val="22"/>
          <w:szCs w:val="22"/>
        </w:rPr>
        <w:t xml:space="preserve">ing approval for “direct allocation” is set </w:t>
      </w:r>
      <w:r w:rsidR="008C0460">
        <w:rPr>
          <w:rFonts w:ascii="Arial" w:hAnsi="Arial" w:cs="Arial"/>
          <w:sz w:val="22"/>
          <w:szCs w:val="22"/>
        </w:rPr>
        <w:t xml:space="preserve">forth primarily in proposed </w:t>
      </w:r>
      <w:r w:rsidR="005C3FEF">
        <w:rPr>
          <w:rFonts w:ascii="Arial" w:hAnsi="Arial" w:cs="Arial"/>
          <w:sz w:val="22"/>
          <w:szCs w:val="22"/>
        </w:rPr>
        <w:t xml:space="preserve">section 14.7.2 of the Tariff.  Consistent with the dictates of the Guidance Order, this section addresses the ISO’s obligation to provide early notice to </w:t>
      </w:r>
      <w:r>
        <w:rPr>
          <w:rFonts w:ascii="Arial" w:hAnsi="Arial" w:cs="Arial"/>
          <w:sz w:val="22"/>
          <w:szCs w:val="22"/>
        </w:rPr>
        <w:t xml:space="preserve">the </w:t>
      </w:r>
      <w:r w:rsidR="008C0460">
        <w:rPr>
          <w:rFonts w:ascii="Arial" w:hAnsi="Arial" w:cs="Arial"/>
          <w:sz w:val="22"/>
          <w:szCs w:val="22"/>
        </w:rPr>
        <w:t xml:space="preserve">affected </w:t>
      </w:r>
      <w:r w:rsidR="005C3FEF">
        <w:rPr>
          <w:rFonts w:ascii="Arial" w:hAnsi="Arial" w:cs="Arial"/>
          <w:sz w:val="22"/>
          <w:szCs w:val="22"/>
        </w:rPr>
        <w:t>market participant</w:t>
      </w:r>
      <w:r>
        <w:rPr>
          <w:rFonts w:ascii="Arial" w:hAnsi="Arial" w:cs="Arial"/>
          <w:sz w:val="22"/>
          <w:szCs w:val="22"/>
        </w:rPr>
        <w:t>(s) of the ISO’s</w:t>
      </w:r>
      <w:r w:rsidR="005C3FEF">
        <w:rPr>
          <w:rFonts w:ascii="Arial" w:hAnsi="Arial" w:cs="Arial"/>
          <w:sz w:val="22"/>
          <w:szCs w:val="22"/>
        </w:rPr>
        <w:t xml:space="preserve"> intent to seek such an allocation, as well as a full opportunity to participate in any underlying proceeding before </w:t>
      </w:r>
      <w:r w:rsidR="00184FA2">
        <w:rPr>
          <w:rFonts w:ascii="Arial" w:hAnsi="Arial" w:cs="Arial"/>
          <w:sz w:val="22"/>
          <w:szCs w:val="22"/>
        </w:rPr>
        <w:t>WECC, NERC, or FERC that may address the root cause or causes for the violation</w:t>
      </w:r>
      <w:r w:rsidR="008C0460">
        <w:rPr>
          <w:rFonts w:ascii="Arial" w:hAnsi="Arial" w:cs="Arial"/>
          <w:sz w:val="22"/>
          <w:szCs w:val="22"/>
        </w:rPr>
        <w:t xml:space="preserve"> at issue</w:t>
      </w:r>
      <w:r w:rsidR="00184F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This section</w:t>
      </w:r>
      <w:r w:rsidR="00650AA2">
        <w:rPr>
          <w:rFonts w:ascii="Arial" w:hAnsi="Arial" w:cs="Arial"/>
          <w:sz w:val="22"/>
          <w:szCs w:val="22"/>
        </w:rPr>
        <w:t xml:space="preserve"> also</w:t>
      </w:r>
      <w:r>
        <w:rPr>
          <w:rFonts w:ascii="Arial" w:hAnsi="Arial" w:cs="Arial"/>
          <w:sz w:val="22"/>
          <w:szCs w:val="22"/>
        </w:rPr>
        <w:t xml:space="preserve"> sets forth the process for FERC review and determination of any proposed direct allocation, pursuant to Section 205 of the Federal Power Act.  </w:t>
      </w:r>
    </w:p>
    <w:p w14:paraId="68C08A91" w14:textId="77777777" w:rsidR="0050557D" w:rsidRDefault="0050557D" w:rsidP="00253654">
      <w:pPr>
        <w:ind w:firstLine="720"/>
        <w:rPr>
          <w:rFonts w:ascii="Arial" w:hAnsi="Arial" w:cs="Arial"/>
          <w:sz w:val="22"/>
          <w:szCs w:val="22"/>
        </w:rPr>
      </w:pPr>
    </w:p>
    <w:p w14:paraId="3D90CC9E" w14:textId="77777777" w:rsidR="0050557D" w:rsidRDefault="0050557D" w:rsidP="0025365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process for seeking approval of an “indirect allocation” to the ISO marketplace is set forth primarily in proposed</w:t>
      </w:r>
      <w:r w:rsidR="00650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section 14.7.3 of the Tariff.  Once again consistent with the Guidance Order, this section requires a case-specific filing with FERC for approval of the allocation, pursuant to Section 205 of the Federal Power Act.</w:t>
      </w:r>
    </w:p>
    <w:p w14:paraId="7706B179" w14:textId="77777777" w:rsidR="0050557D" w:rsidRDefault="0050557D" w:rsidP="00253654">
      <w:pPr>
        <w:ind w:firstLine="720"/>
        <w:rPr>
          <w:rFonts w:ascii="Arial" w:hAnsi="Arial" w:cs="Arial"/>
          <w:sz w:val="22"/>
          <w:szCs w:val="22"/>
        </w:rPr>
      </w:pPr>
    </w:p>
    <w:p w14:paraId="56D35442" w14:textId="77777777" w:rsidR="00253654" w:rsidRPr="00B0053A" w:rsidRDefault="001D6453" w:rsidP="0025365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Tariff revision</w:t>
      </w:r>
      <w:r w:rsidR="0050557D">
        <w:rPr>
          <w:rFonts w:ascii="Arial" w:hAnsi="Arial" w:cs="Arial"/>
          <w:sz w:val="22"/>
          <w:szCs w:val="22"/>
        </w:rPr>
        <w:t xml:space="preserve"> also includes</w:t>
      </w:r>
      <w:r w:rsidR="00AE23E6">
        <w:rPr>
          <w:rFonts w:ascii="Arial" w:hAnsi="Arial" w:cs="Arial"/>
          <w:sz w:val="22"/>
          <w:szCs w:val="22"/>
        </w:rPr>
        <w:t xml:space="preserve"> definitions of</w:t>
      </w:r>
      <w:r w:rsidR="00650AA2">
        <w:rPr>
          <w:rFonts w:ascii="Arial" w:hAnsi="Arial" w:cs="Arial"/>
          <w:sz w:val="22"/>
          <w:szCs w:val="22"/>
        </w:rPr>
        <w:t xml:space="preserve"> various terms used in the new s</w:t>
      </w:r>
      <w:r w:rsidR="00AE23E6">
        <w:rPr>
          <w:rFonts w:ascii="Arial" w:hAnsi="Arial" w:cs="Arial"/>
          <w:sz w:val="22"/>
          <w:szCs w:val="22"/>
        </w:rPr>
        <w:t>ection 14</w:t>
      </w:r>
      <w:r w:rsidR="00650AA2">
        <w:rPr>
          <w:rFonts w:ascii="Arial" w:hAnsi="Arial" w:cs="Arial"/>
          <w:sz w:val="22"/>
          <w:szCs w:val="22"/>
        </w:rPr>
        <w:t>.7.  The ISO plans</w:t>
      </w:r>
      <w:r w:rsidR="00AE23E6">
        <w:rPr>
          <w:rFonts w:ascii="Arial" w:hAnsi="Arial" w:cs="Arial"/>
          <w:sz w:val="22"/>
          <w:szCs w:val="22"/>
        </w:rPr>
        <w:t xml:space="preserve"> to add these definitions to Appendix A of the Tariff, which is the Master Definitions Supplement.</w:t>
      </w:r>
      <w:r w:rsidR="0050557D">
        <w:rPr>
          <w:rFonts w:ascii="Arial" w:hAnsi="Arial" w:cs="Arial"/>
          <w:sz w:val="22"/>
          <w:szCs w:val="22"/>
        </w:rPr>
        <w:t xml:space="preserve">     </w:t>
      </w:r>
      <w:r w:rsidR="00B0053A">
        <w:rPr>
          <w:rFonts w:ascii="Arial" w:hAnsi="Arial" w:cs="Arial"/>
          <w:sz w:val="22"/>
          <w:szCs w:val="22"/>
        </w:rPr>
        <w:t xml:space="preserve"> </w:t>
      </w:r>
    </w:p>
    <w:p w14:paraId="04545800" w14:textId="77777777" w:rsidR="00253654" w:rsidRDefault="00253654" w:rsidP="00F32D1F">
      <w:pPr>
        <w:rPr>
          <w:rFonts w:ascii="Arial" w:hAnsi="Arial" w:cs="Arial"/>
          <w:b/>
          <w:u w:val="single"/>
        </w:rPr>
      </w:pPr>
    </w:p>
    <w:p w14:paraId="32C09A51" w14:textId="77777777" w:rsidR="00F32D1F" w:rsidRDefault="00F32D1F" w:rsidP="00F32D1F">
      <w:pPr>
        <w:pStyle w:val="ListParagraph"/>
        <w:numPr>
          <w:ilvl w:val="0"/>
          <w:numId w:val="1"/>
        </w:numPr>
        <w:ind w:left="9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Steps</w:t>
      </w:r>
    </w:p>
    <w:p w14:paraId="21ECF69C" w14:textId="77777777" w:rsidR="00AE23E6" w:rsidRDefault="00AE23E6" w:rsidP="00AE23E6">
      <w:pPr>
        <w:rPr>
          <w:rFonts w:ascii="Arial" w:hAnsi="Arial" w:cs="Arial"/>
          <w:b/>
        </w:rPr>
      </w:pPr>
    </w:p>
    <w:p w14:paraId="1ABD88B4" w14:textId="77777777" w:rsidR="00AE23E6" w:rsidRPr="007B44D9" w:rsidRDefault="007B44D9" w:rsidP="00AE23E6">
      <w:pPr>
        <w:ind w:firstLine="720"/>
        <w:rPr>
          <w:rFonts w:ascii="Arial" w:hAnsi="Arial" w:cs="Arial"/>
          <w:sz w:val="22"/>
          <w:szCs w:val="22"/>
        </w:rPr>
      </w:pPr>
      <w:r w:rsidRPr="007B44D9">
        <w:rPr>
          <w:rFonts w:ascii="Arial" w:hAnsi="Arial" w:cs="Arial"/>
          <w:sz w:val="22"/>
          <w:szCs w:val="22"/>
        </w:rPr>
        <w:t xml:space="preserve">As set forth in the </w:t>
      </w:r>
      <w:r w:rsidR="00650AA2">
        <w:rPr>
          <w:rFonts w:ascii="Arial" w:hAnsi="Arial" w:cs="Arial"/>
          <w:sz w:val="22"/>
          <w:szCs w:val="22"/>
        </w:rPr>
        <w:t xml:space="preserve">accompanying </w:t>
      </w:r>
      <w:r w:rsidRPr="007B44D9">
        <w:rPr>
          <w:rFonts w:ascii="Arial" w:hAnsi="Arial" w:cs="Arial"/>
          <w:sz w:val="22"/>
          <w:szCs w:val="22"/>
        </w:rPr>
        <w:t xml:space="preserve">market notice, </w:t>
      </w:r>
      <w:r>
        <w:rPr>
          <w:rFonts w:ascii="Arial" w:hAnsi="Arial" w:cs="Arial"/>
          <w:sz w:val="22"/>
          <w:szCs w:val="22"/>
        </w:rPr>
        <w:t>the ISO has scheduled a stakeholder conference call for November</w:t>
      </w:r>
      <w:r w:rsidR="001D6453">
        <w:rPr>
          <w:rFonts w:ascii="Arial" w:hAnsi="Arial" w:cs="Arial"/>
          <w:sz w:val="22"/>
          <w:szCs w:val="22"/>
        </w:rPr>
        <w:t xml:space="preserve"> 18, 2011 to discuss the T</w:t>
      </w:r>
      <w:r w:rsidR="00F05C55">
        <w:rPr>
          <w:rFonts w:ascii="Arial" w:hAnsi="Arial" w:cs="Arial"/>
          <w:sz w:val="22"/>
          <w:szCs w:val="22"/>
        </w:rPr>
        <w:t xml:space="preserve">ariff amendment.  </w:t>
      </w:r>
      <w:r w:rsidR="007A2134">
        <w:rPr>
          <w:rFonts w:ascii="Arial" w:hAnsi="Arial" w:cs="Arial"/>
          <w:sz w:val="22"/>
          <w:szCs w:val="22"/>
        </w:rPr>
        <w:t>The ISO plans to submit the amendment for approval by the ISO Board of Governors at the Board’s meeting on December 15-16.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AE23E6" w:rsidRPr="007B44D9" w:rsidSect="00141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5549" w14:textId="77777777" w:rsidR="00910778" w:rsidRDefault="00910778" w:rsidP="00184FA2">
      <w:r>
        <w:separator/>
      </w:r>
    </w:p>
  </w:endnote>
  <w:endnote w:type="continuationSeparator" w:id="0">
    <w:p w14:paraId="45C5EEDC" w14:textId="77777777" w:rsidR="00910778" w:rsidRDefault="00910778" w:rsidP="001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C387" w14:textId="77777777" w:rsidR="00910778" w:rsidRDefault="00910778" w:rsidP="00184FA2">
      <w:r>
        <w:separator/>
      </w:r>
    </w:p>
  </w:footnote>
  <w:footnote w:type="continuationSeparator" w:id="0">
    <w:p w14:paraId="08CE9CDB" w14:textId="77777777" w:rsidR="00910778" w:rsidRDefault="00910778" w:rsidP="00184FA2">
      <w:r>
        <w:continuationSeparator/>
      </w:r>
    </w:p>
  </w:footnote>
  <w:footnote w:id="1">
    <w:p w14:paraId="7B1AFA41" w14:textId="77777777" w:rsidR="002B6C80" w:rsidRDefault="002B6C80" w:rsidP="002B6C80">
      <w:pPr>
        <w:pStyle w:val="FootnoteText"/>
        <w:rPr>
          <w:rFonts w:ascii="Arial" w:hAnsi="Arial" w:cs="Arial"/>
        </w:rPr>
      </w:pPr>
      <w:r w:rsidRPr="00806C4A">
        <w:rPr>
          <w:rStyle w:val="FootnoteReference"/>
          <w:rFonts w:ascii="Arial" w:hAnsi="Arial" w:cs="Arial"/>
        </w:rPr>
        <w:footnoteRef/>
      </w:r>
      <w:r w:rsidRPr="00806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Order Providing Guidance on Recovery of Reliability Penalty Costs by Regional Transmission Organizations and Independent System Operators (“Guidance Order”), 122 FERC ¶ 61,247 (2008).</w:t>
      </w:r>
    </w:p>
    <w:p w14:paraId="54FF8759" w14:textId="77777777" w:rsidR="001D6453" w:rsidRPr="00806C4A" w:rsidRDefault="001D6453" w:rsidP="002B6C80">
      <w:pPr>
        <w:pStyle w:val="FootnoteText"/>
        <w:rPr>
          <w:rFonts w:ascii="Arial" w:hAnsi="Arial" w:cs="Arial"/>
        </w:rPr>
      </w:pPr>
    </w:p>
  </w:footnote>
  <w:footnote w:id="2">
    <w:p w14:paraId="69F8455C" w14:textId="77777777" w:rsidR="001D6453" w:rsidRDefault="008C0460">
      <w:pPr>
        <w:pStyle w:val="FootnoteText"/>
        <w:rPr>
          <w:rFonts w:ascii="Arial" w:hAnsi="Arial" w:cs="Arial"/>
        </w:rPr>
      </w:pPr>
      <w:r w:rsidRPr="00184FA2">
        <w:rPr>
          <w:rStyle w:val="FootnoteReference"/>
          <w:rFonts w:ascii="Arial" w:hAnsi="Arial" w:cs="Arial"/>
        </w:rPr>
        <w:footnoteRef/>
      </w:r>
      <w:r w:rsidRPr="00184FA2">
        <w:rPr>
          <w:rFonts w:ascii="Arial" w:hAnsi="Arial" w:cs="Arial"/>
        </w:rPr>
        <w:t xml:space="preserve">  NERC and WECC </w:t>
      </w:r>
      <w:r>
        <w:rPr>
          <w:rFonts w:ascii="Arial" w:hAnsi="Arial" w:cs="Arial"/>
        </w:rPr>
        <w:t>each hold</w:t>
      </w:r>
      <w:r w:rsidRPr="00184FA2">
        <w:rPr>
          <w:rFonts w:ascii="Arial" w:hAnsi="Arial" w:cs="Arial"/>
        </w:rPr>
        <w:t xml:space="preserve"> certain</w:t>
      </w:r>
      <w:r>
        <w:rPr>
          <w:rFonts w:ascii="Arial" w:hAnsi="Arial" w:cs="Arial"/>
        </w:rPr>
        <w:t xml:space="preserve"> </w:t>
      </w:r>
      <w:r w:rsidRPr="00184FA2">
        <w:rPr>
          <w:rFonts w:ascii="Arial" w:hAnsi="Arial" w:cs="Arial"/>
        </w:rPr>
        <w:t>enforcement responsibilities with respect t</w:t>
      </w:r>
      <w:r>
        <w:rPr>
          <w:rFonts w:ascii="Arial" w:hAnsi="Arial" w:cs="Arial"/>
        </w:rPr>
        <w:t>o the Reliability Standards</w:t>
      </w:r>
      <w:r w:rsidRPr="00184FA2">
        <w:rPr>
          <w:rFonts w:ascii="Arial" w:hAnsi="Arial" w:cs="Arial"/>
        </w:rPr>
        <w:t xml:space="preserve"> adopted </w:t>
      </w:r>
      <w:r>
        <w:rPr>
          <w:rFonts w:ascii="Arial" w:hAnsi="Arial" w:cs="Arial"/>
        </w:rPr>
        <w:t>by NERC and approved by</w:t>
      </w:r>
      <w:r w:rsidRPr="00184FA2">
        <w:rPr>
          <w:rFonts w:ascii="Arial" w:hAnsi="Arial" w:cs="Arial"/>
        </w:rPr>
        <w:t xml:space="preserve"> FERC </w:t>
      </w:r>
      <w:r>
        <w:rPr>
          <w:rFonts w:ascii="Arial" w:hAnsi="Arial" w:cs="Arial"/>
        </w:rPr>
        <w:t>for</w:t>
      </w:r>
      <w:r w:rsidRPr="00184FA2">
        <w:rPr>
          <w:rFonts w:ascii="Arial" w:hAnsi="Arial" w:cs="Arial"/>
        </w:rPr>
        <w:t xml:space="preserve"> reliable operation of the bulk power system. </w:t>
      </w:r>
    </w:p>
    <w:p w14:paraId="7489C711" w14:textId="77777777" w:rsidR="008C0460" w:rsidRPr="00184FA2" w:rsidRDefault="008C0460">
      <w:pPr>
        <w:pStyle w:val="FootnoteText"/>
        <w:rPr>
          <w:rFonts w:ascii="Arial" w:hAnsi="Arial" w:cs="Arial"/>
        </w:rPr>
      </w:pPr>
      <w:r w:rsidRPr="00184FA2">
        <w:rPr>
          <w:rFonts w:ascii="Arial" w:hAnsi="Arial" w:cs="Arial"/>
        </w:rPr>
        <w:t xml:space="preserve"> </w:t>
      </w:r>
    </w:p>
  </w:footnote>
  <w:footnote w:id="3">
    <w:p w14:paraId="64A6BF8D" w14:textId="77777777" w:rsidR="008C0460" w:rsidRDefault="008C0460">
      <w:pPr>
        <w:pStyle w:val="FootnoteText"/>
        <w:rPr>
          <w:rFonts w:ascii="Arial" w:hAnsi="Arial" w:cs="Arial"/>
        </w:rPr>
      </w:pPr>
      <w:r w:rsidRPr="007A6DE8">
        <w:rPr>
          <w:rStyle w:val="FootnoteReference"/>
          <w:rFonts w:ascii="Arial" w:hAnsi="Arial" w:cs="Arial"/>
        </w:rPr>
        <w:footnoteRef/>
      </w:r>
      <w:r w:rsidRPr="007A6DE8">
        <w:rPr>
          <w:rFonts w:ascii="Arial" w:hAnsi="Arial" w:cs="Arial"/>
        </w:rPr>
        <w:t xml:space="preserve">  Order</w:t>
      </w:r>
      <w:r>
        <w:rPr>
          <w:rFonts w:ascii="Arial" w:hAnsi="Arial" w:cs="Arial"/>
        </w:rPr>
        <w:t xml:space="preserve"> No. 672, 114 FERC ¶ 61,104, at P 634-35 (2006), </w:t>
      </w:r>
      <w:r>
        <w:rPr>
          <w:rFonts w:ascii="Arial" w:hAnsi="Arial" w:cs="Arial"/>
          <w:i/>
        </w:rPr>
        <w:t xml:space="preserve">on reh’g </w:t>
      </w:r>
      <w:r>
        <w:rPr>
          <w:rFonts w:ascii="Arial" w:hAnsi="Arial" w:cs="Arial"/>
        </w:rPr>
        <w:t>Order No. 672-A, 114 FERC ¶ 61,328, at P 58 (2006).</w:t>
      </w:r>
    </w:p>
    <w:p w14:paraId="6C0F5F1C" w14:textId="77777777" w:rsidR="001D6453" w:rsidRPr="007A6DE8" w:rsidRDefault="001D6453">
      <w:pPr>
        <w:pStyle w:val="FootnoteText"/>
        <w:rPr>
          <w:rFonts w:ascii="Arial" w:hAnsi="Arial" w:cs="Arial"/>
        </w:rPr>
      </w:pPr>
    </w:p>
  </w:footnote>
  <w:footnote w:id="4">
    <w:p w14:paraId="24C09BAD" w14:textId="77777777" w:rsidR="008C0460" w:rsidRPr="00806C4A" w:rsidRDefault="008C0460">
      <w:pPr>
        <w:pStyle w:val="FootnoteText"/>
        <w:rPr>
          <w:rFonts w:ascii="Arial" w:hAnsi="Arial" w:cs="Arial"/>
        </w:rPr>
      </w:pPr>
      <w:r w:rsidRPr="00806C4A">
        <w:rPr>
          <w:rStyle w:val="FootnoteReference"/>
          <w:rFonts w:ascii="Arial" w:hAnsi="Arial" w:cs="Arial"/>
        </w:rPr>
        <w:footnoteRef/>
      </w:r>
      <w:r w:rsidRPr="00806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See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e.g.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128 FERC ¶ 61,229 (MISO); 127 FERC ¶ 61,196 (2009) (NYISO); 126 FERC ¶ 61,061 (2009) (SPP); 124 FERC ¶ 61,260 (2008) (PJM).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22"/>
    <w:multiLevelType w:val="hybridMultilevel"/>
    <w:tmpl w:val="97AA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0D"/>
    <w:rsid w:val="00041253"/>
    <w:rsid w:val="00047150"/>
    <w:rsid w:val="00053F35"/>
    <w:rsid w:val="000861D6"/>
    <w:rsid w:val="00094053"/>
    <w:rsid w:val="000B765A"/>
    <w:rsid w:val="000D2FC9"/>
    <w:rsid w:val="000D3930"/>
    <w:rsid w:val="000D7A62"/>
    <w:rsid w:val="00126409"/>
    <w:rsid w:val="00141B04"/>
    <w:rsid w:val="00173B79"/>
    <w:rsid w:val="00184FA2"/>
    <w:rsid w:val="001B46D9"/>
    <w:rsid w:val="001D6453"/>
    <w:rsid w:val="001E3305"/>
    <w:rsid w:val="001E4A66"/>
    <w:rsid w:val="0020229C"/>
    <w:rsid w:val="002470F1"/>
    <w:rsid w:val="00253654"/>
    <w:rsid w:val="00260EAA"/>
    <w:rsid w:val="00266215"/>
    <w:rsid w:val="00274FF9"/>
    <w:rsid w:val="002B6C80"/>
    <w:rsid w:val="002B7F1F"/>
    <w:rsid w:val="002C3AEC"/>
    <w:rsid w:val="002C791F"/>
    <w:rsid w:val="002D72A0"/>
    <w:rsid w:val="002D72FD"/>
    <w:rsid w:val="00347D14"/>
    <w:rsid w:val="00357FBF"/>
    <w:rsid w:val="00387989"/>
    <w:rsid w:val="003A626F"/>
    <w:rsid w:val="003B514A"/>
    <w:rsid w:val="003B62B0"/>
    <w:rsid w:val="003B6E7C"/>
    <w:rsid w:val="003C2D23"/>
    <w:rsid w:val="003C3FC3"/>
    <w:rsid w:val="003C58BB"/>
    <w:rsid w:val="003E64F6"/>
    <w:rsid w:val="003F0607"/>
    <w:rsid w:val="003F1E7C"/>
    <w:rsid w:val="004267A1"/>
    <w:rsid w:val="004364C7"/>
    <w:rsid w:val="004534D8"/>
    <w:rsid w:val="0047020A"/>
    <w:rsid w:val="004B62D0"/>
    <w:rsid w:val="004C66F2"/>
    <w:rsid w:val="004D5DE4"/>
    <w:rsid w:val="0050557D"/>
    <w:rsid w:val="00523D0D"/>
    <w:rsid w:val="00540C3C"/>
    <w:rsid w:val="0054568A"/>
    <w:rsid w:val="00555923"/>
    <w:rsid w:val="005B17AC"/>
    <w:rsid w:val="005C3FEF"/>
    <w:rsid w:val="005D6CAA"/>
    <w:rsid w:val="00600F8F"/>
    <w:rsid w:val="00650AA2"/>
    <w:rsid w:val="00672C56"/>
    <w:rsid w:val="006813A4"/>
    <w:rsid w:val="006C2712"/>
    <w:rsid w:val="006C4A18"/>
    <w:rsid w:val="006E7ABB"/>
    <w:rsid w:val="006F3444"/>
    <w:rsid w:val="006F4346"/>
    <w:rsid w:val="00706B95"/>
    <w:rsid w:val="007237E7"/>
    <w:rsid w:val="0073489F"/>
    <w:rsid w:val="0074077B"/>
    <w:rsid w:val="00745FA2"/>
    <w:rsid w:val="007507A3"/>
    <w:rsid w:val="007558F0"/>
    <w:rsid w:val="007710D2"/>
    <w:rsid w:val="007817DF"/>
    <w:rsid w:val="00796ACB"/>
    <w:rsid w:val="0079744D"/>
    <w:rsid w:val="007A2134"/>
    <w:rsid w:val="007A6DE8"/>
    <w:rsid w:val="007B040C"/>
    <w:rsid w:val="007B44D9"/>
    <w:rsid w:val="007D5FF3"/>
    <w:rsid w:val="007D65ED"/>
    <w:rsid w:val="00806C4A"/>
    <w:rsid w:val="00807DC7"/>
    <w:rsid w:val="0081098E"/>
    <w:rsid w:val="00824056"/>
    <w:rsid w:val="008446AE"/>
    <w:rsid w:val="00851BAC"/>
    <w:rsid w:val="008A53F2"/>
    <w:rsid w:val="008B2E30"/>
    <w:rsid w:val="008C0460"/>
    <w:rsid w:val="008C5530"/>
    <w:rsid w:val="008C5A21"/>
    <w:rsid w:val="008C7999"/>
    <w:rsid w:val="00910778"/>
    <w:rsid w:val="00915BF4"/>
    <w:rsid w:val="0091790B"/>
    <w:rsid w:val="00925D4B"/>
    <w:rsid w:val="009730C1"/>
    <w:rsid w:val="00974103"/>
    <w:rsid w:val="00986F36"/>
    <w:rsid w:val="009B3FBF"/>
    <w:rsid w:val="00A1488F"/>
    <w:rsid w:val="00A83C26"/>
    <w:rsid w:val="00A95C81"/>
    <w:rsid w:val="00AE23E6"/>
    <w:rsid w:val="00AE5792"/>
    <w:rsid w:val="00B0053A"/>
    <w:rsid w:val="00B22108"/>
    <w:rsid w:val="00B23CF9"/>
    <w:rsid w:val="00BA6656"/>
    <w:rsid w:val="00BB2258"/>
    <w:rsid w:val="00BB44D5"/>
    <w:rsid w:val="00BF5CCE"/>
    <w:rsid w:val="00C50171"/>
    <w:rsid w:val="00C6418C"/>
    <w:rsid w:val="00C65DA8"/>
    <w:rsid w:val="00C71DDE"/>
    <w:rsid w:val="00C863AB"/>
    <w:rsid w:val="00CB2A13"/>
    <w:rsid w:val="00D140EF"/>
    <w:rsid w:val="00D31AC3"/>
    <w:rsid w:val="00D421AA"/>
    <w:rsid w:val="00D47F78"/>
    <w:rsid w:val="00D5118D"/>
    <w:rsid w:val="00D648E0"/>
    <w:rsid w:val="00D97689"/>
    <w:rsid w:val="00DC32ED"/>
    <w:rsid w:val="00E16DAD"/>
    <w:rsid w:val="00E23A16"/>
    <w:rsid w:val="00E47696"/>
    <w:rsid w:val="00E71FDB"/>
    <w:rsid w:val="00E87EBE"/>
    <w:rsid w:val="00EC43A6"/>
    <w:rsid w:val="00EC7A9C"/>
    <w:rsid w:val="00EE46C9"/>
    <w:rsid w:val="00F05C55"/>
    <w:rsid w:val="00F07FAB"/>
    <w:rsid w:val="00F1374C"/>
    <w:rsid w:val="00F15FF6"/>
    <w:rsid w:val="00F20657"/>
    <w:rsid w:val="00F32D1F"/>
    <w:rsid w:val="00F460E0"/>
    <w:rsid w:val="00F53DEC"/>
    <w:rsid w:val="00F81ECF"/>
    <w:rsid w:val="00FD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32B9F9"/>
  <w15:chartTrackingRefBased/>
  <w15:docId w15:val="{E3AF0E62-D2D9-474B-B1B3-371214A8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1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4F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FA2"/>
  </w:style>
  <w:style w:type="character" w:styleId="FootnoteReference">
    <w:name w:val="footnote reference"/>
    <w:basedOn w:val="DefaultParagraphFont"/>
    <w:uiPriority w:val="99"/>
    <w:semiHidden/>
    <w:unhideWhenUsed/>
    <w:rsid w:val="0018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26;#stakeholder initiative|eed0ce1e-bb47-425b-8cdd-84244efe7e65;#5744;#Penalty allocation procedure tariff amendment - tariff|83f3ddfc-ba6c-481a-a096-b4c7cbd645ce;#3;#Archived|0019c6e1-8c5e-460c-a653-a944372c5015;#5750;#Stakeholder teleconference Nov 18, 2011|11b74c0b-ab47-43b3-b8f7-82acd3f72892;#7;#Stakeholder processes|71659ab1-dac7-419e-9529-abc47c232b66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5FAC3-34AA-4B2D-8A18-A4477AD6C78F}"/>
</file>

<file path=customXml/itemProps2.xml><?xml version="1.0" encoding="utf-8"?>
<ds:datastoreItem xmlns:ds="http://schemas.openxmlformats.org/officeDocument/2006/customXml" ds:itemID="{ECA9740D-65C4-4D1A-B34E-1FA4617A4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DAAE4-BAF5-483B-8431-E0D52EDEB8A1}"/>
</file>

<file path=customXml/itemProps4.xml><?xml version="1.0" encoding="utf-8"?>
<ds:datastoreItem xmlns:ds="http://schemas.openxmlformats.org/officeDocument/2006/customXml" ds:itemID="{CA1EB8E0-745C-49C2-AF76-79DECBAE95C3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F60903DB-37E1-47E5-8638-DE18F959E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bgross</dc:creator>
  <cp:keywords/>
  <cp:lastModifiedBy>Pearson, Hannah</cp:lastModifiedBy>
  <cp:revision>2</cp:revision>
  <cp:lastPrinted>2011-11-04T20:41:00Z</cp:lastPrinted>
  <dcterms:created xsi:type="dcterms:W3CDTF">2025-08-13T21:02:00Z</dcterms:created>
  <dcterms:modified xsi:type="dcterms:W3CDTF">2025-08-13T21:02:00Z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Topic">
    <vt:lpwstr>7;#Stakeholder processes|71659ab1-dac7-419e-9529-abc47c232b66</vt:lpwstr>
  </property>
  <property fmtid="{D5CDD505-2E9C-101B-9397-08002B2CF9AE}" pid="3" name="ISOKeywords">
    <vt:lpwstr>26;#stakeholder initiative|eed0ce1e-bb47-425b-8cdd-84244efe7e65</vt:lpwstr>
  </property>
  <property fmtid="{D5CDD505-2E9C-101B-9397-08002B2CF9AE}" pid="4" name="ISOArchive">
    <vt:lpwstr>3;#Archived|0019c6e1-8c5e-460c-a653-a944372c5015</vt:lpwstr>
  </property>
  <property fmtid="{D5CDD505-2E9C-101B-9397-08002B2CF9AE}" pid="5" name="ISOGroup">
    <vt:lpwstr>5744;#Penalty allocation procedure tariff amendment - tariff|83f3ddfc-ba6c-481a-a096-b4c7cbd645ce;#5750;#Stakeholder teleconference Nov 18, 2011|11b74c0b-ab47-43b3-b8f7-82acd3f72892</vt:lpwstr>
  </property>
  <property fmtid="{D5CDD505-2E9C-101B-9397-08002B2CF9AE}" pid="6" name="ContentTypeId">
    <vt:lpwstr>0x010100776092249CC62C48AA17033F357BFB4B</vt:lpwstr>
  </property>
</Properties>
</file>