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D2FF9" w14:textId="77777777" w:rsidR="005E7E4A" w:rsidRPr="00570928" w:rsidRDefault="005E7E4A" w:rsidP="005E7E4A">
      <w:pPr>
        <w:jc w:val="center"/>
        <w:rPr>
          <w:b/>
          <w:sz w:val="16"/>
          <w:szCs w:val="16"/>
        </w:rPr>
      </w:pPr>
      <w:r w:rsidRPr="005E7E4A">
        <w:rPr>
          <w:b/>
          <w:sz w:val="40"/>
          <w:szCs w:val="40"/>
        </w:rPr>
        <w:t xml:space="preserve">Stakeholder </w:t>
      </w:r>
      <w:r w:rsidR="005D6A75">
        <w:rPr>
          <w:b/>
          <w:sz w:val="40"/>
          <w:szCs w:val="40"/>
        </w:rPr>
        <w:t>Comment</w:t>
      </w:r>
      <w:r w:rsidR="00C4611D">
        <w:rPr>
          <w:b/>
          <w:sz w:val="40"/>
          <w:szCs w:val="40"/>
        </w:rPr>
        <w:t>s</w:t>
      </w:r>
      <w:r w:rsidR="005D6A75">
        <w:rPr>
          <w:b/>
          <w:sz w:val="40"/>
          <w:szCs w:val="40"/>
        </w:rPr>
        <w:t xml:space="preserve"> Template</w:t>
      </w:r>
    </w:p>
    <w:p w14:paraId="6D9667DA" w14:textId="77777777" w:rsidR="00570928" w:rsidRPr="00570928" w:rsidRDefault="00570928" w:rsidP="00F2196D">
      <w:pPr>
        <w:rPr>
          <w:b/>
          <w:sz w:val="16"/>
          <w:szCs w:val="16"/>
        </w:rPr>
      </w:pPr>
    </w:p>
    <w:p w14:paraId="3E1B14E6" w14:textId="77777777" w:rsidR="005E7E4A" w:rsidRPr="00C4611D" w:rsidRDefault="00C4611D" w:rsidP="00C4611D">
      <w:r>
        <w:rPr>
          <w:b/>
          <w:sz w:val="40"/>
          <w:szCs w:val="40"/>
        </w:rPr>
        <w:t>Subject:</w:t>
      </w:r>
      <w:r w:rsidR="00AF1EFA">
        <w:rPr>
          <w:b/>
          <w:sz w:val="40"/>
          <w:szCs w:val="40"/>
        </w:rPr>
        <w:t xml:space="preserve"> </w:t>
      </w:r>
      <w:smartTag w:uri="urn:schemas-microsoft-com:office:smarttags" w:element="PersonName">
        <w:r w:rsidR="000A3B30">
          <w:rPr>
            <w:b/>
            <w:sz w:val="40"/>
            <w:szCs w:val="40"/>
          </w:rPr>
          <w:t>Payment Acceleration</w:t>
        </w:r>
      </w:smartTag>
      <w:r w:rsidR="00EB3859">
        <w:rPr>
          <w:b/>
          <w:sz w:val="40"/>
          <w:szCs w:val="40"/>
        </w:rPr>
        <w:t xml:space="preserve"> Proposal</w:t>
      </w:r>
    </w:p>
    <w:p w14:paraId="2FFD9B64" w14:textId="77777777" w:rsidR="00C4611D" w:rsidRDefault="00C4611D"/>
    <w:tbl>
      <w:tblPr>
        <w:tblStyle w:val="TableGrid"/>
        <w:tblpPr w:leftFromText="180" w:rightFromText="180" w:vertAnchor="page" w:horzAnchor="margin" w:tblpY="3781"/>
        <w:tblW w:w="9468" w:type="dxa"/>
        <w:shd w:val="clear" w:color="auto" w:fill="C0C0C0"/>
        <w:tblLook w:val="01E0" w:firstRow="1" w:lastRow="1" w:firstColumn="1" w:lastColumn="1" w:noHBand="0" w:noVBand="0"/>
      </w:tblPr>
      <w:tblGrid>
        <w:gridCol w:w="4248"/>
        <w:gridCol w:w="2880"/>
        <w:gridCol w:w="2340"/>
      </w:tblGrid>
      <w:tr w:rsidR="00C4611D" w14:paraId="3EDA36AD" w14:textId="77777777">
        <w:trPr>
          <w:trHeight w:val="541"/>
        </w:trPr>
        <w:tc>
          <w:tcPr>
            <w:tcW w:w="4248" w:type="dxa"/>
            <w:shd w:val="clear" w:color="auto" w:fill="C0C0C0"/>
          </w:tcPr>
          <w:p w14:paraId="2F3F0B05" w14:textId="77777777" w:rsidR="00C4611D" w:rsidRPr="009062C7" w:rsidRDefault="00C4611D" w:rsidP="00C4611D">
            <w:pPr>
              <w:rPr>
                <w:b/>
              </w:rPr>
            </w:pPr>
            <w:r w:rsidRPr="009062C7">
              <w:rPr>
                <w:b/>
              </w:rPr>
              <w:t xml:space="preserve">Submitted by </w:t>
            </w:r>
          </w:p>
        </w:tc>
        <w:tc>
          <w:tcPr>
            <w:tcW w:w="2880" w:type="dxa"/>
            <w:shd w:val="clear" w:color="auto" w:fill="C0C0C0"/>
          </w:tcPr>
          <w:p w14:paraId="2096816E" w14:textId="77777777" w:rsidR="00C4611D" w:rsidRPr="009062C7" w:rsidRDefault="00C4611D" w:rsidP="00C4611D">
            <w:pPr>
              <w:rPr>
                <w:b/>
              </w:rPr>
            </w:pPr>
            <w:r w:rsidRPr="009062C7">
              <w:rPr>
                <w:b/>
              </w:rPr>
              <w:t>Company</w:t>
            </w:r>
          </w:p>
        </w:tc>
        <w:tc>
          <w:tcPr>
            <w:tcW w:w="2340" w:type="dxa"/>
            <w:shd w:val="clear" w:color="auto" w:fill="C0C0C0"/>
          </w:tcPr>
          <w:p w14:paraId="48F01ECB" w14:textId="77777777" w:rsidR="00C4611D" w:rsidRPr="009062C7" w:rsidRDefault="00C4611D" w:rsidP="00C4611D">
            <w:pPr>
              <w:rPr>
                <w:b/>
              </w:rPr>
            </w:pPr>
            <w:r w:rsidRPr="009062C7">
              <w:rPr>
                <w:b/>
              </w:rPr>
              <w:t>Date Submitted</w:t>
            </w:r>
          </w:p>
        </w:tc>
      </w:tr>
      <w:tr w:rsidR="00C4611D" w14:paraId="5AB7C0C5" w14:textId="77777777">
        <w:tblPrEx>
          <w:shd w:val="clear" w:color="auto" w:fill="auto"/>
        </w:tblPrEx>
        <w:trPr>
          <w:trHeight w:val="1083"/>
        </w:trPr>
        <w:tc>
          <w:tcPr>
            <w:tcW w:w="4248" w:type="dxa"/>
          </w:tcPr>
          <w:p w14:paraId="54705806" w14:textId="77777777" w:rsidR="00C4611D" w:rsidRPr="00762C18" w:rsidRDefault="00C4611D" w:rsidP="00C4611D">
            <w:pPr>
              <w:rPr>
                <w:i/>
              </w:rPr>
            </w:pPr>
            <w:r w:rsidRPr="00762C18">
              <w:rPr>
                <w:i/>
              </w:rPr>
              <w:t xml:space="preserve">Please fill in </w:t>
            </w:r>
            <w:proofErr w:type="gramStart"/>
            <w:r>
              <w:rPr>
                <w:i/>
              </w:rPr>
              <w:t>name</w:t>
            </w:r>
            <w:proofErr w:type="gramEnd"/>
            <w:r>
              <w:rPr>
                <w:i/>
              </w:rPr>
              <w:t xml:space="preserve"> and contact number of specific </w:t>
            </w:r>
            <w:proofErr w:type="gramStart"/>
            <w:r>
              <w:rPr>
                <w:i/>
              </w:rPr>
              <w:t>person</w:t>
            </w:r>
            <w:proofErr w:type="gramEnd"/>
            <w:r>
              <w:rPr>
                <w:i/>
              </w:rPr>
              <w:t xml:space="preserve"> who can respond to any questions on these comments. </w:t>
            </w:r>
          </w:p>
        </w:tc>
        <w:tc>
          <w:tcPr>
            <w:tcW w:w="2880" w:type="dxa"/>
          </w:tcPr>
          <w:p w14:paraId="74EDBB76" w14:textId="77777777" w:rsidR="00C4611D" w:rsidRPr="00762C18" w:rsidRDefault="00C4611D" w:rsidP="00C4611D">
            <w:pPr>
              <w:rPr>
                <w:i/>
              </w:rPr>
            </w:pPr>
            <w:r w:rsidRPr="00762C18">
              <w:rPr>
                <w:i/>
              </w:rPr>
              <w:t>Please fill in here</w:t>
            </w:r>
          </w:p>
        </w:tc>
        <w:tc>
          <w:tcPr>
            <w:tcW w:w="2340" w:type="dxa"/>
          </w:tcPr>
          <w:p w14:paraId="5F3DA38A" w14:textId="77777777" w:rsidR="00C4611D" w:rsidRPr="00762C18" w:rsidRDefault="00C4611D" w:rsidP="00C4611D">
            <w:pPr>
              <w:rPr>
                <w:i/>
              </w:rPr>
            </w:pPr>
            <w:r w:rsidRPr="00762C18">
              <w:rPr>
                <w:i/>
              </w:rPr>
              <w:t>Please fill in here</w:t>
            </w:r>
          </w:p>
        </w:tc>
      </w:tr>
    </w:tbl>
    <w:p w14:paraId="566B2506" w14:textId="77777777" w:rsidR="00C4611D" w:rsidRPr="009F63B3" w:rsidRDefault="00C4611D"/>
    <w:p w14:paraId="677840C0" w14:textId="77777777" w:rsidR="005E7E4A" w:rsidRPr="009F63B3" w:rsidRDefault="005E7E4A">
      <w:r w:rsidRPr="009F63B3">
        <w:t>T</w:t>
      </w:r>
      <w:r w:rsidR="009062C7" w:rsidRPr="009F63B3">
        <w:t>his temp</w:t>
      </w:r>
      <w:r w:rsidR="002721BC" w:rsidRPr="009F63B3">
        <w:t xml:space="preserve">late has been created for </w:t>
      </w:r>
      <w:proofErr w:type="gramStart"/>
      <w:r w:rsidR="002721BC" w:rsidRPr="009F63B3">
        <w:t>submission</w:t>
      </w:r>
      <w:proofErr w:type="gramEnd"/>
      <w:r w:rsidR="002721BC" w:rsidRPr="009F63B3">
        <w:t xml:space="preserve"> of</w:t>
      </w:r>
      <w:r w:rsidR="009062C7" w:rsidRPr="009F63B3">
        <w:t xml:space="preserve"> </w:t>
      </w:r>
      <w:r w:rsidR="002721BC" w:rsidRPr="009F63B3">
        <w:t>stakeholder</w:t>
      </w:r>
      <w:r w:rsidR="009062C7" w:rsidRPr="009F63B3">
        <w:t xml:space="preserve"> comments </w:t>
      </w:r>
      <w:r w:rsidR="00AB4F06" w:rsidRPr="009F63B3">
        <w:t>on</w:t>
      </w:r>
      <w:r w:rsidRPr="009F63B3">
        <w:t xml:space="preserve"> </w:t>
      </w:r>
      <w:r w:rsidR="009062C7" w:rsidRPr="009F63B3">
        <w:t>the following</w:t>
      </w:r>
      <w:r w:rsidRPr="009F63B3">
        <w:t xml:space="preserve"> topics</w:t>
      </w:r>
      <w:r w:rsidR="00C4611D" w:rsidRPr="009F63B3">
        <w:t xml:space="preserve"> </w:t>
      </w:r>
      <w:proofErr w:type="gramStart"/>
      <w:r w:rsidR="000A3B30" w:rsidRPr="009F63B3">
        <w:t>in regards to</w:t>
      </w:r>
      <w:proofErr w:type="gramEnd"/>
      <w:r w:rsidR="000A3B30" w:rsidRPr="009F63B3">
        <w:t xml:space="preserve"> </w:t>
      </w:r>
      <w:smartTag w:uri="urn:schemas-microsoft-com:office:smarttags" w:element="PersonName">
        <w:r w:rsidR="000A3B30" w:rsidRPr="009F63B3">
          <w:t>Payment Acceleration</w:t>
        </w:r>
      </w:smartTag>
      <w:r w:rsidR="000A3B30" w:rsidRPr="009F63B3">
        <w:t xml:space="preserve">.  </w:t>
      </w:r>
      <w:r w:rsidR="002721BC" w:rsidRPr="009F63B3">
        <w:t xml:space="preserve">Upon completion of this template please submit (in MS Word) to </w:t>
      </w:r>
      <w:hyperlink r:id="rId11" w:history="1">
        <w:r w:rsidR="008C070A" w:rsidRPr="009F63B3">
          <w:rPr>
            <w:rStyle w:val="Hyperlink"/>
          </w:rPr>
          <w:t>pacceleration@caiso.com</w:t>
        </w:r>
      </w:hyperlink>
      <w:r w:rsidR="000A3B30" w:rsidRPr="009F63B3">
        <w:t xml:space="preserve">.  </w:t>
      </w:r>
      <w:r w:rsidR="002721BC" w:rsidRPr="009F63B3">
        <w:t>Submissions are requested by cl</w:t>
      </w:r>
      <w:r w:rsidR="00931D27" w:rsidRPr="009F63B3">
        <w:t xml:space="preserve">ose of business on </w:t>
      </w:r>
      <w:r w:rsidR="0082319B" w:rsidRPr="009F63B3">
        <w:t>October</w:t>
      </w:r>
      <w:r w:rsidR="00442D21" w:rsidRPr="009F63B3">
        <w:t xml:space="preserve"> 2</w:t>
      </w:r>
      <w:r w:rsidR="00ED0520" w:rsidRPr="009F63B3">
        <w:t>4th</w:t>
      </w:r>
      <w:r w:rsidR="000A3B30" w:rsidRPr="009F63B3">
        <w:t xml:space="preserve">, </w:t>
      </w:r>
      <w:r w:rsidR="00F2196D" w:rsidRPr="009F63B3">
        <w:t>2008</w:t>
      </w:r>
      <w:r w:rsidR="002721BC" w:rsidRPr="009F63B3">
        <w:t xml:space="preserve">. </w:t>
      </w:r>
    </w:p>
    <w:p w14:paraId="0B590355" w14:textId="77777777" w:rsidR="003148CD" w:rsidRPr="009F63B3" w:rsidRDefault="003148CD"/>
    <w:p w14:paraId="70E197D6" w14:textId="77777777" w:rsidR="003148CD" w:rsidRPr="009F63B3" w:rsidRDefault="003148CD" w:rsidP="003148CD">
      <w:r w:rsidRPr="009F63B3">
        <w:t xml:space="preserve">Please submit your comments to the following questions for each topic in the spaces indicated. </w:t>
      </w:r>
    </w:p>
    <w:p w14:paraId="198AE348" w14:textId="77777777" w:rsidR="005E7E4A" w:rsidRPr="009F63B3" w:rsidRDefault="005E7E4A"/>
    <w:p w14:paraId="003E026C" w14:textId="77777777" w:rsidR="00442D21" w:rsidRPr="009F63B3" w:rsidRDefault="00442D21" w:rsidP="003148CD">
      <w:pPr>
        <w:numPr>
          <w:ilvl w:val="0"/>
          <w:numId w:val="5"/>
        </w:numPr>
        <w:rPr>
          <w:rFonts w:cs="Arial"/>
          <w:b/>
          <w:bCs/>
        </w:rPr>
      </w:pPr>
      <w:r w:rsidRPr="009F63B3">
        <w:rPr>
          <w:rFonts w:cs="Arial"/>
          <w:b/>
          <w:bCs/>
        </w:rPr>
        <w:t>Bifurcation of DA/RT</w:t>
      </w:r>
      <w:r w:rsidR="00D60041" w:rsidRPr="009F63B3">
        <w:rPr>
          <w:rFonts w:cs="Arial"/>
          <w:b/>
          <w:bCs/>
        </w:rPr>
        <w:t>, Estimation</w:t>
      </w:r>
      <w:r w:rsidRPr="009F63B3">
        <w:rPr>
          <w:rFonts w:cs="Arial"/>
          <w:b/>
          <w:bCs/>
        </w:rPr>
        <w:t xml:space="preserve"> </w:t>
      </w:r>
      <w:r w:rsidR="00ED0520" w:rsidRPr="009F63B3">
        <w:rPr>
          <w:rFonts w:cs="Arial"/>
          <w:b/>
          <w:bCs/>
        </w:rPr>
        <w:t>&amp; Settlement Timeline Options</w:t>
      </w:r>
    </w:p>
    <w:p w14:paraId="65EFA4BA" w14:textId="77777777" w:rsidR="000915E0" w:rsidRPr="009F63B3" w:rsidRDefault="00442D21" w:rsidP="00442D21">
      <w:pPr>
        <w:ind w:left="720"/>
        <w:rPr>
          <w:rFonts w:cs="Arial"/>
          <w:bCs/>
        </w:rPr>
      </w:pPr>
      <w:r w:rsidRPr="009F63B3">
        <w:rPr>
          <w:rFonts w:cs="Arial"/>
          <w:bCs/>
        </w:rPr>
        <w:t xml:space="preserve">During the </w:t>
      </w:r>
      <w:smartTag w:uri="urn:schemas-microsoft-com:office:smarttags" w:element="PersonName">
        <w:r w:rsidRPr="009F63B3">
          <w:rPr>
            <w:rFonts w:cs="Arial"/>
            <w:bCs/>
          </w:rPr>
          <w:t>Payment Acceleration</w:t>
        </w:r>
      </w:smartTag>
      <w:r w:rsidRPr="009F63B3">
        <w:rPr>
          <w:rFonts w:cs="Arial"/>
          <w:bCs/>
        </w:rPr>
        <w:t xml:space="preserve"> Stakeholder meeting on </w:t>
      </w:r>
      <w:r w:rsidR="00ED0520" w:rsidRPr="009F63B3">
        <w:rPr>
          <w:rFonts w:cs="Arial"/>
          <w:bCs/>
        </w:rPr>
        <w:t xml:space="preserve">October </w:t>
      </w:r>
      <w:r w:rsidRPr="009F63B3">
        <w:rPr>
          <w:rFonts w:cs="Arial"/>
          <w:bCs/>
        </w:rPr>
        <w:t>1</w:t>
      </w:r>
      <w:r w:rsidR="00ED0520" w:rsidRPr="009F63B3">
        <w:rPr>
          <w:rFonts w:cs="Arial"/>
          <w:bCs/>
        </w:rPr>
        <w:t>6</w:t>
      </w:r>
      <w:r w:rsidRPr="009F63B3">
        <w:rPr>
          <w:rFonts w:cs="Arial"/>
          <w:bCs/>
          <w:vertAlign w:val="superscript"/>
        </w:rPr>
        <w:t>th</w:t>
      </w:r>
      <w:r w:rsidRPr="009F63B3">
        <w:rPr>
          <w:rFonts w:cs="Arial"/>
          <w:bCs/>
        </w:rPr>
        <w:t xml:space="preserve">, 2008, </w:t>
      </w:r>
      <w:r w:rsidR="00D60041" w:rsidRPr="009F63B3">
        <w:rPr>
          <w:rFonts w:cs="Arial"/>
          <w:bCs/>
        </w:rPr>
        <w:t xml:space="preserve">alternatives were discussed </w:t>
      </w:r>
      <w:proofErr w:type="gramStart"/>
      <w:r w:rsidR="00D60041" w:rsidRPr="009F63B3">
        <w:rPr>
          <w:rFonts w:cs="Arial"/>
          <w:bCs/>
        </w:rPr>
        <w:t>in regards to</w:t>
      </w:r>
      <w:proofErr w:type="gramEnd"/>
      <w:r w:rsidR="00D60041" w:rsidRPr="009F63B3">
        <w:rPr>
          <w:rFonts w:cs="Arial"/>
          <w:bCs/>
        </w:rPr>
        <w:t xml:space="preserve"> the Settlements timeline, estimation, and bifurcation of DA/RT settlements.  The following options were discussed: </w:t>
      </w:r>
    </w:p>
    <w:p w14:paraId="358F55F4" w14:textId="77777777" w:rsidR="00D60041" w:rsidRPr="009F63B3" w:rsidRDefault="00D60041" w:rsidP="00442D21">
      <w:pPr>
        <w:ind w:left="720"/>
        <w:rPr>
          <w:rFonts w:cs="Arial"/>
          <w:bCs/>
        </w:rPr>
      </w:pPr>
    </w:p>
    <w:p w14:paraId="56E14675" w14:textId="77777777" w:rsidR="00442D21" w:rsidRPr="009F63B3" w:rsidRDefault="00570928" w:rsidP="00442D21">
      <w:pPr>
        <w:numPr>
          <w:ilvl w:val="0"/>
          <w:numId w:val="10"/>
        </w:numPr>
        <w:rPr>
          <w:rFonts w:cs="Arial"/>
          <w:bCs/>
        </w:rPr>
      </w:pPr>
      <w:r w:rsidRPr="009F63B3">
        <w:rPr>
          <w:rFonts w:cs="Arial"/>
          <w:bCs/>
        </w:rPr>
        <w:t xml:space="preserve">Option #1 - </w:t>
      </w:r>
      <w:r w:rsidR="00932E96" w:rsidRPr="009F63B3">
        <w:rPr>
          <w:rFonts w:cs="Arial"/>
          <w:bCs/>
        </w:rPr>
        <w:t>Add a Settlement calculation at T+9B (in addition to the proposed ‘DA only’</w:t>
      </w:r>
      <w:r w:rsidR="009F63B3">
        <w:rPr>
          <w:rFonts w:cs="Arial"/>
          <w:bCs/>
        </w:rPr>
        <w:t xml:space="preserve"> </w:t>
      </w:r>
      <w:r w:rsidR="00932E96" w:rsidRPr="009F63B3">
        <w:rPr>
          <w:rFonts w:cs="Arial"/>
          <w:bCs/>
        </w:rPr>
        <w:t xml:space="preserve">calculation at T+2B).  </w:t>
      </w:r>
      <w:r w:rsidR="00A17ED7" w:rsidRPr="009F63B3">
        <w:rPr>
          <w:rFonts w:cs="Arial"/>
          <w:bCs/>
        </w:rPr>
        <w:t>This would provide a settlement run for RT charges prior to the proposed T+50B timeline</w:t>
      </w:r>
      <w:r w:rsidR="008161B1" w:rsidRPr="009F63B3">
        <w:rPr>
          <w:rFonts w:cs="Arial"/>
          <w:bCs/>
        </w:rPr>
        <w:t xml:space="preserve">, as well as allow for a DA/RT bifurcation at T+2B.  </w:t>
      </w:r>
      <w:r w:rsidR="00A17ED7" w:rsidRPr="009F63B3">
        <w:rPr>
          <w:rFonts w:cs="Arial"/>
          <w:bCs/>
        </w:rPr>
        <w:t xml:space="preserve">The T+9B calculation would use one of the following estimation options </w:t>
      </w:r>
      <w:r w:rsidR="00A17ED7" w:rsidRPr="009F63B3">
        <w:t>absent polled or SC submitted data availability:</w:t>
      </w:r>
    </w:p>
    <w:p w14:paraId="1B58E806" w14:textId="77777777" w:rsidR="00A17ED7" w:rsidRPr="009F63B3" w:rsidRDefault="00A17ED7" w:rsidP="00A17ED7">
      <w:pPr>
        <w:numPr>
          <w:ilvl w:val="1"/>
          <w:numId w:val="10"/>
        </w:numPr>
      </w:pPr>
      <w:r w:rsidRPr="009F63B3">
        <w:t>DA IFM Schedules Only</w:t>
      </w:r>
    </w:p>
    <w:p w14:paraId="3CC9E8C6" w14:textId="77777777" w:rsidR="00A17ED7" w:rsidRPr="009F63B3" w:rsidRDefault="00A17ED7" w:rsidP="00A17ED7">
      <w:pPr>
        <w:numPr>
          <w:ilvl w:val="1"/>
          <w:numId w:val="10"/>
        </w:numPr>
      </w:pPr>
      <w:r w:rsidRPr="009F63B3">
        <w:t xml:space="preserve">DA IFM + adjustment based on CAISO Actual Load </w:t>
      </w:r>
    </w:p>
    <w:p w14:paraId="28F3CF6B" w14:textId="77777777" w:rsidR="00A17ED7" w:rsidRPr="009F63B3" w:rsidRDefault="008161B1" w:rsidP="00A17ED7">
      <w:pPr>
        <w:numPr>
          <w:ilvl w:val="1"/>
          <w:numId w:val="10"/>
        </w:numPr>
      </w:pPr>
      <w:r w:rsidRPr="009F63B3">
        <w:t>C</w:t>
      </w:r>
      <w:r w:rsidR="00A17ED7" w:rsidRPr="009F63B3">
        <w:t xml:space="preserve">urrent Credit Liability Meter Data estimation (uses the IFM DA schedule and adder </w:t>
      </w:r>
      <w:proofErr w:type="gramStart"/>
      <w:r w:rsidR="00A17ED7" w:rsidRPr="009F63B3">
        <w:t>of  +</w:t>
      </w:r>
      <w:proofErr w:type="gramEnd"/>
      <w:r w:rsidR="00A17ED7" w:rsidRPr="009F63B3">
        <w:t xml:space="preserve"> /- 10% factor (or other % Factor). </w:t>
      </w:r>
    </w:p>
    <w:p w14:paraId="2C690D65" w14:textId="77777777" w:rsidR="008161B1" w:rsidRPr="009F63B3" w:rsidRDefault="00A17ED7" w:rsidP="00A17ED7">
      <w:pPr>
        <w:ind w:left="1080"/>
      </w:pPr>
      <w:r w:rsidRPr="009F63B3">
        <w:t xml:space="preserve">        In addition,</w:t>
      </w:r>
      <w:r w:rsidR="008161B1" w:rsidRPr="009F63B3">
        <w:t xml:space="preserve"> T+9B would replace the T+7B credit run. </w:t>
      </w:r>
    </w:p>
    <w:p w14:paraId="5533A725" w14:textId="77777777" w:rsidR="00A17ED7" w:rsidRPr="009F63B3" w:rsidRDefault="00A17ED7" w:rsidP="00A17ED7">
      <w:pPr>
        <w:ind w:left="1080"/>
      </w:pPr>
      <w:r w:rsidRPr="009F63B3">
        <w:t xml:space="preserve"> </w:t>
      </w:r>
    </w:p>
    <w:p w14:paraId="39A00CE9" w14:textId="77777777" w:rsidR="00442D21" w:rsidRPr="009F63B3" w:rsidRDefault="00570928" w:rsidP="00442D21">
      <w:pPr>
        <w:numPr>
          <w:ilvl w:val="0"/>
          <w:numId w:val="10"/>
        </w:numPr>
        <w:rPr>
          <w:rFonts w:cs="Arial"/>
          <w:bCs/>
        </w:rPr>
      </w:pPr>
      <w:r w:rsidRPr="009F63B3">
        <w:rPr>
          <w:rFonts w:cs="Arial"/>
          <w:bCs/>
        </w:rPr>
        <w:t xml:space="preserve">Option #2 - </w:t>
      </w:r>
      <w:r w:rsidR="008161B1" w:rsidRPr="009F63B3">
        <w:rPr>
          <w:rFonts w:cs="Arial"/>
          <w:bCs/>
        </w:rPr>
        <w:t>Replace the proposed T+2B DA Only Settlement calculation with a T+5B calculation that includes both DA and RT charge codes.  The T+5B calculation would use an estimation methodology based upon hourly load forecast data, which is used for all real-time load settlement calculations prior to receiving actual meter data.</w:t>
      </w:r>
      <w:r w:rsidRPr="009F63B3">
        <w:rPr>
          <w:rFonts w:cs="Arial"/>
          <w:bCs/>
        </w:rPr>
        <w:t xml:space="preserve">  </w:t>
      </w:r>
      <w:r w:rsidRPr="009F63B3">
        <w:t>In addition, T+5B would replace the T+7B credit run.</w:t>
      </w:r>
    </w:p>
    <w:p w14:paraId="4C1C11A6" w14:textId="77777777" w:rsidR="008161B1" w:rsidRPr="009F63B3" w:rsidRDefault="008161B1" w:rsidP="00570928">
      <w:pPr>
        <w:ind w:left="2160"/>
        <w:rPr>
          <w:rFonts w:cs="Arial"/>
          <w:bCs/>
        </w:rPr>
      </w:pPr>
    </w:p>
    <w:tbl>
      <w:tblPr>
        <w:tblStyle w:val="TableGrid"/>
        <w:tblW w:w="9108" w:type="dxa"/>
        <w:tblInd w:w="1080" w:type="dxa"/>
        <w:tblLook w:val="01E0" w:firstRow="1" w:lastRow="1" w:firstColumn="1" w:lastColumn="1" w:noHBand="0" w:noVBand="0"/>
      </w:tblPr>
      <w:tblGrid>
        <w:gridCol w:w="1188"/>
        <w:gridCol w:w="2340"/>
        <w:gridCol w:w="5580"/>
      </w:tblGrid>
      <w:tr w:rsidR="00570928" w:rsidRPr="009F63B3" w14:paraId="617904BD" w14:textId="77777777" w:rsidTr="00570928">
        <w:tc>
          <w:tcPr>
            <w:tcW w:w="1188" w:type="dxa"/>
            <w:shd w:val="clear" w:color="auto" w:fill="C0C0C0"/>
          </w:tcPr>
          <w:p w14:paraId="6BDDE053" w14:textId="77777777" w:rsidR="00570928" w:rsidRPr="009F63B3" w:rsidRDefault="00570928" w:rsidP="00375EAD">
            <w:pPr>
              <w:rPr>
                <w:rFonts w:cs="Arial"/>
                <w:b/>
                <w:bCs/>
              </w:rPr>
            </w:pPr>
          </w:p>
        </w:tc>
        <w:tc>
          <w:tcPr>
            <w:tcW w:w="2340" w:type="dxa"/>
            <w:shd w:val="clear" w:color="auto" w:fill="C0C0C0"/>
          </w:tcPr>
          <w:p w14:paraId="39F3B3E2" w14:textId="77777777" w:rsidR="00570928" w:rsidRPr="009F63B3" w:rsidRDefault="00570928" w:rsidP="00375EAD">
            <w:pPr>
              <w:rPr>
                <w:rFonts w:cs="Arial"/>
                <w:b/>
                <w:bCs/>
              </w:rPr>
            </w:pPr>
            <w:r w:rsidRPr="009F63B3">
              <w:rPr>
                <w:rFonts w:cs="Arial"/>
                <w:b/>
                <w:bCs/>
              </w:rPr>
              <w:t>Timeline</w:t>
            </w:r>
          </w:p>
        </w:tc>
        <w:tc>
          <w:tcPr>
            <w:tcW w:w="5580" w:type="dxa"/>
            <w:shd w:val="clear" w:color="auto" w:fill="C0C0C0"/>
          </w:tcPr>
          <w:p w14:paraId="5548B5F3" w14:textId="77777777" w:rsidR="00570928" w:rsidRPr="009F63B3" w:rsidRDefault="00570928" w:rsidP="00375EAD">
            <w:pPr>
              <w:rPr>
                <w:rFonts w:cs="Arial"/>
                <w:b/>
                <w:bCs/>
              </w:rPr>
            </w:pPr>
            <w:r w:rsidRPr="009F63B3">
              <w:rPr>
                <w:rFonts w:cs="Arial"/>
                <w:b/>
                <w:bCs/>
              </w:rPr>
              <w:t>Estimation</w:t>
            </w:r>
          </w:p>
        </w:tc>
      </w:tr>
      <w:tr w:rsidR="00570928" w:rsidRPr="009F63B3" w14:paraId="6A05E143" w14:textId="77777777" w:rsidTr="00570928">
        <w:tc>
          <w:tcPr>
            <w:tcW w:w="1188" w:type="dxa"/>
            <w:tcBorders>
              <w:bottom w:val="single" w:sz="4" w:space="0" w:color="auto"/>
            </w:tcBorders>
          </w:tcPr>
          <w:p w14:paraId="7AB7C237" w14:textId="77777777" w:rsidR="00570928" w:rsidRPr="009F63B3" w:rsidRDefault="00570928" w:rsidP="008161B1">
            <w:pPr>
              <w:rPr>
                <w:rFonts w:cs="Arial"/>
                <w:bCs/>
              </w:rPr>
            </w:pPr>
            <w:r w:rsidRPr="009F63B3">
              <w:rPr>
                <w:rFonts w:cs="Arial"/>
                <w:bCs/>
              </w:rPr>
              <w:t>Option #1</w:t>
            </w:r>
          </w:p>
        </w:tc>
        <w:tc>
          <w:tcPr>
            <w:tcW w:w="2340" w:type="dxa"/>
            <w:tcBorders>
              <w:bottom w:val="single" w:sz="4" w:space="0" w:color="auto"/>
            </w:tcBorders>
          </w:tcPr>
          <w:p w14:paraId="76A2A5F9" w14:textId="77777777" w:rsidR="00570928" w:rsidRPr="009F63B3" w:rsidRDefault="00570928" w:rsidP="008161B1">
            <w:pPr>
              <w:rPr>
                <w:rFonts w:cs="Arial"/>
                <w:bCs/>
              </w:rPr>
            </w:pPr>
            <w:r w:rsidRPr="009F63B3">
              <w:rPr>
                <w:rFonts w:cs="Arial"/>
                <w:bCs/>
              </w:rPr>
              <w:t>T+2B – DA Only</w:t>
            </w:r>
          </w:p>
          <w:p w14:paraId="58C6342C" w14:textId="77777777" w:rsidR="00570928" w:rsidRPr="009F63B3" w:rsidRDefault="00570928" w:rsidP="008161B1">
            <w:pPr>
              <w:rPr>
                <w:rFonts w:cs="Arial"/>
                <w:bCs/>
              </w:rPr>
            </w:pPr>
            <w:r w:rsidRPr="009F63B3">
              <w:rPr>
                <w:rFonts w:cs="Arial"/>
                <w:bCs/>
              </w:rPr>
              <w:t xml:space="preserve">T+9B – DA &amp;RT </w:t>
            </w:r>
          </w:p>
          <w:p w14:paraId="46CC596B" w14:textId="77777777" w:rsidR="00570928" w:rsidRPr="009F63B3" w:rsidRDefault="00570928" w:rsidP="008161B1">
            <w:pPr>
              <w:rPr>
                <w:rFonts w:cs="Arial"/>
                <w:bCs/>
              </w:rPr>
            </w:pPr>
            <w:r w:rsidRPr="009F63B3">
              <w:rPr>
                <w:rFonts w:cs="Arial"/>
                <w:bCs/>
              </w:rPr>
              <w:t>T+50B   – 1</w:t>
            </w:r>
            <w:r w:rsidRPr="009F63B3">
              <w:rPr>
                <w:rFonts w:cs="Arial"/>
                <w:bCs/>
                <w:vertAlign w:val="superscript"/>
              </w:rPr>
              <w:t>st</w:t>
            </w:r>
            <w:r w:rsidRPr="009F63B3">
              <w:rPr>
                <w:rFonts w:cs="Arial"/>
                <w:bCs/>
              </w:rPr>
              <w:t xml:space="preserve"> true-up</w:t>
            </w:r>
          </w:p>
          <w:p w14:paraId="288F4B1E" w14:textId="77777777" w:rsidR="00570928" w:rsidRPr="009F63B3" w:rsidRDefault="00570928" w:rsidP="008161B1">
            <w:pPr>
              <w:rPr>
                <w:rFonts w:cs="Arial"/>
                <w:bCs/>
              </w:rPr>
            </w:pPr>
            <w:r w:rsidRPr="009F63B3">
              <w:rPr>
                <w:rFonts w:cs="Arial"/>
                <w:bCs/>
              </w:rPr>
              <w:t>T+100B – 2</w:t>
            </w:r>
            <w:r w:rsidRPr="009F63B3">
              <w:rPr>
                <w:rFonts w:cs="Arial"/>
                <w:bCs/>
                <w:vertAlign w:val="superscript"/>
              </w:rPr>
              <w:t>nd</w:t>
            </w:r>
            <w:r w:rsidRPr="009F63B3">
              <w:rPr>
                <w:rFonts w:cs="Arial"/>
                <w:bCs/>
              </w:rPr>
              <w:t xml:space="preserve"> true-up</w:t>
            </w:r>
          </w:p>
          <w:p w14:paraId="1C41914C" w14:textId="77777777" w:rsidR="00570928" w:rsidRPr="009F63B3" w:rsidRDefault="00570928" w:rsidP="008161B1">
            <w:pPr>
              <w:rPr>
                <w:rFonts w:cs="Arial"/>
                <w:bCs/>
              </w:rPr>
            </w:pPr>
            <w:r w:rsidRPr="009F63B3">
              <w:rPr>
                <w:rFonts w:cs="Arial"/>
                <w:bCs/>
              </w:rPr>
              <w:lastRenderedPageBreak/>
              <w:t>T+18M   - 3</w:t>
            </w:r>
            <w:r w:rsidRPr="009F63B3">
              <w:rPr>
                <w:rFonts w:cs="Arial"/>
                <w:bCs/>
                <w:vertAlign w:val="superscript"/>
              </w:rPr>
              <w:t>rd</w:t>
            </w:r>
            <w:r w:rsidRPr="009F63B3">
              <w:rPr>
                <w:rFonts w:cs="Arial"/>
                <w:bCs/>
              </w:rPr>
              <w:t xml:space="preserve"> true-up</w:t>
            </w:r>
          </w:p>
          <w:p w14:paraId="1A6FCA75" w14:textId="77777777" w:rsidR="00570928" w:rsidRPr="009F63B3" w:rsidRDefault="00570928" w:rsidP="008161B1">
            <w:pPr>
              <w:rPr>
                <w:rFonts w:cs="Arial"/>
                <w:bCs/>
              </w:rPr>
            </w:pPr>
            <w:r w:rsidRPr="009F63B3">
              <w:rPr>
                <w:rFonts w:cs="Arial"/>
                <w:bCs/>
              </w:rPr>
              <w:t>T+35M   - 4</w:t>
            </w:r>
            <w:r w:rsidRPr="009F63B3">
              <w:rPr>
                <w:rFonts w:cs="Arial"/>
                <w:bCs/>
                <w:vertAlign w:val="superscript"/>
              </w:rPr>
              <w:t>th</w:t>
            </w:r>
            <w:r w:rsidRPr="009F63B3">
              <w:rPr>
                <w:rFonts w:cs="Arial"/>
                <w:bCs/>
              </w:rPr>
              <w:t xml:space="preserve"> true-up</w:t>
            </w:r>
          </w:p>
        </w:tc>
        <w:tc>
          <w:tcPr>
            <w:tcW w:w="5580" w:type="dxa"/>
            <w:tcBorders>
              <w:bottom w:val="single" w:sz="4" w:space="0" w:color="auto"/>
            </w:tcBorders>
          </w:tcPr>
          <w:p w14:paraId="4DB6A6AC" w14:textId="77777777" w:rsidR="00570928" w:rsidRPr="009F63B3" w:rsidRDefault="00570928" w:rsidP="008161B1">
            <w:pPr>
              <w:rPr>
                <w:rFonts w:cs="Arial"/>
                <w:bCs/>
              </w:rPr>
            </w:pPr>
          </w:p>
          <w:p w14:paraId="7324E8DA" w14:textId="77777777" w:rsidR="00570928" w:rsidRPr="009F63B3" w:rsidRDefault="00570928" w:rsidP="008161B1">
            <w:pPr>
              <w:rPr>
                <w:rFonts w:cs="Arial"/>
                <w:bCs/>
              </w:rPr>
            </w:pPr>
            <w:r w:rsidRPr="009F63B3">
              <w:rPr>
                <w:rFonts w:cs="Arial"/>
                <w:bCs/>
              </w:rPr>
              <w:t>One of three proposed options (i.e. DA IFM schedules)</w:t>
            </w:r>
          </w:p>
        </w:tc>
      </w:tr>
      <w:tr w:rsidR="00570928" w:rsidRPr="009F63B3" w14:paraId="031EC7E2" w14:textId="77777777" w:rsidTr="00570928">
        <w:tc>
          <w:tcPr>
            <w:tcW w:w="1188" w:type="dxa"/>
            <w:shd w:val="clear" w:color="auto" w:fill="C0C0C0"/>
          </w:tcPr>
          <w:p w14:paraId="7E9FC118" w14:textId="77777777" w:rsidR="00570928" w:rsidRPr="009F63B3" w:rsidRDefault="00570928" w:rsidP="008161B1">
            <w:pPr>
              <w:rPr>
                <w:rFonts w:cs="Arial"/>
                <w:bCs/>
              </w:rPr>
            </w:pPr>
          </w:p>
        </w:tc>
        <w:tc>
          <w:tcPr>
            <w:tcW w:w="2340" w:type="dxa"/>
            <w:shd w:val="clear" w:color="auto" w:fill="C0C0C0"/>
          </w:tcPr>
          <w:p w14:paraId="51BFBC4A" w14:textId="77777777" w:rsidR="00570928" w:rsidRPr="009F63B3" w:rsidRDefault="00570928" w:rsidP="008161B1">
            <w:pPr>
              <w:rPr>
                <w:rFonts w:cs="Arial"/>
                <w:bCs/>
              </w:rPr>
            </w:pPr>
          </w:p>
        </w:tc>
        <w:tc>
          <w:tcPr>
            <w:tcW w:w="5580" w:type="dxa"/>
            <w:shd w:val="clear" w:color="auto" w:fill="C0C0C0"/>
          </w:tcPr>
          <w:p w14:paraId="43A7456A" w14:textId="77777777" w:rsidR="00570928" w:rsidRPr="009F63B3" w:rsidRDefault="00570928" w:rsidP="008161B1">
            <w:pPr>
              <w:rPr>
                <w:rFonts w:cs="Arial"/>
                <w:bCs/>
              </w:rPr>
            </w:pPr>
          </w:p>
        </w:tc>
      </w:tr>
      <w:tr w:rsidR="00570928" w:rsidRPr="009F63B3" w14:paraId="700F06B5" w14:textId="77777777" w:rsidTr="00570928">
        <w:tc>
          <w:tcPr>
            <w:tcW w:w="1188" w:type="dxa"/>
          </w:tcPr>
          <w:p w14:paraId="4EE6CA72" w14:textId="77777777" w:rsidR="00570928" w:rsidRPr="009F63B3" w:rsidRDefault="00570928" w:rsidP="008161B1">
            <w:pPr>
              <w:rPr>
                <w:rFonts w:cs="Arial"/>
                <w:bCs/>
              </w:rPr>
            </w:pPr>
            <w:r w:rsidRPr="009F63B3">
              <w:rPr>
                <w:rFonts w:cs="Arial"/>
                <w:bCs/>
              </w:rPr>
              <w:t>Option #2</w:t>
            </w:r>
          </w:p>
        </w:tc>
        <w:tc>
          <w:tcPr>
            <w:tcW w:w="2340" w:type="dxa"/>
          </w:tcPr>
          <w:p w14:paraId="06F14ABE" w14:textId="77777777" w:rsidR="00570928" w:rsidRPr="009F63B3" w:rsidRDefault="00570928" w:rsidP="00570928">
            <w:pPr>
              <w:rPr>
                <w:rFonts w:cs="Arial"/>
                <w:bCs/>
              </w:rPr>
            </w:pPr>
            <w:r w:rsidRPr="009F63B3">
              <w:rPr>
                <w:rFonts w:cs="Arial"/>
                <w:bCs/>
              </w:rPr>
              <w:t>T+5</w:t>
            </w:r>
            <w:proofErr w:type="gramStart"/>
            <w:r w:rsidRPr="009F63B3">
              <w:rPr>
                <w:rFonts w:cs="Arial"/>
                <w:bCs/>
              </w:rPr>
              <w:t>B  –</w:t>
            </w:r>
            <w:proofErr w:type="gramEnd"/>
            <w:r w:rsidRPr="009F63B3">
              <w:rPr>
                <w:rFonts w:cs="Arial"/>
                <w:bCs/>
              </w:rPr>
              <w:t xml:space="preserve"> DA &amp;RT </w:t>
            </w:r>
          </w:p>
          <w:p w14:paraId="71CCFE89" w14:textId="77777777" w:rsidR="00570928" w:rsidRPr="009F63B3" w:rsidRDefault="00570928" w:rsidP="00570928">
            <w:pPr>
              <w:rPr>
                <w:rFonts w:cs="Arial"/>
                <w:bCs/>
              </w:rPr>
            </w:pPr>
            <w:r w:rsidRPr="009F63B3">
              <w:rPr>
                <w:rFonts w:cs="Arial"/>
                <w:bCs/>
              </w:rPr>
              <w:t>T+50B   – 1</w:t>
            </w:r>
            <w:r w:rsidRPr="009F63B3">
              <w:rPr>
                <w:rFonts w:cs="Arial"/>
                <w:bCs/>
                <w:vertAlign w:val="superscript"/>
              </w:rPr>
              <w:t>st</w:t>
            </w:r>
            <w:r w:rsidRPr="009F63B3">
              <w:rPr>
                <w:rFonts w:cs="Arial"/>
                <w:bCs/>
              </w:rPr>
              <w:t xml:space="preserve"> true-up</w:t>
            </w:r>
          </w:p>
          <w:p w14:paraId="604DD1B7" w14:textId="77777777" w:rsidR="00570928" w:rsidRPr="009F63B3" w:rsidRDefault="00570928" w:rsidP="00570928">
            <w:pPr>
              <w:rPr>
                <w:rFonts w:cs="Arial"/>
                <w:bCs/>
              </w:rPr>
            </w:pPr>
            <w:r w:rsidRPr="009F63B3">
              <w:rPr>
                <w:rFonts w:cs="Arial"/>
                <w:bCs/>
              </w:rPr>
              <w:t>T+100B – 2</w:t>
            </w:r>
            <w:r w:rsidRPr="009F63B3">
              <w:rPr>
                <w:rFonts w:cs="Arial"/>
                <w:bCs/>
                <w:vertAlign w:val="superscript"/>
              </w:rPr>
              <w:t>nd</w:t>
            </w:r>
            <w:r w:rsidRPr="009F63B3">
              <w:rPr>
                <w:rFonts w:cs="Arial"/>
                <w:bCs/>
              </w:rPr>
              <w:t xml:space="preserve"> true-up</w:t>
            </w:r>
          </w:p>
          <w:p w14:paraId="247354BD" w14:textId="77777777" w:rsidR="00570928" w:rsidRPr="009F63B3" w:rsidRDefault="00570928" w:rsidP="00570928">
            <w:pPr>
              <w:rPr>
                <w:rFonts w:cs="Arial"/>
                <w:bCs/>
              </w:rPr>
            </w:pPr>
            <w:r w:rsidRPr="009F63B3">
              <w:rPr>
                <w:rFonts w:cs="Arial"/>
                <w:bCs/>
              </w:rPr>
              <w:t>T+18M   - 3</w:t>
            </w:r>
            <w:r w:rsidRPr="009F63B3">
              <w:rPr>
                <w:rFonts w:cs="Arial"/>
                <w:bCs/>
                <w:vertAlign w:val="superscript"/>
              </w:rPr>
              <w:t>rd</w:t>
            </w:r>
            <w:r w:rsidRPr="009F63B3">
              <w:rPr>
                <w:rFonts w:cs="Arial"/>
                <w:bCs/>
              </w:rPr>
              <w:t xml:space="preserve"> true-up</w:t>
            </w:r>
          </w:p>
          <w:p w14:paraId="7786A8C7" w14:textId="77777777" w:rsidR="00570928" w:rsidRPr="009F63B3" w:rsidRDefault="00570928" w:rsidP="00570928">
            <w:pPr>
              <w:rPr>
                <w:rFonts w:cs="Arial"/>
                <w:bCs/>
              </w:rPr>
            </w:pPr>
            <w:r w:rsidRPr="009F63B3">
              <w:rPr>
                <w:rFonts w:cs="Arial"/>
                <w:bCs/>
              </w:rPr>
              <w:t>T+35M   - 4</w:t>
            </w:r>
            <w:r w:rsidRPr="009F63B3">
              <w:rPr>
                <w:rFonts w:cs="Arial"/>
                <w:bCs/>
                <w:vertAlign w:val="superscript"/>
              </w:rPr>
              <w:t>th</w:t>
            </w:r>
            <w:r w:rsidRPr="009F63B3">
              <w:rPr>
                <w:rFonts w:cs="Arial"/>
                <w:bCs/>
              </w:rPr>
              <w:t xml:space="preserve"> true-up</w:t>
            </w:r>
          </w:p>
        </w:tc>
        <w:tc>
          <w:tcPr>
            <w:tcW w:w="5580" w:type="dxa"/>
          </w:tcPr>
          <w:p w14:paraId="0405DD7F" w14:textId="77777777" w:rsidR="00570928" w:rsidRPr="009F63B3" w:rsidRDefault="00570928" w:rsidP="008161B1">
            <w:pPr>
              <w:rPr>
                <w:rFonts w:cs="Arial"/>
                <w:bCs/>
              </w:rPr>
            </w:pPr>
            <w:r w:rsidRPr="009F63B3">
              <w:rPr>
                <w:rFonts w:cs="Arial"/>
                <w:bCs/>
              </w:rPr>
              <w:t>DA schedules + hourly load forecast data</w:t>
            </w:r>
          </w:p>
        </w:tc>
      </w:tr>
    </w:tbl>
    <w:p w14:paraId="0B814917" w14:textId="77777777" w:rsidR="008161B1" w:rsidRPr="009F63B3" w:rsidRDefault="008161B1" w:rsidP="00570928">
      <w:pPr>
        <w:ind w:left="2160"/>
        <w:rPr>
          <w:rFonts w:cs="Arial"/>
          <w:bCs/>
        </w:rPr>
      </w:pPr>
    </w:p>
    <w:p w14:paraId="79DDAA3B" w14:textId="77777777" w:rsidR="003148CD" w:rsidRPr="009F63B3" w:rsidRDefault="00A56387" w:rsidP="000915E0">
      <w:pPr>
        <w:ind w:left="720"/>
        <w:rPr>
          <w:rFonts w:cs="Arial"/>
          <w:bCs/>
        </w:rPr>
      </w:pPr>
      <w:r w:rsidRPr="009F63B3">
        <w:rPr>
          <w:rFonts w:cs="Arial"/>
          <w:bCs/>
        </w:rPr>
        <w:t xml:space="preserve">Please provide comments on </w:t>
      </w:r>
      <w:r w:rsidR="00903A77" w:rsidRPr="009F63B3">
        <w:rPr>
          <w:rFonts w:cs="Arial"/>
          <w:bCs/>
        </w:rPr>
        <w:t xml:space="preserve">these options:  </w:t>
      </w:r>
      <w:r w:rsidRPr="009F63B3">
        <w:rPr>
          <w:rFonts w:cs="Arial"/>
          <w:bCs/>
        </w:rPr>
        <w:t xml:space="preserve"> </w:t>
      </w:r>
    </w:p>
    <w:p w14:paraId="47D88016" w14:textId="77777777" w:rsidR="00A56387" w:rsidRPr="009F63B3" w:rsidRDefault="00A56387" w:rsidP="00A06835">
      <w:pPr>
        <w:ind w:left="360" w:firstLine="360"/>
        <w:rPr>
          <w:rFonts w:cs="Arial"/>
          <w:bCs/>
        </w:rPr>
      </w:pPr>
    </w:p>
    <w:p w14:paraId="57B6A023" w14:textId="77777777" w:rsidR="003148CD" w:rsidRPr="009F63B3" w:rsidRDefault="00A56387" w:rsidP="00A06835">
      <w:pPr>
        <w:ind w:left="360" w:firstLine="360"/>
        <w:rPr>
          <w:rFonts w:cs="Arial"/>
          <w:bCs/>
        </w:rPr>
      </w:pPr>
      <w:r w:rsidRPr="009F63B3">
        <w:rPr>
          <w:rFonts w:cs="Arial"/>
          <w:bCs/>
        </w:rPr>
        <w:t xml:space="preserve"> </w:t>
      </w:r>
      <w:r w:rsidR="003148CD" w:rsidRPr="009F63B3">
        <w:rPr>
          <w:rFonts w:cs="Arial"/>
          <w:bCs/>
        </w:rPr>
        <w:t>(Submit Comments Here)</w:t>
      </w:r>
    </w:p>
    <w:p w14:paraId="142A37E2" w14:textId="77777777" w:rsidR="003148CD" w:rsidRPr="009F63B3" w:rsidRDefault="003148CD" w:rsidP="003148CD">
      <w:pPr>
        <w:ind w:left="360"/>
        <w:rPr>
          <w:rFonts w:cs="Arial"/>
          <w:bCs/>
        </w:rPr>
      </w:pPr>
    </w:p>
    <w:p w14:paraId="32AE926C" w14:textId="77777777" w:rsidR="00A56387" w:rsidRPr="009F63B3" w:rsidRDefault="000915E0" w:rsidP="000915E0">
      <w:pPr>
        <w:numPr>
          <w:ilvl w:val="0"/>
          <w:numId w:val="5"/>
        </w:numPr>
      </w:pPr>
      <w:r w:rsidRPr="009F63B3">
        <w:rPr>
          <w:rFonts w:cs="Arial"/>
          <w:b/>
          <w:bCs/>
        </w:rPr>
        <w:t xml:space="preserve">Methodology for Estimating Meter Data </w:t>
      </w:r>
    </w:p>
    <w:p w14:paraId="6E341159" w14:textId="77777777" w:rsidR="00AD0537" w:rsidRPr="009F63B3" w:rsidRDefault="00AD0537" w:rsidP="00AD0537">
      <w:pPr>
        <w:ind w:left="720"/>
        <w:rPr>
          <w:rFonts w:cs="Arial"/>
          <w:bCs/>
        </w:rPr>
      </w:pPr>
      <w:r w:rsidRPr="009F63B3">
        <w:rPr>
          <w:rFonts w:cs="Arial"/>
          <w:bCs/>
        </w:rPr>
        <w:t xml:space="preserve">SCE has suggested the CAISO </w:t>
      </w:r>
      <w:proofErr w:type="gramStart"/>
      <w:r w:rsidRPr="009F63B3">
        <w:rPr>
          <w:rFonts w:cs="Arial"/>
          <w:bCs/>
        </w:rPr>
        <w:t>to seek</w:t>
      </w:r>
      <w:proofErr w:type="gramEnd"/>
      <w:r w:rsidRPr="009F63B3">
        <w:rPr>
          <w:rFonts w:cs="Arial"/>
          <w:bCs/>
        </w:rPr>
        <w:t xml:space="preserve"> additional alternatives to the three estimation options presented on September 18</w:t>
      </w:r>
      <w:r w:rsidRPr="009F63B3">
        <w:rPr>
          <w:rFonts w:cs="Arial"/>
          <w:bCs/>
          <w:vertAlign w:val="superscript"/>
        </w:rPr>
        <w:t>th</w:t>
      </w:r>
      <w:r w:rsidRPr="009F63B3">
        <w:rPr>
          <w:rFonts w:cs="Arial"/>
          <w:bCs/>
        </w:rPr>
        <w:t xml:space="preserve">.  </w:t>
      </w:r>
      <w:proofErr w:type="gramStart"/>
      <w:r w:rsidRPr="009F63B3">
        <w:rPr>
          <w:rFonts w:cs="Arial"/>
          <w:bCs/>
        </w:rPr>
        <w:t>In particular, SCE</w:t>
      </w:r>
      <w:proofErr w:type="gramEnd"/>
      <w:r w:rsidRPr="009F63B3">
        <w:rPr>
          <w:rFonts w:cs="Arial"/>
          <w:bCs/>
        </w:rPr>
        <w:t xml:space="preserve"> recommends </w:t>
      </w:r>
      <w:proofErr w:type="gramStart"/>
      <w:r w:rsidRPr="009F63B3">
        <w:rPr>
          <w:rFonts w:cs="Arial"/>
          <w:bCs/>
        </w:rPr>
        <w:t>the CAISO</w:t>
      </w:r>
      <w:proofErr w:type="gramEnd"/>
      <w:r w:rsidRPr="009F63B3">
        <w:rPr>
          <w:rFonts w:cs="Arial"/>
          <w:bCs/>
        </w:rPr>
        <w:t xml:space="preserve"> to investigate the meter estimation methodology used by the New York ISO.  It is their understanding that the NYISO methodology is based upon hourly load forecast data which is used for all real-time load settlement calculations prior to receiving actual meter data.  NYISO has been using this methodology since its market inception in 1999 and may provide </w:t>
      </w:r>
      <w:proofErr w:type="gramStart"/>
      <w:r w:rsidRPr="009F63B3">
        <w:rPr>
          <w:rFonts w:cs="Arial"/>
          <w:bCs/>
        </w:rPr>
        <w:t>the CAISO</w:t>
      </w:r>
      <w:proofErr w:type="gramEnd"/>
      <w:r w:rsidRPr="009F63B3">
        <w:rPr>
          <w:rFonts w:cs="Arial"/>
          <w:bCs/>
        </w:rPr>
        <w:t xml:space="preserve"> with a fair and viable alternative to the estimation approaches currently being proposed.</w:t>
      </w:r>
    </w:p>
    <w:p w14:paraId="5E8A748C" w14:textId="77777777" w:rsidR="00AD0537" w:rsidRPr="009F63B3" w:rsidRDefault="00AD0537" w:rsidP="00AD0537">
      <w:pPr>
        <w:ind w:left="720"/>
        <w:rPr>
          <w:rFonts w:cs="Arial"/>
          <w:bCs/>
        </w:rPr>
      </w:pPr>
    </w:p>
    <w:p w14:paraId="00A60A63" w14:textId="77777777" w:rsidR="00AD0537" w:rsidRPr="009F63B3" w:rsidRDefault="00AD0537" w:rsidP="00AD0537">
      <w:pPr>
        <w:ind w:left="720"/>
        <w:rPr>
          <w:rFonts w:cs="Arial"/>
          <w:bCs/>
        </w:rPr>
      </w:pPr>
      <w:r w:rsidRPr="009F63B3">
        <w:rPr>
          <w:rFonts w:cs="Arial"/>
          <w:bCs/>
        </w:rPr>
        <w:t xml:space="preserve">CAISO is exploring this option.  Would you support an estimation methodology based on hourly load forecasts?  </w:t>
      </w:r>
    </w:p>
    <w:p w14:paraId="7CE91E2D" w14:textId="77777777" w:rsidR="003148CD" w:rsidRPr="009F63B3" w:rsidRDefault="003148CD" w:rsidP="003148CD">
      <w:pPr>
        <w:ind w:left="360"/>
        <w:rPr>
          <w:rFonts w:cs="Arial"/>
          <w:bCs/>
        </w:rPr>
      </w:pPr>
    </w:p>
    <w:p w14:paraId="1637969E" w14:textId="77777777" w:rsidR="003148CD" w:rsidRPr="009F63B3" w:rsidRDefault="003148CD" w:rsidP="00A06835">
      <w:pPr>
        <w:ind w:left="360" w:firstLine="360"/>
        <w:rPr>
          <w:rFonts w:cs="Arial"/>
          <w:bCs/>
        </w:rPr>
      </w:pPr>
      <w:r w:rsidRPr="009F63B3">
        <w:rPr>
          <w:rFonts w:cs="Arial"/>
          <w:bCs/>
        </w:rPr>
        <w:t>(Submit Comments</w:t>
      </w:r>
      <w:r w:rsidR="001524D1" w:rsidRPr="009F63B3">
        <w:rPr>
          <w:rFonts w:cs="Arial"/>
          <w:bCs/>
        </w:rPr>
        <w:t>/Pros/Cons</w:t>
      </w:r>
      <w:r w:rsidRPr="009F63B3">
        <w:rPr>
          <w:rFonts w:cs="Arial"/>
          <w:bCs/>
        </w:rPr>
        <w:t xml:space="preserve"> Here)</w:t>
      </w:r>
    </w:p>
    <w:p w14:paraId="6D99EA8F" w14:textId="77777777" w:rsidR="001524D1" w:rsidRPr="009F63B3" w:rsidRDefault="001524D1" w:rsidP="00A06835">
      <w:pPr>
        <w:ind w:left="360" w:firstLine="360"/>
        <w:rPr>
          <w:rFonts w:cs="Arial"/>
          <w:bCs/>
        </w:rPr>
      </w:pPr>
    </w:p>
    <w:p w14:paraId="44C874DF" w14:textId="77777777" w:rsidR="00F2196D" w:rsidRPr="009F63B3" w:rsidRDefault="00750D6D" w:rsidP="003148CD">
      <w:pPr>
        <w:numPr>
          <w:ilvl w:val="0"/>
          <w:numId w:val="5"/>
        </w:numPr>
        <w:rPr>
          <w:rFonts w:cs="Arial"/>
          <w:b/>
          <w:bCs/>
        </w:rPr>
      </w:pPr>
      <w:r w:rsidRPr="009F63B3">
        <w:rPr>
          <w:rFonts w:cs="Arial"/>
          <w:b/>
          <w:bCs/>
        </w:rPr>
        <w:t>Implementation Schedule</w:t>
      </w:r>
    </w:p>
    <w:p w14:paraId="593871D7" w14:textId="77777777" w:rsidR="000915E0" w:rsidRPr="009F63B3" w:rsidRDefault="009569AC" w:rsidP="00750D6D">
      <w:pPr>
        <w:ind w:left="720"/>
        <w:rPr>
          <w:rFonts w:cs="Arial"/>
          <w:bCs/>
        </w:rPr>
      </w:pPr>
      <w:r w:rsidRPr="009F63B3">
        <w:rPr>
          <w:rFonts w:cs="Arial"/>
          <w:bCs/>
        </w:rPr>
        <w:t xml:space="preserve">Do </w:t>
      </w:r>
      <w:r w:rsidR="00750D6D" w:rsidRPr="009F63B3">
        <w:rPr>
          <w:rFonts w:cs="Arial"/>
          <w:bCs/>
        </w:rPr>
        <w:t xml:space="preserve">you </w:t>
      </w:r>
      <w:proofErr w:type="gramStart"/>
      <w:r w:rsidRPr="009F63B3">
        <w:rPr>
          <w:rFonts w:cs="Arial"/>
          <w:bCs/>
        </w:rPr>
        <w:t>a support</w:t>
      </w:r>
      <w:proofErr w:type="gramEnd"/>
      <w:r w:rsidRPr="009F63B3">
        <w:rPr>
          <w:rFonts w:cs="Arial"/>
          <w:bCs/>
        </w:rPr>
        <w:t xml:space="preserve"> the phased implementation </w:t>
      </w:r>
      <w:r w:rsidR="00EF506B" w:rsidRPr="009F63B3">
        <w:rPr>
          <w:rFonts w:cs="Arial"/>
          <w:bCs/>
        </w:rPr>
        <w:t xml:space="preserve">approach </w:t>
      </w:r>
      <w:r w:rsidRPr="009F63B3">
        <w:rPr>
          <w:rFonts w:cs="Arial"/>
          <w:bCs/>
        </w:rPr>
        <w:t>discussed in the October 16</w:t>
      </w:r>
      <w:r w:rsidRPr="009F63B3">
        <w:rPr>
          <w:rFonts w:cs="Arial"/>
          <w:bCs/>
          <w:vertAlign w:val="superscript"/>
        </w:rPr>
        <w:t>th</w:t>
      </w:r>
      <w:r w:rsidRPr="009F63B3">
        <w:rPr>
          <w:rFonts w:cs="Arial"/>
          <w:bCs/>
        </w:rPr>
        <w:t xml:space="preserve"> </w:t>
      </w:r>
      <w:r w:rsidR="009F63B3" w:rsidRPr="009F63B3">
        <w:rPr>
          <w:rFonts w:cs="Arial"/>
          <w:bCs/>
        </w:rPr>
        <w:t>Stakeholder</w:t>
      </w:r>
      <w:r w:rsidRPr="009F63B3">
        <w:rPr>
          <w:rFonts w:cs="Arial"/>
          <w:bCs/>
        </w:rPr>
        <w:t xml:space="preserve"> Meeting?  </w:t>
      </w:r>
      <w:r w:rsidR="00EF506B" w:rsidRPr="009F63B3">
        <w:rPr>
          <w:rFonts w:cs="Arial"/>
          <w:bCs/>
        </w:rPr>
        <w:t>Assuming invoicing remains the same as the MRTU implementation (monthly at month-end), could you support an accelerated timeline within 1-3 months post MRTU go-live</w:t>
      </w:r>
      <w:proofErr w:type="gramStart"/>
      <w:r w:rsidR="00EF506B" w:rsidRPr="009F63B3">
        <w:rPr>
          <w:rFonts w:cs="Arial"/>
          <w:bCs/>
        </w:rPr>
        <w:t xml:space="preserve">?  </w:t>
      </w:r>
      <w:r w:rsidR="009E64E4" w:rsidRPr="009F63B3">
        <w:rPr>
          <w:rFonts w:cs="Arial"/>
          <w:bCs/>
        </w:rPr>
        <w:t>.</w:t>
      </w:r>
      <w:proofErr w:type="gramEnd"/>
      <w:r w:rsidR="009E64E4" w:rsidRPr="009F63B3">
        <w:rPr>
          <w:rFonts w:cs="Arial"/>
          <w:bCs/>
        </w:rPr>
        <w:t xml:space="preserve">  </w:t>
      </w:r>
    </w:p>
    <w:p w14:paraId="65743559" w14:textId="77777777" w:rsidR="000915E0" w:rsidRPr="009F63B3" w:rsidRDefault="000915E0" w:rsidP="000915E0">
      <w:pPr>
        <w:ind w:left="720"/>
        <w:rPr>
          <w:rFonts w:cs="Arial"/>
          <w:bCs/>
        </w:rPr>
      </w:pPr>
    </w:p>
    <w:p w14:paraId="362F74EB" w14:textId="77777777" w:rsidR="003148CD" w:rsidRPr="009F63B3" w:rsidRDefault="003148CD" w:rsidP="00A06835">
      <w:pPr>
        <w:ind w:firstLine="720"/>
        <w:rPr>
          <w:rFonts w:cs="Arial"/>
          <w:bCs/>
        </w:rPr>
      </w:pPr>
      <w:r w:rsidRPr="009F63B3">
        <w:rPr>
          <w:rFonts w:cs="Arial"/>
          <w:bCs/>
        </w:rPr>
        <w:t>(Submit Comments Here)</w:t>
      </w:r>
    </w:p>
    <w:p w14:paraId="55A53030" w14:textId="77777777" w:rsidR="003148CD" w:rsidRPr="009F63B3" w:rsidRDefault="003148CD" w:rsidP="003148CD">
      <w:pPr>
        <w:ind w:left="360"/>
        <w:rPr>
          <w:rFonts w:cs="Arial"/>
          <w:bCs/>
        </w:rPr>
      </w:pPr>
    </w:p>
    <w:p w14:paraId="3D3692F4" w14:textId="77777777" w:rsidR="00EF506B" w:rsidRPr="009F63B3" w:rsidRDefault="009E64E4" w:rsidP="003C7C0F">
      <w:pPr>
        <w:numPr>
          <w:ilvl w:val="0"/>
          <w:numId w:val="5"/>
        </w:numPr>
        <w:rPr>
          <w:rFonts w:cs="Arial"/>
          <w:bCs/>
        </w:rPr>
      </w:pPr>
      <w:r w:rsidRPr="009F63B3">
        <w:rPr>
          <w:rFonts w:cs="Arial"/>
          <w:b/>
          <w:bCs/>
        </w:rPr>
        <w:t xml:space="preserve"> Invoicing </w:t>
      </w:r>
    </w:p>
    <w:p w14:paraId="71B07B98" w14:textId="77777777" w:rsidR="00EF506B" w:rsidRPr="009F63B3" w:rsidRDefault="00EF506B" w:rsidP="00EF506B">
      <w:pPr>
        <w:ind w:firstLine="720"/>
        <w:rPr>
          <w:rFonts w:cs="Arial"/>
          <w:bCs/>
        </w:rPr>
      </w:pPr>
      <w:r w:rsidRPr="009F63B3">
        <w:rPr>
          <w:rFonts w:cs="Arial"/>
          <w:bCs/>
        </w:rPr>
        <w:t xml:space="preserve">Would you support an invoice solution that meets the following criteria? </w:t>
      </w:r>
    </w:p>
    <w:p w14:paraId="1A827812" w14:textId="77777777" w:rsidR="00EF506B" w:rsidRPr="009F63B3" w:rsidRDefault="00EF506B" w:rsidP="00EF506B">
      <w:pPr>
        <w:ind w:firstLine="720"/>
        <w:rPr>
          <w:rFonts w:cs="Arial"/>
          <w:bCs/>
        </w:rPr>
      </w:pPr>
    </w:p>
    <w:p w14:paraId="1A451C23" w14:textId="77777777" w:rsidR="00EF506B" w:rsidRPr="009F63B3" w:rsidRDefault="00EF506B" w:rsidP="00EF506B">
      <w:pPr>
        <w:numPr>
          <w:ilvl w:val="0"/>
          <w:numId w:val="19"/>
        </w:numPr>
        <w:rPr>
          <w:rFonts w:cs="Arial"/>
        </w:rPr>
      </w:pPr>
      <w:r w:rsidRPr="009F63B3">
        <w:rPr>
          <w:rFonts w:cs="Arial"/>
        </w:rPr>
        <w:t>Does not mix initial and true-up statements from previous accounting months</w:t>
      </w:r>
    </w:p>
    <w:p w14:paraId="68553D22" w14:textId="77777777" w:rsidR="00AD1CF5" w:rsidRPr="009F63B3" w:rsidRDefault="00AD1CF5" w:rsidP="00EF506B">
      <w:pPr>
        <w:numPr>
          <w:ilvl w:val="0"/>
          <w:numId w:val="19"/>
        </w:numPr>
        <w:rPr>
          <w:rFonts w:cs="Arial"/>
        </w:rPr>
      </w:pPr>
      <w:r w:rsidRPr="009F63B3">
        <w:rPr>
          <w:rFonts w:cs="Arial"/>
        </w:rPr>
        <w:t xml:space="preserve">Includes trade dates from a specific month only, but </w:t>
      </w:r>
      <w:proofErr w:type="gramStart"/>
      <w:r w:rsidRPr="009F63B3">
        <w:rPr>
          <w:rFonts w:cs="Arial"/>
        </w:rPr>
        <w:t>not</w:t>
      </w:r>
      <w:proofErr w:type="gramEnd"/>
      <w:r w:rsidRPr="009F63B3">
        <w:rPr>
          <w:rFonts w:cs="Arial"/>
        </w:rPr>
        <w:t xml:space="preserve"> necessarily </w:t>
      </w:r>
      <w:proofErr w:type="gramStart"/>
      <w:r w:rsidRPr="009F63B3">
        <w:rPr>
          <w:rFonts w:cs="Arial"/>
        </w:rPr>
        <w:t>includes</w:t>
      </w:r>
      <w:proofErr w:type="gramEnd"/>
      <w:r w:rsidRPr="009F63B3">
        <w:rPr>
          <w:rFonts w:cs="Arial"/>
        </w:rPr>
        <w:t xml:space="preserve"> trade dates that encompass a full month (i.e. could include a partial month).</w:t>
      </w:r>
    </w:p>
    <w:p w14:paraId="29173A10" w14:textId="77777777" w:rsidR="00AD1CF5" w:rsidRPr="009F63B3" w:rsidRDefault="00AD1CF5" w:rsidP="00AD1CF5">
      <w:pPr>
        <w:numPr>
          <w:ilvl w:val="0"/>
          <w:numId w:val="19"/>
        </w:numPr>
        <w:rPr>
          <w:rFonts w:cs="Arial"/>
        </w:rPr>
      </w:pPr>
      <w:r w:rsidRPr="009F63B3">
        <w:rPr>
          <w:rFonts w:cs="Arial"/>
        </w:rPr>
        <w:t xml:space="preserve">Monthly charges are on </w:t>
      </w:r>
      <w:proofErr w:type="gramStart"/>
      <w:r w:rsidRPr="009F63B3">
        <w:rPr>
          <w:rFonts w:cs="Arial"/>
        </w:rPr>
        <w:t>invoice</w:t>
      </w:r>
      <w:proofErr w:type="gramEnd"/>
      <w:r w:rsidRPr="009F63B3">
        <w:rPr>
          <w:rFonts w:cs="Arial"/>
        </w:rPr>
        <w:t xml:space="preserve"> that </w:t>
      </w:r>
      <w:proofErr w:type="gramStart"/>
      <w:r w:rsidRPr="009F63B3">
        <w:rPr>
          <w:rFonts w:cs="Arial"/>
        </w:rPr>
        <w:t>included</w:t>
      </w:r>
      <w:proofErr w:type="gramEnd"/>
      <w:r w:rsidRPr="009F63B3">
        <w:rPr>
          <w:rFonts w:cs="Arial"/>
        </w:rPr>
        <w:t xml:space="preserve"> the month end date.</w:t>
      </w:r>
      <w:r w:rsidRPr="009F63B3">
        <w:t xml:space="preserve"> </w:t>
      </w:r>
    </w:p>
    <w:p w14:paraId="7B1B4330" w14:textId="77777777" w:rsidR="00EF506B" w:rsidRPr="009F63B3" w:rsidRDefault="00EF506B" w:rsidP="00AD1CF5">
      <w:pPr>
        <w:ind w:left="720"/>
        <w:rPr>
          <w:rFonts w:cs="Arial"/>
        </w:rPr>
      </w:pPr>
    </w:p>
    <w:p w14:paraId="5FED7E4C" w14:textId="77777777" w:rsidR="00AD1CF5" w:rsidRPr="009F63B3" w:rsidRDefault="00AD1CF5" w:rsidP="00AD1CF5">
      <w:pPr>
        <w:ind w:left="720"/>
        <w:rPr>
          <w:rFonts w:cs="Arial"/>
        </w:rPr>
      </w:pPr>
    </w:p>
    <w:p w14:paraId="35131F2C" w14:textId="77777777" w:rsidR="00EF506B" w:rsidRPr="009F63B3" w:rsidRDefault="00AD1CF5" w:rsidP="00AD1CF5">
      <w:pPr>
        <w:ind w:left="720"/>
        <w:rPr>
          <w:rFonts w:cs="Arial"/>
        </w:rPr>
      </w:pPr>
      <w:r w:rsidRPr="009F63B3">
        <w:rPr>
          <w:rFonts w:cs="Arial"/>
        </w:rPr>
        <w:t xml:space="preserve">  Please provide detailed </w:t>
      </w:r>
      <w:r w:rsidR="00EF506B" w:rsidRPr="009F63B3">
        <w:rPr>
          <w:rFonts w:cs="Arial"/>
        </w:rPr>
        <w:t xml:space="preserve">examples of </w:t>
      </w:r>
      <w:r w:rsidRPr="009F63B3">
        <w:rPr>
          <w:rFonts w:cs="Arial"/>
        </w:rPr>
        <w:t xml:space="preserve">your </w:t>
      </w:r>
      <w:r w:rsidR="00EF506B" w:rsidRPr="009F63B3">
        <w:rPr>
          <w:rFonts w:cs="Arial"/>
        </w:rPr>
        <w:t xml:space="preserve">preferred invoicing </w:t>
      </w:r>
      <w:r w:rsidR="00C57FA2" w:rsidRPr="009F63B3">
        <w:rPr>
          <w:rFonts w:cs="Arial"/>
        </w:rPr>
        <w:t xml:space="preserve">solution.  </w:t>
      </w:r>
      <w:r w:rsidR="00EF506B" w:rsidRPr="009F63B3">
        <w:t xml:space="preserve"> </w:t>
      </w:r>
    </w:p>
    <w:p w14:paraId="399FB499" w14:textId="77777777" w:rsidR="009E64E4" w:rsidRPr="009F63B3" w:rsidRDefault="009E64E4" w:rsidP="009E64E4">
      <w:pPr>
        <w:rPr>
          <w:rFonts w:cs="Arial"/>
          <w:bCs/>
        </w:rPr>
      </w:pPr>
    </w:p>
    <w:p w14:paraId="3EE034B6" w14:textId="77777777" w:rsidR="003C7C0F" w:rsidRPr="009F63B3" w:rsidRDefault="00C57FA2" w:rsidP="003C7C0F">
      <w:pPr>
        <w:ind w:left="360" w:firstLine="360"/>
        <w:rPr>
          <w:rFonts w:cs="Arial"/>
          <w:b/>
          <w:bCs/>
        </w:rPr>
      </w:pPr>
      <w:r w:rsidRPr="009F63B3">
        <w:rPr>
          <w:rFonts w:cs="Arial"/>
          <w:bCs/>
        </w:rPr>
        <w:t xml:space="preserve"> </w:t>
      </w:r>
      <w:r w:rsidR="003C7C0F" w:rsidRPr="009F63B3">
        <w:rPr>
          <w:rFonts w:cs="Arial"/>
          <w:bCs/>
        </w:rPr>
        <w:t>(Submit Comments Here)</w:t>
      </w:r>
    </w:p>
    <w:p w14:paraId="3A530FDF" w14:textId="77777777" w:rsidR="009E64E4" w:rsidRPr="009F63B3" w:rsidRDefault="009E64E4" w:rsidP="009E64E4">
      <w:pPr>
        <w:ind w:left="1440"/>
        <w:rPr>
          <w:rFonts w:cs="Arial"/>
          <w:b/>
          <w:bCs/>
        </w:rPr>
      </w:pPr>
    </w:p>
    <w:p w14:paraId="1F94AB1E" w14:textId="77777777" w:rsidR="00A06835" w:rsidRPr="009F63B3" w:rsidRDefault="00A06835" w:rsidP="00A06835">
      <w:pPr>
        <w:numPr>
          <w:ilvl w:val="0"/>
          <w:numId w:val="5"/>
        </w:numPr>
        <w:rPr>
          <w:rFonts w:cs="Arial"/>
          <w:b/>
          <w:bCs/>
        </w:rPr>
      </w:pPr>
      <w:r w:rsidRPr="009F63B3">
        <w:rPr>
          <w:rFonts w:cs="Arial"/>
          <w:b/>
          <w:bCs/>
        </w:rPr>
        <w:t>Other Comments?</w:t>
      </w:r>
    </w:p>
    <w:p w14:paraId="25754DDB" w14:textId="77777777" w:rsidR="00A06835" w:rsidRPr="009F63B3" w:rsidRDefault="00A06835" w:rsidP="00A06835">
      <w:pPr>
        <w:ind w:left="360"/>
        <w:rPr>
          <w:rFonts w:cs="Arial"/>
          <w:b/>
          <w:bCs/>
        </w:rPr>
      </w:pPr>
    </w:p>
    <w:p w14:paraId="203887A1" w14:textId="77777777" w:rsidR="00A06835" w:rsidRPr="009F63B3" w:rsidRDefault="00A06835" w:rsidP="009E64E4">
      <w:pPr>
        <w:ind w:left="360" w:firstLine="360"/>
        <w:rPr>
          <w:rFonts w:cs="Arial"/>
          <w:b/>
          <w:bCs/>
        </w:rPr>
      </w:pPr>
      <w:r w:rsidRPr="009F63B3">
        <w:rPr>
          <w:rFonts w:cs="Arial"/>
          <w:bCs/>
        </w:rPr>
        <w:t>(Submit Comments Here)</w:t>
      </w:r>
    </w:p>
    <w:sectPr w:rsidR="00A06835" w:rsidRPr="009F63B3" w:rsidSect="005D6A7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DC14D" w14:textId="77777777" w:rsidR="00B03C44" w:rsidRDefault="00B03C44">
      <w:r>
        <w:separator/>
      </w:r>
    </w:p>
  </w:endnote>
  <w:endnote w:type="continuationSeparator" w:id="0">
    <w:p w14:paraId="549273FF" w14:textId="77777777" w:rsidR="00B03C44" w:rsidRDefault="00B0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EE67" w14:textId="77777777" w:rsidR="00EF506B" w:rsidRDefault="00EF506B">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9F63B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1D3BC" w14:textId="77777777" w:rsidR="00B03C44" w:rsidRDefault="00B03C44">
      <w:r>
        <w:separator/>
      </w:r>
    </w:p>
  </w:footnote>
  <w:footnote w:type="continuationSeparator" w:id="0">
    <w:p w14:paraId="5476B35C" w14:textId="77777777" w:rsidR="00B03C44" w:rsidRDefault="00B03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31805" w14:textId="77777777" w:rsidR="00EF506B" w:rsidRPr="00C4611D" w:rsidRDefault="00EF506B" w:rsidP="00C4611D">
    <w:pPr>
      <w:pStyle w:val="Header"/>
      <w:tabs>
        <w:tab w:val="clear" w:pos="4320"/>
        <w:tab w:val="clear" w:pos="8640"/>
        <w:tab w:val="right" w:pos="9360"/>
      </w:tabs>
      <w:rPr>
        <w:b/>
        <w:sz w:val="22"/>
        <w:szCs w:val="22"/>
      </w:rPr>
    </w:pPr>
    <w:r w:rsidRPr="00C4611D">
      <w:rPr>
        <w:b/>
        <w:sz w:val="22"/>
        <w:szCs w:val="22"/>
      </w:rPr>
      <w:t>CAISO</w:t>
    </w:r>
    <w:r w:rsidRPr="00C4611D">
      <w:rPr>
        <w:b/>
        <w:sz w:val="22"/>
        <w:szCs w:val="22"/>
      </w:rPr>
      <w:tab/>
      <w:t>Comments Template</w:t>
    </w:r>
    <w:r>
      <w:rPr>
        <w:b/>
        <w:sz w:val="22"/>
        <w:szCs w:val="22"/>
      </w:rPr>
      <w:t xml:space="preserve"> for </w:t>
    </w:r>
    <w:r w:rsidRPr="00AF1EFA">
      <w:rPr>
        <w:b/>
        <w:sz w:val="22"/>
        <w:szCs w:val="22"/>
      </w:rPr>
      <w:t>Remote Resource Interconnection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2694"/>
    <w:multiLevelType w:val="hybridMultilevel"/>
    <w:tmpl w:val="4C06FD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0427111"/>
    <w:multiLevelType w:val="hybridMultilevel"/>
    <w:tmpl w:val="CD7C922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180F3E17"/>
    <w:multiLevelType w:val="hybridMultilevel"/>
    <w:tmpl w:val="F1528B9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2861BD8">
      <w:start w:val="4"/>
      <w:numFmt w:val="decimal"/>
      <w:lvlText w:val="%3."/>
      <w:lvlJc w:val="left"/>
      <w:pPr>
        <w:tabs>
          <w:tab w:val="num" w:pos="2340"/>
        </w:tabs>
        <w:ind w:left="2340" w:hanging="360"/>
      </w:pPr>
      <w:rPr>
        <w:rFonts w:ascii="Arial" w:hAnsi="Arial" w:cs="Arial" w:hint="default"/>
        <w:color w:val="0000FF"/>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976584"/>
    <w:multiLevelType w:val="hybridMultilevel"/>
    <w:tmpl w:val="8EB89D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76273A"/>
    <w:multiLevelType w:val="hybridMultilevel"/>
    <w:tmpl w:val="F7784016"/>
    <w:lvl w:ilvl="0" w:tplc="96222B6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1B22731"/>
    <w:multiLevelType w:val="hybridMultilevel"/>
    <w:tmpl w:val="F8B8695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38C50AE"/>
    <w:multiLevelType w:val="hybridMultilevel"/>
    <w:tmpl w:val="D2B6176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BBA07E9"/>
    <w:multiLevelType w:val="hybridMultilevel"/>
    <w:tmpl w:val="58926F5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4D579F"/>
    <w:multiLevelType w:val="hybridMultilevel"/>
    <w:tmpl w:val="6DF256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9836B7"/>
    <w:multiLevelType w:val="hybridMultilevel"/>
    <w:tmpl w:val="AE76606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51C81A49"/>
    <w:multiLevelType w:val="hybridMultilevel"/>
    <w:tmpl w:val="B82622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891694"/>
    <w:multiLevelType w:val="hybridMultilevel"/>
    <w:tmpl w:val="BECC09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C76F3C"/>
    <w:multiLevelType w:val="hybridMultilevel"/>
    <w:tmpl w:val="316A2E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B7975C1"/>
    <w:multiLevelType w:val="hybridMultilevel"/>
    <w:tmpl w:val="98124E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15D33"/>
    <w:multiLevelType w:val="hybridMultilevel"/>
    <w:tmpl w:val="2A26532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3B1DA6"/>
    <w:multiLevelType w:val="hybridMultilevel"/>
    <w:tmpl w:val="2A7EA9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32059D4"/>
    <w:multiLevelType w:val="hybridMultilevel"/>
    <w:tmpl w:val="DA349F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7C58196D"/>
    <w:multiLevelType w:val="hybridMultilevel"/>
    <w:tmpl w:val="6682E6E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8" w15:restartNumberingAfterBreak="0">
    <w:nsid w:val="7DF44EE3"/>
    <w:multiLevelType w:val="hybridMultilevel"/>
    <w:tmpl w:val="ABB0EEA8"/>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16cid:durableId="66847012">
    <w:abstractNumId w:val="10"/>
  </w:num>
  <w:num w:numId="2" w16cid:durableId="2026443369">
    <w:abstractNumId w:val="2"/>
  </w:num>
  <w:num w:numId="3" w16cid:durableId="1901747166">
    <w:abstractNumId w:val="4"/>
  </w:num>
  <w:num w:numId="4" w16cid:durableId="781999009">
    <w:abstractNumId w:val="11"/>
  </w:num>
  <w:num w:numId="5" w16cid:durableId="1712612008">
    <w:abstractNumId w:val="14"/>
  </w:num>
  <w:num w:numId="6" w16cid:durableId="444736378">
    <w:abstractNumId w:val="0"/>
  </w:num>
  <w:num w:numId="7" w16cid:durableId="1013072110">
    <w:abstractNumId w:val="15"/>
  </w:num>
  <w:num w:numId="8" w16cid:durableId="555509981">
    <w:abstractNumId w:val="13"/>
  </w:num>
  <w:num w:numId="9" w16cid:durableId="715737650">
    <w:abstractNumId w:val="7"/>
  </w:num>
  <w:num w:numId="10" w16cid:durableId="498811860">
    <w:abstractNumId w:val="12"/>
  </w:num>
  <w:num w:numId="11" w16cid:durableId="1603033939">
    <w:abstractNumId w:val="16"/>
  </w:num>
  <w:num w:numId="12" w16cid:durableId="1331131252">
    <w:abstractNumId w:val="3"/>
  </w:num>
  <w:num w:numId="13" w16cid:durableId="57092498">
    <w:abstractNumId w:val="6"/>
  </w:num>
  <w:num w:numId="14" w16cid:durableId="87893053">
    <w:abstractNumId w:val="9"/>
  </w:num>
  <w:num w:numId="15" w16cid:durableId="37628878">
    <w:abstractNumId w:val="18"/>
  </w:num>
  <w:num w:numId="16" w16cid:durableId="870534924">
    <w:abstractNumId w:val="1"/>
  </w:num>
  <w:num w:numId="17" w16cid:durableId="1198928633">
    <w:abstractNumId w:val="8"/>
  </w:num>
  <w:num w:numId="18" w16cid:durableId="751239583">
    <w:abstractNumId w:val="5"/>
  </w:num>
  <w:num w:numId="19" w16cid:durableId="176517745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C7"/>
    <w:rsid w:val="0003256C"/>
    <w:rsid w:val="000915E0"/>
    <w:rsid w:val="000A3B30"/>
    <w:rsid w:val="000C35C3"/>
    <w:rsid w:val="001524D1"/>
    <w:rsid w:val="00190D22"/>
    <w:rsid w:val="001E3E66"/>
    <w:rsid w:val="002721BC"/>
    <w:rsid w:val="00290F7A"/>
    <w:rsid w:val="002C2E77"/>
    <w:rsid w:val="002F6862"/>
    <w:rsid w:val="003148CD"/>
    <w:rsid w:val="00314E03"/>
    <w:rsid w:val="00335520"/>
    <w:rsid w:val="00342BD7"/>
    <w:rsid w:val="0034540B"/>
    <w:rsid w:val="00375EAD"/>
    <w:rsid w:val="003C266F"/>
    <w:rsid w:val="003C7C0F"/>
    <w:rsid w:val="00442D21"/>
    <w:rsid w:val="004B7419"/>
    <w:rsid w:val="00565E9E"/>
    <w:rsid w:val="00570928"/>
    <w:rsid w:val="005D6A75"/>
    <w:rsid w:val="005E7E4A"/>
    <w:rsid w:val="00644345"/>
    <w:rsid w:val="00733909"/>
    <w:rsid w:val="00750D6D"/>
    <w:rsid w:val="007536D5"/>
    <w:rsid w:val="00762C18"/>
    <w:rsid w:val="007906A7"/>
    <w:rsid w:val="007C5248"/>
    <w:rsid w:val="007E3286"/>
    <w:rsid w:val="008161B1"/>
    <w:rsid w:val="00820AD2"/>
    <w:rsid w:val="0082319B"/>
    <w:rsid w:val="00846C54"/>
    <w:rsid w:val="008C070A"/>
    <w:rsid w:val="008E3773"/>
    <w:rsid w:val="00903A77"/>
    <w:rsid w:val="009062C7"/>
    <w:rsid w:val="00917B29"/>
    <w:rsid w:val="00920588"/>
    <w:rsid w:val="00931D27"/>
    <w:rsid w:val="00932E96"/>
    <w:rsid w:val="00955FF3"/>
    <w:rsid w:val="009569AC"/>
    <w:rsid w:val="00995240"/>
    <w:rsid w:val="009B259F"/>
    <w:rsid w:val="009B5132"/>
    <w:rsid w:val="009E64E4"/>
    <w:rsid w:val="009F63B3"/>
    <w:rsid w:val="00A034A8"/>
    <w:rsid w:val="00A06835"/>
    <w:rsid w:val="00A17ED7"/>
    <w:rsid w:val="00A31524"/>
    <w:rsid w:val="00A56387"/>
    <w:rsid w:val="00A56CF5"/>
    <w:rsid w:val="00A63C08"/>
    <w:rsid w:val="00A67657"/>
    <w:rsid w:val="00AB28E9"/>
    <w:rsid w:val="00AB4F06"/>
    <w:rsid w:val="00AD0537"/>
    <w:rsid w:val="00AD1CF5"/>
    <w:rsid w:val="00AF1EFA"/>
    <w:rsid w:val="00B03C44"/>
    <w:rsid w:val="00B429AB"/>
    <w:rsid w:val="00B449F2"/>
    <w:rsid w:val="00B70684"/>
    <w:rsid w:val="00B920AB"/>
    <w:rsid w:val="00BB1C87"/>
    <w:rsid w:val="00C12317"/>
    <w:rsid w:val="00C3046F"/>
    <w:rsid w:val="00C33C81"/>
    <w:rsid w:val="00C40911"/>
    <w:rsid w:val="00C4611D"/>
    <w:rsid w:val="00C57FA2"/>
    <w:rsid w:val="00D26FCC"/>
    <w:rsid w:val="00D60041"/>
    <w:rsid w:val="00DB570C"/>
    <w:rsid w:val="00E46D48"/>
    <w:rsid w:val="00EB3859"/>
    <w:rsid w:val="00ED0520"/>
    <w:rsid w:val="00EF506B"/>
    <w:rsid w:val="00F12347"/>
    <w:rsid w:val="00F2196D"/>
    <w:rsid w:val="00F37CDC"/>
    <w:rsid w:val="00F46DD5"/>
    <w:rsid w:val="00F569D0"/>
    <w:rsid w:val="00FD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64BF45E2"/>
  <w15:chartTrackingRefBased/>
  <w15:docId w15:val="{0CE1F80F-BE0B-429E-880D-9EA49982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0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67657"/>
    <w:rPr>
      <w:color w:val="0000FF"/>
      <w:u w:val="single"/>
    </w:rPr>
  </w:style>
  <w:style w:type="paragraph" w:styleId="Header">
    <w:name w:val="header"/>
    <w:basedOn w:val="Normal"/>
    <w:rsid w:val="00C4611D"/>
    <w:pPr>
      <w:tabs>
        <w:tab w:val="center" w:pos="4320"/>
        <w:tab w:val="right" w:pos="8640"/>
      </w:tabs>
    </w:pPr>
  </w:style>
  <w:style w:type="paragraph" w:styleId="Footer">
    <w:name w:val="footer"/>
    <w:basedOn w:val="Normal"/>
    <w:rsid w:val="00C4611D"/>
    <w:pPr>
      <w:tabs>
        <w:tab w:val="center" w:pos="4320"/>
        <w:tab w:val="right" w:pos="8640"/>
      </w:tabs>
    </w:pPr>
  </w:style>
  <w:style w:type="character" w:styleId="PageNumber">
    <w:name w:val="page number"/>
    <w:basedOn w:val="DefaultParagraphFont"/>
    <w:rsid w:val="00C4611D"/>
  </w:style>
  <w:style w:type="paragraph" w:styleId="BodyText">
    <w:name w:val="Body Text"/>
    <w:basedOn w:val="Normal"/>
    <w:rsid w:val="00A0683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49671">
      <w:bodyDiv w:val="1"/>
      <w:marLeft w:val="0"/>
      <w:marRight w:val="0"/>
      <w:marTop w:val="0"/>
      <w:marBottom w:val="0"/>
      <w:divBdr>
        <w:top w:val="none" w:sz="0" w:space="0" w:color="auto"/>
        <w:left w:val="none" w:sz="0" w:space="0" w:color="auto"/>
        <w:bottom w:val="none" w:sz="0" w:space="0" w:color="auto"/>
        <w:right w:val="none" w:sz="0" w:space="0" w:color="auto"/>
      </w:divBdr>
    </w:div>
    <w:div w:id="1075082450">
      <w:bodyDiv w:val="1"/>
      <w:marLeft w:val="0"/>
      <w:marRight w:val="0"/>
      <w:marTop w:val="0"/>
      <w:marBottom w:val="0"/>
      <w:divBdr>
        <w:top w:val="none" w:sz="0" w:space="0" w:color="auto"/>
        <w:left w:val="none" w:sz="0" w:space="0" w:color="auto"/>
        <w:bottom w:val="none" w:sz="0" w:space="0" w:color="auto"/>
        <w:right w:val="none" w:sz="0" w:space="0" w:color="auto"/>
      </w:divBdr>
    </w:div>
    <w:div w:id="1316834766">
      <w:bodyDiv w:val="1"/>
      <w:marLeft w:val="0"/>
      <w:marRight w:val="0"/>
      <w:marTop w:val="0"/>
      <w:marBottom w:val="0"/>
      <w:divBdr>
        <w:top w:val="none" w:sz="0" w:space="0" w:color="auto"/>
        <w:left w:val="none" w:sz="0" w:space="0" w:color="auto"/>
        <w:bottom w:val="none" w:sz="0" w:space="0" w:color="auto"/>
        <w:right w:val="none" w:sz="0" w:space="0" w:color="auto"/>
      </w:divBdr>
      <w:divsChild>
        <w:div w:id="37903970">
          <w:marLeft w:val="0"/>
          <w:marRight w:val="0"/>
          <w:marTop w:val="0"/>
          <w:marBottom w:val="0"/>
          <w:divBdr>
            <w:top w:val="none" w:sz="0" w:space="0" w:color="auto"/>
            <w:left w:val="none" w:sz="0" w:space="0" w:color="auto"/>
            <w:bottom w:val="none" w:sz="0" w:space="0" w:color="auto"/>
            <w:right w:val="none" w:sz="0" w:space="0" w:color="auto"/>
          </w:divBdr>
        </w:div>
        <w:div w:id="55664796">
          <w:marLeft w:val="0"/>
          <w:marRight w:val="0"/>
          <w:marTop w:val="0"/>
          <w:marBottom w:val="0"/>
          <w:divBdr>
            <w:top w:val="none" w:sz="0" w:space="0" w:color="auto"/>
            <w:left w:val="none" w:sz="0" w:space="0" w:color="auto"/>
            <w:bottom w:val="none" w:sz="0" w:space="0" w:color="auto"/>
            <w:right w:val="none" w:sz="0" w:space="0" w:color="auto"/>
          </w:divBdr>
        </w:div>
        <w:div w:id="207230145">
          <w:marLeft w:val="0"/>
          <w:marRight w:val="0"/>
          <w:marTop w:val="0"/>
          <w:marBottom w:val="0"/>
          <w:divBdr>
            <w:top w:val="none" w:sz="0" w:space="0" w:color="auto"/>
            <w:left w:val="none" w:sz="0" w:space="0" w:color="auto"/>
            <w:bottom w:val="none" w:sz="0" w:space="0" w:color="auto"/>
            <w:right w:val="none" w:sz="0" w:space="0" w:color="auto"/>
          </w:divBdr>
        </w:div>
        <w:div w:id="408574799">
          <w:marLeft w:val="0"/>
          <w:marRight w:val="0"/>
          <w:marTop w:val="0"/>
          <w:marBottom w:val="0"/>
          <w:divBdr>
            <w:top w:val="none" w:sz="0" w:space="0" w:color="auto"/>
            <w:left w:val="none" w:sz="0" w:space="0" w:color="auto"/>
            <w:bottom w:val="none" w:sz="0" w:space="0" w:color="auto"/>
            <w:right w:val="none" w:sz="0" w:space="0" w:color="auto"/>
          </w:divBdr>
        </w:div>
        <w:div w:id="544299198">
          <w:marLeft w:val="0"/>
          <w:marRight w:val="0"/>
          <w:marTop w:val="0"/>
          <w:marBottom w:val="0"/>
          <w:divBdr>
            <w:top w:val="none" w:sz="0" w:space="0" w:color="auto"/>
            <w:left w:val="none" w:sz="0" w:space="0" w:color="auto"/>
            <w:bottom w:val="none" w:sz="0" w:space="0" w:color="auto"/>
            <w:right w:val="none" w:sz="0" w:space="0" w:color="auto"/>
          </w:divBdr>
        </w:div>
        <w:div w:id="1168442795">
          <w:marLeft w:val="0"/>
          <w:marRight w:val="0"/>
          <w:marTop w:val="0"/>
          <w:marBottom w:val="0"/>
          <w:divBdr>
            <w:top w:val="none" w:sz="0" w:space="0" w:color="auto"/>
            <w:left w:val="none" w:sz="0" w:space="0" w:color="auto"/>
            <w:bottom w:val="none" w:sz="0" w:space="0" w:color="auto"/>
            <w:right w:val="none" w:sz="0" w:space="0" w:color="auto"/>
          </w:divBdr>
        </w:div>
        <w:div w:id="1824151709">
          <w:marLeft w:val="0"/>
          <w:marRight w:val="0"/>
          <w:marTop w:val="0"/>
          <w:marBottom w:val="0"/>
          <w:divBdr>
            <w:top w:val="none" w:sz="0" w:space="0" w:color="auto"/>
            <w:left w:val="none" w:sz="0" w:space="0" w:color="auto"/>
            <w:bottom w:val="none" w:sz="0" w:space="0" w:color="auto"/>
            <w:right w:val="none" w:sz="0" w:space="0" w:color="auto"/>
          </w:divBdr>
        </w:div>
        <w:div w:id="2017345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cceleration@cais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7579;#payment acceleration stakeholder comments template|1af2c9b8-86a6-40b6-954c-f4e5a089329f;#2628;#Comments on stakeholder meeting 16-Oct-2008|cd3da695-fbeb-48bb-b4fd-a7801f4fc89e;#3;#Archived|0019c6e1-8c5e-460c-a653-a944372c5015;#7;#Stakeholder processes|71659ab1-dac7-419e-9529-abc47c232b66]]></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F926B-E4DB-45E3-A723-07A791E89D9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64343207-826B-42F3-B608-AA4B104BE094}"/>
</file>

<file path=customXml/itemProps3.xml><?xml version="1.0" encoding="utf-8"?>
<ds:datastoreItem xmlns:ds="http://schemas.openxmlformats.org/officeDocument/2006/customXml" ds:itemID="{E375AA64-CA3B-4449-A64F-0AD10968A3AA}"/>
</file>

<file path=customXml/itemProps4.xml><?xml version="1.0" encoding="utf-8"?>
<ds:datastoreItem xmlns:ds="http://schemas.openxmlformats.org/officeDocument/2006/customXml" ds:itemID="{DB2CFD1C-9A75-4585-A909-E8C70AFC9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CRR Stakeholder </vt:lpstr>
    </vt:vector>
  </TitlesOfParts>
  <Company>California ISO</Company>
  <LinksUpToDate>false</LinksUpToDate>
  <CharactersWithSpaces>4098</CharactersWithSpaces>
  <SharedDoc>false</SharedDoc>
  <HLinks>
    <vt:vector size="6" baseType="variant">
      <vt:variant>
        <vt:i4>8126558</vt:i4>
      </vt:variant>
      <vt:variant>
        <vt:i4>0</vt:i4>
      </vt:variant>
      <vt:variant>
        <vt:i4>0</vt:i4>
      </vt:variant>
      <vt:variant>
        <vt:i4>5</vt:i4>
      </vt:variant>
      <vt:variant>
        <vt:lpwstr>mailto:pacceleration@caiso.com</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Acceleration Stakeholder Comments Template</dc:title>
  <dc:subject/>
  <dc:creator>James Blatchford</dc:creator>
  <cp:keywords/>
  <dc:description/>
  <cp:lastModifiedBy>Pearson, Hannah</cp:lastModifiedBy>
  <cp:revision>2</cp:revision>
  <cp:lastPrinted>2008-09-18T20:53:00Z</cp:lastPrinted>
  <dcterms:created xsi:type="dcterms:W3CDTF">2025-08-14T18:17:00Z</dcterms:created>
  <dcterms:modified xsi:type="dcterms:W3CDTF">2025-08-14T18:17:00Z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2008-10-17T15:37:03Z</vt:lpwstr>
  </property>
  <property fmtid="{D5CDD505-2E9C-101B-9397-08002B2CF9AE}" pid="3" name="ISOKeywords">
    <vt:lpwstr>7579;#payment acceleration stakeholder comments template|1af2c9b8-86a6-40b6-954c-f4e5a089329f</vt:lpwstr>
  </property>
  <property fmtid="{D5CDD505-2E9C-101B-9397-08002B2CF9AE}" pid="4" name="ISOGroup">
    <vt:lpwstr>2628;#Comments on stakeholder meeting 16-Oct-2008|cd3da695-fbeb-48bb-b4fd-a7801f4fc89e</vt:lpwstr>
  </property>
  <property fmtid="{D5CDD505-2E9C-101B-9397-08002B2CF9AE}" pid="5" name="ISOTopic">
    <vt:lpwstr>7;#Stakeholder processes|71659ab1-dac7-419e-9529-abc47c232b66</vt:lpwstr>
  </property>
  <property fmtid="{D5CDD505-2E9C-101B-9397-08002B2CF9AE}" pid="6" name="Order">
    <vt:lpwstr>25980300.0000000</vt:lpwstr>
  </property>
  <property fmtid="{D5CDD505-2E9C-101B-9397-08002B2CF9AE}" pid="7" name="ISOArchive">
    <vt:lpwstr>3;#Archived|0019c6e1-8c5e-460c-a653-a944372c5015</vt:lpwstr>
  </property>
  <property fmtid="{D5CDD505-2E9C-101B-9397-08002B2CF9AE}" pid="8" name="OriginalUriCopy">
    <vt:lpwstr>http://www.caiso.com/2063/2063db9f59840.doc, http://www.caiso.com/2063/2063db9f59840.doc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http://www.caiso.com/2063/2063db9f59840.doc, /2063/2063db9f59840.doc</vt:lpwstr>
  </property>
  <property fmtid="{D5CDD505-2E9C-101B-9397-08002B2CF9AE}" pid="12" name="ContentTypeId">
    <vt:lpwstr>0x010100776092249CC62C48AA17033F357BFB4B</vt:lpwstr>
  </property>
</Properties>
</file>