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14:paraId="0FA62392" w14:textId="7777777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2463D5D" w14:textId="77777777" w:rsidR="002A7698" w:rsidRDefault="002A7698" w:rsidP="004906EC">
            <w:p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 w:rsidRP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Performance </w:t>
            </w:r>
            <w:r w:rsidR="003D63B5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Evaluation Methodology </w:t>
            </w:r>
            <w:r w:rsidRP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Approval Request Attachment: </w:t>
            </w:r>
          </w:p>
          <w:p w14:paraId="0BAD091B" w14:textId="77777777" w:rsidR="006E6B6B" w:rsidRDefault="007474BF" w:rsidP="004203DB">
            <w:p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Proxy Demand Resource </w:t>
            </w:r>
            <w:r w:rsidR="009118BD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Load Shift Resource</w:t>
            </w:r>
            <w:r w:rsid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with </w:t>
            </w:r>
            <w:r w:rsidR="002357D1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Customer Load Baseline </w:t>
            </w:r>
          </w:p>
          <w:p w14:paraId="08430F14" w14:textId="77777777" w:rsidR="00DE52C7" w:rsidRPr="008938CE" w:rsidRDefault="00DE52C7" w:rsidP="009118BD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6E6B6B" w:rsidRPr="007526F7" w:rsidDel="00860A9B" w14:paraId="29ED763A" w14:textId="77777777" w:rsidTr="00DE52C7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3AF5F71" w14:textId="3F77985C" w:rsidR="006E6B6B" w:rsidRPr="004203DB" w:rsidRDefault="006E6B6B" w:rsidP="00F858BF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r w:rsidRPr="004203DB">
              <w:rPr>
                <w:rFonts w:ascii="Calibri" w:hAnsi="Calibri"/>
                <w:b/>
                <w:sz w:val="24"/>
                <w:szCs w:val="24"/>
              </w:rPr>
              <w:t>PDR-LSR with CLB Baseline Methodology being utilized where the facility/residential load is offering load curtailment, and th</w:t>
            </w:r>
            <w:r w:rsidR="00F858BF">
              <w:rPr>
                <w:rFonts w:ascii="Calibri" w:hAnsi="Calibri"/>
                <w:b/>
                <w:sz w:val="24"/>
                <w:szCs w:val="24"/>
              </w:rPr>
              <w:t>e</w:t>
            </w:r>
            <w:r w:rsidRPr="004203D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F858BF">
              <w:rPr>
                <w:rFonts w:ascii="Calibri" w:hAnsi="Calibri"/>
                <w:b/>
                <w:sz w:val="24"/>
                <w:szCs w:val="24"/>
              </w:rPr>
              <w:t xml:space="preserve">behind-the-meter </w:t>
            </w:r>
            <w:r w:rsidRPr="004203DB">
              <w:rPr>
                <w:rFonts w:ascii="Calibri" w:hAnsi="Calibri"/>
                <w:b/>
                <w:sz w:val="24"/>
                <w:szCs w:val="24"/>
              </w:rPr>
              <w:t>energy storage (ES) device is providing both load curtailment and load consumption.</w:t>
            </w:r>
          </w:p>
        </w:tc>
      </w:tr>
      <w:tr w:rsidR="00794B31" w:rsidRPr="007526F7" w14:paraId="21F20B9D" w14:textId="77777777" w:rsidTr="00260FF5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2E9A9F1" w14:textId="060B4B44" w:rsidR="00A87D47" w:rsidRDefault="00A87D47" w:rsidP="00A87D47">
            <w:pPr>
              <w:pStyle w:val="ListParagraph"/>
              <w:numPr>
                <w:ilvl w:val="0"/>
                <w:numId w:val="8"/>
              </w:num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Have you submitted a Settlement Quality Meter Data (SQMD) plan template?  If no, please complete and submit a SQMD template along with this form</w:t>
            </w:r>
            <w:r w:rsidR="00C45BE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the approval of the Baseline Methodology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.  SQMD plan template is for the approval of the behind-the-meter energy storage device.  </w:t>
            </w:r>
          </w:p>
          <w:p w14:paraId="39295C64" w14:textId="77777777" w:rsidR="00A87D47" w:rsidRDefault="00A87D47" w:rsidP="00A87D47">
            <w:pPr>
              <w:pStyle w:val="ListParagraph"/>
              <w:shd w:val="clear" w:color="auto" w:fill="0070C0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02CA3A01" w14:textId="77777777" w:rsidR="00A87D47" w:rsidRDefault="00A87D47" w:rsidP="00A87D47">
            <w:pPr>
              <w:pStyle w:val="ListParagraph"/>
              <w:shd w:val="clear" w:color="auto" w:fill="0070C0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Submit the SQMD Plan Template to: </w:t>
            </w:r>
            <w:hyperlink r:id="rId8" w:history="1">
              <w:r w:rsidRPr="004F50B4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NRI@caiso.com</w:t>
              </w:r>
            </w:hyperlink>
            <w:r>
              <w:rPr>
                <w:rStyle w:val="Hyperlink"/>
                <w:rFonts w:ascii="Calibri" w:hAnsi="Calibri"/>
                <w:b/>
                <w:sz w:val="20"/>
                <w:szCs w:val="20"/>
              </w:rPr>
              <w:t>;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CC: </w:t>
            </w:r>
            <w:hyperlink r:id="rId9" w:history="1">
              <w:r w:rsidRPr="007A31E2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PDR@CAISO.com</w:t>
              </w:r>
            </w:hyperlink>
          </w:p>
          <w:p w14:paraId="44135352" w14:textId="77777777" w:rsidR="00860A9B" w:rsidRPr="00434C12" w:rsidRDefault="00860A9B" w:rsidP="00860A9B">
            <w:p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34705139" w14:textId="77777777" w:rsidR="00860A9B" w:rsidRPr="00434C12" w:rsidRDefault="00860A9B" w:rsidP="00860A9B">
            <w:p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34C1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The template is located at:  </w:t>
            </w:r>
          </w:p>
          <w:p w14:paraId="53E8C8C7" w14:textId="3FD8D514" w:rsidR="00860A9B" w:rsidRDefault="00860A9B" w:rsidP="00860A9B">
            <w:pPr>
              <w:pStyle w:val="Default"/>
              <w:shd w:val="clear" w:color="auto" w:fill="0070C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434C12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http://www.caiso.com/Documents/SQMDPlanTemplate.docx </w:t>
            </w:r>
          </w:p>
          <w:p w14:paraId="7B780D8B" w14:textId="77777777" w:rsidR="004906EC" w:rsidRDefault="004906EC" w:rsidP="0061743A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7E7C264F" w14:textId="4396639B" w:rsidR="0061743A" w:rsidRPr="006404ED" w:rsidRDefault="0061743A" w:rsidP="0061743A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SQMD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Plan </w:t>
            </w: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Submission process:</w:t>
            </w:r>
          </w:p>
          <w:p w14:paraId="7BD6A93E" w14:textId="77777777" w:rsidR="0061743A" w:rsidRPr="006404ED" w:rsidRDefault="0061743A" w:rsidP="0061743A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http://www.caiso.com/Documents/5750.pdf</w:t>
            </w:r>
          </w:p>
          <w:p w14:paraId="7527BC29" w14:textId="77777777" w:rsidR="0061743A" w:rsidRDefault="0061743A" w:rsidP="0061743A">
            <w:pPr>
              <w:pStyle w:val="Default"/>
              <w:shd w:val="clear" w:color="auto" w:fill="0070C0"/>
              <w:rPr>
                <w:rFonts w:ascii="Calibri" w:eastAsiaTheme="minorHAnsi" w:hAnsi="Calibri" w:cstheme="minorBidi"/>
                <w:b/>
                <w:color w:val="FFFFFF" w:themeColor="background1"/>
                <w:sz w:val="30"/>
                <w:szCs w:val="30"/>
              </w:rPr>
            </w:pPr>
          </w:p>
          <w:p w14:paraId="246B68AA" w14:textId="77777777" w:rsidR="00860A9B" w:rsidRPr="00434C12" w:rsidRDefault="00860A9B" w:rsidP="00860A9B">
            <w:p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479B0A97" w14:textId="77777777" w:rsidR="006F154A" w:rsidRPr="00260FF5" w:rsidRDefault="006F154A" w:rsidP="00520213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30F62" w:rsidRPr="007526F7" w14:paraId="68342F8F" w14:textId="77777777" w:rsidTr="00A30F62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47D2" w14:textId="77777777" w:rsidR="00A30F62" w:rsidRPr="00260FF5" w:rsidRDefault="00A30F62" w:rsidP="00A30F62">
            <w:pPr>
              <w:pStyle w:val="ListParagraph"/>
              <w:tabs>
                <w:tab w:val="center" w:pos="5562"/>
                <w:tab w:val="right" w:pos="11124"/>
              </w:tabs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D4520" w:rsidRPr="007526F7" w14:paraId="5AEBA201" w14:textId="77777777" w:rsidTr="00617668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ED0C3B3" w14:textId="00345CF0" w:rsidR="00617668" w:rsidRPr="004906EC" w:rsidRDefault="00617668" w:rsidP="004906EC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906E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For the behind-the meter energy storage providing both load CURTAILMENT and CONSUMPTION,  describe the behind-the-meter energy storage (ES) device, its characteristics, and adherence to ISO metering requirements:  </w:t>
            </w:r>
          </w:p>
          <w:p w14:paraId="19F07EEC" w14:textId="77777777" w:rsidR="00617668" w:rsidRDefault="00617668" w:rsidP="00617668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4203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how the LSR-Curtailment will be calculated and process to ensure the meter data used will consist only of the energy output up to that which is serving facility load.  </w:t>
            </w:r>
          </w:p>
          <w:p w14:paraId="7526572F" w14:textId="1AB13A7E" w:rsidR="00FD4520" w:rsidRPr="004906EC" w:rsidRDefault="00617668" w:rsidP="004906EC">
            <w:pPr>
              <w:pStyle w:val="ListParagraph"/>
              <w:numPr>
                <w:ilvl w:val="0"/>
                <w:numId w:val="10"/>
              </w:num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how the LSR-Consumption will be calculated and process to ensure the meter data used consist only of the behind-the-meter storage Device.</w:t>
            </w:r>
          </w:p>
        </w:tc>
      </w:tr>
      <w:tr w:rsidR="00FD4520" w:rsidRPr="007526F7" w14:paraId="079B013A" w14:textId="77777777" w:rsidTr="00A30F62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C248" w14:textId="2400B231" w:rsidR="00FD4520" w:rsidRPr="004906EC" w:rsidRDefault="00FD4520" w:rsidP="004906EC">
            <w:p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04648" w:rsidRPr="00211F90" w14:paraId="788989E2" w14:textId="77777777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35116CD9" w14:textId="77777777" w:rsidR="00404648" w:rsidRPr="0075011D" w:rsidRDefault="00404648" w:rsidP="004906EC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Customer Load Baseline Methodology</w:t>
            </w:r>
            <w:r w:rsidRPr="0075011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Select the Customer Load Baseline that will be utilized to establish the performance of the resource associated with its load reduction</w:t>
            </w:r>
            <w:r w:rsidR="00E7124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, and consumption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independent and separately from offsetting BTM</w:t>
            </w:r>
            <w:r w:rsidR="00520213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or Energy Storage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generation.</w:t>
            </w:r>
          </w:p>
        </w:tc>
      </w:tr>
      <w:tr w:rsidR="00404648" w:rsidRPr="004A561A" w14:paraId="05646F30" w14:textId="77777777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14:paraId="4F7BA720" w14:textId="1F174D84" w:rsidR="00404648" w:rsidRPr="00260FF5" w:rsidRDefault="00404648" w:rsidP="00190EF5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60FF5">
              <w:rPr>
                <w:rFonts w:ascii="Segoe UI Symbol" w:eastAsiaTheme="minorHAnsi" w:hAnsi="Segoe UI Symbol" w:cs="Segoe UI Symbol"/>
                <w:b/>
                <w:color w:val="FFFFFF" w:themeColor="background1"/>
                <w:sz w:val="20"/>
                <w:szCs w:val="20"/>
              </w:rPr>
              <w:t>☐</w:t>
            </w:r>
            <w:r w:rsidRPr="00260FF5">
              <w:rPr>
                <w:rFonts w:ascii="Calibri" w:eastAsiaTheme="minorHAns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-170069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75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203D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540D7" w:rsidRPr="004203DB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="00721260" w:rsidRPr="004203DB">
              <w:rPr>
                <w:rFonts w:ascii="Calibri" w:hAnsi="Calibri"/>
                <w:b/>
                <w:sz w:val="20"/>
                <w:szCs w:val="20"/>
              </w:rPr>
              <w:t>Day Matching</w:t>
            </w:r>
            <w:r w:rsidR="00CA150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540D7" w:rsidRPr="00E7124B">
              <w:rPr>
                <w:rFonts w:ascii="Calibri" w:hAnsi="Calibri"/>
                <w:b/>
                <w:sz w:val="20"/>
                <w:szCs w:val="20"/>
              </w:rPr>
              <w:t xml:space="preserve">5 in </w:t>
            </w:r>
            <w:r w:rsidR="004540D7">
              <w:rPr>
                <w:rFonts w:ascii="Calibri" w:hAnsi="Calibri"/>
                <w:b/>
                <w:sz w:val="20"/>
                <w:szCs w:val="20"/>
              </w:rPr>
              <w:t>10 Performance Methodology</w:t>
            </w:r>
          </w:p>
          <w:p w14:paraId="55C75290" w14:textId="77777777" w:rsidR="005A114F" w:rsidRDefault="00404648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60FF5">
              <w:rPr>
                <w:rFonts w:ascii="Segoe UI Symbol" w:hAnsi="Segoe UI Symbol" w:cs="Segoe UI Symbol"/>
                <w:b/>
                <w:color w:val="FFFFFF" w:themeColor="background1"/>
                <w:sz w:val="20"/>
                <w:szCs w:val="20"/>
              </w:rPr>
              <w:t>☐</w:t>
            </w:r>
            <w:r w:rsidR="004540D7" w:rsidRPr="0075011D">
              <w:rPr>
                <w:rFonts w:ascii="Calibri" w:hAnsi="Calibri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-5664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14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540D7" w:rsidRPr="00260FF5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721260">
              <w:rPr>
                <w:rFonts w:ascii="Calibri" w:hAnsi="Calibri"/>
                <w:b/>
                <w:sz w:val="20"/>
                <w:szCs w:val="20"/>
              </w:rPr>
              <w:t xml:space="preserve">Day Matching </w:t>
            </w:r>
            <w:r w:rsidR="004540D7" w:rsidRPr="00260FF5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4540D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540D7" w:rsidRPr="004540D7">
              <w:rPr>
                <w:rFonts w:ascii="Calibri" w:hAnsi="Calibri"/>
                <w:b/>
                <w:sz w:val="20"/>
                <w:szCs w:val="20"/>
              </w:rPr>
              <w:t>in 10 Performance Methodology</w:t>
            </w:r>
            <w:r w:rsidRPr="00260FF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Base</w:t>
            </w:r>
          </w:p>
          <w:p w14:paraId="5AB73348" w14:textId="77777777" w:rsidR="00721260" w:rsidRDefault="00721260" w:rsidP="00721260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   </w:t>
            </w:r>
            <w:r w:rsidRPr="0075011D">
              <w:rPr>
                <w:rFonts w:ascii="Calibri" w:hAnsi="Calibri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-20582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60FF5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  <w:szCs w:val="20"/>
              </w:rPr>
              <w:t>Day Matching Combined Performance Methodology</w:t>
            </w:r>
          </w:p>
          <w:p w14:paraId="41372A3F" w14:textId="77777777" w:rsidR="00404648" w:rsidRDefault="00721260" w:rsidP="00721260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color w:val="FFFFFF" w:themeColor="background1"/>
                <w:sz w:val="20"/>
                <w:szCs w:val="20"/>
              </w:rPr>
              <w:t xml:space="preserve">   </w:t>
            </w:r>
            <w:r w:rsidRPr="0075011D">
              <w:rPr>
                <w:rFonts w:ascii="Calibri" w:hAnsi="Calibri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8520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60FF5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F50E47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t>Weather Matching Performance Methodology</w:t>
            </w:r>
          </w:p>
          <w:p w14:paraId="7C5C8B99" w14:textId="77777777" w:rsidR="0015265A" w:rsidRPr="004A561A" w:rsidRDefault="0015265A" w:rsidP="006D503B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1575B" w:rsidRPr="004A561A" w14:paraId="15C57811" w14:textId="77777777" w:rsidTr="004203DB">
        <w:trPr>
          <w:trHeight w:val="602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790A28A0" w14:textId="4832B8DA" w:rsidR="00E1575B" w:rsidRPr="00260FF5" w:rsidRDefault="00E1575B">
            <w:pPr>
              <w:spacing w:line="259" w:lineRule="auto"/>
              <w:rPr>
                <w:rFonts w:ascii="Segoe UI Symbol" w:hAnsi="Segoe UI Symbol" w:cs="Segoe UI Symbo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For sections </w:t>
            </w:r>
            <w:r w:rsidR="00802EAC">
              <w:rPr>
                <w:rFonts w:cstheme="minorHAnsi"/>
                <w:b/>
                <w:sz w:val="24"/>
                <w:szCs w:val="24"/>
              </w:rPr>
              <w:t>4</w:t>
            </w:r>
            <w:r w:rsidRPr="00403330">
              <w:rPr>
                <w:rFonts w:cstheme="minorHAnsi"/>
                <w:b/>
                <w:sz w:val="24"/>
                <w:szCs w:val="24"/>
              </w:rPr>
              <w:t>-</w:t>
            </w:r>
            <w:r w:rsidR="00802EAC">
              <w:rPr>
                <w:rFonts w:cstheme="minorHAnsi"/>
                <w:b/>
                <w:sz w:val="24"/>
                <w:szCs w:val="24"/>
              </w:rPr>
              <w:t>8</w:t>
            </w:r>
            <w:r w:rsidRPr="00403330">
              <w:rPr>
                <w:rFonts w:cstheme="minorHAnsi"/>
                <w:b/>
                <w:sz w:val="24"/>
                <w:szCs w:val="24"/>
              </w:rPr>
              <w:t xml:space="preserve">, if </w:t>
            </w:r>
            <w:r>
              <w:rPr>
                <w:rFonts w:cstheme="minorHAnsi"/>
                <w:b/>
                <w:sz w:val="24"/>
                <w:szCs w:val="24"/>
              </w:rPr>
              <w:t xml:space="preserve">more </w:t>
            </w:r>
            <w:r w:rsidRPr="00403330">
              <w:rPr>
                <w:rFonts w:cstheme="minorHAnsi"/>
                <w:b/>
                <w:sz w:val="24"/>
                <w:szCs w:val="24"/>
              </w:rPr>
              <w:t>than one (1) Baseline Methodology</w:t>
            </w:r>
            <w:r>
              <w:rPr>
                <w:rFonts w:cstheme="minorHAnsi"/>
                <w:b/>
                <w:sz w:val="24"/>
                <w:szCs w:val="24"/>
              </w:rPr>
              <w:t xml:space="preserve"> is selected</w:t>
            </w:r>
            <w:r w:rsidRPr="00403330">
              <w:rPr>
                <w:rFonts w:cstheme="minorHAnsi"/>
                <w:b/>
                <w:sz w:val="24"/>
                <w:szCs w:val="24"/>
              </w:rPr>
              <w:t xml:space="preserve"> in section </w:t>
            </w:r>
            <w:r w:rsidR="00802EAC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A95928">
              <w:rPr>
                <w:rFonts w:cstheme="minorHAnsi"/>
                <w:b/>
                <w:sz w:val="24"/>
                <w:szCs w:val="24"/>
              </w:rPr>
              <w:t>please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95928">
              <w:rPr>
                <w:rFonts w:cstheme="minorHAnsi"/>
                <w:b/>
                <w:sz w:val="24"/>
                <w:szCs w:val="24"/>
              </w:rPr>
              <w:t>identify the Baseline Methodology</w:t>
            </w:r>
            <w:r>
              <w:rPr>
                <w:rFonts w:cstheme="minorHAnsi"/>
                <w:b/>
                <w:sz w:val="24"/>
                <w:szCs w:val="24"/>
              </w:rPr>
              <w:t xml:space="preserve"> which you have selected, and provide descriptions to the response in each sections for each Baseline </w:t>
            </w:r>
            <w:r w:rsidR="004C1697">
              <w:rPr>
                <w:rFonts w:cstheme="minorHAnsi"/>
                <w:b/>
                <w:sz w:val="24"/>
                <w:szCs w:val="24"/>
              </w:rPr>
              <w:t>Methodology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E1575B" w:rsidRPr="00211F90" w14:paraId="1C22F98D" w14:textId="77777777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539BD40E" w14:textId="77777777" w:rsidR="00E1575B" w:rsidRPr="0075011D" w:rsidRDefault="00E1575B" w:rsidP="004906EC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For above selected Customer Load Baseline Methodology</w:t>
            </w:r>
            <w:r w:rsidRPr="0075011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: Describe how eligible baseline days are determined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  <w:r w:rsidRPr="0075011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1575B" w:rsidRPr="007526F7" w14:paraId="488B2D53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14:paraId="04CC4F3F" w14:textId="77777777" w:rsidR="00E1575B" w:rsidRPr="004A561A" w:rsidRDefault="00E1575B" w:rsidP="00E1575B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2D08E021" w14:textId="77777777" w:rsidR="00E1575B" w:rsidRPr="00260FF5" w:rsidRDefault="00E1575B" w:rsidP="00E1575B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260FF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260FF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60FF5">
              <w:rPr>
                <w:rFonts w:ascii="Calibri" w:hAnsi="Calibri"/>
                <w:sz w:val="18"/>
                <w:szCs w:val="18"/>
              </w:rPr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E1575B" w:rsidRPr="00211F90" w14:paraId="7F21C023" w14:textId="77777777" w:rsidTr="00CF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1E56B31A" w14:textId="77777777" w:rsidR="00E1575B" w:rsidRPr="00260FF5" w:rsidRDefault="00E1575B" w:rsidP="004906EC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For above selected Customer Load Baseline Methodology: Describe the baseline day selection criteria utilized.</w:t>
            </w:r>
          </w:p>
        </w:tc>
      </w:tr>
      <w:tr w:rsidR="00E1575B" w:rsidRPr="004A561A" w14:paraId="21A63628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14:paraId="4CD4FACC" w14:textId="77777777" w:rsidR="00E1575B" w:rsidRPr="00260FF5" w:rsidRDefault="00E1575B" w:rsidP="00E1575B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1575B" w:rsidRPr="007526F7" w14:paraId="27C9930A" w14:textId="77777777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  <w:vAlign w:val="center"/>
          </w:tcPr>
          <w:p w14:paraId="00787267" w14:textId="77777777" w:rsidR="00E1575B" w:rsidRPr="007526F7" w:rsidRDefault="00E1575B" w:rsidP="004906EC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For above selected Customer Load Baseline Methodology</w:t>
            </w:r>
            <w:r w:rsidRPr="008642B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: Describe how baseline adjustments will be applied, if any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1575B" w:rsidRPr="004A561A" w14:paraId="4A823436" w14:textId="77777777" w:rsidTr="004203DB">
        <w:trPr>
          <w:trHeight w:val="737"/>
        </w:trPr>
        <w:tc>
          <w:tcPr>
            <w:tcW w:w="5000" w:type="pct"/>
            <w:vAlign w:val="center"/>
          </w:tcPr>
          <w:p w14:paraId="7B1AB442" w14:textId="77777777" w:rsidR="00E1575B" w:rsidRPr="00260FF5" w:rsidRDefault="00E1575B" w:rsidP="00E1575B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260FF5">
              <w:rPr>
                <w:rFonts w:ascii="Calibri" w:hAnsi="Calibri"/>
                <w:sz w:val="18"/>
                <w:szCs w:val="18"/>
              </w:rPr>
              <w:lastRenderedPageBreak/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260FF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60FF5">
              <w:rPr>
                <w:rFonts w:ascii="Calibri" w:hAnsi="Calibri"/>
                <w:sz w:val="18"/>
                <w:szCs w:val="18"/>
              </w:rPr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E1575B" w:rsidRPr="004A561A" w14:paraId="797242EF" w14:textId="77777777" w:rsidTr="00FA1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5000" w:type="pct"/>
            <w:shd w:val="clear" w:color="auto" w:fill="0070C0"/>
            <w:vAlign w:val="center"/>
          </w:tcPr>
          <w:p w14:paraId="0019D0F7" w14:textId="79E3721A" w:rsidR="00E1575B" w:rsidRPr="00FA121C" w:rsidRDefault="00E1575B" w:rsidP="004906EC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The PDR-LSR where the facility /residential load is offering both load curtailment and consumption 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: Describe how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the facility/residential load Customer Load Baseline value is derived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and process to ensure the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eter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ata </w:t>
            </w:r>
            <w:r w:rsidR="008E368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including interval size recorded (5 minute, 15 minutes, hourly) 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used will consist only of the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nergy output up to that which is serving facility load.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  </w:t>
            </w:r>
          </w:p>
        </w:tc>
      </w:tr>
      <w:tr w:rsidR="00E1575B" w:rsidRPr="004A561A" w14:paraId="2AFE106F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vAlign w:val="center"/>
          </w:tcPr>
          <w:p w14:paraId="2F7EB54D" w14:textId="77777777" w:rsidR="00E1575B" w:rsidRPr="004A561A" w:rsidRDefault="00E1575B" w:rsidP="00E1575B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For Customer Load b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aseline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where the facility /residential load is offering load curtailment 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: Describe how the Generator Output Baseline will be calculated and process to ensure the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eter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ata used will consist only of the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</w:t>
            </w:r>
            <w:r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nergy output up to that which is serving facility load.</w:t>
            </w:r>
          </w:p>
        </w:tc>
      </w:tr>
      <w:tr w:rsidR="00E1575B" w:rsidRPr="007526F7" w14:paraId="69628A09" w14:textId="77777777" w:rsidTr="0092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62837D15" w14:textId="3DB7D287" w:rsidR="00E1575B" w:rsidRPr="004906EC" w:rsidRDefault="00E1575B" w:rsidP="004906EC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 w:rsidRPr="004906E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in detail the meter data processing and controls in place to assure compliance for each the performance methodology calculations.  </w:t>
            </w:r>
          </w:p>
        </w:tc>
      </w:tr>
      <w:tr w:rsidR="00E1575B" w:rsidRPr="007526F7" w14:paraId="472B60C8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04565B55" w14:textId="77777777" w:rsidR="00E1575B" w:rsidRDefault="00E1575B" w:rsidP="00E1575B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7FFA7A1B" w14:textId="77777777" w:rsidR="00E1575B" w:rsidRPr="004A561A" w:rsidRDefault="00E1575B" w:rsidP="00E1575B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61006C40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6845CECE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591BA2D4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144291BC" w14:textId="77777777" w:rsidR="009A7A38" w:rsidRPr="0044214D" w:rsidRDefault="009A7A38" w:rsidP="00D66EA3">
      <w:pPr>
        <w:spacing w:after="0" w:line="240" w:lineRule="auto"/>
        <w:rPr>
          <w:rFonts w:ascii="Calibri" w:eastAsia="Times New Roman" w:hAnsi="Calibri" w:cs="Times New Roman"/>
        </w:rPr>
      </w:pPr>
    </w:p>
    <w:sectPr w:rsidR="009A7A38" w:rsidRPr="0044214D" w:rsidSect="004B7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E9308" w14:textId="77777777" w:rsidR="00832CCE" w:rsidRDefault="00832CCE">
      <w:pPr>
        <w:spacing w:after="0" w:line="240" w:lineRule="auto"/>
      </w:pPr>
      <w:r>
        <w:separator/>
      </w:r>
    </w:p>
  </w:endnote>
  <w:endnote w:type="continuationSeparator" w:id="0">
    <w:p w14:paraId="240B8D73" w14:textId="77777777" w:rsidR="00832CCE" w:rsidRDefault="0083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EE9A" w14:textId="77777777" w:rsidR="00CC3510" w:rsidRDefault="00CC3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70B1" w14:textId="77777777" w:rsidR="00832CCE" w:rsidRDefault="00832CCE">
    <w:pPr>
      <w:pStyle w:val="Footer"/>
    </w:pPr>
    <w:r>
      <w:tab/>
      <w:t xml:space="preserve">                           © Copyright 2017 California ISO</w:t>
    </w:r>
    <w:r>
      <w:tab/>
    </w:r>
    <w:r>
      <w:tab/>
      <w:t>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C78EC" w14:textId="77777777" w:rsidR="00CC3510" w:rsidRDefault="00CC3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2F8EA" w14:textId="77777777" w:rsidR="00832CCE" w:rsidRDefault="00832CCE">
      <w:pPr>
        <w:spacing w:after="0" w:line="240" w:lineRule="auto"/>
      </w:pPr>
      <w:r>
        <w:separator/>
      </w:r>
    </w:p>
  </w:footnote>
  <w:footnote w:type="continuationSeparator" w:id="0">
    <w:p w14:paraId="5F83EED7" w14:textId="77777777" w:rsidR="00832CCE" w:rsidRDefault="0083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AA212" w14:textId="77777777" w:rsidR="00CC3510" w:rsidRDefault="00CC3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57386" w14:textId="77777777" w:rsidR="00832CCE" w:rsidRDefault="00832CCE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45EEF5F" wp14:editId="1911BFD8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515DB332" w14:textId="77777777" w:rsidR="00832CCE" w:rsidRPr="005424DC" w:rsidRDefault="00832CC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3A93" w14:textId="77777777" w:rsidR="00CC3510" w:rsidRDefault="00CC3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D7B7E"/>
    <w:multiLevelType w:val="hybridMultilevel"/>
    <w:tmpl w:val="7E8A0538"/>
    <w:lvl w:ilvl="0" w:tplc="4CBA131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586B"/>
    <w:multiLevelType w:val="hybridMultilevel"/>
    <w:tmpl w:val="701ECCEE"/>
    <w:lvl w:ilvl="0" w:tplc="F5289A14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C79FA"/>
    <w:multiLevelType w:val="hybridMultilevel"/>
    <w:tmpl w:val="A328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E5374"/>
    <w:multiLevelType w:val="hybridMultilevel"/>
    <w:tmpl w:val="8B6EA50E"/>
    <w:lvl w:ilvl="0" w:tplc="B666FB3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2E1F58"/>
    <w:multiLevelType w:val="hybridMultilevel"/>
    <w:tmpl w:val="BF5CE0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747DE"/>
    <w:multiLevelType w:val="hybridMultilevel"/>
    <w:tmpl w:val="B16E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05533"/>
    <w:rsid w:val="0000708E"/>
    <w:rsid w:val="00012802"/>
    <w:rsid w:val="00012AD4"/>
    <w:rsid w:val="00030F2B"/>
    <w:rsid w:val="00045531"/>
    <w:rsid w:val="000546F7"/>
    <w:rsid w:val="00057D35"/>
    <w:rsid w:val="000744B3"/>
    <w:rsid w:val="000D4C18"/>
    <w:rsid w:val="000D6768"/>
    <w:rsid w:val="000E30EE"/>
    <w:rsid w:val="000E4492"/>
    <w:rsid w:val="000F21A9"/>
    <w:rsid w:val="00114BCA"/>
    <w:rsid w:val="001239CD"/>
    <w:rsid w:val="00124751"/>
    <w:rsid w:val="00151379"/>
    <w:rsid w:val="0015265A"/>
    <w:rsid w:val="0015279A"/>
    <w:rsid w:val="00190EF5"/>
    <w:rsid w:val="001A23D1"/>
    <w:rsid w:val="001B658E"/>
    <w:rsid w:val="001B68FF"/>
    <w:rsid w:val="001E22DD"/>
    <w:rsid w:val="001E29DA"/>
    <w:rsid w:val="002255B4"/>
    <w:rsid w:val="002357D1"/>
    <w:rsid w:val="00251918"/>
    <w:rsid w:val="00260FF5"/>
    <w:rsid w:val="002674E7"/>
    <w:rsid w:val="00271B97"/>
    <w:rsid w:val="00276BB5"/>
    <w:rsid w:val="00286B11"/>
    <w:rsid w:val="00294626"/>
    <w:rsid w:val="002976A6"/>
    <w:rsid w:val="002A5000"/>
    <w:rsid w:val="002A7698"/>
    <w:rsid w:val="002C1170"/>
    <w:rsid w:val="002E2DAB"/>
    <w:rsid w:val="002E6652"/>
    <w:rsid w:val="002F5CBE"/>
    <w:rsid w:val="00300638"/>
    <w:rsid w:val="003009AA"/>
    <w:rsid w:val="00320622"/>
    <w:rsid w:val="00365746"/>
    <w:rsid w:val="00391630"/>
    <w:rsid w:val="003A1BBE"/>
    <w:rsid w:val="003A440B"/>
    <w:rsid w:val="003B1CBC"/>
    <w:rsid w:val="003D57B9"/>
    <w:rsid w:val="003D63B5"/>
    <w:rsid w:val="003D6E1E"/>
    <w:rsid w:val="00404648"/>
    <w:rsid w:val="004203DB"/>
    <w:rsid w:val="00420531"/>
    <w:rsid w:val="004259C9"/>
    <w:rsid w:val="0044214D"/>
    <w:rsid w:val="00444892"/>
    <w:rsid w:val="004540D7"/>
    <w:rsid w:val="00457C65"/>
    <w:rsid w:val="004817B4"/>
    <w:rsid w:val="00486187"/>
    <w:rsid w:val="00490027"/>
    <w:rsid w:val="004906EC"/>
    <w:rsid w:val="004A2C24"/>
    <w:rsid w:val="004A561A"/>
    <w:rsid w:val="004B5E38"/>
    <w:rsid w:val="004B7073"/>
    <w:rsid w:val="004B70C0"/>
    <w:rsid w:val="004C1697"/>
    <w:rsid w:val="004D194C"/>
    <w:rsid w:val="004D58E8"/>
    <w:rsid w:val="004F09DD"/>
    <w:rsid w:val="00502494"/>
    <w:rsid w:val="00520213"/>
    <w:rsid w:val="00536750"/>
    <w:rsid w:val="005424DC"/>
    <w:rsid w:val="00552116"/>
    <w:rsid w:val="00557CFB"/>
    <w:rsid w:val="005626B9"/>
    <w:rsid w:val="005642F7"/>
    <w:rsid w:val="00574A6E"/>
    <w:rsid w:val="005801BA"/>
    <w:rsid w:val="00596A72"/>
    <w:rsid w:val="005A114F"/>
    <w:rsid w:val="005A2A4D"/>
    <w:rsid w:val="005A5A36"/>
    <w:rsid w:val="005B013B"/>
    <w:rsid w:val="005D43B4"/>
    <w:rsid w:val="0061743A"/>
    <w:rsid w:val="00617668"/>
    <w:rsid w:val="00643F6F"/>
    <w:rsid w:val="006440B8"/>
    <w:rsid w:val="00645E91"/>
    <w:rsid w:val="00651829"/>
    <w:rsid w:val="006530D9"/>
    <w:rsid w:val="00683929"/>
    <w:rsid w:val="006860F3"/>
    <w:rsid w:val="006B1551"/>
    <w:rsid w:val="006B24B4"/>
    <w:rsid w:val="006C463E"/>
    <w:rsid w:val="006C4DE6"/>
    <w:rsid w:val="006C7B61"/>
    <w:rsid w:val="006D363A"/>
    <w:rsid w:val="006D503B"/>
    <w:rsid w:val="006E0641"/>
    <w:rsid w:val="006E6B6B"/>
    <w:rsid w:val="006F154A"/>
    <w:rsid w:val="006F278C"/>
    <w:rsid w:val="0071217B"/>
    <w:rsid w:val="00721260"/>
    <w:rsid w:val="00721275"/>
    <w:rsid w:val="007252D5"/>
    <w:rsid w:val="007377BE"/>
    <w:rsid w:val="007474BF"/>
    <w:rsid w:val="007526F7"/>
    <w:rsid w:val="00781751"/>
    <w:rsid w:val="00781ED5"/>
    <w:rsid w:val="00783E1C"/>
    <w:rsid w:val="00786AED"/>
    <w:rsid w:val="007941D3"/>
    <w:rsid w:val="00794B31"/>
    <w:rsid w:val="00796272"/>
    <w:rsid w:val="007B38AB"/>
    <w:rsid w:val="007C367E"/>
    <w:rsid w:val="007D7022"/>
    <w:rsid w:val="007E611A"/>
    <w:rsid w:val="007F089A"/>
    <w:rsid w:val="007F3236"/>
    <w:rsid w:val="00802EAC"/>
    <w:rsid w:val="0080621D"/>
    <w:rsid w:val="00823190"/>
    <w:rsid w:val="00825C15"/>
    <w:rsid w:val="00832CCE"/>
    <w:rsid w:val="00840647"/>
    <w:rsid w:val="00860A9B"/>
    <w:rsid w:val="00866713"/>
    <w:rsid w:val="00873081"/>
    <w:rsid w:val="00873914"/>
    <w:rsid w:val="00877E4F"/>
    <w:rsid w:val="008900A6"/>
    <w:rsid w:val="00890D13"/>
    <w:rsid w:val="008932F3"/>
    <w:rsid w:val="008938CE"/>
    <w:rsid w:val="008A5084"/>
    <w:rsid w:val="008B1A71"/>
    <w:rsid w:val="008C6B9C"/>
    <w:rsid w:val="008D44F8"/>
    <w:rsid w:val="008E166F"/>
    <w:rsid w:val="008E3682"/>
    <w:rsid w:val="008E6EC8"/>
    <w:rsid w:val="008F0455"/>
    <w:rsid w:val="008F67CE"/>
    <w:rsid w:val="009118BD"/>
    <w:rsid w:val="009220B8"/>
    <w:rsid w:val="009245B9"/>
    <w:rsid w:val="00926F58"/>
    <w:rsid w:val="00962AC2"/>
    <w:rsid w:val="009659B2"/>
    <w:rsid w:val="009866A0"/>
    <w:rsid w:val="00997714"/>
    <w:rsid w:val="009A1231"/>
    <w:rsid w:val="009A7A38"/>
    <w:rsid w:val="009B3B85"/>
    <w:rsid w:val="009B6436"/>
    <w:rsid w:val="009D5CBA"/>
    <w:rsid w:val="009F6CD2"/>
    <w:rsid w:val="009F7FD2"/>
    <w:rsid w:val="00A247C6"/>
    <w:rsid w:val="00A266D6"/>
    <w:rsid w:val="00A30F62"/>
    <w:rsid w:val="00A52FB7"/>
    <w:rsid w:val="00A61B09"/>
    <w:rsid w:val="00A72376"/>
    <w:rsid w:val="00A73109"/>
    <w:rsid w:val="00A817EA"/>
    <w:rsid w:val="00A87D47"/>
    <w:rsid w:val="00AB15F5"/>
    <w:rsid w:val="00AB6DF0"/>
    <w:rsid w:val="00AD422F"/>
    <w:rsid w:val="00AF0CCC"/>
    <w:rsid w:val="00AF2492"/>
    <w:rsid w:val="00B0675D"/>
    <w:rsid w:val="00B32670"/>
    <w:rsid w:val="00B33B28"/>
    <w:rsid w:val="00B448F3"/>
    <w:rsid w:val="00B55500"/>
    <w:rsid w:val="00B6087C"/>
    <w:rsid w:val="00B671DB"/>
    <w:rsid w:val="00B678C8"/>
    <w:rsid w:val="00B7549C"/>
    <w:rsid w:val="00B95C18"/>
    <w:rsid w:val="00BA47BD"/>
    <w:rsid w:val="00BA5729"/>
    <w:rsid w:val="00BB6437"/>
    <w:rsid w:val="00BB7227"/>
    <w:rsid w:val="00BD0B7E"/>
    <w:rsid w:val="00BD47DF"/>
    <w:rsid w:val="00BF0761"/>
    <w:rsid w:val="00C23351"/>
    <w:rsid w:val="00C45BE9"/>
    <w:rsid w:val="00C93118"/>
    <w:rsid w:val="00C9441A"/>
    <w:rsid w:val="00CA1509"/>
    <w:rsid w:val="00CB1180"/>
    <w:rsid w:val="00CB4045"/>
    <w:rsid w:val="00CC0B27"/>
    <w:rsid w:val="00CC3510"/>
    <w:rsid w:val="00CC63F1"/>
    <w:rsid w:val="00CC6CF1"/>
    <w:rsid w:val="00CD0790"/>
    <w:rsid w:val="00CD7775"/>
    <w:rsid w:val="00CE5A3B"/>
    <w:rsid w:val="00CF274D"/>
    <w:rsid w:val="00CF4267"/>
    <w:rsid w:val="00D21CD7"/>
    <w:rsid w:val="00D61AA0"/>
    <w:rsid w:val="00D6627C"/>
    <w:rsid w:val="00D66EA3"/>
    <w:rsid w:val="00D72940"/>
    <w:rsid w:val="00D81533"/>
    <w:rsid w:val="00DC1B32"/>
    <w:rsid w:val="00DE52C7"/>
    <w:rsid w:val="00E03EBA"/>
    <w:rsid w:val="00E03F0E"/>
    <w:rsid w:val="00E13605"/>
    <w:rsid w:val="00E1575B"/>
    <w:rsid w:val="00E21618"/>
    <w:rsid w:val="00E32A6C"/>
    <w:rsid w:val="00E443A6"/>
    <w:rsid w:val="00E61196"/>
    <w:rsid w:val="00E65505"/>
    <w:rsid w:val="00E7124B"/>
    <w:rsid w:val="00E77D56"/>
    <w:rsid w:val="00E838BC"/>
    <w:rsid w:val="00E908ED"/>
    <w:rsid w:val="00EA4BA5"/>
    <w:rsid w:val="00EC5726"/>
    <w:rsid w:val="00EE7F74"/>
    <w:rsid w:val="00F00CCA"/>
    <w:rsid w:val="00F05D50"/>
    <w:rsid w:val="00F07A16"/>
    <w:rsid w:val="00F20FB6"/>
    <w:rsid w:val="00F30B46"/>
    <w:rsid w:val="00F41DC7"/>
    <w:rsid w:val="00F50E47"/>
    <w:rsid w:val="00F53BDC"/>
    <w:rsid w:val="00F858BF"/>
    <w:rsid w:val="00FA121C"/>
    <w:rsid w:val="00FB1327"/>
    <w:rsid w:val="00FB42C7"/>
    <w:rsid w:val="00FC1E17"/>
    <w:rsid w:val="00FC34F6"/>
    <w:rsid w:val="00FD06EF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83C6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E7"/>
    <w:rPr>
      <w:b/>
      <w:bCs/>
      <w:sz w:val="20"/>
      <w:szCs w:val="20"/>
    </w:rPr>
  </w:style>
  <w:style w:type="paragraph" w:customStyle="1" w:styleId="Default">
    <w:name w:val="Default"/>
    <w:rsid w:val="00007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4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I@caiso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PDR@CAISO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</Value>
      <Value>799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2020-06-19T21:34:18+00:00</PostDate>
    <ExpireDate xmlns="2613f182-e424-487f-ac7f-33bed2fc986a">2022-06-19T21:34:18+00:00</ExpireDate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Webb, Melina</DisplayName>
        <AccountId>872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Load-Shift Resource with Customer Load Baseline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Energy storage and distributed energy resources phase 3 - implementation|36524df4-5380-4889-a9b5-91b480dcae19;Baseline methodology templates|31da8074-7e26-4320-839a-e29f02c57b7a</ParentISOGroups>
    <Orig_x0020_Post_x0020_Date xmlns="5bcbeff6-7c02-4b0f-b125-f1b3d566cc14">2020-06-19T20:50:52+00:00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37e4b4c1-3411-4fd9-95f2-002f961c2953</CrawlableUniqueID>
  </documentManagement>
</p:properties>
</file>

<file path=customXml/itemProps1.xml><?xml version="1.0" encoding="utf-8"?>
<ds:datastoreItem xmlns:ds="http://schemas.openxmlformats.org/officeDocument/2006/customXml" ds:itemID="{B579715C-6E45-4056-9524-3136332BF8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4741C-551E-47CD-83AE-56DC0A0C576A}"/>
</file>

<file path=customXml/itemProps3.xml><?xml version="1.0" encoding="utf-8"?>
<ds:datastoreItem xmlns:ds="http://schemas.openxmlformats.org/officeDocument/2006/customXml" ds:itemID="{6BCC9AFA-E849-4659-B50D-F8A6DF947EB4}"/>
</file>

<file path=customXml/itemProps4.xml><?xml version="1.0" encoding="utf-8"?>
<ds:datastoreItem xmlns:ds="http://schemas.openxmlformats.org/officeDocument/2006/customXml" ds:itemID="{3E87AA8D-96AE-45EB-9001-F10A2FEE13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Load-Shift Resource with Customer Load Baseline</dc:title>
  <dc:creator/>
  <cp:lastModifiedBy/>
  <cp:revision>1</cp:revision>
  <dcterms:created xsi:type="dcterms:W3CDTF">2020-06-19T20:38:00Z</dcterms:created>
  <dcterms:modified xsi:type="dcterms:W3CDTF">2020-06-19T20:38:00Z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Archive">
    <vt:lpwstr>1;#Not Archived|d4ac4999-fa66-470b-a400-7ab6671d1fab</vt:lpwstr>
  </property>
  <property fmtid="{D5CDD505-2E9C-101B-9397-08002B2CF9AE}" pid="4" name="ISOGroup">
    <vt:lpwstr/>
  </property>
  <property fmtid="{D5CDD505-2E9C-101B-9397-08002B2CF9AE}" pid="5" name="ISOTopic">
    <vt:lpwstr>799;#Participate|b6f01787-07a1-4425-b95e-c90118ef6dfe</vt:lpwstr>
  </property>
  <property fmtid="{D5CDD505-2E9C-101B-9397-08002B2CF9AE}" pid="6" name="ISOKeywords">
    <vt:lpwstr/>
  </property>
</Properties>
</file>