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7C4E" w14:textId="77777777" w:rsidR="00FC5FAD" w:rsidRPr="00FC5FAD" w:rsidRDefault="00FC5FAD" w:rsidP="00FC5FAD">
      <w:pPr>
        <w:pStyle w:val="Heading1"/>
        <w:rPr>
          <w:rFonts w:ascii="Arial" w:hAnsi="Arial" w:cs="Arial"/>
        </w:rPr>
      </w:pPr>
      <w:r w:rsidRPr="00FC5FAD">
        <w:rPr>
          <w:rFonts w:ascii="Arial" w:hAnsi="Arial" w:cs="Arial"/>
        </w:rPr>
        <w:t>Instructions</w:t>
      </w:r>
    </w:p>
    <w:p w14:paraId="0AEDC0D0" w14:textId="77777777" w:rsidR="00FC5FAD" w:rsidRDefault="00FC5FAD" w:rsidP="00FC5FAD">
      <w:pPr>
        <w:rPr>
          <w:rFonts w:ascii="Arial" w:hAnsi="Arial" w:cs="Arial"/>
        </w:rPr>
      </w:pPr>
      <w:r>
        <w:rPr>
          <w:rFonts w:ascii="Arial" w:hAnsi="Arial" w:cs="Arial"/>
        </w:rPr>
        <w:t>Please use this template to rank your top five discretionary market design initiatives.</w:t>
      </w:r>
    </w:p>
    <w:p w14:paraId="5E0AA46E" w14:textId="77777777" w:rsidR="00FC5FAD" w:rsidRDefault="00FC5FAD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5FAD">
        <w:rPr>
          <w:rFonts w:ascii="Arial" w:hAnsi="Arial" w:cs="Arial"/>
        </w:rPr>
        <w:t>Select</w:t>
      </w:r>
      <w:r w:rsidR="00E743AF">
        <w:rPr>
          <w:rFonts w:ascii="Arial" w:hAnsi="Arial" w:cs="Arial"/>
        </w:rPr>
        <w:t xml:space="preserve"> five market design initiatives</w:t>
      </w:r>
      <w:r w:rsidR="00E743AF">
        <w:rPr>
          <w:rStyle w:val="FootnoteReference"/>
          <w:rFonts w:ascii="Arial" w:hAnsi="Arial" w:cs="Arial"/>
        </w:rPr>
        <w:footnoteReference w:id="1"/>
      </w:r>
      <w:r w:rsidRPr="00FC5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the </w:t>
      </w:r>
      <w:r w:rsidR="00572E73">
        <w:rPr>
          <w:rFonts w:ascii="Arial" w:hAnsi="Arial" w:cs="Arial"/>
        </w:rPr>
        <w:t xml:space="preserve">November 5, </w:t>
      </w:r>
      <w:proofErr w:type="gramStart"/>
      <w:r w:rsidR="00572E73">
        <w:rPr>
          <w:rFonts w:ascii="Arial" w:hAnsi="Arial" w:cs="Arial"/>
        </w:rPr>
        <w:t>2013</w:t>
      </w:r>
      <w:proofErr w:type="gramEnd"/>
      <w:r>
        <w:rPr>
          <w:rFonts w:ascii="Arial" w:hAnsi="Arial" w:cs="Arial"/>
        </w:rPr>
        <w:t xml:space="preserve"> version of the Stakeholder Initiatives Catalog.</w:t>
      </w:r>
    </w:p>
    <w:p w14:paraId="59530AFE" w14:textId="77777777" w:rsidR="00E743AF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the name of the initiative.</w:t>
      </w:r>
    </w:p>
    <w:p w14:paraId="61D995DA" w14:textId="77777777" w:rsidR="00FC5FAD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“High Level Prioritization Criteria Matrix” provide a score of 0, 3, 7, or 10 for each of the four criteri</w:t>
      </w:r>
      <w:r w:rsidR="000E0B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 green boxes. </w:t>
      </w:r>
    </w:p>
    <w:p w14:paraId="7356B564" w14:textId="77777777" w:rsidR="00CB3AA3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a total tally of your score for each initiative.</w:t>
      </w:r>
    </w:p>
    <w:p w14:paraId="6079BE6E" w14:textId="77777777" w:rsidR="00CB3AA3" w:rsidRPr="00FC5FAD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Below the matrix, provide detailed explanations for each criterion using as much space as you need.  Providing a rationale for the ranking and considering these initiatives over others is critical to this ranking process.  </w:t>
      </w:r>
      <w:r w:rsidR="00F34A22">
        <w:rPr>
          <w:rFonts w:ascii="Arial" w:hAnsi="Arial" w:cs="Arial"/>
        </w:rPr>
        <w:t xml:space="preserve">Since </w:t>
      </w:r>
      <w:r>
        <w:rPr>
          <w:rFonts w:ascii="Arial" w:hAnsi="Arial" w:cs="Arial"/>
        </w:rPr>
        <w:t xml:space="preserve">dollar and resource estimates are </w:t>
      </w:r>
      <w:r w:rsidR="00F34A22">
        <w:rPr>
          <w:rFonts w:ascii="Arial" w:hAnsi="Arial" w:cs="Arial"/>
        </w:rPr>
        <w:t xml:space="preserve">understandably approximate at this level, the qualitative discussion will be given more emphasis.  </w:t>
      </w:r>
      <w:r w:rsidR="00792D16">
        <w:rPr>
          <w:rFonts w:ascii="Arial" w:hAnsi="Arial" w:cs="Arial"/>
        </w:rPr>
        <w:t xml:space="preserve">Similarly, </w:t>
      </w:r>
      <w:r w:rsidR="000E0B90">
        <w:rPr>
          <w:rFonts w:ascii="Arial" w:hAnsi="Arial" w:cs="Arial"/>
        </w:rPr>
        <w:t xml:space="preserve">the numerical rankings are informative and may help to organize </w:t>
      </w:r>
      <w:proofErr w:type="gramStart"/>
      <w:r w:rsidR="000E0B90">
        <w:rPr>
          <w:rFonts w:ascii="Arial" w:hAnsi="Arial" w:cs="Arial"/>
        </w:rPr>
        <w:t>discuss</w:t>
      </w:r>
      <w:r w:rsidR="00792D16">
        <w:rPr>
          <w:rFonts w:ascii="Arial" w:hAnsi="Arial" w:cs="Arial"/>
        </w:rPr>
        <w:t>ion</w:t>
      </w:r>
      <w:proofErr w:type="gramEnd"/>
      <w:r w:rsidR="00792D16">
        <w:rPr>
          <w:rFonts w:ascii="Arial" w:hAnsi="Arial" w:cs="Arial"/>
        </w:rPr>
        <w:t xml:space="preserve"> but</w:t>
      </w:r>
      <w:bookmarkStart w:id="0" w:name="_GoBack"/>
      <w:bookmarkEnd w:id="0"/>
      <w:r w:rsidR="000E0B90">
        <w:rPr>
          <w:rFonts w:ascii="Arial" w:hAnsi="Arial" w:cs="Arial"/>
        </w:rPr>
        <w:t xml:space="preserve"> t</w:t>
      </w:r>
      <w:r w:rsidR="00F34A22">
        <w:rPr>
          <w:rFonts w:ascii="Arial" w:hAnsi="Arial" w:cs="Arial"/>
        </w:rPr>
        <w:t>h</w:t>
      </w:r>
      <w:r w:rsidR="000E0B90">
        <w:rPr>
          <w:rFonts w:ascii="Arial" w:hAnsi="Arial" w:cs="Arial"/>
        </w:rPr>
        <w:t>e</w:t>
      </w:r>
      <w:r w:rsidR="00F34A22">
        <w:rPr>
          <w:rFonts w:ascii="Arial" w:hAnsi="Arial" w:cs="Arial"/>
        </w:rPr>
        <w:t xml:space="preserve"> </w:t>
      </w:r>
      <w:r w:rsidR="000E0B90">
        <w:rPr>
          <w:rFonts w:ascii="Arial" w:hAnsi="Arial" w:cs="Arial"/>
        </w:rPr>
        <w:t xml:space="preserve">qualitative </w:t>
      </w:r>
      <w:r w:rsidR="00F34A22">
        <w:rPr>
          <w:rFonts w:ascii="Arial" w:hAnsi="Arial" w:cs="Arial"/>
        </w:rPr>
        <w:t xml:space="preserve">information will be critical for the ISO as we </w:t>
      </w:r>
      <w:r w:rsidR="000E0B90">
        <w:rPr>
          <w:rFonts w:ascii="Arial" w:hAnsi="Arial" w:cs="Arial"/>
        </w:rPr>
        <w:t xml:space="preserve">compare initiatives.    </w:t>
      </w:r>
    </w:p>
    <w:p w14:paraId="398B5A9A" w14:textId="77777777" w:rsidR="00CB3AA3" w:rsidRDefault="00CB3AA3">
      <w:pPr>
        <w:rPr>
          <w:rFonts w:ascii="Arial" w:eastAsia="Times New Roman" w:hAnsi="Arial" w:cs="Arial"/>
          <w:b/>
          <w:bCs/>
          <w:color w:val="365F91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321F9B37" w14:textId="77777777" w:rsidR="00FC5FAD" w:rsidRPr="00CB3AA3" w:rsidRDefault="00FC5FAD" w:rsidP="00FC5FAD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proofErr w:type="gramStart"/>
      <w:r w:rsidRPr="00CB3AA3">
        <w:rPr>
          <w:rFonts w:ascii="Arial" w:hAnsi="Arial" w:cs="Arial"/>
        </w:rPr>
        <w:t>1:_</w:t>
      </w:r>
      <w:proofErr w:type="gramEnd"/>
      <w:r w:rsidRPr="00CB3AA3">
        <w:rPr>
          <w:rFonts w:ascii="Arial" w:hAnsi="Arial" w:cs="Arial"/>
        </w:rPr>
        <w:t>______________________________________________</w:t>
      </w:r>
      <w:r w:rsidR="00E743AF"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01925B96" w14:textId="77777777" w:rsidR="00CB3AA3" w:rsidRDefault="00CB3AA3" w:rsidP="00FC5FAD">
      <w:pPr>
        <w:spacing w:after="0"/>
        <w:jc w:val="center"/>
        <w:rPr>
          <w:rFonts w:ascii="Arial" w:hAnsi="Arial" w:cs="Arial"/>
          <w:b/>
        </w:rPr>
      </w:pPr>
    </w:p>
    <w:p w14:paraId="66D02B5C" w14:textId="77777777" w:rsidR="00CB3AA3" w:rsidRPr="007305ED" w:rsidRDefault="00FC5FAD" w:rsidP="00CB3AA3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 w:rsidR="00CB3AA3"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CB3AA3" w:rsidRPr="007474BC" w14:paraId="0840FF49" w14:textId="77777777" w:rsidTr="00CB3AA3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B1C462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66BC5AC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62F2590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64D72B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64370A9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2E9ECFA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1D8FF58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36CA418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CB3AA3" w:rsidRPr="007474BC" w14:paraId="07D12A4B" w14:textId="77777777" w:rsidTr="00CB3AA3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08E572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2FB35A6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E67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00FC826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72229595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33D166DF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0364540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3AF944C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CB3AA3" w:rsidRPr="007474BC" w14:paraId="6DC1804A" w14:textId="77777777" w:rsidTr="00CB3AA3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502D1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64DF1E9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A4EF6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8121E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FD77F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EF7C9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88AB7F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CC0712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0394E818" w14:textId="77777777" w:rsidTr="00CB3AA3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638DA5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3DC90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562CC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7474BC">
              <w:rPr>
                <w:rFonts w:ascii="Arial" w:hAnsi="Arial" w:cs="Arial"/>
                <w:sz w:val="20"/>
                <w:szCs w:val="20"/>
              </w:rPr>
              <w:t>Overall  Market</w:t>
            </w:r>
            <w:proofErr w:type="gramEnd"/>
            <w:r w:rsidRPr="007474BC">
              <w:rPr>
                <w:rFonts w:ascii="Arial" w:hAnsi="Arial" w:cs="Arial"/>
                <w:sz w:val="20"/>
                <w:szCs w:val="20"/>
              </w:rPr>
              <w:t xml:space="preserve">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014F6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4ED15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EC2E58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5EC6FD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A8B785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49E6B0F6" w14:textId="77777777" w:rsidTr="00CB3AA3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989A9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36E68D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DB8FAD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C7BE8D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89F642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05D312C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0D841C8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2046744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0E2353A7" w14:textId="77777777" w:rsidTr="00CB3AA3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1FB4E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056C764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01A87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A93CB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8C187D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9480F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F23C8C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AD9BC8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0800FD57" w14:textId="77777777" w:rsidTr="00CB3AA3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7C4CECD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685F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6ED2B05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9828B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F5E124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EEF61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862DBB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1392F65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38D2E05A" w14:textId="77777777" w:rsidTr="00CB3AA3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99A5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A1AC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C51CA8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5B198" w14:textId="77777777" w:rsidR="00FC5FAD" w:rsidRDefault="00FC5FAD" w:rsidP="00FC5FAD">
      <w:pPr>
        <w:rPr>
          <w:rFonts w:ascii="Arial" w:hAnsi="Arial" w:cs="Arial"/>
        </w:rPr>
      </w:pPr>
    </w:p>
    <w:p w14:paraId="48AABFFA" w14:textId="77777777" w:rsidR="00CB3AA3" w:rsidRDefault="00CB3AA3" w:rsidP="00FC5FAD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5993B6A8" w14:textId="77777777" w:rsidR="00CB3AA3" w:rsidRDefault="00CB3AA3" w:rsidP="00FC5FAD">
      <w:pPr>
        <w:rPr>
          <w:rFonts w:ascii="Arial" w:hAnsi="Arial" w:cs="Arial"/>
        </w:rPr>
      </w:pPr>
    </w:p>
    <w:p w14:paraId="12D326E5" w14:textId="77777777" w:rsidR="00CB3AA3" w:rsidRDefault="00CB3AA3" w:rsidP="00CB3AA3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4987ED31" w14:textId="77777777" w:rsidR="00CB3AA3" w:rsidRDefault="00CB3AA3" w:rsidP="00CB3AA3">
      <w:pPr>
        <w:rPr>
          <w:rFonts w:ascii="Arial" w:hAnsi="Arial" w:cs="Arial"/>
        </w:rPr>
      </w:pPr>
    </w:p>
    <w:p w14:paraId="7EA34E02" w14:textId="77777777" w:rsidR="00CB3AA3" w:rsidRDefault="00CB3AA3" w:rsidP="00CB3AA3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59F4A16E" w14:textId="77777777" w:rsidR="00CB3AA3" w:rsidRDefault="00CB3AA3" w:rsidP="00CB3AA3">
      <w:pPr>
        <w:rPr>
          <w:rFonts w:ascii="Arial" w:hAnsi="Arial" w:cs="Arial"/>
        </w:rPr>
      </w:pPr>
    </w:p>
    <w:p w14:paraId="18E1D8CC" w14:textId="77777777" w:rsidR="00CB3AA3" w:rsidRDefault="00CB3AA3" w:rsidP="00CB3AA3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2B46C9CD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proofErr w:type="gramStart"/>
      <w:r>
        <w:rPr>
          <w:rFonts w:ascii="Arial" w:hAnsi="Arial" w:cs="Arial"/>
        </w:rPr>
        <w:t>2</w:t>
      </w:r>
      <w:r w:rsidRPr="00CB3AA3">
        <w:rPr>
          <w:rFonts w:ascii="Arial" w:hAnsi="Arial" w:cs="Arial"/>
        </w:rPr>
        <w:t>:_</w:t>
      </w:r>
      <w:proofErr w:type="gramEnd"/>
      <w:r w:rsidRPr="00CB3AA3">
        <w:rPr>
          <w:rFonts w:ascii="Arial" w:hAnsi="Arial" w:cs="Arial"/>
        </w:rPr>
        <w:t>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55B88015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221691D4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4C4F629E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6E5309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185914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6C243A9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44E9C51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573A1F2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6BCAE0C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611F286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035E1B7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5181F8FD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87137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05020AA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92E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5935E47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038B309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0DD46FB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29CDBAC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5483708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75A78919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39CFF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7EECDAB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8FE5C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6F6D9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CC39B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CDC3C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CDC243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46584E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9BA70CF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436A8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59E2C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5CE4A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7474BC">
              <w:rPr>
                <w:rFonts w:ascii="Arial" w:hAnsi="Arial" w:cs="Arial"/>
                <w:sz w:val="20"/>
                <w:szCs w:val="20"/>
              </w:rPr>
              <w:t>Overall  Market</w:t>
            </w:r>
            <w:proofErr w:type="gramEnd"/>
            <w:r w:rsidRPr="007474BC">
              <w:rPr>
                <w:rFonts w:ascii="Arial" w:hAnsi="Arial" w:cs="Arial"/>
                <w:sz w:val="20"/>
                <w:szCs w:val="20"/>
              </w:rPr>
              <w:t xml:space="preserve">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D7D2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77969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4BD7F82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757512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BD0F10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2B2CBF17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86669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1A0A2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3503E0C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0D2A94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5CB5D09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461097D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059EACB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3353A6A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1654E379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ABA33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49A0F78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44D6C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EF056E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41AD4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A0ADA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6335A2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B166CB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E815347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51A767A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F810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0546A95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DB2B6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1BC14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D21A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35B3E2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1E6C5EE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B5B0260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ADB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7CD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228B76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708C5" w14:textId="77777777" w:rsidR="000E0B90" w:rsidRDefault="000E0B90" w:rsidP="000E0B90">
      <w:pPr>
        <w:rPr>
          <w:rFonts w:ascii="Arial" w:hAnsi="Arial" w:cs="Arial"/>
        </w:rPr>
      </w:pPr>
    </w:p>
    <w:p w14:paraId="6A985CFC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72340D34" w14:textId="77777777" w:rsidR="000E0B90" w:rsidRDefault="000E0B90" w:rsidP="000E0B90">
      <w:pPr>
        <w:rPr>
          <w:rFonts w:ascii="Arial" w:hAnsi="Arial" w:cs="Arial"/>
        </w:rPr>
      </w:pPr>
    </w:p>
    <w:p w14:paraId="51EB860A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53821B1A" w14:textId="77777777" w:rsidR="000E0B90" w:rsidRDefault="000E0B90" w:rsidP="000E0B90">
      <w:pPr>
        <w:rPr>
          <w:rFonts w:ascii="Arial" w:hAnsi="Arial" w:cs="Arial"/>
        </w:rPr>
      </w:pPr>
    </w:p>
    <w:p w14:paraId="41569CBF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32C81F3C" w14:textId="77777777" w:rsidR="000E0B90" w:rsidRDefault="000E0B90" w:rsidP="000E0B90">
      <w:pPr>
        <w:rPr>
          <w:rFonts w:ascii="Arial" w:hAnsi="Arial" w:cs="Arial"/>
        </w:rPr>
      </w:pPr>
    </w:p>
    <w:p w14:paraId="4262FE17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6ABA8228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proofErr w:type="gramStart"/>
      <w:r>
        <w:rPr>
          <w:rFonts w:ascii="Arial" w:hAnsi="Arial" w:cs="Arial"/>
        </w:rPr>
        <w:t>3</w:t>
      </w:r>
      <w:r w:rsidRPr="00CB3AA3">
        <w:rPr>
          <w:rFonts w:ascii="Arial" w:hAnsi="Arial" w:cs="Arial"/>
        </w:rPr>
        <w:t>:_</w:t>
      </w:r>
      <w:proofErr w:type="gramEnd"/>
      <w:r w:rsidRPr="00CB3AA3">
        <w:rPr>
          <w:rFonts w:ascii="Arial" w:hAnsi="Arial" w:cs="Arial"/>
        </w:rPr>
        <w:t>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10203584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3EB1BB88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0DB510AF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43741B2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843BE8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9F2175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17754E1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A410BF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7C74CD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27EE795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02B2500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2CB94D18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DD1E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2279A07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D0B0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226E098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72705A0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5B3AC48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7891CD1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0C762D6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5E87DAD6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CF68C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3EF3C36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9C453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1775E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286C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C9E0D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5C3F37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96122F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69C696E2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E333E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34B484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200B4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7474BC">
              <w:rPr>
                <w:rFonts w:ascii="Arial" w:hAnsi="Arial" w:cs="Arial"/>
                <w:sz w:val="20"/>
                <w:szCs w:val="20"/>
              </w:rPr>
              <w:t>Overall  Market</w:t>
            </w:r>
            <w:proofErr w:type="gramEnd"/>
            <w:r w:rsidRPr="007474BC">
              <w:rPr>
                <w:rFonts w:ascii="Arial" w:hAnsi="Arial" w:cs="Arial"/>
                <w:sz w:val="20"/>
                <w:szCs w:val="20"/>
              </w:rPr>
              <w:t xml:space="preserve">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5D93F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011C4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1CA7A61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69AA9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671E0B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3A2A110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97441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1C77C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5F2C016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363FDEA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4B4C91D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5384C12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26F29DE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44A1861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1CC94609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09A1D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399212A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E1E22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AD3A4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A155F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6AAF2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6CF4D2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9CEC78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1CC608EB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70907F6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3FB0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6672950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CD45F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02666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1E79E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9380EA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5697E8A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7D8E54F8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F19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02B7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EA0E56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EAE4B" w14:textId="77777777" w:rsidR="000E0B90" w:rsidRDefault="000E0B90" w:rsidP="000E0B90">
      <w:pPr>
        <w:rPr>
          <w:rFonts w:ascii="Arial" w:hAnsi="Arial" w:cs="Arial"/>
        </w:rPr>
      </w:pPr>
    </w:p>
    <w:p w14:paraId="43516B5B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2590626B" w14:textId="77777777" w:rsidR="000E0B90" w:rsidRDefault="000E0B90" w:rsidP="000E0B90">
      <w:pPr>
        <w:rPr>
          <w:rFonts w:ascii="Arial" w:hAnsi="Arial" w:cs="Arial"/>
        </w:rPr>
      </w:pPr>
    </w:p>
    <w:p w14:paraId="2F1C6CFA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708D7EF2" w14:textId="77777777" w:rsidR="000E0B90" w:rsidRDefault="000E0B90" w:rsidP="000E0B90">
      <w:pPr>
        <w:rPr>
          <w:rFonts w:ascii="Arial" w:hAnsi="Arial" w:cs="Arial"/>
        </w:rPr>
      </w:pPr>
    </w:p>
    <w:p w14:paraId="7F4BF8BB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209210A7" w14:textId="77777777" w:rsidR="000E0B90" w:rsidRDefault="000E0B90" w:rsidP="000E0B90">
      <w:pPr>
        <w:rPr>
          <w:rFonts w:ascii="Arial" w:hAnsi="Arial" w:cs="Arial"/>
        </w:rPr>
      </w:pPr>
    </w:p>
    <w:p w14:paraId="1E958DBE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br w:type="page"/>
      </w:r>
    </w:p>
    <w:p w14:paraId="6A6B78E7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proofErr w:type="gramStart"/>
      <w:r>
        <w:rPr>
          <w:rFonts w:ascii="Arial" w:hAnsi="Arial" w:cs="Arial"/>
        </w:rPr>
        <w:t>4</w:t>
      </w:r>
      <w:r w:rsidRPr="00CB3AA3">
        <w:rPr>
          <w:rFonts w:ascii="Arial" w:hAnsi="Arial" w:cs="Arial"/>
        </w:rPr>
        <w:t>:_</w:t>
      </w:r>
      <w:proofErr w:type="gramEnd"/>
      <w:r w:rsidRPr="00CB3AA3">
        <w:rPr>
          <w:rFonts w:ascii="Arial" w:hAnsi="Arial" w:cs="Arial"/>
        </w:rPr>
        <w:t>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380A2FAD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79D3E00D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28C5CE83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0475B9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C9290D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DCB7D2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28CC3A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6D3A444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6F59CEC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635F872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62D1E18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7DE70EA1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790429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0457943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ECBE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3440BA9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3243787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6170605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2F2DBD6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08C80EA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4FCF134F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29414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5DB943B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687D6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A0C1A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31CB3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4E6CA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0AC054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254871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2AD318F1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24A00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61B2C3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7B27D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7474BC">
              <w:rPr>
                <w:rFonts w:ascii="Arial" w:hAnsi="Arial" w:cs="Arial"/>
                <w:sz w:val="20"/>
                <w:szCs w:val="20"/>
              </w:rPr>
              <w:t>Overall  Market</w:t>
            </w:r>
            <w:proofErr w:type="gramEnd"/>
            <w:r w:rsidRPr="007474BC">
              <w:rPr>
                <w:rFonts w:ascii="Arial" w:hAnsi="Arial" w:cs="Arial"/>
                <w:sz w:val="20"/>
                <w:szCs w:val="20"/>
              </w:rPr>
              <w:t xml:space="preserve">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B5683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6B9D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7B7800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5AA0FF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83240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BCF7121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F709F0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E92BD3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E70EA3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4CD67C5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5B6D550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0C648AB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082A9B2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658DCBC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B405AB7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33BEA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4C26DBD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9CBF37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48C0F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2003F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462B1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BEF3EC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448786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A2D206B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4EE5010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4A47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2A060A9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D07CB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4D9E7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C4621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9F2FA2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4974354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EB90DE2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5C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39F6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5865D6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6610E" w14:textId="77777777" w:rsidR="000E0B90" w:rsidRDefault="000E0B90" w:rsidP="000E0B90">
      <w:pPr>
        <w:rPr>
          <w:rFonts w:ascii="Arial" w:hAnsi="Arial" w:cs="Arial"/>
        </w:rPr>
      </w:pPr>
    </w:p>
    <w:p w14:paraId="48D63AA4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5D94766D" w14:textId="77777777" w:rsidR="000E0B90" w:rsidRDefault="000E0B90" w:rsidP="000E0B90">
      <w:pPr>
        <w:rPr>
          <w:rFonts w:ascii="Arial" w:hAnsi="Arial" w:cs="Arial"/>
        </w:rPr>
      </w:pPr>
    </w:p>
    <w:p w14:paraId="23900D10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6851F401" w14:textId="77777777" w:rsidR="000E0B90" w:rsidRDefault="000E0B90" w:rsidP="000E0B90">
      <w:pPr>
        <w:rPr>
          <w:rFonts w:ascii="Arial" w:hAnsi="Arial" w:cs="Arial"/>
        </w:rPr>
      </w:pPr>
    </w:p>
    <w:p w14:paraId="2B0AB85C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554F6DC6" w14:textId="77777777" w:rsidR="000E0B90" w:rsidRDefault="000E0B90" w:rsidP="000E0B90">
      <w:pPr>
        <w:rPr>
          <w:rFonts w:ascii="Arial" w:hAnsi="Arial" w:cs="Arial"/>
        </w:rPr>
      </w:pPr>
    </w:p>
    <w:p w14:paraId="6333224A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</w:t>
      </w:r>
    </w:p>
    <w:p w14:paraId="3BB75729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proofErr w:type="gramStart"/>
      <w:r>
        <w:rPr>
          <w:rFonts w:ascii="Arial" w:hAnsi="Arial" w:cs="Arial"/>
        </w:rPr>
        <w:t>5</w:t>
      </w:r>
      <w:r w:rsidRPr="00CB3AA3">
        <w:rPr>
          <w:rFonts w:ascii="Arial" w:hAnsi="Arial" w:cs="Arial"/>
        </w:rPr>
        <w:t>:_</w:t>
      </w:r>
      <w:proofErr w:type="gramEnd"/>
      <w:r w:rsidRPr="00CB3AA3">
        <w:rPr>
          <w:rFonts w:ascii="Arial" w:hAnsi="Arial" w:cs="Arial"/>
        </w:rPr>
        <w:t>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0397976A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699876FA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215A9738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19193AE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7F465F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5F960B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7B013DF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79B286E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50EDBD2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4B7E89C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5077DCB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5345369D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B68112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2675F9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AC37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17B9EB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5298C29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496DD28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15325D5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4832787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1122948F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4D11C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24AF087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E4473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8C291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10849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A46E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E3DF2E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99CD84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3E8BE3A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A9E73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F18552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8815F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7474BC">
              <w:rPr>
                <w:rFonts w:ascii="Arial" w:hAnsi="Arial" w:cs="Arial"/>
                <w:sz w:val="20"/>
                <w:szCs w:val="20"/>
              </w:rPr>
              <w:t>Overall  Market</w:t>
            </w:r>
            <w:proofErr w:type="gramEnd"/>
            <w:r w:rsidRPr="007474BC">
              <w:rPr>
                <w:rFonts w:ascii="Arial" w:hAnsi="Arial" w:cs="Arial"/>
                <w:sz w:val="20"/>
                <w:szCs w:val="20"/>
              </w:rPr>
              <w:t xml:space="preserve">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C0236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1B5C3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58ACB6F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4F4029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015158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6C0CC4C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D6A88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0B839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4C3A45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085C80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7575D3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DA06C1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3E6059B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115DCE5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2BC894AB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6A556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335B296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51591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D2E7E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172CA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191B8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A41AC2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47586F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A2B5EBB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48FC282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D5DA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0C1F72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85766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1C0E2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57EBF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F04886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3BF17BE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ABB71B9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18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8318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58E094D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689B8" w14:textId="77777777" w:rsidR="000E0B90" w:rsidRDefault="000E0B90" w:rsidP="000E0B90">
      <w:pPr>
        <w:rPr>
          <w:rFonts w:ascii="Arial" w:hAnsi="Arial" w:cs="Arial"/>
        </w:rPr>
      </w:pPr>
    </w:p>
    <w:p w14:paraId="49DE2492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6A2DCEE0" w14:textId="77777777" w:rsidR="000E0B90" w:rsidRDefault="000E0B90" w:rsidP="000E0B90">
      <w:pPr>
        <w:rPr>
          <w:rFonts w:ascii="Arial" w:hAnsi="Arial" w:cs="Arial"/>
        </w:rPr>
      </w:pPr>
    </w:p>
    <w:p w14:paraId="7A665F68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44671889" w14:textId="77777777" w:rsidR="000E0B90" w:rsidRDefault="000E0B90" w:rsidP="000E0B90">
      <w:pPr>
        <w:rPr>
          <w:rFonts w:ascii="Arial" w:hAnsi="Arial" w:cs="Arial"/>
        </w:rPr>
      </w:pPr>
    </w:p>
    <w:p w14:paraId="42250E12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22999B43" w14:textId="77777777" w:rsidR="000E0B90" w:rsidRDefault="000E0B90" w:rsidP="000E0B90">
      <w:pPr>
        <w:rPr>
          <w:rFonts w:ascii="Arial" w:hAnsi="Arial" w:cs="Arial"/>
        </w:rPr>
      </w:pPr>
    </w:p>
    <w:p w14:paraId="79E62131" w14:textId="77777777" w:rsidR="00FC5FAD" w:rsidRPr="00FC5FAD" w:rsidRDefault="000E0B90">
      <w:pPr>
        <w:rPr>
          <w:rFonts w:ascii="Arial" w:hAnsi="Arial" w:cs="Arial"/>
          <w:b/>
          <w:sz w:val="28"/>
          <w:szCs w:val="28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</w:t>
      </w:r>
    </w:p>
    <w:sectPr w:rsidR="00FC5FAD" w:rsidRPr="00FC5FAD" w:rsidSect="000735D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FA73" w14:textId="77777777" w:rsidR="006F3D1E" w:rsidRDefault="006F3D1E" w:rsidP="00FC5FAD">
      <w:pPr>
        <w:spacing w:after="0" w:line="240" w:lineRule="auto"/>
      </w:pPr>
      <w:r>
        <w:separator/>
      </w:r>
    </w:p>
  </w:endnote>
  <w:endnote w:type="continuationSeparator" w:id="0">
    <w:p w14:paraId="2D7249E3" w14:textId="77777777" w:rsidR="006F3D1E" w:rsidRDefault="006F3D1E" w:rsidP="00FC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2E2D" w14:textId="77777777" w:rsidR="00FC5FAD" w:rsidRDefault="00FC5FAD" w:rsidP="00FC5FAD">
    <w:pPr>
      <w:pStyle w:val="Footer"/>
      <w:jc w:val="center"/>
      <w:rPr>
        <w:rFonts w:ascii="Arial" w:hAnsi="Arial" w:cs="Arial"/>
        <w:noProof/>
      </w:rPr>
    </w:pPr>
    <w:r w:rsidRPr="002243A5">
      <w:rPr>
        <w:rFonts w:ascii="Arial" w:hAnsi="Arial" w:cs="Arial"/>
        <w:sz w:val="16"/>
        <w:szCs w:val="16"/>
      </w:rPr>
      <w:t>CAISO/M&amp;ID</w:t>
    </w:r>
    <w:r w:rsidRPr="002243A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 w:rsidRPr="002243A5">
      <w:rPr>
        <w:rFonts w:ascii="Arial" w:hAnsi="Arial" w:cs="Arial"/>
      </w:rPr>
      <w:tab/>
    </w:r>
    <w:r w:rsidR="000735D1" w:rsidRPr="002243A5">
      <w:rPr>
        <w:rFonts w:ascii="Arial" w:hAnsi="Arial" w:cs="Arial"/>
      </w:rPr>
      <w:fldChar w:fldCharType="begin"/>
    </w:r>
    <w:r w:rsidRPr="002243A5">
      <w:rPr>
        <w:rFonts w:ascii="Arial" w:hAnsi="Arial" w:cs="Arial"/>
      </w:rPr>
      <w:instrText xml:space="preserve"> PAGE   \* MERGEFORMAT </w:instrText>
    </w:r>
    <w:r w:rsidR="000735D1" w:rsidRPr="002243A5">
      <w:rPr>
        <w:rFonts w:ascii="Arial" w:hAnsi="Arial" w:cs="Arial"/>
      </w:rPr>
      <w:fldChar w:fldCharType="separate"/>
    </w:r>
    <w:r w:rsidR="00E52865">
      <w:rPr>
        <w:rFonts w:ascii="Arial" w:hAnsi="Arial" w:cs="Arial"/>
        <w:noProof/>
      </w:rPr>
      <w:t>1</w:t>
    </w:r>
    <w:r w:rsidR="000735D1" w:rsidRPr="002243A5">
      <w:rPr>
        <w:rFonts w:ascii="Arial" w:hAnsi="Arial" w:cs="Arial"/>
        <w:noProof/>
      </w:rPr>
      <w:fldChar w:fldCharType="end"/>
    </w:r>
  </w:p>
  <w:p w14:paraId="546E3CBA" w14:textId="77777777" w:rsidR="00FC5FAD" w:rsidRDefault="00FC5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A93" w14:textId="77777777" w:rsidR="006F3D1E" w:rsidRDefault="006F3D1E" w:rsidP="00FC5FAD">
      <w:pPr>
        <w:spacing w:after="0" w:line="240" w:lineRule="auto"/>
      </w:pPr>
      <w:r>
        <w:separator/>
      </w:r>
    </w:p>
  </w:footnote>
  <w:footnote w:type="continuationSeparator" w:id="0">
    <w:p w14:paraId="630D0573" w14:textId="77777777" w:rsidR="006F3D1E" w:rsidRDefault="006F3D1E" w:rsidP="00FC5FAD">
      <w:pPr>
        <w:spacing w:after="0" w:line="240" w:lineRule="auto"/>
      </w:pPr>
      <w:r>
        <w:continuationSeparator/>
      </w:r>
    </w:p>
  </w:footnote>
  <w:footnote w:id="1">
    <w:p w14:paraId="5A85434B" w14:textId="77777777" w:rsidR="00E743AF" w:rsidRPr="00E743AF" w:rsidRDefault="00E743AF">
      <w:pPr>
        <w:pStyle w:val="FootnoteText"/>
        <w:rPr>
          <w:rFonts w:ascii="Arial" w:hAnsi="Arial" w:cs="Arial"/>
        </w:rPr>
      </w:pPr>
      <w:r w:rsidRPr="00E743AF">
        <w:rPr>
          <w:rStyle w:val="FootnoteReference"/>
          <w:rFonts w:ascii="Arial" w:hAnsi="Arial" w:cs="Arial"/>
        </w:rPr>
        <w:footnoteRef/>
      </w:r>
      <w:r w:rsidRPr="00E743AF">
        <w:rPr>
          <w:rFonts w:ascii="Arial" w:hAnsi="Arial" w:cs="Arial"/>
        </w:rPr>
        <w:t xml:space="preserve"> Infrastructure and planning initiatives will not be ranked as they are considered separately and there are only two discretionary initiatives.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FCE" w14:textId="77777777" w:rsidR="00FC5FAD" w:rsidRDefault="00FC5FAD" w:rsidP="00FC5FAD">
    <w:pPr>
      <w:pStyle w:val="Header"/>
      <w:tabs>
        <w:tab w:val="clear" w:pos="4680"/>
        <w:tab w:val="center" w:pos="2880"/>
      </w:tabs>
      <w:jc w:val="right"/>
      <w:rPr>
        <w:rFonts w:ascii="Arial" w:hAnsi="Arial" w:cs="Arial"/>
        <w:b/>
      </w:rPr>
    </w:pPr>
    <w:r w:rsidRPr="00FC5FAD">
      <w:rPr>
        <w:rFonts w:ascii="Arial" w:hAnsi="Arial" w:cs="Arial"/>
        <w:b/>
      </w:rPr>
      <w:t>California ISO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72E73">
      <w:rPr>
        <w:rFonts w:ascii="Arial" w:hAnsi="Arial" w:cs="Arial"/>
        <w:b/>
      </w:rPr>
      <w:t>2013</w:t>
    </w:r>
    <w:r w:rsidRPr="00FC5FAD">
      <w:rPr>
        <w:rFonts w:ascii="Arial" w:hAnsi="Arial" w:cs="Arial"/>
        <w:b/>
      </w:rPr>
      <w:t xml:space="preserve"> Stakeholder Initiatives Catalog</w:t>
    </w:r>
    <w:r>
      <w:rPr>
        <w:rFonts w:ascii="Arial" w:hAnsi="Arial" w:cs="Arial"/>
        <w:b/>
      </w:rPr>
      <w:t xml:space="preserve"> </w:t>
    </w:r>
    <w:r w:rsidR="00572E73">
      <w:rPr>
        <w:rFonts w:ascii="Arial" w:hAnsi="Arial" w:cs="Arial"/>
        <w:b/>
      </w:rPr>
      <w:t>November 5, 2013</w:t>
    </w:r>
  </w:p>
  <w:p w14:paraId="46B203EB" w14:textId="77777777" w:rsidR="00FC5FAD" w:rsidRDefault="00FC5FAD" w:rsidP="00FC5FAD">
    <w:pPr>
      <w:pStyle w:val="Header"/>
      <w:tabs>
        <w:tab w:val="clear" w:pos="4680"/>
        <w:tab w:val="center" w:pos="2880"/>
      </w:tabs>
      <w:jc w:val="right"/>
      <w:rPr>
        <w:rFonts w:ascii="Arial" w:hAnsi="Arial" w:cs="Arial"/>
        <w:b/>
      </w:rPr>
    </w:pPr>
  </w:p>
  <w:p w14:paraId="364D1F5F" w14:textId="77777777" w:rsidR="00FC5FAD" w:rsidRPr="00FC5FAD" w:rsidRDefault="00FC5FAD" w:rsidP="00FC5FAD">
    <w:pPr>
      <w:rPr>
        <w:rFonts w:ascii="Arial" w:hAnsi="Arial" w:cs="Arial"/>
        <w:b/>
        <w:sz w:val="28"/>
        <w:szCs w:val="28"/>
      </w:rPr>
    </w:pPr>
    <w:r w:rsidRPr="00FC5FAD">
      <w:rPr>
        <w:rFonts w:ascii="Arial" w:hAnsi="Arial" w:cs="Arial"/>
        <w:b/>
        <w:sz w:val="28"/>
        <w:szCs w:val="28"/>
      </w:rPr>
      <w:t>Discretionary Initiatives High Level Ranking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5C52"/>
    <w:multiLevelType w:val="hybridMultilevel"/>
    <w:tmpl w:val="626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D"/>
    <w:rsid w:val="000735D1"/>
    <w:rsid w:val="000E0B90"/>
    <w:rsid w:val="00192457"/>
    <w:rsid w:val="001A70A3"/>
    <w:rsid w:val="001E08D0"/>
    <w:rsid w:val="00572E73"/>
    <w:rsid w:val="006F3D1E"/>
    <w:rsid w:val="007474BC"/>
    <w:rsid w:val="00792D16"/>
    <w:rsid w:val="007B4672"/>
    <w:rsid w:val="007E5A4E"/>
    <w:rsid w:val="008754D5"/>
    <w:rsid w:val="00A7557B"/>
    <w:rsid w:val="00CB3AA3"/>
    <w:rsid w:val="00E52865"/>
    <w:rsid w:val="00E743AF"/>
    <w:rsid w:val="00F34A22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2900F4"/>
  <w15:chartTrackingRefBased/>
  <w15:docId w15:val="{97793B0D-5320-466A-AF63-98A2D42B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AD"/>
  </w:style>
  <w:style w:type="paragraph" w:styleId="Footer">
    <w:name w:val="footer"/>
    <w:basedOn w:val="Normal"/>
    <w:link w:val="Foot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AD"/>
  </w:style>
  <w:style w:type="character" w:styleId="PageNumber">
    <w:name w:val="page number"/>
    <w:basedOn w:val="DefaultParagraphFont"/>
    <w:rsid w:val="00FC5FAD"/>
  </w:style>
  <w:style w:type="character" w:customStyle="1" w:styleId="Heading1Char">
    <w:name w:val="Heading 1 Char"/>
    <w:link w:val="Heading1"/>
    <w:uiPriority w:val="9"/>
    <w:rsid w:val="00FC5F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F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4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743A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74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A1A52-44CD-475E-9E34-D5A9F87C0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CFDBF-F977-4D11-ADAA-6BCAFA8CEA21}"/>
</file>

<file path=customXml/itemProps3.xml><?xml version="1.0" encoding="utf-8"?>
<ds:datastoreItem xmlns:ds="http://schemas.openxmlformats.org/officeDocument/2006/customXml" ds:itemID="{18FB0BA7-89CD-46AA-80A8-AD4D84939DA6}"/>
</file>

<file path=customXml/itemProps4.xml><?xml version="1.0" encoding="utf-8"?>
<ds:datastoreItem xmlns:ds="http://schemas.openxmlformats.org/officeDocument/2006/customXml" ds:itemID="{78AA539D-ABD8-45D1-8F9D-13553EE390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5F30638-D416-41FA-8496-5EE965713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CAISO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Hou, Delphine</dc:creator>
  <cp:keywords/>
  <cp:lastModifiedBy>Valladares, Angela</cp:lastModifiedBy>
  <cp:revision>2</cp:revision>
  <dcterms:created xsi:type="dcterms:W3CDTF">2025-09-12T15:38:00Z</dcterms:created>
  <dcterms:modified xsi:type="dcterms:W3CDTF">2025-09-12T15:38:00Z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Topic">
    <vt:lpwstr>7;#Stakeholder processes|71659ab1-dac7-419e-9529-abc47c232b66</vt:lpwstr>
  </property>
  <property fmtid="{D5CDD505-2E9C-101B-9397-08002B2CF9AE}" pid="3" name="ISOKeywords">
    <vt:lpwstr>2430;#template|a00c58fd-ed4a-4c30-be02-1fbdc935427e;#26;#stakeholder initiative|eed0ce1e-bb47-425b-8cdd-84244efe7e65</vt:lpwstr>
  </property>
  <property fmtid="{D5CDD505-2E9C-101B-9397-08002B2CF9AE}" pid="4" name="ISOGroup">
    <vt:lpwstr>9057;#2013 Ranking template|799bbab7-611b-4165-98ae-240f99156e90</vt:lpwstr>
  </property>
  <property fmtid="{D5CDD505-2E9C-101B-9397-08002B2CF9AE}" pid="5" name="ISOArchive">
    <vt:lpwstr/>
  </property>
  <property fmtid="{D5CDD505-2E9C-101B-9397-08002B2CF9AE}" pid="6" name="ContentTypeId">
    <vt:lpwstr>0x010100776092249CC62C48AA17033F357BFB4B</vt:lpwstr>
  </property>
</Properties>
</file>