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64B0C" w14:textId="596235CA" w:rsidR="00A16E1A" w:rsidRPr="00BB4FB8" w:rsidRDefault="00A16E1A" w:rsidP="009F759A">
      <w:pPr>
        <w:pStyle w:val="Heading1"/>
        <w:spacing w:before="120" w:line="240" w:lineRule="auto"/>
      </w:pPr>
      <w:bookmarkStart w:id="0" w:name="_Toc513040801"/>
      <w:bookmarkStart w:id="1" w:name="_Toc256000000"/>
      <w:bookmarkStart w:id="2" w:name="_Toc466630411"/>
      <w:bookmarkStart w:id="3" w:name="_Toc510452187"/>
      <w:bookmarkStart w:id="4" w:name="_GoBack"/>
      <w:bookmarkEnd w:id="4"/>
      <w:r w:rsidRPr="00BB4FB8">
        <w:t>Purpose</w:t>
      </w:r>
      <w:bookmarkEnd w:id="0"/>
      <w:bookmarkEnd w:id="1"/>
      <w:bookmarkEnd w:id="2"/>
      <w:bookmarkEnd w:id="3"/>
    </w:p>
    <w:p w14:paraId="3681F37D" w14:textId="77777777" w:rsidR="0073063E" w:rsidRPr="00BB4FB8" w:rsidRDefault="0073063E" w:rsidP="00A01B37">
      <w:pPr>
        <w:spacing w:before="0" w:after="0" w:line="240" w:lineRule="auto"/>
      </w:pPr>
    </w:p>
    <w:p w14:paraId="69D60E88" w14:textId="667F57F2" w:rsidR="0009600C" w:rsidRPr="00BB4FB8" w:rsidRDefault="000427CA" w:rsidP="00AD15AC">
      <w:pPr>
        <w:ind w:left="270" w:right="270"/>
        <w:jc w:val="both"/>
      </w:pPr>
      <w:r w:rsidRPr="00BB4FB8">
        <w:t>The C</w:t>
      </w:r>
      <w:r w:rsidR="00E73844" w:rsidRPr="00BB4FB8">
        <w:t>alifornia ISO</w:t>
      </w:r>
      <w:r w:rsidRPr="00BB4FB8">
        <w:t xml:space="preserve"> R</w:t>
      </w:r>
      <w:r w:rsidR="007B1C5B" w:rsidRPr="00BB4FB8">
        <w:t>eliability Coordinator (R</w:t>
      </w:r>
      <w:r w:rsidR="002118A3" w:rsidRPr="00BB4FB8">
        <w:t>C</w:t>
      </w:r>
      <w:r w:rsidR="00A82E65" w:rsidRPr="00BB4FB8">
        <w:t xml:space="preserve"> West</w:t>
      </w:r>
      <w:r w:rsidR="007B1C5B" w:rsidRPr="00BB4FB8">
        <w:t>)</w:t>
      </w:r>
      <w:r w:rsidRPr="00BB4FB8">
        <w:t xml:space="preserve"> </w:t>
      </w:r>
      <w:r w:rsidR="0009600C" w:rsidRPr="00BB4FB8">
        <w:t>shall review the GMD Operating Procedures or Processes of Transmission Operators (TOP) within its RC Area</w:t>
      </w:r>
      <w:r w:rsidR="001B61C5" w:rsidRPr="00BB4FB8">
        <w:t>.</w:t>
      </w:r>
      <w:r w:rsidR="0009600C" w:rsidRPr="00BB4FB8">
        <w:rPr>
          <w:rStyle w:val="FootnoteReference"/>
          <w:b/>
          <w:color w:val="FF0000"/>
        </w:rPr>
        <w:footnoteReference w:id="1"/>
      </w:r>
      <w:r w:rsidR="0009600C" w:rsidRPr="00BB4FB8">
        <w:t xml:space="preserve"> Each TOP shall develop, maintain, and implement a GMD Operating Procedure or Process to mitigate the effects of GMD events on the reliable operation of its respective system.</w:t>
      </w:r>
      <w:r w:rsidR="0009600C" w:rsidRPr="00BB4FB8">
        <w:rPr>
          <w:rStyle w:val="FootnoteReference"/>
          <w:b/>
          <w:color w:val="FF0000"/>
        </w:rPr>
        <w:footnoteReference w:id="2"/>
      </w:r>
    </w:p>
    <w:p w14:paraId="27DA6DB4" w14:textId="77777777" w:rsidR="00583128" w:rsidRPr="00BB4FB8" w:rsidRDefault="00583128" w:rsidP="00583128">
      <w:pPr>
        <w:spacing w:after="0" w:line="240" w:lineRule="auto"/>
        <w:ind w:left="274" w:right="274"/>
      </w:pPr>
    </w:p>
    <w:p w14:paraId="279EF2DF" w14:textId="4F45C25A" w:rsidR="00E5205B" w:rsidRPr="00BB4FB8" w:rsidRDefault="00E5205B" w:rsidP="00E5205B">
      <w:pPr>
        <w:pStyle w:val="Heading2"/>
      </w:pPr>
      <w:r w:rsidRPr="00BB4FB8">
        <w:t>Review Scope</w:t>
      </w:r>
    </w:p>
    <w:p w14:paraId="4F27AF24" w14:textId="3F80939B" w:rsidR="006D3BFF" w:rsidRPr="00BB4FB8" w:rsidRDefault="00EF684D" w:rsidP="00AD15AC">
      <w:pPr>
        <w:ind w:left="270" w:right="270"/>
        <w:jc w:val="both"/>
      </w:pPr>
      <w:r w:rsidRPr="00BB4FB8">
        <w:t>RC</w:t>
      </w:r>
      <w:r w:rsidR="00A82E65" w:rsidRPr="00BB4FB8">
        <w:t xml:space="preserve"> West</w:t>
      </w:r>
      <w:r w:rsidRPr="00BB4FB8">
        <w:t>’s review will focus on compatibility and inter-dependencies with</w:t>
      </w:r>
      <w:r w:rsidR="001B61C5" w:rsidRPr="00BB4FB8">
        <w:t>in</w:t>
      </w:r>
      <w:r w:rsidRPr="00BB4FB8">
        <w:t xml:space="preserve"> </w:t>
      </w:r>
      <w:r w:rsidR="0009600C" w:rsidRPr="00BB4FB8">
        <w:t xml:space="preserve">the RC </w:t>
      </w:r>
      <w:r w:rsidR="000D21DB" w:rsidRPr="00BB4FB8">
        <w:t>Operating P</w:t>
      </w:r>
      <w:r w:rsidR="0009600C" w:rsidRPr="00BB4FB8">
        <w:t xml:space="preserve">lan and </w:t>
      </w:r>
      <w:r w:rsidRPr="00BB4FB8">
        <w:t xml:space="preserve">other TOP </w:t>
      </w:r>
      <w:r w:rsidR="00A82E65" w:rsidRPr="00BB4FB8">
        <w:t>plans, which</w:t>
      </w:r>
      <w:r w:rsidRPr="00BB4FB8">
        <w:t xml:space="preserve"> could result in inconsistencies or con</w:t>
      </w:r>
      <w:r w:rsidR="001E3478" w:rsidRPr="00BB4FB8">
        <w:t>flicts in emergency situations.  The review scope will focus on processes with impacts between entities</w:t>
      </w:r>
      <w:r w:rsidR="006D3BFF" w:rsidRPr="00BB4FB8">
        <w:t>.</w:t>
      </w:r>
    </w:p>
    <w:p w14:paraId="40CD6DD2" w14:textId="082142F2" w:rsidR="00E5205B" w:rsidRPr="00BB4FB8" w:rsidRDefault="000557C3" w:rsidP="00AD15AC">
      <w:pPr>
        <w:spacing w:before="120" w:line="240" w:lineRule="auto"/>
        <w:ind w:left="274" w:right="274"/>
        <w:jc w:val="both"/>
        <w:rPr>
          <w:i/>
        </w:rPr>
      </w:pPr>
      <w:r w:rsidRPr="00BB4FB8">
        <w:rPr>
          <w:b/>
          <w:i/>
        </w:rPr>
        <w:t>Note:</w:t>
      </w:r>
      <w:r w:rsidRPr="00BB4FB8">
        <w:rPr>
          <w:i/>
        </w:rPr>
        <w:t xml:space="preserve"> </w:t>
      </w:r>
      <w:r w:rsidR="00C95D60" w:rsidRPr="00BB4FB8">
        <w:rPr>
          <w:i/>
        </w:rPr>
        <w:t xml:space="preserve">The TOP’s </w:t>
      </w:r>
      <w:r w:rsidR="000D21DB" w:rsidRPr="00BB4FB8">
        <w:rPr>
          <w:i/>
        </w:rPr>
        <w:t>GMD document</w:t>
      </w:r>
      <w:r w:rsidR="00E5205B" w:rsidRPr="00BB4FB8">
        <w:rPr>
          <w:i/>
        </w:rPr>
        <w:t xml:space="preserve"> may not include all the elements </w:t>
      </w:r>
      <w:r w:rsidR="001E3478" w:rsidRPr="00BB4FB8">
        <w:rPr>
          <w:i/>
        </w:rPr>
        <w:t>required in EOP-01</w:t>
      </w:r>
      <w:r w:rsidR="00C95D60" w:rsidRPr="00BB4FB8">
        <w:rPr>
          <w:i/>
        </w:rPr>
        <w:t>0-1</w:t>
      </w:r>
      <w:r w:rsidR="00E5205B" w:rsidRPr="00BB4FB8">
        <w:rPr>
          <w:i/>
        </w:rPr>
        <w:t>. Th</w:t>
      </w:r>
      <w:r w:rsidR="001E3478" w:rsidRPr="00BB4FB8">
        <w:rPr>
          <w:i/>
        </w:rPr>
        <w:t xml:space="preserve">erefore, if any of the requirements </w:t>
      </w:r>
      <w:r w:rsidR="00E5205B" w:rsidRPr="00BB4FB8">
        <w:rPr>
          <w:i/>
        </w:rPr>
        <w:t>are not applicable to your entity, please note as much</w:t>
      </w:r>
      <w:r w:rsidR="001E3478" w:rsidRPr="00BB4FB8">
        <w:rPr>
          <w:i/>
        </w:rPr>
        <w:t xml:space="preserve"> in this checklist or in the </w:t>
      </w:r>
      <w:r w:rsidR="000D21DB" w:rsidRPr="00BB4FB8">
        <w:rPr>
          <w:i/>
        </w:rPr>
        <w:t>GMD document</w:t>
      </w:r>
      <w:r w:rsidR="00E5205B" w:rsidRPr="00BB4FB8">
        <w:rPr>
          <w:i/>
        </w:rPr>
        <w:t xml:space="preserve"> and explain why it is not applicable.</w:t>
      </w:r>
    </w:p>
    <w:p w14:paraId="73DCCD50" w14:textId="77777777" w:rsidR="00E5205B" w:rsidRPr="00BB4FB8" w:rsidRDefault="00E5205B" w:rsidP="00583128">
      <w:pPr>
        <w:spacing w:after="0" w:line="240" w:lineRule="auto"/>
        <w:ind w:left="274" w:right="274"/>
      </w:pPr>
    </w:p>
    <w:p w14:paraId="6C73A999" w14:textId="4D28CDCC" w:rsidR="00E5205B" w:rsidRPr="00BB4FB8" w:rsidRDefault="00E5205B" w:rsidP="00E5205B">
      <w:pPr>
        <w:pStyle w:val="Heading2"/>
      </w:pPr>
      <w:r w:rsidRPr="00BB4FB8">
        <w:t>Plan Review Process</w:t>
      </w:r>
    </w:p>
    <w:p w14:paraId="5872C6FB" w14:textId="72D7B057" w:rsidR="005328CC" w:rsidRPr="00BB4FB8" w:rsidRDefault="00E73844" w:rsidP="00AD15AC">
      <w:pPr>
        <w:spacing w:before="120" w:after="0" w:line="240" w:lineRule="auto"/>
        <w:ind w:left="270" w:right="270"/>
        <w:jc w:val="both"/>
      </w:pPr>
      <w:r w:rsidRPr="00BB4FB8">
        <w:t xml:space="preserve">Each </w:t>
      </w:r>
      <w:r w:rsidR="007B1C5B" w:rsidRPr="00BB4FB8">
        <w:t>TOP</w:t>
      </w:r>
      <w:r w:rsidR="00C95D60" w:rsidRPr="00BB4FB8">
        <w:t xml:space="preserve"> </w:t>
      </w:r>
      <w:r w:rsidRPr="00BB4FB8">
        <w:t xml:space="preserve">in the RC </w:t>
      </w:r>
      <w:r w:rsidR="00A82E65" w:rsidRPr="00BB4FB8">
        <w:t xml:space="preserve">West </w:t>
      </w:r>
      <w:r w:rsidRPr="00BB4FB8">
        <w:t xml:space="preserve">area </w:t>
      </w:r>
      <w:r w:rsidR="007B1C5B" w:rsidRPr="00BB4FB8">
        <w:t xml:space="preserve">shall </w:t>
      </w:r>
      <w:r w:rsidR="0063751E" w:rsidRPr="00BB4FB8">
        <w:t xml:space="preserve">maintain their </w:t>
      </w:r>
      <w:r w:rsidR="000D21DB" w:rsidRPr="00BB4FB8">
        <w:t>GMD documents</w:t>
      </w:r>
      <w:r w:rsidR="0063751E" w:rsidRPr="00BB4FB8">
        <w:t xml:space="preserve"> </w:t>
      </w:r>
      <w:r w:rsidRPr="00BB4FB8">
        <w:t xml:space="preserve">as needed, </w:t>
      </w:r>
      <w:r w:rsidR="00EF684D" w:rsidRPr="00BB4FB8">
        <w:t xml:space="preserve">and </w:t>
      </w:r>
      <w:r w:rsidR="007B1C5B" w:rsidRPr="00BB4FB8">
        <w:t xml:space="preserve">submit this checklist along with its </w:t>
      </w:r>
      <w:r w:rsidR="00EF684D" w:rsidRPr="00BB4FB8">
        <w:t>EOP-01</w:t>
      </w:r>
      <w:r w:rsidR="0009600C" w:rsidRPr="00BB4FB8">
        <w:t>0</w:t>
      </w:r>
      <w:r w:rsidR="00EF684D" w:rsidRPr="00BB4FB8">
        <w:t xml:space="preserve"> Operating </w:t>
      </w:r>
      <w:r w:rsidR="00E370F0" w:rsidRPr="00BB4FB8">
        <w:t>P</w:t>
      </w:r>
      <w:r w:rsidR="000D21DB" w:rsidRPr="00BB4FB8">
        <w:t>rocedure or Process</w:t>
      </w:r>
      <w:r w:rsidR="00C53FB4" w:rsidRPr="00BB4FB8">
        <w:t>,</w:t>
      </w:r>
      <w:r w:rsidR="00EF684D" w:rsidRPr="00BB4FB8">
        <w:t xml:space="preserve"> each time the </w:t>
      </w:r>
      <w:r w:rsidR="000D21DB" w:rsidRPr="00BB4FB8">
        <w:t>document</w:t>
      </w:r>
      <w:r w:rsidR="00EF684D" w:rsidRPr="00BB4FB8">
        <w:t xml:space="preserve"> </w:t>
      </w:r>
      <w:r w:rsidR="00A6525F" w:rsidRPr="00BB4FB8">
        <w:t>is updated</w:t>
      </w:r>
      <w:r w:rsidR="00C53FB4" w:rsidRPr="00BB4FB8">
        <w:t>,</w:t>
      </w:r>
      <w:r w:rsidR="00BC0555" w:rsidRPr="00BB4FB8">
        <w:t xml:space="preserve"> via the RC</w:t>
      </w:r>
      <w:r w:rsidR="00A82E65" w:rsidRPr="00BB4FB8">
        <w:t xml:space="preserve"> West</w:t>
      </w:r>
      <w:r w:rsidR="00BC0555" w:rsidRPr="00BB4FB8">
        <w:t xml:space="preserve"> </w:t>
      </w:r>
      <w:r w:rsidR="00F60680" w:rsidRPr="00BB4FB8">
        <w:t>Portal</w:t>
      </w:r>
      <w:r w:rsidR="00BC0555" w:rsidRPr="00BB4FB8">
        <w:t xml:space="preserve"> </w:t>
      </w:r>
      <w:r w:rsidR="007869B9" w:rsidRPr="00BB4FB8">
        <w:t xml:space="preserve">&gt; Plan Review Submissions library </w:t>
      </w:r>
      <w:r w:rsidR="00BC0555" w:rsidRPr="00BB4FB8">
        <w:t>or</w:t>
      </w:r>
      <w:r w:rsidR="00FB5118" w:rsidRPr="00BB4FB8">
        <w:t xml:space="preserve"> by</w:t>
      </w:r>
      <w:r w:rsidR="00BC0555" w:rsidRPr="00BB4FB8">
        <w:t xml:space="preserve"> e</w:t>
      </w:r>
      <w:r w:rsidR="001B61C5" w:rsidRPr="00BB4FB8">
        <w:t>-</w:t>
      </w:r>
      <w:r w:rsidR="00BC0555" w:rsidRPr="00BB4FB8">
        <w:t xml:space="preserve">mail directly to </w:t>
      </w:r>
      <w:hyperlink r:id="rId12" w:history="1">
        <w:r w:rsidR="000F2C3A" w:rsidRPr="006C0AA9">
          <w:rPr>
            <w:rStyle w:val="Hyperlink"/>
          </w:rPr>
          <w:t>ProcedureControl</w:t>
        </w:r>
        <w:r w:rsidR="000F2C3A" w:rsidRPr="00BB4FB8">
          <w:rPr>
            <w:rStyle w:val="Hyperlink"/>
          </w:rPr>
          <w:t>@caiso.com</w:t>
        </w:r>
      </w:hyperlink>
      <w:r w:rsidR="000F2C3A" w:rsidRPr="00BB4FB8">
        <w:t>.</w:t>
      </w:r>
      <w:hyperlink r:id="rId13" w:history="1"/>
      <w:r w:rsidR="00A6525F" w:rsidRPr="00BB4FB8">
        <w:t xml:space="preserve">  </w:t>
      </w:r>
    </w:p>
    <w:p w14:paraId="4E196B55" w14:textId="01775C0B" w:rsidR="008347EF" w:rsidRPr="00BB4FB8" w:rsidRDefault="008347EF" w:rsidP="00AD15AC">
      <w:pPr>
        <w:spacing w:before="120" w:after="0" w:line="240" w:lineRule="auto"/>
        <w:ind w:left="270" w:right="270"/>
        <w:jc w:val="both"/>
        <w:rPr>
          <w:i/>
        </w:rPr>
      </w:pPr>
      <w:r w:rsidRPr="00BB4FB8">
        <w:rPr>
          <w:b/>
          <w:i/>
        </w:rPr>
        <w:t xml:space="preserve">Note: </w:t>
      </w:r>
      <w:r w:rsidRPr="00BB4FB8">
        <w:rPr>
          <w:i/>
        </w:rPr>
        <w:t xml:space="preserve">There is not </w:t>
      </w:r>
      <w:r w:rsidR="00021D9E" w:rsidRPr="00BB4FB8">
        <w:rPr>
          <w:i/>
        </w:rPr>
        <w:t>an annual or periodic update requirement</w:t>
      </w:r>
      <w:r w:rsidRPr="00BB4FB8">
        <w:rPr>
          <w:i/>
        </w:rPr>
        <w:t xml:space="preserve">, however if responsible entities are able to maintain a consistent submission schedule, it can help with workload planning.  </w:t>
      </w:r>
    </w:p>
    <w:p w14:paraId="145B5ED4" w14:textId="07C00720" w:rsidR="0009600C" w:rsidRPr="00BB4FB8" w:rsidRDefault="0009600C" w:rsidP="00AD15AC">
      <w:pPr>
        <w:spacing w:before="120" w:after="0" w:line="240" w:lineRule="auto"/>
        <w:ind w:left="270" w:right="270"/>
        <w:jc w:val="both"/>
      </w:pPr>
      <w:r w:rsidRPr="00BB4FB8">
        <w:t>Within 30 calendar days of receipt, RC</w:t>
      </w:r>
      <w:r w:rsidR="00A82E65" w:rsidRPr="00BB4FB8">
        <w:t xml:space="preserve"> West</w:t>
      </w:r>
      <w:r w:rsidRPr="00BB4FB8">
        <w:t xml:space="preserve"> shall:</w:t>
      </w:r>
    </w:p>
    <w:p w14:paraId="25B8BF44" w14:textId="48AAF251" w:rsidR="0009600C" w:rsidRPr="00BB4FB8" w:rsidRDefault="0009600C" w:rsidP="00AD15AC">
      <w:pPr>
        <w:pStyle w:val="ListParagraph"/>
        <w:numPr>
          <w:ilvl w:val="0"/>
          <w:numId w:val="25"/>
        </w:numPr>
        <w:spacing w:before="120"/>
        <w:ind w:right="270"/>
        <w:jc w:val="both"/>
      </w:pPr>
      <w:r w:rsidRPr="00BB4FB8">
        <w:t xml:space="preserve">Review each submitted GMD </w:t>
      </w:r>
      <w:r w:rsidR="000D21DB" w:rsidRPr="00BB4FB8">
        <w:t>document</w:t>
      </w:r>
      <w:r w:rsidRPr="00BB4FB8">
        <w:t xml:space="preserve"> on the basis of compatibility and inter-dependency with other TOPs’ </w:t>
      </w:r>
      <w:r w:rsidR="000D21DB" w:rsidRPr="00BB4FB8">
        <w:t xml:space="preserve">documents and </w:t>
      </w:r>
      <w:r w:rsidRPr="00BB4FB8">
        <w:t>to ensur</w:t>
      </w:r>
      <w:r w:rsidR="000D21DB" w:rsidRPr="00BB4FB8">
        <w:t>e there are no conflicts,</w:t>
      </w:r>
    </w:p>
    <w:p w14:paraId="3B8E66B9" w14:textId="1D9DD477" w:rsidR="0009600C" w:rsidRPr="00BB4FB8" w:rsidRDefault="0009600C" w:rsidP="00AD15AC">
      <w:pPr>
        <w:pStyle w:val="ListParagraph"/>
        <w:numPr>
          <w:ilvl w:val="0"/>
          <w:numId w:val="25"/>
        </w:numPr>
        <w:spacing w:before="120"/>
        <w:ind w:right="270"/>
        <w:jc w:val="both"/>
      </w:pPr>
      <w:r w:rsidRPr="00BB4FB8">
        <w:t xml:space="preserve">Review each submitted GMD </w:t>
      </w:r>
      <w:r w:rsidR="000D21DB" w:rsidRPr="00BB4FB8">
        <w:t>document</w:t>
      </w:r>
      <w:r w:rsidRPr="00BB4FB8">
        <w:t xml:space="preserve"> for coordination to avoid risk to Wide</w:t>
      </w:r>
      <w:r w:rsidR="001B61C5" w:rsidRPr="00BB4FB8">
        <w:t>-</w:t>
      </w:r>
      <w:r w:rsidRPr="00BB4FB8">
        <w:t xml:space="preserve">Area </w:t>
      </w:r>
      <w:r w:rsidR="001B61C5" w:rsidRPr="00BB4FB8">
        <w:t>Reliability</w:t>
      </w:r>
      <w:r w:rsidRPr="00BB4FB8">
        <w:t>, and</w:t>
      </w:r>
      <w:r w:rsidR="00C95D60" w:rsidRPr="00BB4FB8">
        <w:t xml:space="preserve"> </w:t>
      </w:r>
    </w:p>
    <w:p w14:paraId="6107AAEF" w14:textId="4AEC9180" w:rsidR="0009600C" w:rsidRPr="00BB4FB8" w:rsidRDefault="0009600C" w:rsidP="00AD15AC">
      <w:pPr>
        <w:pStyle w:val="ListParagraph"/>
        <w:numPr>
          <w:ilvl w:val="0"/>
          <w:numId w:val="25"/>
        </w:numPr>
        <w:spacing w:before="120"/>
        <w:ind w:right="270"/>
        <w:jc w:val="both"/>
      </w:pPr>
      <w:r w:rsidRPr="00BB4FB8">
        <w:t xml:space="preserve">Notify each submitting TOP of the results of its review, specifying any timeframe for resubmittal of its GMD </w:t>
      </w:r>
      <w:r w:rsidR="000D21DB" w:rsidRPr="00BB4FB8">
        <w:t>document</w:t>
      </w:r>
      <w:r w:rsidRPr="00BB4FB8">
        <w:t xml:space="preserve"> if revisions are identified.</w:t>
      </w:r>
    </w:p>
    <w:p w14:paraId="7E3589F5" w14:textId="631620FD" w:rsidR="0009600C" w:rsidRPr="00BB4FB8" w:rsidRDefault="0009600C" w:rsidP="00AD15AC">
      <w:pPr>
        <w:spacing w:before="120" w:after="0" w:line="240" w:lineRule="auto"/>
        <w:ind w:left="270" w:right="270"/>
        <w:jc w:val="both"/>
      </w:pPr>
      <w:r w:rsidRPr="00BB4FB8">
        <w:t xml:space="preserve">Each TOP shall address any reliability risks identified by RC </w:t>
      </w:r>
      <w:r w:rsidR="00A82E65" w:rsidRPr="00BB4FB8">
        <w:t xml:space="preserve">West </w:t>
      </w:r>
      <w:r w:rsidRPr="00BB4FB8">
        <w:t xml:space="preserve">and resubmit its GMD </w:t>
      </w:r>
      <w:r w:rsidR="000D21DB" w:rsidRPr="00BB4FB8">
        <w:t>document</w:t>
      </w:r>
      <w:r w:rsidRPr="00BB4FB8">
        <w:t xml:space="preserve"> to RC </w:t>
      </w:r>
      <w:r w:rsidR="00A82E65" w:rsidRPr="00BB4FB8">
        <w:t xml:space="preserve">West </w:t>
      </w:r>
      <w:r w:rsidRPr="00BB4FB8">
        <w:t>within the specified time period.</w:t>
      </w:r>
    </w:p>
    <w:p w14:paraId="10029426" w14:textId="62FC702F" w:rsidR="00C36AFD" w:rsidRPr="00BB4FB8" w:rsidRDefault="00C36AFD" w:rsidP="00AD15AC">
      <w:pPr>
        <w:spacing w:before="120" w:after="0" w:line="240" w:lineRule="auto"/>
        <w:ind w:left="270" w:right="270"/>
        <w:jc w:val="both"/>
      </w:pPr>
      <w:r w:rsidRPr="00BB4FB8">
        <w:t>Upon RC</w:t>
      </w:r>
      <w:r w:rsidR="00A82E65" w:rsidRPr="00BB4FB8">
        <w:t xml:space="preserve"> West</w:t>
      </w:r>
      <w:r w:rsidRPr="00BB4FB8">
        <w:t xml:space="preserve">’s completion of the review process, the RC will post </w:t>
      </w:r>
      <w:r w:rsidR="00E73844" w:rsidRPr="00BB4FB8">
        <w:t>a review</w:t>
      </w:r>
      <w:r w:rsidRPr="00BB4FB8">
        <w:t xml:space="preserve"> letter to the secur</w:t>
      </w:r>
      <w:r w:rsidR="00E73844" w:rsidRPr="00BB4FB8">
        <w:t>e site and notify the submitter</w:t>
      </w:r>
      <w:r w:rsidRPr="00BB4FB8">
        <w:t>.</w:t>
      </w:r>
      <w:r w:rsidR="008F0793" w:rsidRPr="00BB4FB8">
        <w:t xml:space="preserve">  If the </w:t>
      </w:r>
      <w:r w:rsidR="00037A64" w:rsidRPr="00BB4FB8">
        <w:t>submitter is</w:t>
      </w:r>
      <w:r w:rsidR="00E73844" w:rsidRPr="00BB4FB8">
        <w:t xml:space="preserve"> coordinating with other entities</w:t>
      </w:r>
      <w:r w:rsidR="008F0793" w:rsidRPr="00BB4FB8">
        <w:t xml:space="preserve"> in its area, a separate </w:t>
      </w:r>
      <w:r w:rsidR="00E73844" w:rsidRPr="00BB4FB8">
        <w:t xml:space="preserve">review </w:t>
      </w:r>
      <w:r w:rsidR="008F0793" w:rsidRPr="00BB4FB8">
        <w:t>let</w:t>
      </w:r>
      <w:r w:rsidR="00E73844" w:rsidRPr="00BB4FB8">
        <w:t>ter will be posted for each entity.</w:t>
      </w:r>
    </w:p>
    <w:p w14:paraId="74814727" w14:textId="293B5E98" w:rsidR="00C36AFD" w:rsidRPr="00BB4FB8" w:rsidRDefault="00C36AFD" w:rsidP="00B4164D">
      <w:pPr>
        <w:spacing w:before="120" w:after="0" w:line="240" w:lineRule="auto"/>
        <w:ind w:right="270"/>
      </w:pPr>
    </w:p>
    <w:p w14:paraId="65A8C7CE" w14:textId="72F0A1C4" w:rsidR="00C95D60" w:rsidRPr="00BB4FB8" w:rsidRDefault="00C95D60" w:rsidP="00B4164D">
      <w:pPr>
        <w:spacing w:before="120" w:after="0" w:line="240" w:lineRule="auto"/>
        <w:ind w:right="270"/>
      </w:pPr>
    </w:p>
    <w:p w14:paraId="516D30AD" w14:textId="77777777" w:rsidR="000D21DB" w:rsidRPr="00BB4FB8" w:rsidRDefault="000D21DB" w:rsidP="00B4164D">
      <w:pPr>
        <w:spacing w:before="120" w:after="0" w:line="240" w:lineRule="auto"/>
        <w:ind w:right="270"/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2245"/>
        <w:gridCol w:w="7250"/>
      </w:tblGrid>
      <w:tr w:rsidR="008F0793" w:rsidRPr="00BB4FB8" w14:paraId="110567FD" w14:textId="77777777" w:rsidTr="006C0AA9">
        <w:tc>
          <w:tcPr>
            <w:tcW w:w="9495" w:type="dxa"/>
            <w:gridSpan w:val="2"/>
            <w:shd w:val="clear" w:color="auto" w:fill="BDD6EE" w:themeFill="accent1" w:themeFillTint="66"/>
          </w:tcPr>
          <w:p w14:paraId="3E1043CA" w14:textId="1562211A" w:rsidR="008F0793" w:rsidRPr="00BB4FB8" w:rsidRDefault="008F0793" w:rsidP="00C95D60">
            <w:pPr>
              <w:spacing w:before="60" w:after="60"/>
              <w:jc w:val="center"/>
              <w:rPr>
                <w:b/>
              </w:rPr>
            </w:pPr>
            <w:r w:rsidRPr="00BB4FB8">
              <w:rPr>
                <w:b/>
              </w:rPr>
              <w:t>Submitting TOP Contact Information</w:t>
            </w:r>
          </w:p>
        </w:tc>
      </w:tr>
      <w:tr w:rsidR="00346060" w:rsidRPr="00BB4FB8" w14:paraId="19FC8C31" w14:textId="77777777" w:rsidTr="006C0AA9">
        <w:tc>
          <w:tcPr>
            <w:tcW w:w="2245" w:type="dxa"/>
            <w:vAlign w:val="center"/>
          </w:tcPr>
          <w:p w14:paraId="177312F4" w14:textId="4B551DFB" w:rsidR="00346060" w:rsidRPr="00BB4FB8" w:rsidRDefault="00346060" w:rsidP="009F759A">
            <w:pPr>
              <w:spacing w:before="120"/>
            </w:pPr>
            <w:r w:rsidRPr="00BB4FB8">
              <w:t>Entity Name:</w:t>
            </w:r>
          </w:p>
        </w:tc>
        <w:tc>
          <w:tcPr>
            <w:tcW w:w="7250" w:type="dxa"/>
            <w:vAlign w:val="center"/>
          </w:tcPr>
          <w:p w14:paraId="34AADD67" w14:textId="77777777" w:rsidR="00346060" w:rsidRPr="00BB4FB8" w:rsidRDefault="00346060" w:rsidP="009F759A">
            <w:pPr>
              <w:spacing w:before="120"/>
            </w:pPr>
          </w:p>
        </w:tc>
      </w:tr>
      <w:tr w:rsidR="00C95D60" w:rsidRPr="00BB4FB8" w14:paraId="45ED212A" w14:textId="77777777" w:rsidTr="006C0AA9">
        <w:trPr>
          <w:trHeight w:val="908"/>
        </w:trPr>
        <w:tc>
          <w:tcPr>
            <w:tcW w:w="2245" w:type="dxa"/>
          </w:tcPr>
          <w:p w14:paraId="2FB915FC" w14:textId="391A81F3" w:rsidR="00C95D60" w:rsidRPr="00BB4FB8" w:rsidRDefault="00C95D60" w:rsidP="00C95D60">
            <w:pPr>
              <w:spacing w:before="120"/>
            </w:pPr>
            <w:r w:rsidRPr="00BB4FB8">
              <w:t>Title, Version, Planned Effective Date</w:t>
            </w:r>
          </w:p>
        </w:tc>
        <w:tc>
          <w:tcPr>
            <w:tcW w:w="7250" w:type="dxa"/>
            <w:shd w:val="clear" w:color="auto" w:fill="auto"/>
          </w:tcPr>
          <w:p w14:paraId="6A8D3312" w14:textId="2C4C9133" w:rsidR="00C95D60" w:rsidRPr="00BB4FB8" w:rsidRDefault="00C95D60" w:rsidP="00C95D60">
            <w:pPr>
              <w:spacing w:before="120"/>
              <w:rPr>
                <w:b/>
                <w:i/>
                <w:sz w:val="20"/>
              </w:rPr>
            </w:pPr>
          </w:p>
        </w:tc>
      </w:tr>
      <w:tr w:rsidR="00562C27" w:rsidRPr="00BB4FB8" w14:paraId="694ACB19" w14:textId="77777777" w:rsidTr="006C0AA9">
        <w:tc>
          <w:tcPr>
            <w:tcW w:w="2245" w:type="dxa"/>
          </w:tcPr>
          <w:p w14:paraId="475D8FBE" w14:textId="77777777" w:rsidR="00562C27" w:rsidRPr="00BB4FB8" w:rsidRDefault="00562C27" w:rsidP="001E3478">
            <w:pPr>
              <w:spacing w:before="120"/>
            </w:pPr>
            <w:r w:rsidRPr="00BB4FB8">
              <w:t>Date Submitted:</w:t>
            </w:r>
          </w:p>
        </w:tc>
        <w:tc>
          <w:tcPr>
            <w:tcW w:w="7250" w:type="dxa"/>
          </w:tcPr>
          <w:p w14:paraId="6B605286" w14:textId="77777777" w:rsidR="00562C27" w:rsidRPr="00BB4FB8" w:rsidRDefault="00562C27" w:rsidP="001E3478">
            <w:pPr>
              <w:spacing w:before="120"/>
            </w:pPr>
          </w:p>
        </w:tc>
      </w:tr>
      <w:tr w:rsidR="00346060" w:rsidRPr="00BB4FB8" w14:paraId="48773B9B" w14:textId="77777777" w:rsidTr="006C0AA9">
        <w:tc>
          <w:tcPr>
            <w:tcW w:w="2245" w:type="dxa"/>
            <w:vAlign w:val="center"/>
          </w:tcPr>
          <w:p w14:paraId="68A19BED" w14:textId="351F179F" w:rsidR="00346060" w:rsidRPr="00BB4FB8" w:rsidRDefault="00E565E6" w:rsidP="009F759A">
            <w:pPr>
              <w:spacing w:before="120"/>
            </w:pPr>
            <w:r w:rsidRPr="00BB4FB8">
              <w:t>Name:</w:t>
            </w:r>
          </w:p>
        </w:tc>
        <w:tc>
          <w:tcPr>
            <w:tcW w:w="7250" w:type="dxa"/>
            <w:vAlign w:val="center"/>
          </w:tcPr>
          <w:p w14:paraId="1AE7C4D7" w14:textId="77777777" w:rsidR="00346060" w:rsidRPr="00BB4FB8" w:rsidRDefault="00346060" w:rsidP="009F759A">
            <w:pPr>
              <w:spacing w:before="120"/>
            </w:pPr>
          </w:p>
        </w:tc>
      </w:tr>
      <w:tr w:rsidR="00346060" w:rsidRPr="00BB4FB8" w14:paraId="26796D59" w14:textId="77777777" w:rsidTr="006C0AA9">
        <w:tc>
          <w:tcPr>
            <w:tcW w:w="2245" w:type="dxa"/>
            <w:vAlign w:val="center"/>
          </w:tcPr>
          <w:p w14:paraId="2136786F" w14:textId="37C2CD92" w:rsidR="00346060" w:rsidRPr="00BB4FB8" w:rsidRDefault="00E565E6" w:rsidP="009F759A">
            <w:pPr>
              <w:spacing w:before="120"/>
            </w:pPr>
            <w:r w:rsidRPr="00BB4FB8">
              <w:t>Title:</w:t>
            </w:r>
          </w:p>
        </w:tc>
        <w:tc>
          <w:tcPr>
            <w:tcW w:w="7250" w:type="dxa"/>
            <w:vAlign w:val="center"/>
          </w:tcPr>
          <w:p w14:paraId="41B70CF8" w14:textId="77777777" w:rsidR="00346060" w:rsidRPr="00BB4FB8" w:rsidRDefault="00346060" w:rsidP="009F759A">
            <w:pPr>
              <w:spacing w:before="120"/>
            </w:pPr>
          </w:p>
        </w:tc>
      </w:tr>
      <w:tr w:rsidR="00346060" w:rsidRPr="00BB4FB8" w14:paraId="7DD7E78F" w14:textId="77777777" w:rsidTr="006C0AA9">
        <w:tc>
          <w:tcPr>
            <w:tcW w:w="2245" w:type="dxa"/>
            <w:vAlign w:val="center"/>
          </w:tcPr>
          <w:p w14:paraId="1B64AE59" w14:textId="77AA5E99" w:rsidR="00346060" w:rsidRPr="00BB4FB8" w:rsidRDefault="00E565E6" w:rsidP="009F759A">
            <w:pPr>
              <w:spacing w:before="120"/>
            </w:pPr>
            <w:r w:rsidRPr="00BB4FB8">
              <w:t>Department:</w:t>
            </w:r>
          </w:p>
        </w:tc>
        <w:tc>
          <w:tcPr>
            <w:tcW w:w="7250" w:type="dxa"/>
            <w:vAlign w:val="center"/>
          </w:tcPr>
          <w:p w14:paraId="00815CF6" w14:textId="77777777" w:rsidR="00346060" w:rsidRPr="00BB4FB8" w:rsidRDefault="00346060" w:rsidP="009F759A">
            <w:pPr>
              <w:spacing w:before="120"/>
            </w:pPr>
          </w:p>
        </w:tc>
      </w:tr>
      <w:tr w:rsidR="00E565E6" w:rsidRPr="00BB4FB8" w14:paraId="5C02EB5A" w14:textId="77777777" w:rsidTr="006C0AA9">
        <w:tc>
          <w:tcPr>
            <w:tcW w:w="2245" w:type="dxa"/>
            <w:vAlign w:val="center"/>
          </w:tcPr>
          <w:p w14:paraId="3FE666E5" w14:textId="437D39DB" w:rsidR="00E565E6" w:rsidRPr="00BB4FB8" w:rsidRDefault="00E565E6" w:rsidP="009F759A">
            <w:pPr>
              <w:spacing w:before="120"/>
            </w:pPr>
            <w:r w:rsidRPr="00BB4FB8">
              <w:t>Phone:</w:t>
            </w:r>
          </w:p>
        </w:tc>
        <w:tc>
          <w:tcPr>
            <w:tcW w:w="7250" w:type="dxa"/>
            <w:vAlign w:val="center"/>
          </w:tcPr>
          <w:p w14:paraId="05064147" w14:textId="77777777" w:rsidR="00E565E6" w:rsidRPr="00BB4FB8" w:rsidRDefault="00E565E6" w:rsidP="009F759A">
            <w:pPr>
              <w:spacing w:before="120"/>
            </w:pPr>
          </w:p>
        </w:tc>
      </w:tr>
      <w:tr w:rsidR="00E565E6" w:rsidRPr="00BB4FB8" w14:paraId="150041B6" w14:textId="77777777" w:rsidTr="006C0AA9">
        <w:tc>
          <w:tcPr>
            <w:tcW w:w="2245" w:type="dxa"/>
            <w:vAlign w:val="center"/>
          </w:tcPr>
          <w:p w14:paraId="75AAC9BF" w14:textId="4C2DE929" w:rsidR="00E565E6" w:rsidRPr="00BB4FB8" w:rsidRDefault="00E565E6" w:rsidP="009F759A">
            <w:pPr>
              <w:spacing w:before="120"/>
            </w:pPr>
            <w:r w:rsidRPr="00BB4FB8">
              <w:t>E</w:t>
            </w:r>
            <w:r w:rsidR="001B61C5" w:rsidRPr="00BB4FB8">
              <w:t>-</w:t>
            </w:r>
            <w:r w:rsidRPr="00BB4FB8">
              <w:t>mail Address:</w:t>
            </w:r>
          </w:p>
        </w:tc>
        <w:tc>
          <w:tcPr>
            <w:tcW w:w="7250" w:type="dxa"/>
            <w:vAlign w:val="center"/>
          </w:tcPr>
          <w:p w14:paraId="340A94EE" w14:textId="77777777" w:rsidR="00E565E6" w:rsidRPr="00BB4FB8" w:rsidRDefault="00E565E6" w:rsidP="009F759A">
            <w:pPr>
              <w:spacing w:before="120"/>
            </w:pPr>
          </w:p>
        </w:tc>
      </w:tr>
    </w:tbl>
    <w:p w14:paraId="1796CC30" w14:textId="7EF55C10" w:rsidR="007F0953" w:rsidRPr="00BB4FB8" w:rsidRDefault="007F0953" w:rsidP="009F759A">
      <w:pPr>
        <w:spacing w:before="0" w:after="0" w:line="240" w:lineRule="auto"/>
      </w:pPr>
    </w:p>
    <w:tbl>
      <w:tblPr>
        <w:tblStyle w:val="TableGrid"/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5035"/>
      </w:tblGrid>
      <w:tr w:rsidR="008F0793" w:rsidRPr="00BB4FB8" w14:paraId="0ACA154E" w14:textId="77777777" w:rsidTr="006C0AA9">
        <w:trPr>
          <w:tblHeader/>
        </w:trPr>
        <w:tc>
          <w:tcPr>
            <w:tcW w:w="9540" w:type="dxa"/>
            <w:gridSpan w:val="2"/>
            <w:shd w:val="clear" w:color="auto" w:fill="BDD6EE" w:themeFill="accent1" w:themeFillTint="66"/>
          </w:tcPr>
          <w:p w14:paraId="71815C98" w14:textId="14401A45" w:rsidR="008F0793" w:rsidRPr="00BB4FB8" w:rsidRDefault="008F0793" w:rsidP="00AE3281">
            <w:pPr>
              <w:spacing w:before="60" w:after="60"/>
              <w:jc w:val="center"/>
              <w:rPr>
                <w:b/>
              </w:rPr>
            </w:pPr>
            <w:r w:rsidRPr="00BB4FB8">
              <w:rPr>
                <w:b/>
              </w:rPr>
              <w:t>Coordination Information</w:t>
            </w:r>
          </w:p>
        </w:tc>
      </w:tr>
      <w:tr w:rsidR="008F0793" w:rsidRPr="00BB4FB8" w14:paraId="36C11517" w14:textId="77777777" w:rsidTr="006C0AA9">
        <w:tc>
          <w:tcPr>
            <w:tcW w:w="4505" w:type="dxa"/>
          </w:tcPr>
          <w:p w14:paraId="12EE63B8" w14:textId="1C815CA4" w:rsidR="008F0793" w:rsidRPr="00BB4FB8" w:rsidRDefault="008F0793" w:rsidP="009F759A">
            <w:pPr>
              <w:spacing w:before="120"/>
            </w:pPr>
            <w:r w:rsidRPr="00BB4FB8">
              <w:t xml:space="preserve">Is the submitting </w:t>
            </w:r>
            <w:r w:rsidR="003A6F0F" w:rsidRPr="00BB4FB8">
              <w:t>TOP</w:t>
            </w:r>
            <w:r w:rsidR="008777E7" w:rsidRPr="00BB4FB8">
              <w:t xml:space="preserve"> </w:t>
            </w:r>
            <w:r w:rsidRPr="00BB4FB8">
              <w:t xml:space="preserve">also submitting </w:t>
            </w:r>
            <w:r w:rsidR="003A6F0F" w:rsidRPr="00BB4FB8">
              <w:t>EOP-010</w:t>
            </w:r>
            <w:r w:rsidRPr="00BB4FB8">
              <w:t xml:space="preserve"> </w:t>
            </w:r>
            <w:r w:rsidR="000D21DB" w:rsidRPr="00BB4FB8">
              <w:t>documents</w:t>
            </w:r>
            <w:r w:rsidRPr="00BB4FB8">
              <w:t xml:space="preserve"> for review on behalf of other </w:t>
            </w:r>
            <w:r w:rsidR="00562C27" w:rsidRPr="00BB4FB8">
              <w:t>entitie</w:t>
            </w:r>
            <w:r w:rsidRPr="00BB4FB8">
              <w:t>s</w:t>
            </w:r>
            <w:r w:rsidR="00B071DD">
              <w:t xml:space="preserve"> </w:t>
            </w:r>
            <w:r w:rsidRPr="00BB4FB8">
              <w:t>(i.e.</w:t>
            </w:r>
            <w:r w:rsidR="00023981" w:rsidRPr="006C0AA9">
              <w:rPr>
                <w:highlight w:val="yellow"/>
              </w:rPr>
              <w:t>,</w:t>
            </w:r>
            <w:r w:rsidRPr="00BB4FB8">
              <w:t xml:space="preserve"> under a Coordinated Functional Registration Agreement)</w:t>
            </w:r>
            <w:r w:rsidR="00B071DD">
              <w:t>?</w:t>
            </w:r>
          </w:p>
          <w:p w14:paraId="059FFBF9" w14:textId="4FE4FF09" w:rsidR="008F0793" w:rsidRPr="00BB4FB8" w:rsidRDefault="008F0793" w:rsidP="009F759A">
            <w:pPr>
              <w:spacing w:before="120"/>
            </w:pPr>
            <w:r w:rsidRPr="00BB4FB8">
              <w:t>If so, please provide those Entity Names:</w:t>
            </w:r>
          </w:p>
        </w:tc>
        <w:tc>
          <w:tcPr>
            <w:tcW w:w="5035" w:type="dxa"/>
          </w:tcPr>
          <w:p w14:paraId="6592407E" w14:textId="77777777" w:rsidR="008F0793" w:rsidRPr="00BB4FB8" w:rsidRDefault="008F0793" w:rsidP="009F759A">
            <w:pPr>
              <w:spacing w:before="120"/>
            </w:pPr>
          </w:p>
        </w:tc>
      </w:tr>
      <w:tr w:rsidR="00371F2A" w:rsidRPr="00BB4FB8" w14:paraId="6C22A155" w14:textId="77777777" w:rsidTr="006C0AA9">
        <w:tc>
          <w:tcPr>
            <w:tcW w:w="4505" w:type="dxa"/>
          </w:tcPr>
          <w:p w14:paraId="234E8E40" w14:textId="42277999" w:rsidR="00371F2A" w:rsidRPr="00BB4FB8" w:rsidRDefault="00371F2A" w:rsidP="009F759A">
            <w:pPr>
              <w:spacing w:before="120"/>
            </w:pPr>
            <w:r w:rsidRPr="00BB4FB8">
              <w:t>Which</w:t>
            </w:r>
            <w:r w:rsidR="00562C27" w:rsidRPr="00BB4FB8">
              <w:t xml:space="preserve"> of the listed entitie</w:t>
            </w:r>
            <w:r w:rsidRPr="00BB4FB8">
              <w:t xml:space="preserve">s needs to </w:t>
            </w:r>
            <w:r w:rsidR="00562C27" w:rsidRPr="00BB4FB8">
              <w:t>receive a separate plan review</w:t>
            </w:r>
            <w:r w:rsidRPr="00BB4FB8">
              <w:t xml:space="preserve"> letter from the RC?</w:t>
            </w:r>
          </w:p>
        </w:tc>
        <w:tc>
          <w:tcPr>
            <w:tcW w:w="5035" w:type="dxa"/>
          </w:tcPr>
          <w:p w14:paraId="17B3E9F2" w14:textId="77777777" w:rsidR="00371F2A" w:rsidRPr="00BB4FB8" w:rsidRDefault="00371F2A" w:rsidP="009F759A">
            <w:pPr>
              <w:spacing w:before="120"/>
            </w:pPr>
          </w:p>
        </w:tc>
      </w:tr>
      <w:tr w:rsidR="00F73C80" w:rsidRPr="00BB4FB8" w14:paraId="6B22181E" w14:textId="77777777" w:rsidTr="006C0AA9">
        <w:tc>
          <w:tcPr>
            <w:tcW w:w="4505" w:type="dxa"/>
          </w:tcPr>
          <w:p w14:paraId="2C951FAC" w14:textId="1BA033DB" w:rsidR="00F73C80" w:rsidRPr="00BB4FB8" w:rsidRDefault="003A6F0F" w:rsidP="003A6F0F">
            <w:pPr>
              <w:spacing w:before="120"/>
            </w:pPr>
            <w:r w:rsidRPr="00BB4FB8">
              <w:t xml:space="preserve">In which </w:t>
            </w:r>
            <w:r w:rsidR="000605A0" w:rsidRPr="00BB4FB8">
              <w:t>BA Areas does the TOP operate?</w:t>
            </w:r>
          </w:p>
        </w:tc>
        <w:tc>
          <w:tcPr>
            <w:tcW w:w="5035" w:type="dxa"/>
          </w:tcPr>
          <w:p w14:paraId="6FECD130" w14:textId="77777777" w:rsidR="00F73C80" w:rsidRPr="00BB4FB8" w:rsidRDefault="00F73C80" w:rsidP="009F759A">
            <w:pPr>
              <w:spacing w:before="120"/>
            </w:pPr>
          </w:p>
        </w:tc>
      </w:tr>
      <w:tr w:rsidR="008F0793" w:rsidRPr="00BB4FB8" w14:paraId="4C46529B" w14:textId="77777777" w:rsidTr="006C0AA9">
        <w:tc>
          <w:tcPr>
            <w:tcW w:w="4505" w:type="dxa"/>
          </w:tcPr>
          <w:p w14:paraId="2852DBBD" w14:textId="6DED70A2" w:rsidR="008F0793" w:rsidRPr="00BB4FB8" w:rsidRDefault="008F0793" w:rsidP="00B071DD">
            <w:pPr>
              <w:spacing w:before="120" w:after="40"/>
            </w:pPr>
            <w:r w:rsidRPr="00BB4FB8">
              <w:t>Please list all entities coordinated within this plan (i.e.</w:t>
            </w:r>
            <w:r w:rsidR="00023981" w:rsidRPr="006C0AA9">
              <w:rPr>
                <w:highlight w:val="yellow"/>
              </w:rPr>
              <w:t>,</w:t>
            </w:r>
            <w:r w:rsidRPr="00BB4FB8">
              <w:t xml:space="preserve"> </w:t>
            </w:r>
            <w:r w:rsidR="003A6F0F" w:rsidRPr="00BB4FB8">
              <w:t xml:space="preserve">BA, internal to </w:t>
            </w:r>
            <w:r w:rsidRPr="00BB4FB8">
              <w:t>TOP area, neighboring TOPs, BAs, etc</w:t>
            </w:r>
            <w:r w:rsidR="00CB56E5" w:rsidRPr="00BB4FB8">
              <w:t>.</w:t>
            </w:r>
            <w:r w:rsidRPr="00BB4FB8">
              <w:t>)</w:t>
            </w:r>
            <w:r w:rsidR="00B071DD" w:rsidRPr="00B071DD">
              <w:rPr>
                <w:highlight w:val="yellow"/>
              </w:rPr>
              <w:t>:</w:t>
            </w:r>
          </w:p>
        </w:tc>
        <w:tc>
          <w:tcPr>
            <w:tcW w:w="5035" w:type="dxa"/>
          </w:tcPr>
          <w:p w14:paraId="0DC4A6F9" w14:textId="77777777" w:rsidR="008F0793" w:rsidRPr="00BB4FB8" w:rsidRDefault="008F0793" w:rsidP="009F759A">
            <w:pPr>
              <w:spacing w:before="120"/>
            </w:pPr>
          </w:p>
        </w:tc>
      </w:tr>
    </w:tbl>
    <w:p w14:paraId="6C16761A" w14:textId="2F508640" w:rsidR="008F0793" w:rsidRPr="00BB4FB8" w:rsidRDefault="008F0793" w:rsidP="0035516A">
      <w:pPr>
        <w:spacing w:before="0" w:after="0" w:line="240" w:lineRule="auto"/>
      </w:pPr>
    </w:p>
    <w:p w14:paraId="3F3B2023" w14:textId="77777777" w:rsidR="00583128" w:rsidRPr="00BB4FB8" w:rsidRDefault="00583128" w:rsidP="0035516A">
      <w:pPr>
        <w:spacing w:before="0" w:after="0" w:line="240" w:lineRule="auto"/>
      </w:pPr>
    </w:p>
    <w:p w14:paraId="49D6BC1D" w14:textId="77777777" w:rsidR="00A82E65" w:rsidRPr="00BB4FB8" w:rsidRDefault="00A82E65">
      <w:pPr>
        <w:spacing w:before="0"/>
        <w:rPr>
          <w:rFonts w:eastAsiaTheme="majorEastAsia" w:cstheme="majorBidi"/>
          <w:b/>
          <w:sz w:val="26"/>
          <w:szCs w:val="26"/>
        </w:rPr>
      </w:pPr>
      <w:r w:rsidRPr="00BB4FB8">
        <w:br w:type="page"/>
      </w:r>
    </w:p>
    <w:p w14:paraId="338D95A9" w14:textId="796243FA" w:rsidR="00CD4B82" w:rsidRPr="00BB4FB8" w:rsidRDefault="00CD4B82" w:rsidP="00CD4B82">
      <w:pPr>
        <w:pStyle w:val="Heading2"/>
      </w:pPr>
      <w:r w:rsidRPr="00BB4FB8">
        <w:lastRenderedPageBreak/>
        <w:t>Review Checklist</w:t>
      </w:r>
    </w:p>
    <w:p w14:paraId="45D469ED" w14:textId="7C0093F0" w:rsidR="00371F2A" w:rsidRPr="00BB4FB8" w:rsidRDefault="00371F2A" w:rsidP="00AD15AC">
      <w:pPr>
        <w:spacing w:before="120" w:after="0" w:line="240" w:lineRule="auto"/>
        <w:ind w:left="270" w:right="270"/>
        <w:jc w:val="both"/>
      </w:pPr>
      <w:r w:rsidRPr="00BB4FB8">
        <w:t xml:space="preserve">The following guidelines are provided for the </w:t>
      </w:r>
      <w:r w:rsidR="00562C27" w:rsidRPr="00BB4FB8">
        <w:t>submitting entities</w:t>
      </w:r>
      <w:r w:rsidRPr="00BB4FB8">
        <w:t xml:space="preserve"> </w:t>
      </w:r>
      <w:r w:rsidR="00CC10F6" w:rsidRPr="00BB4FB8">
        <w:t xml:space="preserve">so they are </w:t>
      </w:r>
      <w:r w:rsidRPr="00BB4FB8">
        <w:t xml:space="preserve">aware of the criteria that the RC is using during </w:t>
      </w:r>
      <w:r w:rsidR="000D21DB" w:rsidRPr="00BB4FB8">
        <w:t xml:space="preserve">its </w:t>
      </w:r>
      <w:r w:rsidRPr="00BB4FB8">
        <w:t>reviews.  Information provided by the TOPs will help the RC focus on key information during the review process and ex</w:t>
      </w:r>
      <w:r w:rsidR="00562C27" w:rsidRPr="00BB4FB8">
        <w:t>tract critical information for RC Operator job aids.</w:t>
      </w:r>
    </w:p>
    <w:p w14:paraId="573E4794" w14:textId="6CDC92C4" w:rsidR="00C53FB4" w:rsidRPr="00BB4FB8" w:rsidRDefault="00C53FB4" w:rsidP="0035516A">
      <w:pPr>
        <w:spacing w:before="0" w:after="0" w:line="240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50"/>
      </w:tblGrid>
      <w:tr w:rsidR="008F0793" w:rsidRPr="00BB4FB8" w14:paraId="1096017E" w14:textId="77777777" w:rsidTr="00583128">
        <w:trPr>
          <w:trHeight w:val="1412"/>
          <w:jc w:val="center"/>
        </w:trPr>
        <w:tc>
          <w:tcPr>
            <w:tcW w:w="9450" w:type="dxa"/>
            <w:shd w:val="clear" w:color="auto" w:fill="BDD6EE" w:themeFill="accent1" w:themeFillTint="66"/>
          </w:tcPr>
          <w:p w14:paraId="1AB043B0" w14:textId="49372D53" w:rsidR="003A6F0F" w:rsidRPr="00BB4FB8" w:rsidRDefault="003A6F0F" w:rsidP="003A6F0F">
            <w:pPr>
              <w:pStyle w:val="ListParagraph"/>
              <w:numPr>
                <w:ilvl w:val="0"/>
                <w:numId w:val="11"/>
              </w:numPr>
              <w:spacing w:before="120"/>
              <w:contextualSpacing w:val="0"/>
              <w:rPr>
                <w:b/>
                <w:shd w:val="clear" w:color="auto" w:fill="BDD6EE" w:themeFill="accent1" w:themeFillTint="66"/>
              </w:rPr>
            </w:pPr>
            <w:r w:rsidRPr="00BB4FB8">
              <w:rPr>
                <w:b/>
                <w:shd w:val="clear" w:color="auto" w:fill="BDD6EE" w:themeFill="accent1" w:themeFillTint="66"/>
              </w:rPr>
              <w:t xml:space="preserve">System Operator </w:t>
            </w:r>
            <w:r w:rsidR="00190A04" w:rsidRPr="00BB4FB8">
              <w:rPr>
                <w:b/>
                <w:shd w:val="clear" w:color="auto" w:fill="BDD6EE" w:themeFill="accent1" w:themeFillTint="66"/>
              </w:rPr>
              <w:t>actions which may be initiated to mitigate the effects of GMD events</w:t>
            </w:r>
            <w:r w:rsidR="00E16CD7" w:rsidRPr="00BB4FB8">
              <w:rPr>
                <w:b/>
                <w:shd w:val="clear" w:color="auto" w:fill="BDD6EE" w:themeFill="accent1" w:themeFillTint="66"/>
              </w:rPr>
              <w:t>:</w:t>
            </w:r>
            <w:r w:rsidRPr="00BB4FB8">
              <w:rPr>
                <w:rStyle w:val="FootnoteReference"/>
                <w:b/>
                <w:color w:val="FF0000"/>
                <w:shd w:val="clear" w:color="auto" w:fill="BDD6EE" w:themeFill="accent1" w:themeFillTint="66"/>
              </w:rPr>
              <w:footnoteReference w:id="3"/>
            </w:r>
            <w:r w:rsidRPr="00BB4FB8">
              <w:rPr>
                <w:b/>
                <w:color w:val="FF0000"/>
                <w:shd w:val="clear" w:color="auto" w:fill="BDD6EE" w:themeFill="accent1" w:themeFillTint="66"/>
              </w:rPr>
              <w:t xml:space="preserve"> </w:t>
            </w:r>
          </w:p>
          <w:p w14:paraId="3AFACC78" w14:textId="3B0F44D0" w:rsidR="00190A04" w:rsidRPr="00BB4FB8" w:rsidRDefault="00E16CD7" w:rsidP="006C0AA9">
            <w:pPr>
              <w:pStyle w:val="ListParagraph"/>
              <w:numPr>
                <w:ilvl w:val="0"/>
                <w:numId w:val="28"/>
              </w:numPr>
              <w:spacing w:before="80"/>
              <w:contextualSpacing w:val="0"/>
              <w:rPr>
                <w:shd w:val="clear" w:color="auto" w:fill="BDD6EE" w:themeFill="accent1" w:themeFillTint="66"/>
              </w:rPr>
            </w:pPr>
            <w:r w:rsidRPr="00BB4FB8">
              <w:rPr>
                <w:shd w:val="clear" w:color="auto" w:fill="BDD6EE" w:themeFill="accent1" w:themeFillTint="66"/>
              </w:rPr>
              <w:t>R</w:t>
            </w:r>
            <w:r w:rsidR="00190A04" w:rsidRPr="00BB4FB8">
              <w:rPr>
                <w:shd w:val="clear" w:color="auto" w:fill="BDD6EE" w:themeFill="accent1" w:themeFillTint="66"/>
              </w:rPr>
              <w:t xml:space="preserve">isks </w:t>
            </w:r>
            <w:r w:rsidRPr="00BB4FB8">
              <w:rPr>
                <w:shd w:val="clear" w:color="auto" w:fill="BDD6EE" w:themeFill="accent1" w:themeFillTint="66"/>
              </w:rPr>
              <w:t xml:space="preserve">identified for </w:t>
            </w:r>
            <w:r w:rsidR="00190A04" w:rsidRPr="00BB4FB8">
              <w:rPr>
                <w:shd w:val="clear" w:color="auto" w:fill="BDD6EE" w:themeFill="accent1" w:themeFillTint="66"/>
              </w:rPr>
              <w:t>specific facilities within the TOP Area</w:t>
            </w:r>
            <w:r w:rsidR="00023981">
              <w:rPr>
                <w:shd w:val="clear" w:color="auto" w:fill="BDD6EE" w:themeFill="accent1" w:themeFillTint="66"/>
              </w:rPr>
              <w:t>.</w:t>
            </w:r>
          </w:p>
          <w:p w14:paraId="20484BF0" w14:textId="607A3FC3" w:rsidR="00D14752" w:rsidRPr="00BB4FB8" w:rsidRDefault="00190A04" w:rsidP="006C0AA9">
            <w:pPr>
              <w:pStyle w:val="ListParagraph"/>
              <w:numPr>
                <w:ilvl w:val="0"/>
                <w:numId w:val="28"/>
              </w:numPr>
              <w:spacing w:before="80" w:after="160"/>
              <w:contextualSpacing w:val="0"/>
            </w:pPr>
            <w:r w:rsidRPr="00BB4FB8">
              <w:rPr>
                <w:shd w:val="clear" w:color="auto" w:fill="BDD6EE" w:themeFill="accent1" w:themeFillTint="66"/>
              </w:rPr>
              <w:t>Steps which may be taken to posture TOP Area to mitigate identified risks</w:t>
            </w:r>
            <w:r w:rsidR="00023981">
              <w:rPr>
                <w:shd w:val="clear" w:color="auto" w:fill="BDD6EE" w:themeFill="accent1" w:themeFillTint="66"/>
              </w:rPr>
              <w:t>.</w:t>
            </w:r>
          </w:p>
        </w:tc>
      </w:tr>
      <w:tr w:rsidR="00127D0C" w:rsidRPr="00BB4FB8" w14:paraId="31C6FFD4" w14:textId="77777777" w:rsidTr="000D21DB">
        <w:trPr>
          <w:trHeight w:val="1070"/>
          <w:jc w:val="center"/>
        </w:trPr>
        <w:tc>
          <w:tcPr>
            <w:tcW w:w="9450" w:type="dxa"/>
          </w:tcPr>
          <w:p w14:paraId="0F1EF344" w14:textId="03C229B4" w:rsidR="00127D0C" w:rsidRPr="00BB4FB8" w:rsidRDefault="00127D0C" w:rsidP="0035516A">
            <w:pPr>
              <w:spacing w:before="120"/>
            </w:pPr>
            <w:r w:rsidRPr="00BB4FB8">
              <w:t>Indicate page</w:t>
            </w:r>
            <w:r w:rsidR="005F6D54" w:rsidRPr="00BB4FB8">
              <w:t>s</w:t>
            </w:r>
            <w:r w:rsidRPr="00BB4FB8">
              <w:t>/ section</w:t>
            </w:r>
            <w:r w:rsidR="005F6D54" w:rsidRPr="00BB4FB8">
              <w:t>s</w:t>
            </w:r>
            <w:r w:rsidR="00023981" w:rsidRPr="006C0AA9">
              <w:rPr>
                <w:highlight w:val="yellow"/>
              </w:rPr>
              <w:t>:</w:t>
            </w:r>
            <w:r w:rsidRPr="00BB4FB8">
              <w:t xml:space="preserve"> </w:t>
            </w:r>
          </w:p>
          <w:p w14:paraId="4F02D7C4" w14:textId="778FEF1C" w:rsidR="00BD4F55" w:rsidRPr="00BB4FB8" w:rsidRDefault="00BD4F55" w:rsidP="0035516A">
            <w:pPr>
              <w:spacing w:before="120"/>
            </w:pPr>
          </w:p>
          <w:p w14:paraId="6F913C66" w14:textId="163A0682" w:rsidR="00112871" w:rsidRPr="00BB4FB8" w:rsidRDefault="00112871" w:rsidP="0035516A">
            <w:pPr>
              <w:spacing w:before="120"/>
            </w:pPr>
          </w:p>
        </w:tc>
      </w:tr>
      <w:tr w:rsidR="005F6D54" w:rsidRPr="00BB4FB8" w14:paraId="5CA91362" w14:textId="77777777" w:rsidTr="00583128">
        <w:trPr>
          <w:trHeight w:val="710"/>
          <w:jc w:val="center"/>
        </w:trPr>
        <w:tc>
          <w:tcPr>
            <w:tcW w:w="9450" w:type="dxa"/>
            <w:shd w:val="clear" w:color="auto" w:fill="BDD6EE" w:themeFill="accent1" w:themeFillTint="66"/>
          </w:tcPr>
          <w:p w14:paraId="654D2C4B" w14:textId="535FBDB5" w:rsidR="000D21DB" w:rsidRPr="00BB4FB8" w:rsidRDefault="001A38D2" w:rsidP="006C0AA9">
            <w:pPr>
              <w:pStyle w:val="ListParagraph"/>
              <w:numPr>
                <w:ilvl w:val="0"/>
                <w:numId w:val="11"/>
              </w:numPr>
              <w:spacing w:before="120" w:after="160"/>
              <w:contextualSpacing w:val="0"/>
              <w:rPr>
                <w:b/>
              </w:rPr>
            </w:pPr>
            <w:r w:rsidRPr="00BB4FB8">
              <w:br w:type="page"/>
            </w:r>
            <w:r w:rsidR="003A6F0F" w:rsidRPr="00BB4FB8">
              <w:rPr>
                <w:b/>
                <w:shd w:val="clear" w:color="auto" w:fill="BDD6EE" w:themeFill="accent1" w:themeFillTint="66"/>
              </w:rPr>
              <w:t xml:space="preserve">Notifications to the RC and </w:t>
            </w:r>
            <w:r w:rsidR="000D21DB" w:rsidRPr="00BB4FB8">
              <w:rPr>
                <w:b/>
                <w:shd w:val="clear" w:color="auto" w:fill="BDD6EE" w:themeFill="accent1" w:themeFillTint="66"/>
              </w:rPr>
              <w:t xml:space="preserve">other </w:t>
            </w:r>
            <w:r w:rsidR="003A6F0F" w:rsidRPr="00BB4FB8">
              <w:rPr>
                <w:b/>
                <w:shd w:val="clear" w:color="auto" w:fill="BDD6EE" w:themeFill="accent1" w:themeFillTint="66"/>
              </w:rPr>
              <w:t>entities regarding current and expected conditions</w:t>
            </w:r>
            <w:r w:rsidR="00E16CD7" w:rsidRPr="00BB4FB8">
              <w:rPr>
                <w:b/>
                <w:shd w:val="clear" w:color="auto" w:fill="BDD6EE" w:themeFill="accent1" w:themeFillTint="66"/>
              </w:rPr>
              <w:t xml:space="preserve"> and actions planned and/or taken.</w:t>
            </w:r>
          </w:p>
        </w:tc>
      </w:tr>
      <w:tr w:rsidR="005F6D54" w:rsidRPr="00BB4FB8" w14:paraId="654E1B22" w14:textId="77777777" w:rsidTr="0035516A">
        <w:trPr>
          <w:jc w:val="center"/>
        </w:trPr>
        <w:tc>
          <w:tcPr>
            <w:tcW w:w="9450" w:type="dxa"/>
          </w:tcPr>
          <w:p w14:paraId="50E94D25" w14:textId="16AF93AD" w:rsidR="005F6D54" w:rsidRPr="00BB4FB8" w:rsidRDefault="000D21DB" w:rsidP="009F759A">
            <w:pPr>
              <w:spacing w:before="120"/>
            </w:pPr>
            <w:r w:rsidRPr="00BB4FB8">
              <w:t>I</w:t>
            </w:r>
            <w:r w:rsidR="0095482F" w:rsidRPr="00BB4FB8">
              <w:t>ndicate pages/ sections</w:t>
            </w:r>
            <w:r w:rsidR="00023981" w:rsidRPr="006C0AA9">
              <w:rPr>
                <w:highlight w:val="yellow"/>
              </w:rPr>
              <w:t>:</w:t>
            </w:r>
          </w:p>
          <w:p w14:paraId="6742F9DD" w14:textId="77777777" w:rsidR="00112871" w:rsidRPr="00BB4FB8" w:rsidRDefault="00112871" w:rsidP="009F759A">
            <w:pPr>
              <w:spacing w:before="120"/>
            </w:pPr>
          </w:p>
          <w:p w14:paraId="0CB70BD8" w14:textId="17159984" w:rsidR="00112871" w:rsidRPr="00BB4FB8" w:rsidRDefault="00112871" w:rsidP="009F759A">
            <w:pPr>
              <w:spacing w:before="120"/>
            </w:pPr>
          </w:p>
        </w:tc>
      </w:tr>
    </w:tbl>
    <w:p w14:paraId="530DE2D7" w14:textId="5D956BFA" w:rsidR="00A82E65" w:rsidRDefault="00A82E65">
      <w:pPr>
        <w:spacing w:before="0"/>
      </w:pPr>
      <w:bookmarkStart w:id="5" w:name="_Toc256000012"/>
      <w:bookmarkStart w:id="6" w:name="_Toc316895747"/>
      <w:bookmarkStart w:id="7" w:name="_Toc466630422"/>
      <w:bookmarkStart w:id="8" w:name="_Toc510452195"/>
      <w:bookmarkStart w:id="9" w:name="_Toc513040808"/>
    </w:p>
    <w:p w14:paraId="485C4DC8" w14:textId="77777777" w:rsidR="006C0AA9" w:rsidRPr="00BB4FB8" w:rsidRDefault="006C0AA9" w:rsidP="006C0AA9">
      <w:pPr>
        <w:spacing w:before="0" w:after="120"/>
        <w:rPr>
          <w:rFonts w:eastAsiaTheme="majorEastAsia" w:cstheme="majorBidi"/>
          <w:b/>
          <w:sz w:val="32"/>
          <w:szCs w:val="32"/>
        </w:rPr>
      </w:pPr>
    </w:p>
    <w:p w14:paraId="21EB943A" w14:textId="77640482" w:rsidR="00A16E1A" w:rsidRPr="00BB4FB8" w:rsidRDefault="00A16E1A" w:rsidP="0035516A">
      <w:pPr>
        <w:pStyle w:val="Heading1"/>
        <w:tabs>
          <w:tab w:val="left" w:pos="1710"/>
        </w:tabs>
        <w:spacing w:before="120" w:line="240" w:lineRule="auto"/>
      </w:pPr>
      <w:r w:rsidRPr="00BB4FB8">
        <w:t>Supporting Information</w:t>
      </w:r>
      <w:bookmarkEnd w:id="5"/>
      <w:bookmarkEnd w:id="6"/>
      <w:bookmarkEnd w:id="7"/>
      <w:bookmarkEnd w:id="8"/>
      <w:bookmarkEnd w:id="9"/>
    </w:p>
    <w:p w14:paraId="24EB0F1B" w14:textId="65D03428" w:rsidR="007F0953" w:rsidRPr="00BB4FB8" w:rsidRDefault="007F0953" w:rsidP="0035516A">
      <w:pPr>
        <w:spacing w:before="0" w:after="0" w:line="240" w:lineRule="auto"/>
      </w:pPr>
    </w:p>
    <w:p w14:paraId="67E9800A" w14:textId="77777777" w:rsidR="00A81195" w:rsidRPr="00BB4FB8" w:rsidRDefault="00A81195" w:rsidP="00DF6FE7">
      <w:pPr>
        <w:pStyle w:val="Heading3"/>
        <w:spacing w:before="120" w:line="240" w:lineRule="auto"/>
        <w:ind w:left="36"/>
        <w:rPr>
          <w:rFonts w:cs="Arial"/>
        </w:rPr>
      </w:pPr>
      <w:bookmarkStart w:id="10" w:name="_Toc520213125"/>
      <w:r w:rsidRPr="00BB4FB8">
        <w:rPr>
          <w:rFonts w:cs="Arial"/>
        </w:rPr>
        <w:t>Operationally Affected Parties</w:t>
      </w:r>
      <w:bookmarkEnd w:id="10"/>
    </w:p>
    <w:p w14:paraId="03E1EAB6" w14:textId="4BD03D41" w:rsidR="00A81195" w:rsidRPr="00BB4FB8" w:rsidRDefault="00A81195" w:rsidP="00954CEA">
      <w:pPr>
        <w:tabs>
          <w:tab w:val="left" w:pos="360"/>
        </w:tabs>
        <w:spacing w:before="120" w:line="240" w:lineRule="auto"/>
        <w:ind w:left="360"/>
        <w:rPr>
          <w:rFonts w:cs="Arial"/>
        </w:rPr>
      </w:pPr>
      <w:r w:rsidRPr="00BB4FB8">
        <w:rPr>
          <w:rFonts w:cs="Arial"/>
        </w:rPr>
        <w:t xml:space="preserve">Shared with </w:t>
      </w:r>
      <w:r w:rsidR="00DF1CC6" w:rsidRPr="006C0AA9">
        <w:rPr>
          <w:rFonts w:cs="Arial"/>
        </w:rPr>
        <w:t>the</w:t>
      </w:r>
      <w:r w:rsidR="00DF1CC6" w:rsidRPr="00BB4FB8">
        <w:rPr>
          <w:rFonts w:cs="Arial"/>
        </w:rPr>
        <w:t xml:space="preserve"> </w:t>
      </w:r>
      <w:r w:rsidRPr="00BB4FB8">
        <w:rPr>
          <w:rFonts w:cs="Arial"/>
        </w:rPr>
        <w:t>Public.</w:t>
      </w:r>
    </w:p>
    <w:p w14:paraId="7F6DC6DB" w14:textId="77777777" w:rsidR="00A81195" w:rsidRPr="00BB4FB8" w:rsidRDefault="00A81195" w:rsidP="0035516A">
      <w:pPr>
        <w:spacing w:before="0" w:after="0" w:line="240" w:lineRule="auto"/>
        <w:rPr>
          <w:sz w:val="12"/>
          <w:szCs w:val="12"/>
        </w:rPr>
      </w:pPr>
    </w:p>
    <w:p w14:paraId="039468A4" w14:textId="691F5B5B" w:rsidR="00EA6218" w:rsidRPr="00BB4FB8" w:rsidRDefault="00EA6218" w:rsidP="00DF6FE7">
      <w:pPr>
        <w:pStyle w:val="Heading2"/>
        <w:spacing w:before="120" w:line="240" w:lineRule="auto"/>
      </w:pPr>
      <w:bookmarkStart w:id="11" w:name="_Toc513040809"/>
      <w:r w:rsidRPr="00BB4FB8">
        <w:t>References</w:t>
      </w:r>
      <w:bookmarkEnd w:id="11"/>
    </w:p>
    <w:p w14:paraId="7300982F" w14:textId="77777777" w:rsidR="007F0953" w:rsidRPr="00BB4FB8" w:rsidRDefault="007F0953" w:rsidP="0035516A">
      <w:pPr>
        <w:spacing w:before="0" w:after="0" w:line="240" w:lineRule="auto"/>
      </w:pPr>
    </w:p>
    <w:tbl>
      <w:tblPr>
        <w:tblStyle w:val="TableGrid"/>
        <w:tblW w:w="4868" w:type="pct"/>
        <w:tblLook w:val="04A0" w:firstRow="1" w:lastRow="0" w:firstColumn="1" w:lastColumn="0" w:noHBand="0" w:noVBand="1"/>
      </w:tblPr>
      <w:tblGrid>
        <w:gridCol w:w="3665"/>
        <w:gridCol w:w="6139"/>
      </w:tblGrid>
      <w:tr w:rsidR="00EA6218" w:rsidRPr="00BB4FB8" w14:paraId="60A4FA89" w14:textId="77777777" w:rsidTr="008D24CB">
        <w:tc>
          <w:tcPr>
            <w:tcW w:w="1869" w:type="pct"/>
          </w:tcPr>
          <w:p w14:paraId="4719B6DC" w14:textId="39644355" w:rsidR="00EA6218" w:rsidRPr="00BB4FB8" w:rsidRDefault="00EA6218" w:rsidP="008D24CB">
            <w:pPr>
              <w:spacing w:after="40"/>
              <w:rPr>
                <w:rFonts w:cs="Arial"/>
                <w:color w:val="000000"/>
              </w:rPr>
            </w:pPr>
            <w:r w:rsidRPr="00BB4FB8">
              <w:rPr>
                <w:rFonts w:cs="Arial"/>
                <w:color w:val="000000"/>
              </w:rPr>
              <w:t>NERC Requirements</w:t>
            </w:r>
          </w:p>
        </w:tc>
        <w:tc>
          <w:tcPr>
            <w:tcW w:w="3131" w:type="pct"/>
          </w:tcPr>
          <w:p w14:paraId="4088F17C" w14:textId="36C81D61" w:rsidR="00EA6218" w:rsidRPr="00BB4FB8" w:rsidRDefault="000D21DB" w:rsidP="008D24CB">
            <w:pPr>
              <w:spacing w:after="40"/>
              <w:rPr>
                <w:rFonts w:cs="Arial"/>
                <w:color w:val="000000"/>
              </w:rPr>
            </w:pPr>
            <w:r w:rsidRPr="00BB4FB8">
              <w:rPr>
                <w:rFonts w:cs="Arial"/>
                <w:color w:val="000000"/>
              </w:rPr>
              <w:t>EOP-010</w:t>
            </w:r>
            <w:r w:rsidR="005F6D54" w:rsidRPr="00BB4FB8">
              <w:rPr>
                <w:rFonts w:cs="Arial"/>
                <w:color w:val="000000"/>
              </w:rPr>
              <w:t>-</w:t>
            </w:r>
            <w:r w:rsidR="0063751E" w:rsidRPr="00BB4FB8">
              <w:rPr>
                <w:rFonts w:cs="Arial"/>
                <w:color w:val="000000"/>
              </w:rPr>
              <w:t>1</w:t>
            </w:r>
          </w:p>
        </w:tc>
      </w:tr>
      <w:tr w:rsidR="00EA6218" w:rsidRPr="00BB4FB8" w14:paraId="2D92D1D5" w14:textId="77777777" w:rsidTr="008D24CB">
        <w:tc>
          <w:tcPr>
            <w:tcW w:w="1869" w:type="pct"/>
          </w:tcPr>
          <w:p w14:paraId="42B78DD3" w14:textId="22D7F517" w:rsidR="00EA6218" w:rsidRPr="00BB4FB8" w:rsidRDefault="000F6E5B" w:rsidP="008D24CB">
            <w:pPr>
              <w:spacing w:after="40"/>
              <w:rPr>
                <w:rFonts w:cs="Arial"/>
                <w:color w:val="000000"/>
              </w:rPr>
            </w:pPr>
            <w:r w:rsidRPr="00BB4FB8">
              <w:rPr>
                <w:rFonts w:cs="Arial"/>
                <w:color w:val="000000"/>
              </w:rPr>
              <w:t>BA/TOP</w:t>
            </w:r>
            <w:r w:rsidR="00EA6218" w:rsidRPr="00BB4FB8">
              <w:rPr>
                <w:rFonts w:cs="Arial"/>
                <w:color w:val="000000"/>
              </w:rPr>
              <w:t xml:space="preserve"> Operating Procedure</w:t>
            </w:r>
          </w:p>
        </w:tc>
        <w:tc>
          <w:tcPr>
            <w:tcW w:w="3131" w:type="pct"/>
          </w:tcPr>
          <w:p w14:paraId="16C8B9F6" w14:textId="4F98D7B6" w:rsidR="00EA6218" w:rsidRPr="00BB4FB8" w:rsidRDefault="00EA6218" w:rsidP="008D24CB">
            <w:pPr>
              <w:spacing w:after="40"/>
              <w:rPr>
                <w:rFonts w:cs="Arial"/>
                <w:color w:val="000000"/>
              </w:rPr>
            </w:pPr>
          </w:p>
        </w:tc>
      </w:tr>
      <w:tr w:rsidR="00EA6218" w:rsidRPr="00BB4FB8" w14:paraId="2555F957" w14:textId="77777777" w:rsidTr="008D24CB">
        <w:tc>
          <w:tcPr>
            <w:tcW w:w="1869" w:type="pct"/>
          </w:tcPr>
          <w:p w14:paraId="7488AC72" w14:textId="77777777" w:rsidR="00EA6218" w:rsidRPr="00BB4FB8" w:rsidRDefault="00EA6218" w:rsidP="008D24CB">
            <w:pPr>
              <w:spacing w:after="40"/>
              <w:rPr>
                <w:rFonts w:cs="Arial"/>
                <w:color w:val="000000"/>
              </w:rPr>
            </w:pPr>
            <w:r w:rsidRPr="00BB4FB8">
              <w:rPr>
                <w:rFonts w:cs="Arial"/>
                <w:color w:val="000000"/>
              </w:rPr>
              <w:t>Other References</w:t>
            </w:r>
          </w:p>
        </w:tc>
        <w:tc>
          <w:tcPr>
            <w:tcW w:w="3131" w:type="pct"/>
          </w:tcPr>
          <w:p w14:paraId="3A4C89F9" w14:textId="28A4A69F" w:rsidR="00EA6218" w:rsidRPr="00BB4FB8" w:rsidRDefault="00EA6218" w:rsidP="008D24CB">
            <w:pPr>
              <w:spacing w:after="40"/>
              <w:rPr>
                <w:rFonts w:cs="Arial"/>
                <w:color w:val="000000"/>
              </w:rPr>
            </w:pPr>
          </w:p>
        </w:tc>
      </w:tr>
    </w:tbl>
    <w:p w14:paraId="51500319" w14:textId="5BFC1CF4" w:rsidR="00EA6218" w:rsidRPr="00BB4FB8" w:rsidRDefault="00EA6218" w:rsidP="00AD15AC">
      <w:pPr>
        <w:spacing w:after="240"/>
      </w:pPr>
    </w:p>
    <w:p w14:paraId="45104804" w14:textId="77777777" w:rsidR="006C0AA9" w:rsidRDefault="006C0AA9">
      <w:pPr>
        <w:spacing w:before="0"/>
        <w:rPr>
          <w:rFonts w:eastAsiaTheme="majorEastAsia" w:cs="Arial"/>
          <w:b/>
          <w:sz w:val="24"/>
          <w:szCs w:val="24"/>
        </w:rPr>
      </w:pPr>
      <w:bookmarkStart w:id="12" w:name="_Toc513040811"/>
      <w:r>
        <w:rPr>
          <w:rFonts w:cs="Arial"/>
        </w:rPr>
        <w:br w:type="page"/>
      </w:r>
    </w:p>
    <w:p w14:paraId="0B8C476D" w14:textId="3992854A" w:rsidR="00EA6218" w:rsidRPr="00BB4FB8" w:rsidRDefault="00EA6218" w:rsidP="00583128">
      <w:pPr>
        <w:pStyle w:val="Heading3"/>
        <w:spacing w:before="0"/>
        <w:ind w:left="86"/>
      </w:pPr>
      <w:r w:rsidRPr="00BB4FB8">
        <w:rPr>
          <w:rFonts w:cs="Arial"/>
        </w:rPr>
        <w:lastRenderedPageBreak/>
        <w:t>Version History</w:t>
      </w:r>
      <w:bookmarkEnd w:id="12"/>
    </w:p>
    <w:p w14:paraId="652B25CA" w14:textId="77777777" w:rsidR="00E370F0" w:rsidRPr="00BB4FB8" w:rsidRDefault="00E370F0" w:rsidP="0035516A">
      <w:pPr>
        <w:spacing w:before="120" w:after="0" w:line="240" w:lineRule="auto"/>
      </w:pPr>
    </w:p>
    <w:tbl>
      <w:tblPr>
        <w:tblW w:w="4742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7462"/>
        <w:gridCol w:w="1094"/>
      </w:tblGrid>
      <w:tr w:rsidR="00EA6218" w:rsidRPr="00BB4FB8" w14:paraId="3E477BDC" w14:textId="77777777" w:rsidTr="006C0AA9">
        <w:trPr>
          <w:tblCellSpacing w:w="0" w:type="dxa"/>
          <w:jc w:val="center"/>
        </w:trPr>
        <w:tc>
          <w:tcPr>
            <w:tcW w:w="520" w:type="pct"/>
            <w:shd w:val="clear" w:color="auto" w:fill="CCFFCC"/>
            <w:tcMar>
              <w:top w:w="10" w:type="dxa"/>
              <w:left w:w="10" w:type="dxa"/>
              <w:bottom w:w="10" w:type="dxa"/>
              <w:right w:w="0" w:type="dxa"/>
            </w:tcMar>
            <w:vAlign w:val="center"/>
          </w:tcPr>
          <w:p w14:paraId="7E5DAA93" w14:textId="72BDCAFC" w:rsidR="00EA6218" w:rsidRPr="00BB4FB8" w:rsidRDefault="00EA6218" w:rsidP="008D24CB">
            <w:pPr>
              <w:shd w:val="clear" w:color="auto" w:fill="CCFFCC"/>
              <w:spacing w:before="0"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BB4FB8">
              <w:rPr>
                <w:rFonts w:cs="Arial"/>
                <w:b/>
                <w:bCs/>
                <w:color w:val="000000"/>
              </w:rPr>
              <w:t>Version</w:t>
            </w:r>
          </w:p>
        </w:tc>
        <w:tc>
          <w:tcPr>
            <w:tcW w:w="3907" w:type="pct"/>
            <w:shd w:val="clear" w:color="auto" w:fill="CCFFCC"/>
            <w:tcMar>
              <w:top w:w="10" w:type="dxa"/>
              <w:left w:w="10" w:type="dxa"/>
              <w:bottom w:w="10" w:type="dxa"/>
              <w:right w:w="0" w:type="dxa"/>
            </w:tcMar>
            <w:vAlign w:val="center"/>
          </w:tcPr>
          <w:p w14:paraId="6A65C46F" w14:textId="77777777" w:rsidR="00EA6218" w:rsidRPr="00BB4FB8" w:rsidRDefault="00EA6218" w:rsidP="008D24CB">
            <w:pPr>
              <w:shd w:val="clear" w:color="auto" w:fill="CCFFCC"/>
              <w:spacing w:before="0"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BB4FB8">
              <w:rPr>
                <w:rFonts w:cs="Arial"/>
                <w:b/>
                <w:bCs/>
                <w:color w:val="000000"/>
              </w:rPr>
              <w:t xml:space="preserve">Change </w:t>
            </w:r>
          </w:p>
        </w:tc>
        <w:tc>
          <w:tcPr>
            <w:tcW w:w="573" w:type="pct"/>
            <w:shd w:val="clear" w:color="auto" w:fill="CCFFC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D2DBA0D" w14:textId="77777777" w:rsidR="00EA6218" w:rsidRPr="00BB4FB8" w:rsidRDefault="00EA6218" w:rsidP="008D24CB">
            <w:pPr>
              <w:shd w:val="clear" w:color="auto" w:fill="CCFFCC"/>
              <w:spacing w:before="0"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BB4FB8">
              <w:rPr>
                <w:rFonts w:cs="Arial"/>
                <w:b/>
                <w:bCs/>
                <w:color w:val="000000"/>
              </w:rPr>
              <w:t xml:space="preserve">Date </w:t>
            </w:r>
          </w:p>
        </w:tc>
      </w:tr>
      <w:tr w:rsidR="00EA6218" w:rsidRPr="00BB4FB8" w14:paraId="694D6389" w14:textId="77777777" w:rsidTr="006C0AA9">
        <w:trPr>
          <w:trHeight w:val="260"/>
          <w:tblCellSpacing w:w="0" w:type="dxa"/>
          <w:jc w:val="center"/>
        </w:trPr>
        <w:tc>
          <w:tcPr>
            <w:tcW w:w="520" w:type="pct"/>
            <w:tcMar>
              <w:top w:w="0" w:type="dxa"/>
              <w:left w:w="110" w:type="dxa"/>
              <w:bottom w:w="10" w:type="dxa"/>
              <w:right w:w="0" w:type="dxa"/>
            </w:tcMar>
          </w:tcPr>
          <w:p w14:paraId="5767796B" w14:textId="4EF77982" w:rsidR="00EA6218" w:rsidRPr="00BB4FB8" w:rsidRDefault="00AD2201" w:rsidP="008D24CB">
            <w:pPr>
              <w:spacing w:before="0" w:after="0" w:line="240" w:lineRule="auto"/>
              <w:jc w:val="center"/>
              <w:rPr>
                <w:rFonts w:cs="Arial"/>
                <w:color w:val="000000"/>
              </w:rPr>
            </w:pPr>
            <w:r w:rsidRPr="00BB4FB8">
              <w:rPr>
                <w:rFonts w:cs="Arial"/>
                <w:color w:val="000000"/>
              </w:rPr>
              <w:t>1.0</w:t>
            </w:r>
          </w:p>
        </w:tc>
        <w:tc>
          <w:tcPr>
            <w:tcW w:w="3907" w:type="pct"/>
            <w:tcMar>
              <w:top w:w="0" w:type="dxa"/>
              <w:left w:w="110" w:type="dxa"/>
              <w:bottom w:w="10" w:type="dxa"/>
              <w:right w:w="0" w:type="dxa"/>
            </w:tcMar>
          </w:tcPr>
          <w:p w14:paraId="37A9D730" w14:textId="4FF62CD7" w:rsidR="00EA6218" w:rsidRPr="00BB4FB8" w:rsidRDefault="00E52E94" w:rsidP="008D24CB">
            <w:pPr>
              <w:spacing w:before="0" w:after="0" w:line="240" w:lineRule="auto"/>
              <w:rPr>
                <w:rFonts w:cs="Arial"/>
                <w:color w:val="000000"/>
              </w:rPr>
            </w:pPr>
            <w:r w:rsidRPr="00BB4FB8">
              <w:rPr>
                <w:rFonts w:eastAsia="Arial" w:cs="Arial"/>
                <w:color w:val="000000"/>
              </w:rPr>
              <w:t>New checklist – PSRWG review</w:t>
            </w:r>
            <w:r w:rsidR="00AD2201" w:rsidRPr="00BB4FB8">
              <w:rPr>
                <w:rFonts w:eastAsia="Arial" w:cs="Arial"/>
                <w:color w:val="000000"/>
              </w:rPr>
              <w:t>ed</w:t>
            </w:r>
            <w:r w:rsidR="00B1514F" w:rsidRPr="00BB4FB8">
              <w:rPr>
                <w:rFonts w:eastAsia="Arial" w:cs="Arial"/>
                <w:color w:val="000000"/>
              </w:rPr>
              <w:t>.</w:t>
            </w:r>
          </w:p>
        </w:tc>
        <w:tc>
          <w:tcPr>
            <w:tcW w:w="573" w:type="pct"/>
            <w:tcMar>
              <w:top w:w="0" w:type="dxa"/>
              <w:left w:w="110" w:type="dxa"/>
              <w:bottom w:w="10" w:type="dxa"/>
              <w:right w:w="10" w:type="dxa"/>
            </w:tcMar>
          </w:tcPr>
          <w:p w14:paraId="09B113B3" w14:textId="786C2A3E" w:rsidR="00EA6218" w:rsidRPr="00BB4FB8" w:rsidRDefault="000D21DB" w:rsidP="008D24CB">
            <w:pPr>
              <w:spacing w:before="0" w:after="0" w:line="240" w:lineRule="auto"/>
              <w:jc w:val="center"/>
              <w:rPr>
                <w:rFonts w:cs="Arial"/>
                <w:color w:val="000000"/>
              </w:rPr>
            </w:pPr>
            <w:r w:rsidRPr="00BB4FB8">
              <w:rPr>
                <w:rFonts w:cs="Arial"/>
                <w:color w:val="000000"/>
              </w:rPr>
              <w:t>3/4</w:t>
            </w:r>
            <w:r w:rsidR="00E52E94" w:rsidRPr="00BB4FB8">
              <w:rPr>
                <w:rFonts w:cs="Arial"/>
                <w:color w:val="000000"/>
              </w:rPr>
              <w:t>/19</w:t>
            </w:r>
          </w:p>
        </w:tc>
      </w:tr>
      <w:tr w:rsidR="00EA6218" w:rsidRPr="00BB4FB8" w14:paraId="56A9B7F0" w14:textId="77777777" w:rsidTr="006C0AA9">
        <w:trPr>
          <w:trHeight w:val="557"/>
          <w:tblCellSpacing w:w="0" w:type="dxa"/>
          <w:jc w:val="center"/>
        </w:trPr>
        <w:tc>
          <w:tcPr>
            <w:tcW w:w="520" w:type="pct"/>
            <w:tcMar>
              <w:top w:w="0" w:type="dxa"/>
              <w:left w:w="110" w:type="dxa"/>
              <w:bottom w:w="10" w:type="dxa"/>
              <w:right w:w="0" w:type="dxa"/>
            </w:tcMar>
          </w:tcPr>
          <w:p w14:paraId="58F070BC" w14:textId="3A628A9C" w:rsidR="00EA6218" w:rsidRPr="00BB4FB8" w:rsidRDefault="0089292E" w:rsidP="008D24CB">
            <w:pPr>
              <w:spacing w:before="0" w:after="0" w:line="240" w:lineRule="auto"/>
              <w:jc w:val="center"/>
              <w:rPr>
                <w:rFonts w:cs="Arial"/>
                <w:color w:val="000000"/>
              </w:rPr>
            </w:pPr>
            <w:r w:rsidRPr="00BB4FB8">
              <w:rPr>
                <w:rFonts w:cs="Arial"/>
                <w:color w:val="000000"/>
              </w:rPr>
              <w:t>1.1</w:t>
            </w:r>
          </w:p>
        </w:tc>
        <w:tc>
          <w:tcPr>
            <w:tcW w:w="3907" w:type="pct"/>
            <w:tcMar>
              <w:top w:w="0" w:type="dxa"/>
              <w:left w:w="110" w:type="dxa"/>
              <w:bottom w:w="10" w:type="dxa"/>
              <w:right w:w="0" w:type="dxa"/>
            </w:tcMar>
          </w:tcPr>
          <w:p w14:paraId="5AF0E8E4" w14:textId="53CB85FF" w:rsidR="00C37A2A" w:rsidRPr="00BB4FB8" w:rsidRDefault="00A82E65" w:rsidP="008D24CB">
            <w:pPr>
              <w:spacing w:before="0" w:after="0" w:line="240" w:lineRule="auto"/>
              <w:rPr>
                <w:rFonts w:cs="Arial"/>
                <w:color w:val="000000"/>
              </w:rPr>
            </w:pPr>
            <w:r w:rsidRPr="00BB4FB8">
              <w:rPr>
                <w:rFonts w:cs="Arial"/>
                <w:color w:val="000000"/>
              </w:rPr>
              <w:t>Replaced CAISO RC with RC West</w:t>
            </w:r>
            <w:r w:rsidR="00A25938" w:rsidRPr="00BB4FB8">
              <w:rPr>
                <w:rFonts w:cs="Arial"/>
                <w:color w:val="000000"/>
              </w:rPr>
              <w:t xml:space="preserve"> and updated to RC West logo</w:t>
            </w:r>
            <w:r w:rsidRPr="00BB4FB8">
              <w:rPr>
                <w:rFonts w:cs="Arial"/>
                <w:color w:val="000000"/>
              </w:rPr>
              <w:t>.</w:t>
            </w:r>
            <w:r w:rsidR="00634FD6" w:rsidRPr="00BB4FB8">
              <w:rPr>
                <w:rFonts w:cs="Arial"/>
                <w:color w:val="000000"/>
              </w:rPr>
              <w:t xml:space="preserve"> </w:t>
            </w:r>
          </w:p>
          <w:p w14:paraId="1B21C0B4" w14:textId="5166B52F" w:rsidR="00EA6218" w:rsidRPr="00BB4FB8" w:rsidRDefault="00634FD6" w:rsidP="008D24CB">
            <w:pPr>
              <w:spacing w:before="0" w:after="0" w:line="240" w:lineRule="auto"/>
              <w:rPr>
                <w:rFonts w:cs="Arial"/>
                <w:color w:val="000000"/>
              </w:rPr>
            </w:pPr>
            <w:r w:rsidRPr="00BB4FB8">
              <w:rPr>
                <w:rFonts w:cs="Arial"/>
                <w:color w:val="000000"/>
              </w:rPr>
              <w:t>Changed frequency of review to 3 years to sync up with RC0430</w:t>
            </w:r>
            <w:r w:rsidR="00C37A2A" w:rsidRPr="00BB4FB8">
              <w:rPr>
                <w:rFonts w:cs="Arial"/>
                <w:color w:val="000000"/>
              </w:rPr>
              <w:t>.</w:t>
            </w:r>
          </w:p>
        </w:tc>
        <w:tc>
          <w:tcPr>
            <w:tcW w:w="573" w:type="pct"/>
            <w:tcMar>
              <w:top w:w="0" w:type="dxa"/>
              <w:left w:w="110" w:type="dxa"/>
              <w:bottom w:w="10" w:type="dxa"/>
              <w:right w:w="10" w:type="dxa"/>
            </w:tcMar>
          </w:tcPr>
          <w:p w14:paraId="78EA7C26" w14:textId="34F09957" w:rsidR="00EA6218" w:rsidRPr="00BB4FB8" w:rsidRDefault="00354BEC" w:rsidP="008D24CB">
            <w:pPr>
              <w:spacing w:before="0" w:after="0" w:line="240" w:lineRule="auto"/>
              <w:jc w:val="center"/>
              <w:rPr>
                <w:rFonts w:cs="Arial"/>
                <w:color w:val="000000"/>
              </w:rPr>
            </w:pPr>
            <w:r w:rsidRPr="00BB4FB8">
              <w:rPr>
                <w:rFonts w:cs="Arial"/>
                <w:color w:val="000000"/>
              </w:rPr>
              <w:t>4/21/20</w:t>
            </w:r>
          </w:p>
        </w:tc>
      </w:tr>
      <w:tr w:rsidR="00266D33" w:rsidRPr="00BB4FB8" w14:paraId="553D1C0C" w14:textId="77777777" w:rsidTr="006C0AA9">
        <w:trPr>
          <w:trHeight w:val="305"/>
          <w:tblCellSpacing w:w="0" w:type="dxa"/>
          <w:jc w:val="center"/>
        </w:trPr>
        <w:tc>
          <w:tcPr>
            <w:tcW w:w="520" w:type="pct"/>
            <w:tcMar>
              <w:top w:w="0" w:type="dxa"/>
              <w:left w:w="110" w:type="dxa"/>
              <w:bottom w:w="10" w:type="dxa"/>
              <w:right w:w="0" w:type="dxa"/>
            </w:tcMar>
          </w:tcPr>
          <w:p w14:paraId="034ACD9C" w14:textId="2D1EA007" w:rsidR="00266D33" w:rsidRPr="00BB4FB8" w:rsidRDefault="00411204" w:rsidP="008D24CB">
            <w:pPr>
              <w:spacing w:before="0" w:after="0" w:line="240" w:lineRule="auto"/>
              <w:jc w:val="center"/>
              <w:rPr>
                <w:rFonts w:cs="Arial"/>
                <w:color w:val="000000"/>
              </w:rPr>
            </w:pPr>
            <w:r w:rsidRPr="00BB4FB8">
              <w:rPr>
                <w:rFonts w:cs="Arial"/>
                <w:color w:val="000000"/>
              </w:rPr>
              <w:t>1.2</w:t>
            </w:r>
          </w:p>
        </w:tc>
        <w:tc>
          <w:tcPr>
            <w:tcW w:w="3907" w:type="pct"/>
            <w:tcMar>
              <w:top w:w="0" w:type="dxa"/>
              <w:left w:w="110" w:type="dxa"/>
              <w:bottom w:w="10" w:type="dxa"/>
              <w:right w:w="0" w:type="dxa"/>
            </w:tcMar>
          </w:tcPr>
          <w:p w14:paraId="67BE7A6A" w14:textId="45506900" w:rsidR="00266D33" w:rsidRPr="00BB4FB8" w:rsidRDefault="00DF1CC6" w:rsidP="008D24CB">
            <w:pPr>
              <w:spacing w:before="0" w:after="40" w:line="240" w:lineRule="auto"/>
              <w:rPr>
                <w:rFonts w:cs="Arial"/>
                <w:color w:val="000000"/>
              </w:rPr>
            </w:pPr>
            <w:r w:rsidRPr="00BB4FB8">
              <w:rPr>
                <w:rFonts w:cs="Arial"/>
                <w:color w:val="000000"/>
              </w:rPr>
              <w:t>Periodic Review: Minor edit to Operationally Affected Parties and minor formatting edits.</w:t>
            </w:r>
          </w:p>
        </w:tc>
        <w:tc>
          <w:tcPr>
            <w:tcW w:w="573" w:type="pct"/>
            <w:tcMar>
              <w:top w:w="0" w:type="dxa"/>
              <w:left w:w="110" w:type="dxa"/>
              <w:bottom w:w="10" w:type="dxa"/>
              <w:right w:w="10" w:type="dxa"/>
            </w:tcMar>
          </w:tcPr>
          <w:p w14:paraId="116B1CD0" w14:textId="71540540" w:rsidR="00266D33" w:rsidRPr="00BB4FB8" w:rsidRDefault="00662F4E" w:rsidP="008D24CB">
            <w:pPr>
              <w:spacing w:before="0" w:after="0" w:line="240" w:lineRule="auto"/>
              <w:jc w:val="center"/>
              <w:rPr>
                <w:rFonts w:cs="Arial"/>
                <w:color w:val="000000"/>
              </w:rPr>
            </w:pPr>
            <w:r w:rsidRPr="00BB4FB8">
              <w:rPr>
                <w:rFonts w:cs="Arial"/>
                <w:color w:val="000000"/>
              </w:rPr>
              <w:t>7/07/22</w:t>
            </w:r>
          </w:p>
        </w:tc>
      </w:tr>
      <w:tr w:rsidR="00BB4FB8" w:rsidRPr="00BB4FB8" w14:paraId="41965517" w14:textId="77777777" w:rsidTr="006C0AA9">
        <w:trPr>
          <w:trHeight w:val="305"/>
          <w:tblCellSpacing w:w="0" w:type="dxa"/>
          <w:jc w:val="center"/>
        </w:trPr>
        <w:tc>
          <w:tcPr>
            <w:tcW w:w="520" w:type="pct"/>
            <w:tcMar>
              <w:top w:w="0" w:type="dxa"/>
              <w:left w:w="110" w:type="dxa"/>
              <w:bottom w:w="10" w:type="dxa"/>
              <w:right w:w="0" w:type="dxa"/>
            </w:tcMar>
          </w:tcPr>
          <w:p w14:paraId="1BE34B61" w14:textId="10664075" w:rsidR="00BB4FB8" w:rsidRPr="00BB4FB8" w:rsidRDefault="00BB4FB8" w:rsidP="008D24CB">
            <w:pPr>
              <w:spacing w:before="0"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1.3</w:t>
            </w:r>
          </w:p>
        </w:tc>
        <w:tc>
          <w:tcPr>
            <w:tcW w:w="3907" w:type="pct"/>
            <w:tcMar>
              <w:top w:w="0" w:type="dxa"/>
              <w:left w:w="110" w:type="dxa"/>
              <w:bottom w:w="10" w:type="dxa"/>
              <w:right w:w="0" w:type="dxa"/>
            </w:tcMar>
          </w:tcPr>
          <w:p w14:paraId="79CF80E2" w14:textId="6C4B040A" w:rsidR="00BB4FB8" w:rsidRPr="006C0AA9" w:rsidRDefault="0097619D" w:rsidP="005037CE">
            <w:pPr>
              <w:spacing w:before="0" w:after="0"/>
            </w:pPr>
            <w:r>
              <w:rPr>
                <w:rFonts w:cs="Arial"/>
                <w:color w:val="000000"/>
              </w:rPr>
              <w:t>Removed “</w:t>
            </w:r>
            <w:r w:rsidRPr="00BB4FB8">
              <w:t>RC Reviewer Comments</w:t>
            </w:r>
            <w:r>
              <w:t>” sections</w:t>
            </w:r>
            <w:r w:rsidR="00023981">
              <w:t xml:space="preserve"> and </w:t>
            </w:r>
            <w:r w:rsidR="005037CE">
              <w:t>minor punctuation edits</w:t>
            </w:r>
            <w:r w:rsidR="003441ED">
              <w:t>.</w:t>
            </w:r>
          </w:p>
        </w:tc>
        <w:tc>
          <w:tcPr>
            <w:tcW w:w="573" w:type="pct"/>
            <w:tcMar>
              <w:top w:w="0" w:type="dxa"/>
              <w:left w:w="110" w:type="dxa"/>
              <w:bottom w:w="10" w:type="dxa"/>
              <w:right w:w="10" w:type="dxa"/>
            </w:tcMar>
          </w:tcPr>
          <w:p w14:paraId="2890443B" w14:textId="683B415C" w:rsidR="00BB4FB8" w:rsidRPr="00BB4FB8" w:rsidRDefault="00BF39E8" w:rsidP="008D24CB">
            <w:pPr>
              <w:spacing w:before="0"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10/01/24</w:t>
            </w:r>
          </w:p>
        </w:tc>
      </w:tr>
    </w:tbl>
    <w:p w14:paraId="0B09F6DB" w14:textId="77777777" w:rsidR="00EA6218" w:rsidRPr="00BB4FB8" w:rsidRDefault="00EA6218" w:rsidP="006C0AA9">
      <w:pPr>
        <w:spacing w:before="120" w:after="360" w:line="240" w:lineRule="auto"/>
      </w:pPr>
    </w:p>
    <w:p w14:paraId="1700BC67" w14:textId="1239849F" w:rsidR="00A16E1A" w:rsidRPr="00BB4FB8" w:rsidRDefault="00A16E1A" w:rsidP="009F759A">
      <w:pPr>
        <w:pStyle w:val="Heading1"/>
        <w:tabs>
          <w:tab w:val="left" w:pos="1710"/>
        </w:tabs>
        <w:spacing w:before="120" w:line="240" w:lineRule="auto"/>
      </w:pPr>
      <w:bookmarkStart w:id="13" w:name="_Toc316895753"/>
      <w:bookmarkStart w:id="14" w:name="_Toc256000018"/>
      <w:bookmarkStart w:id="15" w:name="_Toc466630427"/>
      <w:bookmarkStart w:id="16" w:name="_Toc510452200"/>
      <w:bookmarkStart w:id="17" w:name="_Toc513040812"/>
      <w:r w:rsidRPr="00BB4FB8">
        <w:t>Periodic Review Procedure</w:t>
      </w:r>
      <w:bookmarkEnd w:id="13"/>
      <w:bookmarkEnd w:id="14"/>
      <w:bookmarkEnd w:id="15"/>
      <w:bookmarkEnd w:id="16"/>
      <w:bookmarkEnd w:id="17"/>
    </w:p>
    <w:p w14:paraId="0E202CF8" w14:textId="710C5609" w:rsidR="00CB078A" w:rsidRPr="00BB4FB8" w:rsidRDefault="00662F4E" w:rsidP="008D24CB">
      <w:pPr>
        <w:tabs>
          <w:tab w:val="left" w:pos="9195"/>
        </w:tabs>
        <w:spacing w:before="120" w:after="0" w:line="240" w:lineRule="auto"/>
        <w:rPr>
          <w:rFonts w:cs="Arial"/>
        </w:rPr>
      </w:pPr>
      <w:r w:rsidRPr="00BB4FB8">
        <w:rPr>
          <w:rFonts w:cs="Arial"/>
        </w:rPr>
        <w:tab/>
      </w:r>
    </w:p>
    <w:p w14:paraId="0369F06D" w14:textId="77777777" w:rsidR="00CB078A" w:rsidRPr="00BB4FB8" w:rsidRDefault="00CB078A" w:rsidP="00CB078A">
      <w:pPr>
        <w:pStyle w:val="Heading3"/>
        <w:spacing w:before="0"/>
        <w:ind w:left="86"/>
        <w:rPr>
          <w:rFonts w:cs="Arial"/>
          <w:b w:val="0"/>
        </w:rPr>
      </w:pPr>
      <w:r w:rsidRPr="00BB4FB8">
        <w:rPr>
          <w:rFonts w:cs="Arial"/>
        </w:rPr>
        <w:t>Review Criteria &amp; Incorporation of Changes</w:t>
      </w:r>
    </w:p>
    <w:p w14:paraId="12394045" w14:textId="77777777" w:rsidR="00CB078A" w:rsidRPr="00BB4FB8" w:rsidRDefault="00CB078A" w:rsidP="00583128">
      <w:pPr>
        <w:spacing w:before="120" w:after="0" w:line="240" w:lineRule="auto"/>
        <w:ind w:left="360"/>
        <w:rPr>
          <w:rFonts w:cs="Arial"/>
        </w:rPr>
      </w:pPr>
      <w:r w:rsidRPr="00BB4FB8">
        <w:rPr>
          <w:rFonts w:cs="Arial"/>
        </w:rPr>
        <w:t>There are no specific review criteria identified for this document.</w:t>
      </w:r>
    </w:p>
    <w:p w14:paraId="39635329" w14:textId="77777777" w:rsidR="00CB078A" w:rsidRPr="00BB4FB8" w:rsidRDefault="00CB078A" w:rsidP="00CB078A">
      <w:pPr>
        <w:spacing w:before="120" w:after="0" w:line="240" w:lineRule="auto"/>
        <w:ind w:left="360"/>
        <w:rPr>
          <w:rFonts w:cs="Arial"/>
        </w:rPr>
      </w:pPr>
    </w:p>
    <w:p w14:paraId="327A194C" w14:textId="77777777" w:rsidR="00CB078A" w:rsidRPr="00BB4FB8" w:rsidRDefault="00CB078A" w:rsidP="00CB078A">
      <w:pPr>
        <w:pStyle w:val="Heading3"/>
        <w:spacing w:before="0"/>
        <w:ind w:left="86"/>
        <w:rPr>
          <w:rFonts w:cs="Arial"/>
          <w:b w:val="0"/>
        </w:rPr>
      </w:pPr>
      <w:bookmarkStart w:id="18" w:name="_Toc535140605"/>
      <w:bookmarkStart w:id="19" w:name="_Toc536531666"/>
      <w:r w:rsidRPr="00BB4FB8">
        <w:rPr>
          <w:rFonts w:cs="Arial"/>
        </w:rPr>
        <w:t>Frequency</w:t>
      </w:r>
      <w:bookmarkEnd w:id="18"/>
      <w:bookmarkEnd w:id="19"/>
    </w:p>
    <w:p w14:paraId="2CF5B386" w14:textId="57EDAC53" w:rsidR="008B10AB" w:rsidRPr="001A38D2" w:rsidRDefault="00634FD6" w:rsidP="00634FD6">
      <w:pPr>
        <w:spacing w:before="120" w:after="0" w:line="240" w:lineRule="auto"/>
        <w:ind w:left="360"/>
      </w:pPr>
      <w:r w:rsidRPr="00BB4FB8">
        <w:t>Review at least once every three years</w:t>
      </w:r>
      <w:r w:rsidR="00C37A2A" w:rsidRPr="00BB4FB8">
        <w:t>.</w:t>
      </w:r>
      <w:r w:rsidRPr="00634FD6">
        <w:t xml:space="preserve">  </w:t>
      </w:r>
    </w:p>
    <w:sectPr w:rsidR="008B10AB" w:rsidRPr="001A38D2" w:rsidSect="009F759A">
      <w:headerReference w:type="default" r:id="rId14"/>
      <w:footerReference w:type="default" r:id="rId15"/>
      <w:pgSz w:w="12240" w:h="15840"/>
      <w:pgMar w:top="1440" w:right="1008" w:bottom="720" w:left="1152" w:header="432" w:footer="432" w:gutter="0"/>
      <w:pgNumType w:start="1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1F30DB" w16cid:durableId="1F449D9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1C13B" w14:textId="77777777" w:rsidR="000D21DB" w:rsidRDefault="000D21DB" w:rsidP="00A16E1A">
      <w:pPr>
        <w:spacing w:after="0" w:line="240" w:lineRule="auto"/>
      </w:pPr>
      <w:r>
        <w:separator/>
      </w:r>
    </w:p>
  </w:endnote>
  <w:endnote w:type="continuationSeparator" w:id="0">
    <w:p w14:paraId="2CD49D88" w14:textId="77777777" w:rsidR="000D21DB" w:rsidRDefault="000D21DB" w:rsidP="00A16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30DFC" w14:textId="77777777" w:rsidR="000D21DB" w:rsidRPr="00A01B37" w:rsidRDefault="000D21DB" w:rsidP="00A01B37">
    <w:pPr>
      <w:pStyle w:val="Footer"/>
      <w:jc w:val="center"/>
      <w:rPr>
        <w:sz w:val="18"/>
        <w:szCs w:val="18"/>
      </w:rPr>
    </w:pPr>
    <w:r w:rsidRPr="00A01B37">
      <w:rPr>
        <w:i/>
        <w:iCs/>
        <w:color w:val="7F7F7F"/>
        <w:sz w:val="18"/>
        <w:szCs w:val="18"/>
      </w:rPr>
      <w:t xml:space="preserve">This document is controlled when viewed electronically.  </w:t>
    </w:r>
    <w:r w:rsidRPr="00A01B37">
      <w:rPr>
        <w:i/>
        <w:iCs/>
        <w:color w:val="7F7F7F"/>
        <w:sz w:val="18"/>
        <w:szCs w:val="18"/>
      </w:rPr>
      <w:br/>
      <w:t>When downloaded or printed, this document becomes UNCONTROLLED.</w:t>
    </w:r>
    <w:r w:rsidRPr="00A01B37">
      <w:rPr>
        <w:sz w:val="18"/>
        <w:szCs w:val="18"/>
      </w:rPr>
      <w:t xml:space="preserve"> </w:t>
    </w:r>
  </w:p>
  <w:p w14:paraId="603E8168" w14:textId="6925EDD1" w:rsidR="000D21DB" w:rsidRDefault="00273CAC" w:rsidP="00A01B37">
    <w:pPr>
      <w:pStyle w:val="Footer"/>
      <w:jc w:val="center"/>
    </w:pPr>
    <w:sdt>
      <w:sdtPr>
        <w:id w:val="38044585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D21DB" w:rsidRPr="00A01B37">
          <w:fldChar w:fldCharType="begin"/>
        </w:r>
        <w:r w:rsidR="000D21DB" w:rsidRPr="00A01B37">
          <w:instrText xml:space="preserve"> PAGE   \* MERGEFORMAT </w:instrText>
        </w:r>
        <w:r w:rsidR="000D21DB" w:rsidRPr="00A01B37">
          <w:fldChar w:fldCharType="separate"/>
        </w:r>
        <w:r>
          <w:rPr>
            <w:noProof/>
          </w:rPr>
          <w:t>1</w:t>
        </w:r>
        <w:r w:rsidR="000D21DB" w:rsidRPr="00A01B37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6BBF6" w14:textId="77777777" w:rsidR="000D21DB" w:rsidRDefault="000D21DB" w:rsidP="00A16E1A">
      <w:pPr>
        <w:spacing w:after="0" w:line="240" w:lineRule="auto"/>
      </w:pPr>
      <w:r>
        <w:separator/>
      </w:r>
    </w:p>
  </w:footnote>
  <w:footnote w:type="continuationSeparator" w:id="0">
    <w:p w14:paraId="005FE11D" w14:textId="77777777" w:rsidR="000D21DB" w:rsidRDefault="000D21DB" w:rsidP="00A16E1A">
      <w:pPr>
        <w:spacing w:after="0" w:line="240" w:lineRule="auto"/>
      </w:pPr>
      <w:r>
        <w:continuationSeparator/>
      </w:r>
    </w:p>
  </w:footnote>
  <w:footnote w:id="1">
    <w:p w14:paraId="3225C571" w14:textId="77301A6E" w:rsidR="000D21DB" w:rsidRPr="00AE5E96" w:rsidRDefault="000D21DB" w:rsidP="0009600C">
      <w:pPr>
        <w:pStyle w:val="FootnoteText"/>
        <w:rPr>
          <w:sz w:val="18"/>
          <w:szCs w:val="18"/>
        </w:rPr>
      </w:pPr>
      <w:r w:rsidRPr="008D24CB">
        <w:rPr>
          <w:rStyle w:val="FootnoteReference"/>
          <w:b/>
          <w:color w:val="FF0000"/>
          <w:sz w:val="18"/>
          <w:szCs w:val="18"/>
        </w:rPr>
        <w:footnoteRef/>
      </w:r>
      <w:r>
        <w:rPr>
          <w:sz w:val="18"/>
          <w:szCs w:val="18"/>
        </w:rPr>
        <w:t xml:space="preserve"> EOP-010-1 R</w:t>
      </w:r>
      <w:r w:rsidRPr="00AE5E96">
        <w:rPr>
          <w:sz w:val="18"/>
          <w:szCs w:val="18"/>
        </w:rPr>
        <w:t>1.2</w:t>
      </w:r>
    </w:p>
  </w:footnote>
  <w:footnote w:id="2">
    <w:p w14:paraId="12E85005" w14:textId="08336ADA" w:rsidR="000D21DB" w:rsidRDefault="000D21DB">
      <w:pPr>
        <w:pStyle w:val="FootnoteText"/>
      </w:pPr>
      <w:r w:rsidRPr="008D24CB">
        <w:rPr>
          <w:rStyle w:val="FootnoteReference"/>
          <w:b/>
          <w:color w:val="FF0000"/>
        </w:rPr>
        <w:footnoteRef/>
      </w:r>
      <w:r>
        <w:t xml:space="preserve"> </w:t>
      </w:r>
      <w:r w:rsidRPr="0009600C">
        <w:rPr>
          <w:sz w:val="18"/>
        </w:rPr>
        <w:t>EOP-010-1 R3</w:t>
      </w:r>
    </w:p>
  </w:footnote>
  <w:footnote w:id="3">
    <w:p w14:paraId="77216BFC" w14:textId="23F0F54E" w:rsidR="000D21DB" w:rsidRDefault="000D21DB" w:rsidP="003A6F0F">
      <w:pPr>
        <w:pStyle w:val="FootnoteText"/>
      </w:pPr>
      <w:r w:rsidRPr="008D24CB">
        <w:rPr>
          <w:rStyle w:val="FootnoteReference"/>
          <w:b/>
          <w:color w:val="FF0000"/>
        </w:rPr>
        <w:footnoteRef/>
      </w:r>
      <w:r w:rsidRPr="008D24CB">
        <w:rPr>
          <w:b/>
          <w:color w:val="FF0000"/>
        </w:rPr>
        <w:t xml:space="preserve"> </w:t>
      </w:r>
      <w:r w:rsidRPr="000D21DB">
        <w:rPr>
          <w:sz w:val="18"/>
        </w:rPr>
        <w:t>EOP-010-1 R3.2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68" w:type="dxa"/>
      <w:jc w:val="center"/>
      <w:tblLayout w:type="fixed"/>
      <w:tblLook w:val="04A0" w:firstRow="1" w:lastRow="0" w:firstColumn="1" w:lastColumn="0" w:noHBand="0" w:noVBand="1"/>
    </w:tblPr>
    <w:tblGrid>
      <w:gridCol w:w="3978"/>
      <w:gridCol w:w="1980"/>
      <w:gridCol w:w="1836"/>
      <w:gridCol w:w="1674"/>
    </w:tblGrid>
    <w:tr w:rsidR="000D21DB" w14:paraId="716B7C95" w14:textId="77777777" w:rsidTr="00547842">
      <w:trPr>
        <w:trHeight w:val="260"/>
        <w:jc w:val="center"/>
      </w:trPr>
      <w:tc>
        <w:tcPr>
          <w:tcW w:w="3978" w:type="dxa"/>
          <w:vMerge w:val="restart"/>
          <w:vAlign w:val="center"/>
        </w:tcPr>
        <w:p w14:paraId="70C95878" w14:textId="53F8D13B" w:rsidR="000D21DB" w:rsidRDefault="00B748E2" w:rsidP="0008521F">
          <w:pPr>
            <w:spacing w:before="80"/>
          </w:pPr>
          <w:r>
            <w:rPr>
              <w:noProof/>
            </w:rPr>
            <w:drawing>
              <wp:inline distT="0" distB="0" distL="0" distR="0" wp14:anchorId="4F63FE3E" wp14:editId="4A1D736E">
                <wp:extent cx="2333625" cy="435610"/>
                <wp:effectExtent l="0" t="0" r="9525" b="254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3625" cy="435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0" w:type="dxa"/>
          <w:vMerge w:val="restart"/>
          <w:vAlign w:val="center"/>
        </w:tcPr>
        <w:p w14:paraId="7753EF72" w14:textId="77777777" w:rsidR="000D21DB" w:rsidRPr="009C1502" w:rsidRDefault="000D21DB" w:rsidP="00A16E1A">
          <w:pPr>
            <w:jc w:val="center"/>
            <w:rPr>
              <w:b/>
            </w:rPr>
          </w:pPr>
          <w:r>
            <w:rPr>
              <w:b/>
            </w:rPr>
            <w:t xml:space="preserve">Reliability Coordinator </w:t>
          </w:r>
          <w:r w:rsidRPr="009C1502">
            <w:rPr>
              <w:b/>
            </w:rPr>
            <w:t xml:space="preserve"> Procedure</w:t>
          </w:r>
        </w:p>
      </w:tc>
      <w:tc>
        <w:tcPr>
          <w:tcW w:w="1836" w:type="dxa"/>
          <w:vAlign w:val="center"/>
        </w:tcPr>
        <w:p w14:paraId="6A15F25B" w14:textId="77777777" w:rsidR="000D21DB" w:rsidRPr="000A640E" w:rsidRDefault="000D21DB" w:rsidP="00A16E1A">
          <w:pPr>
            <w:rPr>
              <w:b/>
              <w:szCs w:val="22"/>
            </w:rPr>
          </w:pPr>
          <w:r w:rsidRPr="000A640E">
            <w:rPr>
              <w:b/>
              <w:szCs w:val="22"/>
            </w:rPr>
            <w:t>Procedure No.</w:t>
          </w:r>
        </w:p>
      </w:tc>
      <w:tc>
        <w:tcPr>
          <w:tcW w:w="1674" w:type="dxa"/>
          <w:vAlign w:val="center"/>
        </w:tcPr>
        <w:p w14:paraId="66FF7655" w14:textId="3301231E" w:rsidR="000D21DB" w:rsidRPr="00C84184" w:rsidRDefault="000D21DB" w:rsidP="0063751E">
          <w:pPr>
            <w:rPr>
              <w:szCs w:val="22"/>
            </w:rPr>
          </w:pPr>
          <w:r>
            <w:rPr>
              <w:szCs w:val="22"/>
            </w:rPr>
            <w:t>RC0430A</w:t>
          </w:r>
        </w:p>
      </w:tc>
    </w:tr>
    <w:tr w:rsidR="000D21DB" w14:paraId="09DBE4BB" w14:textId="77777777" w:rsidTr="0035516A">
      <w:trPr>
        <w:trHeight w:val="260"/>
        <w:jc w:val="center"/>
      </w:trPr>
      <w:tc>
        <w:tcPr>
          <w:tcW w:w="3978" w:type="dxa"/>
          <w:vMerge/>
        </w:tcPr>
        <w:p w14:paraId="43975AF0" w14:textId="77777777" w:rsidR="000D21DB" w:rsidRPr="0029536D" w:rsidRDefault="000D21DB" w:rsidP="00A16E1A">
          <w:pPr>
            <w:rPr>
              <w:noProof/>
            </w:rPr>
          </w:pPr>
        </w:p>
      </w:tc>
      <w:tc>
        <w:tcPr>
          <w:tcW w:w="1980" w:type="dxa"/>
          <w:vMerge/>
          <w:vAlign w:val="center"/>
        </w:tcPr>
        <w:p w14:paraId="208877F0" w14:textId="77777777" w:rsidR="000D21DB" w:rsidRPr="0029536D" w:rsidRDefault="000D21DB" w:rsidP="00A16E1A">
          <w:pPr>
            <w:jc w:val="center"/>
            <w:rPr>
              <w:b/>
            </w:rPr>
          </w:pPr>
        </w:p>
      </w:tc>
      <w:tc>
        <w:tcPr>
          <w:tcW w:w="1836" w:type="dxa"/>
          <w:vAlign w:val="center"/>
        </w:tcPr>
        <w:p w14:paraId="2E6E085B" w14:textId="77777777" w:rsidR="000D21DB" w:rsidRPr="000A640E" w:rsidRDefault="000D21DB" w:rsidP="00A16E1A">
          <w:pPr>
            <w:rPr>
              <w:b/>
              <w:szCs w:val="22"/>
            </w:rPr>
          </w:pPr>
          <w:r w:rsidRPr="000A640E">
            <w:rPr>
              <w:b/>
              <w:szCs w:val="22"/>
            </w:rPr>
            <w:t>Version No.</w:t>
          </w:r>
        </w:p>
      </w:tc>
      <w:tc>
        <w:tcPr>
          <w:tcW w:w="1674" w:type="dxa"/>
          <w:vAlign w:val="center"/>
        </w:tcPr>
        <w:p w14:paraId="4E43608D" w14:textId="3CE57291" w:rsidR="000D21DB" w:rsidRPr="00C84184" w:rsidRDefault="00CF008A" w:rsidP="00BB4FB8">
          <w:pPr>
            <w:rPr>
              <w:szCs w:val="22"/>
            </w:rPr>
          </w:pPr>
          <w:r>
            <w:rPr>
              <w:szCs w:val="22"/>
            </w:rPr>
            <w:t>1.</w:t>
          </w:r>
          <w:r w:rsidR="00BB4FB8">
            <w:rPr>
              <w:szCs w:val="22"/>
            </w:rPr>
            <w:t>3</w:t>
          </w:r>
        </w:p>
      </w:tc>
    </w:tr>
    <w:tr w:rsidR="000D21DB" w14:paraId="632D39BF" w14:textId="77777777" w:rsidTr="006C0AA9">
      <w:trPr>
        <w:trHeight w:val="281"/>
        <w:jc w:val="center"/>
      </w:trPr>
      <w:tc>
        <w:tcPr>
          <w:tcW w:w="3978" w:type="dxa"/>
          <w:vMerge/>
        </w:tcPr>
        <w:p w14:paraId="53E295CD" w14:textId="77777777" w:rsidR="000D21DB" w:rsidRDefault="000D21DB" w:rsidP="00A16E1A"/>
      </w:tc>
      <w:tc>
        <w:tcPr>
          <w:tcW w:w="1980" w:type="dxa"/>
          <w:vMerge/>
        </w:tcPr>
        <w:p w14:paraId="3699B855" w14:textId="77777777" w:rsidR="000D21DB" w:rsidRPr="0029536D" w:rsidRDefault="000D21DB" w:rsidP="00A16E1A">
          <w:pPr>
            <w:rPr>
              <w:b/>
            </w:rPr>
          </w:pPr>
        </w:p>
      </w:tc>
      <w:tc>
        <w:tcPr>
          <w:tcW w:w="1836" w:type="dxa"/>
          <w:vAlign w:val="center"/>
        </w:tcPr>
        <w:p w14:paraId="42416D12" w14:textId="77777777" w:rsidR="000D21DB" w:rsidRPr="000A640E" w:rsidRDefault="000D21DB" w:rsidP="00A16E1A">
          <w:pPr>
            <w:rPr>
              <w:b/>
              <w:szCs w:val="22"/>
            </w:rPr>
          </w:pPr>
          <w:r w:rsidRPr="000A640E">
            <w:rPr>
              <w:b/>
              <w:szCs w:val="22"/>
            </w:rPr>
            <w:t>Effective Date</w:t>
          </w:r>
        </w:p>
      </w:tc>
      <w:tc>
        <w:tcPr>
          <w:tcW w:w="1674" w:type="dxa"/>
          <w:vAlign w:val="center"/>
        </w:tcPr>
        <w:p w14:paraId="63021D5C" w14:textId="59977B0A" w:rsidR="000D21DB" w:rsidRPr="00C84184" w:rsidRDefault="00BF39E8" w:rsidP="00BF39E8">
          <w:pPr>
            <w:rPr>
              <w:szCs w:val="22"/>
            </w:rPr>
          </w:pPr>
          <w:r>
            <w:rPr>
              <w:szCs w:val="22"/>
            </w:rPr>
            <w:t>10/01/24</w:t>
          </w:r>
        </w:p>
      </w:tc>
    </w:tr>
    <w:tr w:rsidR="000D21DB" w14:paraId="0184D569" w14:textId="77777777" w:rsidTr="0035516A">
      <w:trPr>
        <w:trHeight w:val="647"/>
        <w:jc w:val="center"/>
      </w:trPr>
      <w:tc>
        <w:tcPr>
          <w:tcW w:w="5958" w:type="dxa"/>
          <w:gridSpan w:val="2"/>
          <w:vAlign w:val="center"/>
        </w:tcPr>
        <w:p w14:paraId="590D40BB" w14:textId="4DAD0A91" w:rsidR="000D21DB" w:rsidRDefault="000D21DB" w:rsidP="0063751E">
          <w:pPr>
            <w:spacing w:after="40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b/>
              <w:sz w:val="28"/>
              <w:szCs w:val="28"/>
            </w:rPr>
            <w:t>EOP-010 Plan Review Checklist</w:t>
          </w:r>
        </w:p>
      </w:tc>
      <w:tc>
        <w:tcPr>
          <w:tcW w:w="3510" w:type="dxa"/>
          <w:gridSpan w:val="2"/>
          <w:vAlign w:val="center"/>
        </w:tcPr>
        <w:p w14:paraId="6C7938CC" w14:textId="24BE701F" w:rsidR="000D21DB" w:rsidRPr="0029536D" w:rsidRDefault="000D21DB">
          <w:pPr>
            <w:jc w:val="center"/>
            <w:rPr>
              <w:b/>
              <w:color w:val="FF0000"/>
              <w:sz w:val="20"/>
            </w:rPr>
          </w:pPr>
          <w:r>
            <w:rPr>
              <w:b/>
              <w:color w:val="FF0000"/>
              <w:sz w:val="20"/>
            </w:rPr>
            <w:t>Distribution Restriction:</w:t>
          </w:r>
          <w:r>
            <w:rPr>
              <w:b/>
              <w:color w:val="FF0000"/>
              <w:sz w:val="20"/>
            </w:rPr>
            <w:br/>
            <w:t>None</w:t>
          </w:r>
        </w:p>
      </w:tc>
    </w:tr>
  </w:tbl>
  <w:p w14:paraId="5FFBD4D1" w14:textId="12F37231" w:rsidR="000D21DB" w:rsidRDefault="000D21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0E86"/>
    <w:multiLevelType w:val="multilevel"/>
    <w:tmpl w:val="97F4EC6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84214C"/>
    <w:multiLevelType w:val="hybridMultilevel"/>
    <w:tmpl w:val="26B8B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D57A6"/>
    <w:multiLevelType w:val="hybridMultilevel"/>
    <w:tmpl w:val="B40CA0F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079D4626"/>
    <w:multiLevelType w:val="hybridMultilevel"/>
    <w:tmpl w:val="D64E1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74DDF"/>
    <w:multiLevelType w:val="hybridMultilevel"/>
    <w:tmpl w:val="7284D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16C82"/>
    <w:multiLevelType w:val="hybridMultilevel"/>
    <w:tmpl w:val="08C26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91382"/>
    <w:multiLevelType w:val="hybridMultilevel"/>
    <w:tmpl w:val="2FB6B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AA9"/>
    <w:multiLevelType w:val="hybridMultilevel"/>
    <w:tmpl w:val="6C880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60F90"/>
    <w:multiLevelType w:val="hybridMultilevel"/>
    <w:tmpl w:val="56D21DE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3E157E2F"/>
    <w:multiLevelType w:val="hybridMultilevel"/>
    <w:tmpl w:val="ACEA3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E2894"/>
    <w:multiLevelType w:val="hybridMultilevel"/>
    <w:tmpl w:val="E44CD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037F5"/>
    <w:multiLevelType w:val="hybridMultilevel"/>
    <w:tmpl w:val="E1E0E0AC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2" w15:restartNumberingAfterBreak="0">
    <w:nsid w:val="504248FD"/>
    <w:multiLevelType w:val="hybridMultilevel"/>
    <w:tmpl w:val="B6C40FCE"/>
    <w:lvl w:ilvl="0" w:tplc="6B3C3AA2">
      <w:numFmt w:val="bullet"/>
      <w:lvlText w:val="•"/>
      <w:lvlJc w:val="left"/>
      <w:pPr>
        <w:ind w:left="990" w:hanging="45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51C11243"/>
    <w:multiLevelType w:val="hybridMultilevel"/>
    <w:tmpl w:val="51C11243"/>
    <w:lvl w:ilvl="0" w:tplc="6EFE5F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292364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9FC67E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FD8AA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ECAF4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B26CC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37061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C8A9B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308A5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57CD22AC"/>
    <w:multiLevelType w:val="hybridMultilevel"/>
    <w:tmpl w:val="2E167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53F69"/>
    <w:multiLevelType w:val="hybridMultilevel"/>
    <w:tmpl w:val="39F0F3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085C61"/>
    <w:multiLevelType w:val="multilevel"/>
    <w:tmpl w:val="9E606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DF6054"/>
    <w:multiLevelType w:val="hybridMultilevel"/>
    <w:tmpl w:val="752CAD46"/>
    <w:lvl w:ilvl="0" w:tplc="6B3C3AA2">
      <w:numFmt w:val="bullet"/>
      <w:lvlText w:val="•"/>
      <w:lvlJc w:val="left"/>
      <w:pPr>
        <w:ind w:left="990" w:hanging="45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674B7DD1"/>
    <w:multiLevelType w:val="hybridMultilevel"/>
    <w:tmpl w:val="E8827648"/>
    <w:lvl w:ilvl="0" w:tplc="6B3C3AA2">
      <w:numFmt w:val="bullet"/>
      <w:lvlText w:val="•"/>
      <w:lvlJc w:val="left"/>
      <w:pPr>
        <w:ind w:left="720" w:hanging="450"/>
      </w:pPr>
      <w:rPr>
        <w:rFonts w:ascii="Arial" w:eastAsiaTheme="minorHAnsi" w:hAnsi="Arial" w:cs="Arial" w:hint="default"/>
      </w:rPr>
    </w:lvl>
    <w:lvl w:ilvl="1" w:tplc="E19CB87E">
      <w:numFmt w:val="bullet"/>
      <w:lvlText w:val=""/>
      <w:lvlJc w:val="left"/>
      <w:pPr>
        <w:ind w:left="1440" w:hanging="450"/>
      </w:pPr>
      <w:rPr>
        <w:rFonts w:ascii="Symbol" w:eastAsiaTheme="minorHAnsi" w:hAnsi="Symbol" w:cstheme="minorBidi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 w15:restartNumberingAfterBreak="0">
    <w:nsid w:val="6E795A1A"/>
    <w:multiLevelType w:val="hybridMultilevel"/>
    <w:tmpl w:val="39F0F3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5407BE"/>
    <w:multiLevelType w:val="hybridMultilevel"/>
    <w:tmpl w:val="2E167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A147D"/>
    <w:multiLevelType w:val="hybridMultilevel"/>
    <w:tmpl w:val="8432D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70651"/>
    <w:multiLevelType w:val="multilevel"/>
    <w:tmpl w:val="E45C3A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9BC7955"/>
    <w:multiLevelType w:val="multilevel"/>
    <w:tmpl w:val="1AC69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9E47692"/>
    <w:multiLevelType w:val="hybridMultilevel"/>
    <w:tmpl w:val="338CD99E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C983304"/>
    <w:multiLevelType w:val="multilevel"/>
    <w:tmpl w:val="1AC69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E8630C5"/>
    <w:multiLevelType w:val="hybridMultilevel"/>
    <w:tmpl w:val="7C508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D436C"/>
    <w:multiLevelType w:val="hybridMultilevel"/>
    <w:tmpl w:val="2E167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  <w:lvlOverride w:ilvl="0">
      <w:startOverride w:val="1"/>
    </w:lvlOverride>
  </w:num>
  <w:num w:numId="3">
    <w:abstractNumId w:val="13"/>
  </w:num>
  <w:num w:numId="4">
    <w:abstractNumId w:val="25"/>
  </w:num>
  <w:num w:numId="5">
    <w:abstractNumId w:val="11"/>
  </w:num>
  <w:num w:numId="6">
    <w:abstractNumId w:val="4"/>
  </w:num>
  <w:num w:numId="7">
    <w:abstractNumId w:val="10"/>
  </w:num>
  <w:num w:numId="8">
    <w:abstractNumId w:val="3"/>
  </w:num>
  <w:num w:numId="9">
    <w:abstractNumId w:val="22"/>
  </w:num>
  <w:num w:numId="10">
    <w:abstractNumId w:val="0"/>
  </w:num>
  <w:num w:numId="11">
    <w:abstractNumId w:val="19"/>
  </w:num>
  <w:num w:numId="12">
    <w:abstractNumId w:val="20"/>
  </w:num>
  <w:num w:numId="13">
    <w:abstractNumId w:val="27"/>
  </w:num>
  <w:num w:numId="14">
    <w:abstractNumId w:val="14"/>
  </w:num>
  <w:num w:numId="15">
    <w:abstractNumId w:val="6"/>
  </w:num>
  <w:num w:numId="16">
    <w:abstractNumId w:val="5"/>
  </w:num>
  <w:num w:numId="17">
    <w:abstractNumId w:val="24"/>
  </w:num>
  <w:num w:numId="18">
    <w:abstractNumId w:val="8"/>
  </w:num>
  <w:num w:numId="19">
    <w:abstractNumId w:val="18"/>
  </w:num>
  <w:num w:numId="20">
    <w:abstractNumId w:val="12"/>
  </w:num>
  <w:num w:numId="21">
    <w:abstractNumId w:val="17"/>
  </w:num>
  <w:num w:numId="22">
    <w:abstractNumId w:val="21"/>
  </w:num>
  <w:num w:numId="23">
    <w:abstractNumId w:val="7"/>
  </w:num>
  <w:num w:numId="24">
    <w:abstractNumId w:val="26"/>
  </w:num>
  <w:num w:numId="25">
    <w:abstractNumId w:val="2"/>
  </w:num>
  <w:num w:numId="26">
    <w:abstractNumId w:val="15"/>
  </w:num>
  <w:num w:numId="27">
    <w:abstractNumId w:val="9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hideSpellingErrors/>
  <w:hideGrammaticalErrors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E1A"/>
    <w:rsid w:val="00000050"/>
    <w:rsid w:val="00002455"/>
    <w:rsid w:val="00021D9E"/>
    <w:rsid w:val="00023981"/>
    <w:rsid w:val="00023D4F"/>
    <w:rsid w:val="00037A64"/>
    <w:rsid w:val="000427CA"/>
    <w:rsid w:val="00047BCB"/>
    <w:rsid w:val="0005550B"/>
    <w:rsid w:val="000557C3"/>
    <w:rsid w:val="000605A0"/>
    <w:rsid w:val="000614C4"/>
    <w:rsid w:val="000739B7"/>
    <w:rsid w:val="0008521F"/>
    <w:rsid w:val="0009600C"/>
    <w:rsid w:val="000B09D3"/>
    <w:rsid w:val="000C7DEB"/>
    <w:rsid w:val="000D21DB"/>
    <w:rsid w:val="000D4062"/>
    <w:rsid w:val="000E6690"/>
    <w:rsid w:val="000F2C3A"/>
    <w:rsid w:val="000F6E5B"/>
    <w:rsid w:val="00107505"/>
    <w:rsid w:val="00112871"/>
    <w:rsid w:val="00121960"/>
    <w:rsid w:val="00127D0C"/>
    <w:rsid w:val="00132190"/>
    <w:rsid w:val="001553D5"/>
    <w:rsid w:val="00190A04"/>
    <w:rsid w:val="001A38D2"/>
    <w:rsid w:val="001B61C5"/>
    <w:rsid w:val="001C58BA"/>
    <w:rsid w:val="001C7994"/>
    <w:rsid w:val="001E3478"/>
    <w:rsid w:val="00206097"/>
    <w:rsid w:val="00210ABA"/>
    <w:rsid w:val="002118A3"/>
    <w:rsid w:val="00230538"/>
    <w:rsid w:val="00232AEF"/>
    <w:rsid w:val="00266D33"/>
    <w:rsid w:val="00273CAC"/>
    <w:rsid w:val="00277BA4"/>
    <w:rsid w:val="002A0624"/>
    <w:rsid w:val="002D35D1"/>
    <w:rsid w:val="002D52ED"/>
    <w:rsid w:val="002F34CE"/>
    <w:rsid w:val="00321CA4"/>
    <w:rsid w:val="003346F4"/>
    <w:rsid w:val="003441ED"/>
    <w:rsid w:val="003449FD"/>
    <w:rsid w:val="00346060"/>
    <w:rsid w:val="0035029F"/>
    <w:rsid w:val="00354BEC"/>
    <w:rsid w:val="0035516A"/>
    <w:rsid w:val="00371F2A"/>
    <w:rsid w:val="0038460A"/>
    <w:rsid w:val="00387CD0"/>
    <w:rsid w:val="003A2195"/>
    <w:rsid w:val="003A6F0F"/>
    <w:rsid w:val="003F151A"/>
    <w:rsid w:val="004057D3"/>
    <w:rsid w:val="00411204"/>
    <w:rsid w:val="0044014E"/>
    <w:rsid w:val="0044252B"/>
    <w:rsid w:val="004828D8"/>
    <w:rsid w:val="004A2EA0"/>
    <w:rsid w:val="004B6F8F"/>
    <w:rsid w:val="004D0F06"/>
    <w:rsid w:val="004D1D90"/>
    <w:rsid w:val="004D2953"/>
    <w:rsid w:val="004F1F25"/>
    <w:rsid w:val="005037CE"/>
    <w:rsid w:val="00512012"/>
    <w:rsid w:val="005323ED"/>
    <w:rsid w:val="005328CC"/>
    <w:rsid w:val="00547842"/>
    <w:rsid w:val="005523CE"/>
    <w:rsid w:val="005568E0"/>
    <w:rsid w:val="00560F02"/>
    <w:rsid w:val="00562C27"/>
    <w:rsid w:val="00562CCB"/>
    <w:rsid w:val="00583128"/>
    <w:rsid w:val="005915E9"/>
    <w:rsid w:val="00595B47"/>
    <w:rsid w:val="005A245A"/>
    <w:rsid w:val="005B6627"/>
    <w:rsid w:val="005C15C7"/>
    <w:rsid w:val="005C5B0D"/>
    <w:rsid w:val="005D3DBE"/>
    <w:rsid w:val="005D5D61"/>
    <w:rsid w:val="005F258F"/>
    <w:rsid w:val="005F635F"/>
    <w:rsid w:val="005F6D54"/>
    <w:rsid w:val="00634FD6"/>
    <w:rsid w:val="0063751E"/>
    <w:rsid w:val="00641434"/>
    <w:rsid w:val="006450C4"/>
    <w:rsid w:val="00662F4E"/>
    <w:rsid w:val="0066626B"/>
    <w:rsid w:val="006830EE"/>
    <w:rsid w:val="00694710"/>
    <w:rsid w:val="006A2CDC"/>
    <w:rsid w:val="006B1A2A"/>
    <w:rsid w:val="006C0AA9"/>
    <w:rsid w:val="006D3BFF"/>
    <w:rsid w:val="006D6F6E"/>
    <w:rsid w:val="00701A2D"/>
    <w:rsid w:val="007305C8"/>
    <w:rsid w:val="0073063E"/>
    <w:rsid w:val="00757F73"/>
    <w:rsid w:val="007869B9"/>
    <w:rsid w:val="007A2119"/>
    <w:rsid w:val="007B1C5B"/>
    <w:rsid w:val="007C2572"/>
    <w:rsid w:val="007D0F93"/>
    <w:rsid w:val="007F0953"/>
    <w:rsid w:val="00802048"/>
    <w:rsid w:val="008347EF"/>
    <w:rsid w:val="00846C0F"/>
    <w:rsid w:val="00867E19"/>
    <w:rsid w:val="00874ED3"/>
    <w:rsid w:val="008777E7"/>
    <w:rsid w:val="00886E99"/>
    <w:rsid w:val="0089292E"/>
    <w:rsid w:val="008B10AB"/>
    <w:rsid w:val="008B5C6F"/>
    <w:rsid w:val="008C51B4"/>
    <w:rsid w:val="008D17C3"/>
    <w:rsid w:val="008D24CB"/>
    <w:rsid w:val="008D4541"/>
    <w:rsid w:val="008F0793"/>
    <w:rsid w:val="008F5B8D"/>
    <w:rsid w:val="008F73D6"/>
    <w:rsid w:val="00906A67"/>
    <w:rsid w:val="00922D0E"/>
    <w:rsid w:val="0092666D"/>
    <w:rsid w:val="0093676F"/>
    <w:rsid w:val="0095482F"/>
    <w:rsid w:val="00954CEA"/>
    <w:rsid w:val="0097619D"/>
    <w:rsid w:val="009E369B"/>
    <w:rsid w:val="009F759A"/>
    <w:rsid w:val="00A01B37"/>
    <w:rsid w:val="00A11CE4"/>
    <w:rsid w:val="00A14585"/>
    <w:rsid w:val="00A16E1A"/>
    <w:rsid w:val="00A25938"/>
    <w:rsid w:val="00A6525F"/>
    <w:rsid w:val="00A75A4B"/>
    <w:rsid w:val="00A81195"/>
    <w:rsid w:val="00A82E65"/>
    <w:rsid w:val="00A95B44"/>
    <w:rsid w:val="00AC0398"/>
    <w:rsid w:val="00AC60F8"/>
    <w:rsid w:val="00AD15AC"/>
    <w:rsid w:val="00AD1AA7"/>
    <w:rsid w:val="00AD2201"/>
    <w:rsid w:val="00AD4F47"/>
    <w:rsid w:val="00AE3281"/>
    <w:rsid w:val="00AF718B"/>
    <w:rsid w:val="00B071DD"/>
    <w:rsid w:val="00B1514F"/>
    <w:rsid w:val="00B4164D"/>
    <w:rsid w:val="00B5614E"/>
    <w:rsid w:val="00B748E2"/>
    <w:rsid w:val="00B97238"/>
    <w:rsid w:val="00BB4FB8"/>
    <w:rsid w:val="00BC0555"/>
    <w:rsid w:val="00BD4F55"/>
    <w:rsid w:val="00BD5C77"/>
    <w:rsid w:val="00BF3906"/>
    <w:rsid w:val="00BF39E8"/>
    <w:rsid w:val="00C100E7"/>
    <w:rsid w:val="00C23345"/>
    <w:rsid w:val="00C36AFD"/>
    <w:rsid w:val="00C37A2A"/>
    <w:rsid w:val="00C50CDC"/>
    <w:rsid w:val="00C53FB4"/>
    <w:rsid w:val="00C549F7"/>
    <w:rsid w:val="00C76108"/>
    <w:rsid w:val="00C8495D"/>
    <w:rsid w:val="00C95D60"/>
    <w:rsid w:val="00CA0E7D"/>
    <w:rsid w:val="00CA1386"/>
    <w:rsid w:val="00CB078A"/>
    <w:rsid w:val="00CB56E5"/>
    <w:rsid w:val="00CC10F6"/>
    <w:rsid w:val="00CC5886"/>
    <w:rsid w:val="00CD4B82"/>
    <w:rsid w:val="00CF008A"/>
    <w:rsid w:val="00CF0889"/>
    <w:rsid w:val="00D05014"/>
    <w:rsid w:val="00D14752"/>
    <w:rsid w:val="00D222C7"/>
    <w:rsid w:val="00D41CA5"/>
    <w:rsid w:val="00D73266"/>
    <w:rsid w:val="00D9500F"/>
    <w:rsid w:val="00D97239"/>
    <w:rsid w:val="00DA2938"/>
    <w:rsid w:val="00DB392E"/>
    <w:rsid w:val="00DF15F3"/>
    <w:rsid w:val="00DF1CC6"/>
    <w:rsid w:val="00DF6FE7"/>
    <w:rsid w:val="00E122C9"/>
    <w:rsid w:val="00E16CD7"/>
    <w:rsid w:val="00E370F0"/>
    <w:rsid w:val="00E47918"/>
    <w:rsid w:val="00E5205B"/>
    <w:rsid w:val="00E52E94"/>
    <w:rsid w:val="00E565E6"/>
    <w:rsid w:val="00E73844"/>
    <w:rsid w:val="00E77BF9"/>
    <w:rsid w:val="00E91D8E"/>
    <w:rsid w:val="00EA6218"/>
    <w:rsid w:val="00EB3800"/>
    <w:rsid w:val="00EF684D"/>
    <w:rsid w:val="00F028F8"/>
    <w:rsid w:val="00F22019"/>
    <w:rsid w:val="00F46682"/>
    <w:rsid w:val="00F60680"/>
    <w:rsid w:val="00F64D16"/>
    <w:rsid w:val="00F66C2B"/>
    <w:rsid w:val="00F73C80"/>
    <w:rsid w:val="00F83897"/>
    <w:rsid w:val="00FB5118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747DFF84"/>
  <w15:chartTrackingRefBased/>
  <w15:docId w15:val="{2CB80F44-D480-4204-BDE2-E814809C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7C3"/>
    <w:pPr>
      <w:spacing w:before="4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151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151A"/>
    <w:pPr>
      <w:keepNext/>
      <w:keepLines/>
      <w:spacing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369B"/>
    <w:pPr>
      <w:keepNext/>
      <w:keepLines/>
      <w:spacing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626B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E1A"/>
  </w:style>
  <w:style w:type="paragraph" w:styleId="Footer">
    <w:name w:val="footer"/>
    <w:basedOn w:val="Normal"/>
    <w:link w:val="FooterChar"/>
    <w:uiPriority w:val="99"/>
    <w:unhideWhenUsed/>
    <w:rsid w:val="00A16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E1A"/>
  </w:style>
  <w:style w:type="table" w:styleId="TableGrid">
    <w:name w:val="Table Grid"/>
    <w:basedOn w:val="TableNormal"/>
    <w:uiPriority w:val="59"/>
    <w:rsid w:val="00A16E1A"/>
    <w:pPr>
      <w:spacing w:after="0" w:line="240" w:lineRule="auto"/>
    </w:pPr>
    <w:rPr>
      <w:rFonts w:ascii="Arial" w:eastAsia="Times New Roman" w:hAnsi="Arial" w:cs="Times New Roman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F151A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151A"/>
    <w:rPr>
      <w:rFonts w:ascii="Arial" w:eastAsiaTheme="majorEastAsia" w:hAnsi="Arial" w:cstheme="majorBidi"/>
      <w:b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230538"/>
    <w:pPr>
      <w:outlineLvl w:val="9"/>
    </w:pPr>
    <w:rPr>
      <w:rFonts w:asciiTheme="majorHAnsi" w:hAnsiTheme="majorHAnsi"/>
      <w:b w:val="0"/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2305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30538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3053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17C3"/>
    <w:pPr>
      <w:spacing w:before="0" w:after="0" w:line="240" w:lineRule="auto"/>
      <w:ind w:left="720"/>
      <w:contextualSpacing/>
    </w:pPr>
    <w:rPr>
      <w:rFonts w:eastAsia="Times New Roman" w:cs="Times New Roman"/>
      <w:szCs w:val="20"/>
    </w:rPr>
  </w:style>
  <w:style w:type="paragraph" w:customStyle="1" w:styleId="Default">
    <w:name w:val="Default"/>
    <w:rsid w:val="00EA6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E369B"/>
    <w:rPr>
      <w:rFonts w:ascii="Arial" w:eastAsiaTheme="majorEastAsia" w:hAnsi="Arial" w:cstheme="majorBidi"/>
      <w:b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23CE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23C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23CE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2D35D1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66626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0B09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9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9D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9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9D3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9D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9D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F0953"/>
    <w:pPr>
      <w:spacing w:after="0" w:line="240" w:lineRule="auto"/>
    </w:pPr>
    <w:rPr>
      <w:rFonts w:ascii="Arial" w:hAnsi="Arial"/>
    </w:rPr>
  </w:style>
  <w:style w:type="table" w:styleId="TableGridLight">
    <w:name w:val="Grid Table Light"/>
    <w:basedOn w:val="TableNormal"/>
    <w:uiPriority w:val="40"/>
    <w:rsid w:val="00E16C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5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cedureControl@caiso.com" TargetMode="External"/><Relationship Id="rId17" Type="http://schemas.openxmlformats.org/officeDocument/2006/relationships/theme" Target="theme/theme1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4" Type="http://schemas.openxmlformats.org/officeDocument/2006/relationships/header" Target="header1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432935-7FFC-4905-810A-CA09FD17C457}"/>
</file>

<file path=customXml/itemProps2.xml><?xml version="1.0" encoding="utf-8"?>
<ds:datastoreItem xmlns:ds="http://schemas.openxmlformats.org/officeDocument/2006/customXml" ds:itemID="{2DAA402E-6FDC-4DAC-B9FB-C86140FDBC02}"/>
</file>

<file path=customXml/itemProps3.xml><?xml version="1.0" encoding="utf-8"?>
<ds:datastoreItem xmlns:ds="http://schemas.openxmlformats.org/officeDocument/2006/customXml" ds:itemID="{FA80D317-F189-4D5F-96E9-081293BB9B51}"/>
</file>

<file path=customXml/itemProps4.xml><?xml version="1.0" encoding="utf-8"?>
<ds:datastoreItem xmlns:ds="http://schemas.openxmlformats.org/officeDocument/2006/customXml" ds:itemID="{97432935-7FFC-4905-810A-CA09FD17C45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C6DBFD7-7D5A-4B10-B7E3-DE2B674E55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EOP-010 Plan Review Checklist</vt:lpstr>
    </vt:vector>
  </TitlesOfParts>
  <Company>California ISO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EOP-010 Plan Review Checklist</dc:title>
  <dc:subject/>
  <dc:creator>Adigun, Samson</dc:creator>
  <cp:keywords/>
  <dc:description/>
  <cp:lastModifiedBy>Fernandez, Kathleen</cp:lastModifiedBy>
  <cp:revision>2</cp:revision>
  <dcterms:created xsi:type="dcterms:W3CDTF">2024-10-01T00:28:00Z</dcterms:created>
  <dcterms:modified xsi:type="dcterms:W3CDTF">2024-10-01T00:28:00Z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0x010100776092249CC62C48AA17033F357BFB4B</vt:lpwstr>
  </property>
  <property fmtid="{D5CDD505-2E9C-101B-9397-08002B2CF9AE}" pid="3" name="AutoClassDocumentType">
    <vt:lpwstr/>
  </property>
  <property fmtid="{D5CDD505-2E9C-101B-9397-08002B2CF9AE}" pid="4" name="AutoClassTopic">
    <vt:lpwstr/>
  </property>
  <property fmtid="{D5CDD505-2E9C-101B-9397-08002B2CF9AE}" pid="5" name="AutoClassRecordSeries">
    <vt:lpwstr/>
  </property>
  <property fmtid="{D5CDD505-2E9C-101B-9397-08002B2CF9AE}" pid="6" name="RLPreviousUrl">
    <vt:lpwstr>RC Documents/WG_System Restoration/Drafts to Post/RC4610XX_EOP-005 Plan Review Checklist.docx</vt:lpwstr>
  </property>
  <property fmtid="{D5CDD505-2E9C-101B-9397-08002B2CF9AE}" pid="7" name="_dlc_DocIdItemGuid">
    <vt:lpwstr>9b6faf41-14f8-4933-b9ee-bd508c4163e4</vt:lpwstr>
  </property>
  <property fmtid="{D5CDD505-2E9C-101B-9397-08002B2CF9AE}" pid="8" name="Order">
    <vt:r8>254400</vt:r8>
  </property>
  <property fmtid="{D5CDD505-2E9C-101B-9397-08002B2CF9AE}" pid="9" name="xd_ProgID">
    <vt:lpwstr/>
  </property>
  <property fmtid="{D5CDD505-2E9C-101B-9397-08002B2CF9AE}" pid="10" name="TemplateUrl">
    <vt:lpwstr/>
  </property>
  <property fmtid="{D5CDD505-2E9C-101B-9397-08002B2CF9AE}" pid="11" name="_CopySource">
    <vt:lpwstr>https://records.oa.caiso.com/sites/opsprocedures/drafts/Operations Procedures/RC0430A.docx</vt:lpwstr>
  </property>
</Properties>
</file>