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F32E0" w14:textId="77777777" w:rsidR="005021B5" w:rsidRDefault="005021B5">
      <w:pPr>
        <w:pStyle w:val="Title"/>
      </w:pPr>
      <w:r>
        <w:t>Appendix A</w:t>
      </w:r>
    </w:p>
    <w:p w14:paraId="4F0FB5F5" w14:textId="77777777" w:rsidR="005021B5" w:rsidRDefault="005021B5">
      <w:pPr>
        <w:pStyle w:val="Title"/>
      </w:pPr>
    </w:p>
    <w:p w14:paraId="28C45823" w14:textId="77777777" w:rsidR="005021B5" w:rsidRDefault="005021B5">
      <w:pPr>
        <w:pStyle w:val="Subtitle"/>
      </w:pPr>
      <w:r>
        <w:t>Unsecured Credit and Unsecured Credit Limits</w:t>
      </w:r>
    </w:p>
    <w:p w14:paraId="0F761248" w14:textId="77777777" w:rsidR="005021B5" w:rsidRDefault="005021B5">
      <w:pPr>
        <w:pStyle w:val="Subtitle"/>
        <w:rPr>
          <w:sz w:val="20"/>
        </w:rPr>
      </w:pPr>
      <w:r>
        <w:t>Supplemental Information</w:t>
      </w:r>
    </w:p>
    <w:p w14:paraId="3FA80649" w14:textId="77777777" w:rsidR="005021B5" w:rsidRDefault="005021B5">
      <w:pPr>
        <w:ind w:left="360"/>
        <w:rPr>
          <w:rFonts w:ascii="Arial" w:hAnsi="Arial" w:cs="Arial"/>
          <w:sz w:val="20"/>
        </w:rPr>
      </w:pPr>
    </w:p>
    <w:p w14:paraId="2C05E5DA" w14:textId="77777777" w:rsidR="005021B5" w:rsidRDefault="005021B5">
      <w:pPr>
        <w:rPr>
          <w:rFonts w:ascii="Arial" w:hAnsi="Arial" w:cs="Arial"/>
          <w:b/>
          <w:bCs/>
          <w:sz w:val="20"/>
        </w:rPr>
      </w:pPr>
    </w:p>
    <w:p w14:paraId="794FB309" w14:textId="77777777" w:rsidR="005021B5" w:rsidRDefault="005021B5">
      <w:pPr>
        <w:pStyle w:val="Heading7"/>
        <w:spacing w:after="0"/>
        <w:rPr>
          <w:rFonts w:ascii="Arial" w:hAnsi="Arial" w:cs="Arial"/>
          <w:szCs w:val="24"/>
        </w:rPr>
      </w:pPr>
      <w:r>
        <w:rPr>
          <w:rFonts w:ascii="Arial" w:hAnsi="Arial" w:cs="Arial"/>
          <w:szCs w:val="24"/>
        </w:rPr>
        <w:t>Purpose:</w:t>
      </w:r>
    </w:p>
    <w:p w14:paraId="01944E1E" w14:textId="77777777" w:rsidR="005021B5" w:rsidRDefault="005021B5"/>
    <w:p w14:paraId="31859377" w14:textId="77777777" w:rsidR="005021B5" w:rsidRDefault="005021B5">
      <w:pPr>
        <w:rPr>
          <w:rFonts w:ascii="Arial" w:hAnsi="Arial" w:cs="Arial"/>
          <w:sz w:val="20"/>
        </w:rPr>
      </w:pPr>
      <w:r>
        <w:rPr>
          <w:rFonts w:ascii="Arial" w:hAnsi="Arial" w:cs="Arial"/>
          <w:sz w:val="20"/>
        </w:rPr>
        <w:t>This Appendix is intended to:</w:t>
      </w:r>
    </w:p>
    <w:p w14:paraId="6C770968" w14:textId="77777777" w:rsidR="005021B5" w:rsidRDefault="005021B5">
      <w:pPr>
        <w:rPr>
          <w:rFonts w:ascii="Arial" w:hAnsi="Arial" w:cs="Arial"/>
          <w:sz w:val="20"/>
        </w:rPr>
      </w:pPr>
    </w:p>
    <w:p w14:paraId="2DB0C392" w14:textId="77777777" w:rsidR="005021B5" w:rsidRDefault="005021B5">
      <w:pPr>
        <w:numPr>
          <w:ilvl w:val="0"/>
          <w:numId w:val="20"/>
        </w:numPr>
      </w:pPr>
      <w:r>
        <w:rPr>
          <w:rFonts w:ascii="Arial" w:hAnsi="Arial" w:cs="Arial"/>
          <w:sz w:val="20"/>
        </w:rPr>
        <w:t>Provide a list of alternative approaches to setting credit limits  (Section I)</w:t>
      </w:r>
    </w:p>
    <w:p w14:paraId="714B7FBE" w14:textId="77777777" w:rsidR="005021B5" w:rsidRDefault="005021B5">
      <w:pPr>
        <w:numPr>
          <w:ilvl w:val="0"/>
          <w:numId w:val="20"/>
        </w:numPr>
      </w:pPr>
      <w:r>
        <w:rPr>
          <w:rFonts w:ascii="Arial" w:hAnsi="Arial" w:cs="Arial"/>
          <w:sz w:val="20"/>
        </w:rPr>
        <w:t>Describe how other ISOs set credit limits (Section II)</w:t>
      </w:r>
    </w:p>
    <w:p w14:paraId="787095B4" w14:textId="77777777" w:rsidR="005021B5" w:rsidRDefault="005021B5">
      <w:pPr>
        <w:numPr>
          <w:ilvl w:val="0"/>
          <w:numId w:val="20"/>
        </w:numPr>
      </w:pPr>
      <w:r>
        <w:rPr>
          <w:rFonts w:ascii="Arial" w:hAnsi="Arial" w:cs="Arial"/>
          <w:sz w:val="20"/>
        </w:rPr>
        <w:t>Establish criteria to choose from potential options (Section III)</w:t>
      </w:r>
    </w:p>
    <w:p w14:paraId="122C19FF" w14:textId="77777777" w:rsidR="005021B5" w:rsidRDefault="005021B5">
      <w:pPr>
        <w:numPr>
          <w:ilvl w:val="0"/>
          <w:numId w:val="20"/>
        </w:numPr>
      </w:pPr>
      <w:r>
        <w:rPr>
          <w:rFonts w:ascii="Arial" w:hAnsi="Arial" w:cs="Arial"/>
          <w:sz w:val="20"/>
        </w:rPr>
        <w:t>Evaluate potential options against the established criteria (Section IV)</w:t>
      </w:r>
    </w:p>
    <w:p w14:paraId="40EE0C00" w14:textId="77777777" w:rsidR="005021B5" w:rsidRDefault="005021B5">
      <w:pPr>
        <w:numPr>
          <w:ilvl w:val="0"/>
          <w:numId w:val="20"/>
        </w:numPr>
        <w:rPr>
          <w:lang w:val="fr-FR"/>
        </w:rPr>
      </w:pPr>
      <w:r>
        <w:rPr>
          <w:rFonts w:ascii="Arial" w:hAnsi="Arial" w:cs="Arial"/>
          <w:sz w:val="20"/>
        </w:rPr>
        <w:t xml:space="preserve">Illustrate how the CAISO recommended approach to setting credit limits would operate. </w:t>
      </w:r>
      <w:r>
        <w:rPr>
          <w:rFonts w:ascii="Arial" w:hAnsi="Arial" w:cs="Arial"/>
          <w:sz w:val="20"/>
          <w:lang w:val="fr-FR"/>
        </w:rPr>
        <w:t>(Section V)</w:t>
      </w:r>
    </w:p>
    <w:p w14:paraId="074F36F7" w14:textId="77777777" w:rsidR="005021B5" w:rsidRDefault="005021B5">
      <w:pPr>
        <w:rPr>
          <w:lang w:val="fr-FR"/>
        </w:rPr>
      </w:pPr>
    </w:p>
    <w:p w14:paraId="04FC68D7" w14:textId="77777777" w:rsidR="005021B5" w:rsidRDefault="005021B5">
      <w:pPr>
        <w:pStyle w:val="Heading7"/>
        <w:spacing w:after="0"/>
        <w:rPr>
          <w:rFonts w:ascii="Arial" w:hAnsi="Arial" w:cs="Arial"/>
          <w:szCs w:val="24"/>
          <w:lang w:val="fr-FR"/>
        </w:rPr>
      </w:pPr>
      <w:r>
        <w:rPr>
          <w:rFonts w:ascii="Arial" w:hAnsi="Arial" w:cs="Arial"/>
          <w:szCs w:val="24"/>
          <w:lang w:val="fr-FR"/>
        </w:rPr>
        <w:br w:type="page"/>
      </w:r>
    </w:p>
    <w:p w14:paraId="624EC20A" w14:textId="77777777" w:rsidR="005021B5" w:rsidRDefault="005021B5">
      <w:pPr>
        <w:pStyle w:val="Heading7"/>
        <w:spacing w:after="0"/>
        <w:rPr>
          <w:rFonts w:ascii="Arial" w:hAnsi="Arial" w:cs="Arial"/>
          <w:szCs w:val="24"/>
        </w:rPr>
      </w:pPr>
      <w:r>
        <w:rPr>
          <w:rFonts w:ascii="Arial" w:hAnsi="Arial" w:cs="Arial"/>
          <w:szCs w:val="24"/>
          <w:lang w:val="fr-FR"/>
        </w:rPr>
        <w:t xml:space="preserve">I.  </w:t>
      </w:r>
      <w:r>
        <w:rPr>
          <w:rFonts w:ascii="Arial" w:hAnsi="Arial" w:cs="Arial"/>
          <w:szCs w:val="24"/>
        </w:rPr>
        <w:t>Alternatives Considered</w:t>
      </w:r>
    </w:p>
    <w:p w14:paraId="0276F3D8" w14:textId="77777777" w:rsidR="005021B5" w:rsidRDefault="005021B5">
      <w:pPr>
        <w:rPr>
          <w:rFonts w:ascii="Arial" w:hAnsi="Arial" w:cs="Arial"/>
          <w:sz w:val="20"/>
        </w:rPr>
      </w:pPr>
    </w:p>
    <w:p w14:paraId="287562C3" w14:textId="77777777" w:rsidR="005021B5" w:rsidRDefault="005021B5">
      <w:pPr>
        <w:rPr>
          <w:rFonts w:ascii="Arial" w:hAnsi="Arial" w:cs="Arial"/>
          <w:sz w:val="20"/>
        </w:rPr>
      </w:pPr>
      <w:r>
        <w:rPr>
          <w:rFonts w:ascii="Arial" w:hAnsi="Arial" w:cs="Arial"/>
          <w:sz w:val="20"/>
        </w:rPr>
        <w:t>The following alternative approaches to establishing credit limits (listed as Option A. to Option E.) can be viewed along a spectrum ranging from simple to more complex, with increasing support costs.</w:t>
      </w:r>
    </w:p>
    <w:p w14:paraId="3A5A9CA6" w14:textId="77777777" w:rsidR="005021B5" w:rsidRDefault="005021B5">
      <w:pPr>
        <w:rPr>
          <w:rFonts w:ascii="Arial" w:hAnsi="Arial" w:cs="Arial"/>
          <w:sz w:val="20"/>
        </w:rPr>
      </w:pPr>
    </w:p>
    <w:p w14:paraId="41385390" w14:textId="77777777" w:rsidR="005021B5" w:rsidRDefault="005021B5">
      <w:pPr>
        <w:rPr>
          <w:rFonts w:ascii="Arial" w:hAnsi="Arial" w:cs="Arial"/>
          <w:sz w:val="20"/>
        </w:rPr>
      </w:pPr>
    </w:p>
    <w:p w14:paraId="28EA8B30" w14:textId="77777777" w:rsidR="005021B5" w:rsidRDefault="005021B5">
      <w:r>
        <w:rPr>
          <w:rFonts w:ascii="Arial" w:hAnsi="Arial" w:cs="Arial"/>
          <w:b/>
          <w:bCs/>
          <w:sz w:val="20"/>
        </w:rPr>
        <w:t>Characteristics</w:t>
      </w:r>
    </w:p>
    <w:p w14:paraId="48EA7C0A" w14:textId="77777777" w:rsidR="005021B5" w:rsidRDefault="005021B5">
      <w:pPr>
        <w:rPr>
          <w:rFonts w:ascii="Arial" w:hAnsi="Arial" w:cs="Arial"/>
          <w:b/>
          <w:bCs/>
          <w:sz w:val="20"/>
        </w:rPr>
      </w:pPr>
    </w:p>
    <w:p w14:paraId="66A57009" w14:textId="4776A866" w:rsidR="005021B5" w:rsidRDefault="00B65BB4">
      <w:pPr>
        <w:rPr>
          <w:rFonts w:ascii="Arial" w:hAnsi="Arial" w:cs="Arial"/>
          <w:b/>
          <w:bCs/>
          <w:sz w:val="18"/>
        </w:rPr>
      </w:pPr>
      <w:r>
        <w:rPr>
          <w:rFonts w:ascii="Arial" w:hAnsi="Arial" w:cs="Arial"/>
          <w:b/>
          <w:bCs/>
          <w:noProof/>
          <w:sz w:val="20"/>
        </w:rPr>
        <mc:AlternateContent>
          <mc:Choice Requires="wps">
            <w:drawing>
              <wp:anchor distT="0" distB="0" distL="114300" distR="114300" simplePos="0" relativeHeight="251654144" behindDoc="0" locked="0" layoutInCell="1" allowOverlap="1" wp14:anchorId="1DF917DF" wp14:editId="73B37AB0">
                <wp:simplePos x="0" y="0"/>
                <wp:positionH relativeFrom="column">
                  <wp:posOffset>1943100</wp:posOffset>
                </wp:positionH>
                <wp:positionV relativeFrom="paragraph">
                  <wp:posOffset>52705</wp:posOffset>
                </wp:positionV>
                <wp:extent cx="2971800" cy="0"/>
                <wp:effectExtent l="22860" t="53975" r="15240" b="60325"/>
                <wp:wrapNone/>
                <wp:docPr id="14061273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77D57"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15pt" to="38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">
                <v:stroke startarrow="block" endarrow="block"/>
              </v:line>
            </w:pict>
          </mc:Fallback>
        </mc:AlternateContent>
      </w:r>
      <w:r w:rsidR="005021B5">
        <w:rPr>
          <w:rFonts w:ascii="Arial" w:hAnsi="Arial" w:cs="Arial"/>
          <w:b/>
          <w:bCs/>
          <w:sz w:val="18"/>
        </w:rPr>
        <w:t xml:space="preserve">      Complexity</w:t>
      </w:r>
      <w:r w:rsidR="005021B5">
        <w:rPr>
          <w:rFonts w:ascii="Arial" w:hAnsi="Arial" w:cs="Arial"/>
          <w:b/>
          <w:bCs/>
          <w:sz w:val="18"/>
        </w:rPr>
        <w:tab/>
        <w:t xml:space="preserve">                   Simple</w:t>
      </w:r>
      <w:r w:rsidR="005021B5">
        <w:rPr>
          <w:rFonts w:ascii="Arial" w:hAnsi="Arial" w:cs="Arial"/>
          <w:b/>
          <w:bCs/>
          <w:sz w:val="18"/>
        </w:rPr>
        <w:tab/>
      </w:r>
      <w:r w:rsidR="005021B5">
        <w:rPr>
          <w:rFonts w:ascii="Arial" w:hAnsi="Arial" w:cs="Arial"/>
          <w:b/>
          <w:bCs/>
          <w:sz w:val="18"/>
        </w:rPr>
        <w:tab/>
      </w:r>
      <w:r w:rsidR="005021B5">
        <w:rPr>
          <w:rFonts w:ascii="Arial" w:hAnsi="Arial" w:cs="Arial"/>
          <w:b/>
          <w:bCs/>
          <w:sz w:val="18"/>
        </w:rPr>
        <w:tab/>
      </w:r>
      <w:r w:rsidR="005021B5">
        <w:rPr>
          <w:rFonts w:ascii="Arial" w:hAnsi="Arial" w:cs="Arial"/>
          <w:b/>
          <w:bCs/>
          <w:sz w:val="18"/>
        </w:rPr>
        <w:tab/>
        <w:t xml:space="preserve">    </w:t>
      </w:r>
      <w:r w:rsidR="005021B5">
        <w:rPr>
          <w:rFonts w:ascii="Arial" w:hAnsi="Arial" w:cs="Arial"/>
          <w:b/>
          <w:bCs/>
          <w:sz w:val="18"/>
        </w:rPr>
        <w:tab/>
      </w:r>
      <w:r w:rsidR="005021B5">
        <w:rPr>
          <w:rFonts w:ascii="Arial" w:hAnsi="Arial" w:cs="Arial"/>
          <w:b/>
          <w:bCs/>
          <w:sz w:val="18"/>
        </w:rPr>
        <w:tab/>
      </w:r>
      <w:r w:rsidR="005021B5">
        <w:rPr>
          <w:rFonts w:ascii="Arial" w:hAnsi="Arial" w:cs="Arial"/>
          <w:b/>
          <w:bCs/>
          <w:sz w:val="18"/>
        </w:rPr>
        <w:tab/>
        <w:t>Complex</w:t>
      </w:r>
    </w:p>
    <w:p w14:paraId="73C7F264" w14:textId="77777777" w:rsidR="005021B5" w:rsidRDefault="005021B5">
      <w:pPr>
        <w:rPr>
          <w:rFonts w:ascii="Arial" w:hAnsi="Arial" w:cs="Arial"/>
          <w:b/>
          <w:bCs/>
          <w:sz w:val="18"/>
        </w:rPr>
      </w:pPr>
    </w:p>
    <w:p w14:paraId="58AAE076" w14:textId="32F189EA" w:rsidR="005021B5" w:rsidRDefault="00B65BB4">
      <w:pPr>
        <w:pStyle w:val="Heading3"/>
      </w:pPr>
      <w:r>
        <w:rPr>
          <w:b w:val="0"/>
          <w:bCs w:val="0"/>
          <w:noProof/>
          <w:sz w:val="20"/>
        </w:rPr>
        <mc:AlternateContent>
          <mc:Choice Requires="wps">
            <w:drawing>
              <wp:anchor distT="0" distB="0" distL="114300" distR="114300" simplePos="0" relativeHeight="251655168" behindDoc="0" locked="0" layoutInCell="1" allowOverlap="1" wp14:anchorId="7815773D" wp14:editId="2AF92447">
                <wp:simplePos x="0" y="0"/>
                <wp:positionH relativeFrom="column">
                  <wp:posOffset>1943100</wp:posOffset>
                </wp:positionH>
                <wp:positionV relativeFrom="paragraph">
                  <wp:posOffset>18415</wp:posOffset>
                </wp:positionV>
                <wp:extent cx="2971800" cy="0"/>
                <wp:effectExtent l="22860" t="53975" r="15240" b="60325"/>
                <wp:wrapNone/>
                <wp:docPr id="11713524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D32C8"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45pt" to="38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">
                <v:stroke startarrow="block" endarrow="block"/>
              </v:line>
            </w:pict>
          </mc:Fallback>
        </mc:AlternateContent>
      </w:r>
      <w:r w:rsidR="005021B5">
        <w:t xml:space="preserve">      Administration Cost        Low</w:t>
      </w:r>
      <w:r w:rsidR="005021B5">
        <w:tab/>
      </w:r>
      <w:r w:rsidR="005021B5">
        <w:tab/>
      </w:r>
      <w:r w:rsidR="005021B5">
        <w:tab/>
      </w:r>
      <w:r w:rsidR="005021B5">
        <w:tab/>
      </w:r>
      <w:r w:rsidR="005021B5">
        <w:tab/>
      </w:r>
      <w:r w:rsidR="005021B5">
        <w:tab/>
      </w:r>
      <w:r w:rsidR="005021B5">
        <w:tab/>
      </w:r>
      <w:r w:rsidR="005021B5">
        <w:tab/>
        <w:t xml:space="preserve">   High</w:t>
      </w:r>
    </w:p>
    <w:p w14:paraId="2E71EBB4" w14:textId="77777777" w:rsidR="005021B5" w:rsidRDefault="005021B5"/>
    <w:p w14:paraId="636C3440" w14:textId="07063D56" w:rsidR="005021B5" w:rsidRDefault="00B65BB4">
      <w:pPr>
        <w:pStyle w:val="Heading1"/>
      </w:pPr>
      <w:r>
        <w:rPr>
          <w:b w:val="0"/>
          <w:bCs w:val="0"/>
          <w:noProof/>
        </w:rPr>
        <mc:AlternateContent>
          <mc:Choice Requires="wps">
            <w:drawing>
              <wp:anchor distT="0" distB="0" distL="114300" distR="114300" simplePos="0" relativeHeight="251653120" behindDoc="0" locked="0" layoutInCell="1" allowOverlap="1" wp14:anchorId="6A8C45F6" wp14:editId="358694C6">
                <wp:simplePos x="0" y="0"/>
                <wp:positionH relativeFrom="column">
                  <wp:posOffset>1257300</wp:posOffset>
                </wp:positionH>
                <wp:positionV relativeFrom="paragraph">
                  <wp:posOffset>-1905</wp:posOffset>
                </wp:positionV>
                <wp:extent cx="4572000" cy="342900"/>
                <wp:effectExtent l="13335" t="6985" r="5715" b="12065"/>
                <wp:wrapNone/>
                <wp:docPr id="5658758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42900"/>
                        </a:xfrm>
                        <a:prstGeom prst="rect">
                          <a:avLst/>
                        </a:prstGeom>
                        <a:gradFill rotWithShape="0">
                          <a:gsLst>
                            <a:gs pos="0">
                              <a:srgbClr val="FFFFFF"/>
                            </a:gs>
                            <a:gs pos="100000">
                              <a:srgbClr val="FFFFFF">
                                <a:gamma/>
                                <a:shade val="46275"/>
                                <a:invGamma/>
                              </a:srgbClr>
                            </a:gs>
                          </a:gsLst>
                          <a:lin ang="0" scaled="1"/>
                        </a:gradFill>
                        <a:ln w="9525">
                          <a:solidFill>
                            <a:srgbClr val="000000"/>
                          </a:solidFill>
                          <a:miter lim="800000"/>
                          <a:headEnd/>
                          <a:tailEnd/>
                        </a:ln>
                      </wps:spPr>
                      <wps:txbx>
                        <w:txbxContent>
                          <w:p w14:paraId="4E21FA98" w14:textId="77777777" w:rsidR="005021B5" w:rsidRDefault="005021B5">
                            <w:r>
                              <w:t xml:space="preserve">       (A)</w:t>
                            </w:r>
                            <w:r>
                              <w:tab/>
                              <w:t xml:space="preserve"> (B)</w:t>
                            </w:r>
                            <w:r>
                              <w:tab/>
                            </w:r>
                            <w:r>
                              <w:tab/>
                            </w:r>
                            <w:r>
                              <w:tab/>
                              <w:t xml:space="preserve">      (C)</w:t>
                            </w:r>
                            <w:r>
                              <w:tab/>
                            </w:r>
                            <w:r>
                              <w:tab/>
                              <w:t xml:space="preserve">  </w:t>
                            </w:r>
                            <w:r>
                              <w:tab/>
                              <w:t xml:space="preserve">    (D)</w:t>
                            </w:r>
                          </w:p>
                          <w:p w14:paraId="089781BF" w14:textId="77777777" w:rsidR="005021B5" w:rsidRDefault="005021B5"/>
                          <w:p w14:paraId="37593EC6" w14:textId="77777777" w:rsidR="005021B5" w:rsidRDefault="005021B5"/>
                          <w:p w14:paraId="75CA0938" w14:textId="77777777" w:rsidR="005021B5" w:rsidRDefault="005021B5"/>
                          <w:p w14:paraId="62D09AA2" w14:textId="77777777" w:rsidR="005021B5" w:rsidRDefault="005021B5"/>
                          <w:p w14:paraId="77C92B44" w14:textId="77777777" w:rsidR="005021B5" w:rsidRDefault="005021B5"/>
                          <w:p w14:paraId="7B8DB78D" w14:textId="77777777" w:rsidR="005021B5" w:rsidRDefault="00502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C45F6" id="Rectangle 3" o:spid="_x0000_s1026" style="position:absolute;margin-left:99pt;margin-top:-.15pt;width:5in;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">
                <v:fill color2="#767676" angle="90" focus="100%" type="gradient"/>
                <v:textbox>
                  <w:txbxContent>
                    <w:p w14:paraId="4E21FA98" w14:textId="77777777" w:rsidR="005021B5" w:rsidRDefault="005021B5">
                      <w:r>
                        <w:t xml:space="preserve">       (A)</w:t>
                      </w:r>
                      <w:r>
                        <w:tab/>
                        <w:t xml:space="preserve"> (B)</w:t>
                      </w:r>
                      <w:r>
                        <w:tab/>
                      </w:r>
                      <w:r>
                        <w:tab/>
                      </w:r>
                      <w:r>
                        <w:tab/>
                        <w:t xml:space="preserve">      (C)</w:t>
                      </w:r>
                      <w:r>
                        <w:tab/>
                      </w:r>
                      <w:r>
                        <w:tab/>
                        <w:t xml:space="preserve">  </w:t>
                      </w:r>
                      <w:r>
                        <w:tab/>
                        <w:t xml:space="preserve">    (D)</w:t>
                      </w:r>
                    </w:p>
                    <w:p w14:paraId="089781BF" w14:textId="77777777" w:rsidR="005021B5" w:rsidRDefault="005021B5"/>
                    <w:p w14:paraId="37593EC6" w14:textId="77777777" w:rsidR="005021B5" w:rsidRDefault="005021B5"/>
                    <w:p w14:paraId="75CA0938" w14:textId="77777777" w:rsidR="005021B5" w:rsidRDefault="005021B5"/>
                    <w:p w14:paraId="62D09AA2" w14:textId="77777777" w:rsidR="005021B5" w:rsidRDefault="005021B5"/>
                    <w:p w14:paraId="77C92B44" w14:textId="77777777" w:rsidR="005021B5" w:rsidRDefault="005021B5"/>
                    <w:p w14:paraId="7B8DB78D" w14:textId="77777777" w:rsidR="005021B5" w:rsidRDefault="005021B5"/>
                  </w:txbxContent>
                </v:textbox>
              </v:rect>
            </w:pict>
          </mc:Fallback>
        </mc:AlternateContent>
      </w:r>
    </w:p>
    <w:p w14:paraId="491D6F9D" w14:textId="77777777" w:rsidR="005021B5" w:rsidRDefault="005021B5">
      <w:pPr>
        <w:pStyle w:val="Heading1"/>
      </w:pPr>
      <w:r>
        <w:t>Option</w:t>
      </w:r>
      <w:r>
        <w:tab/>
      </w:r>
    </w:p>
    <w:p w14:paraId="094FB740" w14:textId="77777777" w:rsidR="005021B5" w:rsidRDefault="005021B5">
      <w:pPr>
        <w:rPr>
          <w:rFonts w:ascii="Arial" w:hAnsi="Arial" w:cs="Arial"/>
          <w:b/>
          <w:bCs/>
          <w:sz w:val="20"/>
        </w:rPr>
      </w:pPr>
      <w:r>
        <w:rPr>
          <w:rFonts w:ascii="Arial" w:hAnsi="Arial" w:cs="Arial"/>
          <w:b/>
          <w:bCs/>
          <w:sz w:val="20"/>
        </w:rPr>
        <w:tab/>
      </w:r>
      <w:r>
        <w:rPr>
          <w:rFonts w:ascii="Arial" w:hAnsi="Arial" w:cs="Arial"/>
          <w:b/>
          <w:bCs/>
          <w:sz w:val="20"/>
        </w:rPr>
        <w:tab/>
        <w:t xml:space="preserve">        </w:t>
      </w:r>
    </w:p>
    <w:p w14:paraId="5235C43A" w14:textId="77777777" w:rsidR="005021B5" w:rsidRDefault="005021B5">
      <w:pPr>
        <w:rPr>
          <w:rFonts w:ascii="Arial" w:hAnsi="Arial" w:cs="Arial"/>
          <w:b/>
          <w:bCs/>
          <w:sz w:val="20"/>
        </w:rPr>
      </w:pPr>
      <w:r>
        <w:rPr>
          <w:rFonts w:ascii="Arial" w:hAnsi="Arial" w:cs="Arial"/>
          <w:b/>
          <w:bCs/>
          <w:sz w:val="20"/>
        </w:rPr>
        <w:t>Where are the ISOs       CAISO now             -</w:t>
      </w:r>
      <w:r>
        <w:rPr>
          <w:rFonts w:ascii="Arial" w:hAnsi="Arial" w:cs="Arial"/>
          <w:b/>
          <w:bCs/>
          <w:sz w:val="20"/>
        </w:rPr>
        <w:tab/>
        <w:t xml:space="preserve">           Ontario IMO           NYISO</w:t>
      </w:r>
      <w:r>
        <w:rPr>
          <w:rFonts w:ascii="Arial" w:hAnsi="Arial" w:cs="Arial"/>
          <w:b/>
          <w:bCs/>
          <w:sz w:val="20"/>
        </w:rPr>
        <w:tab/>
      </w:r>
      <w:r>
        <w:rPr>
          <w:rFonts w:ascii="Arial" w:hAnsi="Arial" w:cs="Arial"/>
          <w:b/>
          <w:bCs/>
          <w:sz w:val="20"/>
        </w:rPr>
        <w:tab/>
        <w:t xml:space="preserve">   </w:t>
      </w:r>
    </w:p>
    <w:p w14:paraId="73B5C4D3" w14:textId="77777777" w:rsidR="005021B5" w:rsidRDefault="005021B5">
      <w:pPr>
        <w:rPr>
          <w:rFonts w:ascii="Arial" w:hAnsi="Arial" w:cs="Arial"/>
          <w:b/>
          <w:bCs/>
          <w:sz w:val="20"/>
        </w:rPr>
      </w:pPr>
      <w:r>
        <w:rPr>
          <w:rFonts w:ascii="Arial" w:hAnsi="Arial" w:cs="Arial"/>
          <w:b/>
          <w:bCs/>
          <w:sz w:val="20"/>
        </w:rPr>
        <w:t xml:space="preserve"> On the continuum?</w:t>
      </w:r>
      <w:r>
        <w:rPr>
          <w:rFonts w:ascii="Arial" w:hAnsi="Arial" w:cs="Arial"/>
          <w:b/>
          <w:bCs/>
          <w:sz w:val="20"/>
        </w:rPr>
        <w:tab/>
        <w:t xml:space="preserve">          </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 xml:space="preserve">     ERCOT</w:t>
      </w:r>
    </w:p>
    <w:p w14:paraId="1F4CD81A" w14:textId="77777777" w:rsidR="005021B5" w:rsidRDefault="005021B5">
      <w:pPr>
        <w:rPr>
          <w:rFonts w:ascii="Arial" w:hAnsi="Arial" w:cs="Arial"/>
          <w:b/>
          <w:bCs/>
          <w:sz w:val="20"/>
          <w:lang w:val="fr-FR"/>
        </w:rPr>
      </w:pPr>
      <w:r>
        <w:rPr>
          <w:rFonts w:ascii="Arial" w:hAnsi="Arial" w:cs="Arial"/>
          <w:b/>
          <w:bCs/>
          <w:sz w:val="20"/>
        </w:rPr>
        <w:tab/>
        <w:t xml:space="preserve">       </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 xml:space="preserve">          </w:t>
      </w:r>
      <w:r>
        <w:rPr>
          <w:rFonts w:ascii="Arial" w:hAnsi="Arial" w:cs="Arial"/>
          <w:b/>
          <w:bCs/>
          <w:sz w:val="20"/>
          <w:lang w:val="fr-FR"/>
        </w:rPr>
        <w:t>NE ISO</w:t>
      </w:r>
    </w:p>
    <w:p w14:paraId="620B2440" w14:textId="77777777" w:rsidR="005021B5" w:rsidRDefault="005021B5">
      <w:pPr>
        <w:rPr>
          <w:rFonts w:ascii="Arial" w:hAnsi="Arial" w:cs="Arial"/>
          <w:b/>
          <w:bCs/>
          <w:sz w:val="20"/>
        </w:rPr>
      </w:pPr>
      <w:r>
        <w:rPr>
          <w:rFonts w:ascii="Arial" w:hAnsi="Arial" w:cs="Arial"/>
          <w:b/>
          <w:bCs/>
          <w:sz w:val="20"/>
          <w:lang w:val="fr-FR"/>
        </w:rPr>
        <w:tab/>
        <w:t xml:space="preserve">      </w:t>
      </w:r>
      <w:r>
        <w:rPr>
          <w:rFonts w:ascii="Arial" w:hAnsi="Arial" w:cs="Arial"/>
          <w:b/>
          <w:bCs/>
          <w:sz w:val="20"/>
          <w:lang w:val="fr-FR"/>
        </w:rPr>
        <w:tab/>
        <w:t xml:space="preserve"> </w:t>
      </w:r>
      <w:r>
        <w:rPr>
          <w:rFonts w:ascii="Arial" w:hAnsi="Arial" w:cs="Arial"/>
          <w:b/>
          <w:bCs/>
          <w:sz w:val="20"/>
          <w:lang w:val="fr-FR"/>
        </w:rPr>
        <w:tab/>
      </w:r>
      <w:r>
        <w:rPr>
          <w:rFonts w:ascii="Arial" w:hAnsi="Arial" w:cs="Arial"/>
          <w:b/>
          <w:bCs/>
          <w:sz w:val="20"/>
          <w:lang w:val="fr-FR"/>
        </w:rPr>
        <w:tab/>
      </w:r>
      <w:r>
        <w:rPr>
          <w:rFonts w:ascii="Arial" w:hAnsi="Arial" w:cs="Arial"/>
          <w:b/>
          <w:bCs/>
          <w:sz w:val="20"/>
          <w:lang w:val="fr-FR"/>
        </w:rPr>
        <w:tab/>
      </w:r>
      <w:r>
        <w:rPr>
          <w:rFonts w:ascii="Arial" w:hAnsi="Arial" w:cs="Arial"/>
          <w:b/>
          <w:bCs/>
          <w:sz w:val="20"/>
          <w:lang w:val="fr-FR"/>
        </w:rPr>
        <w:tab/>
      </w:r>
      <w:r>
        <w:rPr>
          <w:rFonts w:ascii="Arial" w:hAnsi="Arial" w:cs="Arial"/>
          <w:b/>
          <w:bCs/>
          <w:sz w:val="20"/>
          <w:lang w:val="fr-FR"/>
        </w:rPr>
        <w:tab/>
      </w:r>
      <w:r>
        <w:rPr>
          <w:rFonts w:ascii="Arial" w:hAnsi="Arial" w:cs="Arial"/>
          <w:b/>
          <w:bCs/>
          <w:sz w:val="20"/>
          <w:lang w:val="fr-FR"/>
        </w:rPr>
        <w:tab/>
      </w:r>
      <w:r>
        <w:rPr>
          <w:rFonts w:ascii="Arial" w:hAnsi="Arial" w:cs="Arial"/>
          <w:b/>
          <w:bCs/>
          <w:sz w:val="20"/>
          <w:lang w:val="fr-FR"/>
        </w:rPr>
        <w:tab/>
        <w:t xml:space="preserve">          </w:t>
      </w:r>
      <w:r>
        <w:rPr>
          <w:rFonts w:ascii="Arial" w:hAnsi="Arial" w:cs="Arial"/>
          <w:b/>
          <w:bCs/>
          <w:sz w:val="20"/>
        </w:rPr>
        <w:t>PJM</w:t>
      </w:r>
    </w:p>
    <w:p w14:paraId="607A9E0A" w14:textId="77777777" w:rsidR="005021B5" w:rsidRDefault="005021B5">
      <w:pPr>
        <w:rPr>
          <w:rFonts w:ascii="Arial" w:hAnsi="Arial" w:cs="Arial"/>
          <w:b/>
          <w:bCs/>
          <w:sz w:val="20"/>
        </w:rPr>
      </w:pPr>
    </w:p>
    <w:p w14:paraId="5B0DC9F6" w14:textId="77777777" w:rsidR="005021B5" w:rsidRDefault="005021B5">
      <w:pPr>
        <w:numPr>
          <w:numberingChange w:id="0" w:author="pnethercut" w:date="2004-10-29T16:56:00Z" w:original="%1:1:3:."/>
        </w:numPr>
        <w:tabs>
          <w:tab w:val="left" w:pos="900"/>
        </w:tabs>
        <w:ind w:left="360"/>
        <w:rPr>
          <w:rFonts w:ascii="Arial" w:hAnsi="Arial" w:cs="Arial"/>
          <w:b/>
          <w:bCs/>
          <w:sz w:val="20"/>
          <w:u w:val="single"/>
        </w:rPr>
      </w:pPr>
      <w:r>
        <w:rPr>
          <w:rFonts w:ascii="Arial" w:hAnsi="Arial" w:cs="Arial"/>
          <w:b/>
          <w:bCs/>
          <w:sz w:val="20"/>
          <w:u w:val="single"/>
        </w:rPr>
        <w:t>Option A:   Status Quo, unlimited market credit with an Approved Credit Rating.</w:t>
      </w:r>
    </w:p>
    <w:p w14:paraId="3B09C486" w14:textId="77777777" w:rsidR="005021B5" w:rsidRDefault="005021B5">
      <w:pPr>
        <w:ind w:left="360"/>
        <w:rPr>
          <w:rFonts w:ascii="Arial" w:hAnsi="Arial" w:cs="Arial"/>
          <w:sz w:val="20"/>
        </w:rPr>
      </w:pPr>
    </w:p>
    <w:p w14:paraId="00C52093" w14:textId="77777777" w:rsidR="005021B5" w:rsidRDefault="005021B5">
      <w:pPr>
        <w:ind w:left="360"/>
        <w:rPr>
          <w:rFonts w:ascii="Arial" w:hAnsi="Arial" w:cs="Arial"/>
          <w:sz w:val="20"/>
        </w:rPr>
      </w:pPr>
    </w:p>
    <w:p w14:paraId="257F5D5A" w14:textId="77777777" w:rsidR="005021B5" w:rsidRDefault="005021B5">
      <w:pPr>
        <w:ind w:left="360"/>
        <w:rPr>
          <w:rFonts w:ascii="Arial" w:hAnsi="Arial" w:cs="Arial"/>
          <w:sz w:val="20"/>
        </w:rPr>
      </w:pPr>
      <w:r>
        <w:rPr>
          <w:rFonts w:ascii="Arial" w:hAnsi="Arial" w:cs="Arial"/>
          <w:sz w:val="20"/>
        </w:rPr>
        <w:t>The credit limit is a “binary” approach.  With an Approved Credit Rating, an entity is provided unlimited credit.  Without an Approved Credit Rating, no credit is extended and all obligations must be backed with collateral.</w:t>
      </w:r>
    </w:p>
    <w:p w14:paraId="222D1725" w14:textId="77777777" w:rsidR="005021B5" w:rsidRDefault="005021B5">
      <w:pPr>
        <w:pStyle w:val="FootnoteText"/>
        <w:tabs>
          <w:tab w:val="clear" w:pos="9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2340"/>
      </w:tblGrid>
      <w:tr w:rsidR="005021B5" w14:paraId="597248D2" w14:textId="77777777">
        <w:tblPrEx>
          <w:tblCellMar>
            <w:top w:w="0" w:type="dxa"/>
            <w:bottom w:w="0" w:type="dxa"/>
          </w:tblCellMar>
        </w:tblPrEx>
        <w:trPr>
          <w:trHeight w:val="287"/>
          <w:jc w:val="center"/>
        </w:trPr>
        <w:tc>
          <w:tcPr>
            <w:tcW w:w="1968" w:type="dxa"/>
          </w:tcPr>
          <w:p w14:paraId="36DDB66E" w14:textId="77777777" w:rsidR="005021B5" w:rsidRDefault="005021B5">
            <w:pPr>
              <w:pStyle w:val="BodyText"/>
              <w:rPr>
                <w:b/>
                <w:bCs/>
                <w:sz w:val="20"/>
              </w:rPr>
            </w:pPr>
            <w:r>
              <w:rPr>
                <w:b/>
                <w:bCs/>
                <w:sz w:val="20"/>
              </w:rPr>
              <w:t>Rating</w:t>
            </w:r>
          </w:p>
        </w:tc>
        <w:tc>
          <w:tcPr>
            <w:tcW w:w="2340" w:type="dxa"/>
          </w:tcPr>
          <w:p w14:paraId="72AC5CD5" w14:textId="77777777" w:rsidR="005021B5" w:rsidRDefault="005021B5">
            <w:pPr>
              <w:pStyle w:val="BodyText"/>
              <w:rPr>
                <w:b/>
                <w:bCs/>
                <w:sz w:val="20"/>
              </w:rPr>
            </w:pPr>
            <w:r>
              <w:rPr>
                <w:b/>
                <w:bCs/>
                <w:sz w:val="20"/>
              </w:rPr>
              <w:t>Credit Limit</w:t>
            </w:r>
          </w:p>
        </w:tc>
      </w:tr>
      <w:tr w:rsidR="005021B5" w14:paraId="68777558" w14:textId="77777777">
        <w:tblPrEx>
          <w:tblCellMar>
            <w:top w:w="0" w:type="dxa"/>
            <w:bottom w:w="0" w:type="dxa"/>
          </w:tblCellMar>
        </w:tblPrEx>
        <w:trPr>
          <w:trHeight w:val="323"/>
          <w:jc w:val="center"/>
        </w:trPr>
        <w:tc>
          <w:tcPr>
            <w:tcW w:w="1968" w:type="dxa"/>
          </w:tcPr>
          <w:p w14:paraId="10607A6E" w14:textId="77777777" w:rsidR="005021B5" w:rsidRDefault="005021B5">
            <w:pPr>
              <w:pStyle w:val="BodyText"/>
              <w:ind w:firstLine="0"/>
              <w:rPr>
                <w:sz w:val="20"/>
              </w:rPr>
            </w:pPr>
            <w:r>
              <w:rPr>
                <w:sz w:val="20"/>
              </w:rPr>
              <w:t>Long Term A-/A3 or Better, Short term A2/P2 or better, or State or Federal Government backed obligations</w:t>
            </w:r>
          </w:p>
        </w:tc>
        <w:tc>
          <w:tcPr>
            <w:tcW w:w="2340" w:type="dxa"/>
          </w:tcPr>
          <w:p w14:paraId="60459524" w14:textId="77777777" w:rsidR="005021B5" w:rsidRDefault="005021B5">
            <w:pPr>
              <w:pStyle w:val="BodyText"/>
              <w:rPr>
                <w:sz w:val="20"/>
              </w:rPr>
            </w:pPr>
            <w:r>
              <w:rPr>
                <w:sz w:val="20"/>
              </w:rPr>
              <w:t>unlimited</w:t>
            </w:r>
          </w:p>
        </w:tc>
      </w:tr>
    </w:tbl>
    <w:p w14:paraId="49DDA70E" w14:textId="77777777" w:rsidR="005021B5" w:rsidRDefault="005021B5">
      <w:pPr>
        <w:ind w:left="360"/>
        <w:rPr>
          <w:rFonts w:ascii="Arial" w:hAnsi="Arial" w:cs="Arial"/>
          <w:sz w:val="20"/>
        </w:rPr>
      </w:pPr>
    </w:p>
    <w:p w14:paraId="575EA81D" w14:textId="77777777" w:rsidR="005021B5" w:rsidRDefault="005021B5">
      <w:pPr>
        <w:pStyle w:val="BodyTextIndent3"/>
        <w:numPr>
          <w:numberingChange w:id="1" w:author="pnethercut" w:date="2004-10-29T16:56:00Z" w:original="%1:2:3:."/>
        </w:numPr>
      </w:pPr>
      <w:r>
        <w:t>Option B:  Tiered credit limits based on national credit rating agency (S&amp;P / Moody’s / Fitch) ratings .</w:t>
      </w:r>
    </w:p>
    <w:p w14:paraId="65644D2E" w14:textId="77777777" w:rsidR="005021B5" w:rsidRDefault="005021B5">
      <w:pPr>
        <w:pStyle w:val="BodyTextIndent3"/>
      </w:pPr>
    </w:p>
    <w:p w14:paraId="53F1C616" w14:textId="77777777" w:rsidR="005021B5" w:rsidRDefault="005021B5">
      <w:pPr>
        <w:pStyle w:val="BodyTextIndent3"/>
        <w:rPr>
          <w:b w:val="0"/>
          <w:bCs w:val="0"/>
          <w:u w:val="none"/>
        </w:rPr>
      </w:pPr>
      <w:r>
        <w:rPr>
          <w:b w:val="0"/>
          <w:bCs w:val="0"/>
          <w:u w:val="none"/>
        </w:rPr>
        <w:t>Example (indicative only):</w:t>
      </w:r>
    </w:p>
    <w:p w14:paraId="7D4914CD" w14:textId="77777777" w:rsidR="005021B5" w:rsidRDefault="005021B5">
      <w:pPr>
        <w:ind w:left="360"/>
        <w:rPr>
          <w:rFonts w:ascii="Arial" w:hAnsi="Arial" w:cs="Arial"/>
          <w:sz w:val="20"/>
        </w:rPr>
      </w:pPr>
    </w:p>
    <w:p w14:paraId="77B0025E" w14:textId="77777777" w:rsidR="005021B5" w:rsidRDefault="005021B5">
      <w:pPr>
        <w:ind w:left="360"/>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2340"/>
      </w:tblGrid>
      <w:tr w:rsidR="005021B5" w14:paraId="718C6C26" w14:textId="77777777">
        <w:tblPrEx>
          <w:tblCellMar>
            <w:top w:w="0" w:type="dxa"/>
            <w:bottom w:w="0" w:type="dxa"/>
          </w:tblCellMar>
        </w:tblPrEx>
        <w:trPr>
          <w:trHeight w:val="287"/>
          <w:jc w:val="center"/>
        </w:trPr>
        <w:tc>
          <w:tcPr>
            <w:tcW w:w="1968" w:type="dxa"/>
          </w:tcPr>
          <w:p w14:paraId="3657C0C4" w14:textId="77777777" w:rsidR="005021B5" w:rsidRDefault="005021B5">
            <w:pPr>
              <w:pStyle w:val="ListNumber"/>
              <w:rPr>
                <w:b/>
                <w:bCs/>
              </w:rPr>
            </w:pPr>
            <w:r>
              <w:rPr>
                <w:b/>
                <w:bCs/>
              </w:rPr>
              <w:t>Rating</w:t>
            </w:r>
          </w:p>
        </w:tc>
        <w:tc>
          <w:tcPr>
            <w:tcW w:w="2340" w:type="dxa"/>
          </w:tcPr>
          <w:p w14:paraId="5F8AF957" w14:textId="77777777" w:rsidR="005021B5" w:rsidRDefault="005021B5">
            <w:pPr>
              <w:pStyle w:val="ListNumber"/>
              <w:rPr>
                <w:b/>
                <w:bCs/>
              </w:rPr>
            </w:pPr>
            <w:r>
              <w:rPr>
                <w:b/>
                <w:bCs/>
              </w:rPr>
              <w:t>Credit Limit</w:t>
            </w:r>
          </w:p>
        </w:tc>
      </w:tr>
      <w:tr w:rsidR="005021B5" w14:paraId="54634B06" w14:textId="77777777">
        <w:tblPrEx>
          <w:tblCellMar>
            <w:top w:w="0" w:type="dxa"/>
            <w:bottom w:w="0" w:type="dxa"/>
          </w:tblCellMar>
        </w:tblPrEx>
        <w:trPr>
          <w:trHeight w:val="323"/>
          <w:jc w:val="center"/>
        </w:trPr>
        <w:tc>
          <w:tcPr>
            <w:tcW w:w="1968" w:type="dxa"/>
          </w:tcPr>
          <w:p w14:paraId="331DDD13" w14:textId="77777777" w:rsidR="005021B5" w:rsidRDefault="005021B5">
            <w:pPr>
              <w:pStyle w:val="ListNumber"/>
            </w:pPr>
            <w:r>
              <w:t>AAA</w:t>
            </w:r>
          </w:p>
        </w:tc>
        <w:tc>
          <w:tcPr>
            <w:tcW w:w="2340" w:type="dxa"/>
          </w:tcPr>
          <w:p w14:paraId="1BB6F1B4" w14:textId="77777777" w:rsidR="005021B5" w:rsidRDefault="005021B5">
            <w:pPr>
              <w:pStyle w:val="ListNumber"/>
            </w:pPr>
            <w:r>
              <w:t>$200 million</w:t>
            </w:r>
          </w:p>
        </w:tc>
      </w:tr>
      <w:tr w:rsidR="005021B5" w14:paraId="0E908B60" w14:textId="77777777">
        <w:tblPrEx>
          <w:tblCellMar>
            <w:top w:w="0" w:type="dxa"/>
            <w:bottom w:w="0" w:type="dxa"/>
          </w:tblCellMar>
        </w:tblPrEx>
        <w:trPr>
          <w:jc w:val="center"/>
        </w:trPr>
        <w:tc>
          <w:tcPr>
            <w:tcW w:w="1968" w:type="dxa"/>
          </w:tcPr>
          <w:p w14:paraId="00420DB5" w14:textId="77777777" w:rsidR="005021B5" w:rsidRDefault="005021B5">
            <w:pPr>
              <w:pStyle w:val="ListNumber"/>
            </w:pPr>
            <w:r>
              <w:t>AA</w:t>
            </w:r>
          </w:p>
        </w:tc>
        <w:tc>
          <w:tcPr>
            <w:tcW w:w="2340" w:type="dxa"/>
          </w:tcPr>
          <w:p w14:paraId="01149B25" w14:textId="77777777" w:rsidR="005021B5" w:rsidRDefault="005021B5">
            <w:pPr>
              <w:pStyle w:val="ListNumber"/>
            </w:pPr>
            <w:r>
              <w:t>$100 million</w:t>
            </w:r>
          </w:p>
        </w:tc>
      </w:tr>
      <w:tr w:rsidR="005021B5" w14:paraId="3C49379B" w14:textId="77777777">
        <w:tblPrEx>
          <w:tblCellMar>
            <w:top w:w="0" w:type="dxa"/>
            <w:bottom w:w="0" w:type="dxa"/>
          </w:tblCellMar>
        </w:tblPrEx>
        <w:trPr>
          <w:jc w:val="center"/>
        </w:trPr>
        <w:tc>
          <w:tcPr>
            <w:tcW w:w="1968" w:type="dxa"/>
          </w:tcPr>
          <w:p w14:paraId="5A3F94D0" w14:textId="77777777" w:rsidR="005021B5" w:rsidRDefault="005021B5">
            <w:pPr>
              <w:pStyle w:val="ListNumber"/>
            </w:pPr>
            <w:r>
              <w:t>A</w:t>
            </w:r>
          </w:p>
        </w:tc>
        <w:tc>
          <w:tcPr>
            <w:tcW w:w="2340" w:type="dxa"/>
          </w:tcPr>
          <w:p w14:paraId="543CD1CB" w14:textId="77777777" w:rsidR="005021B5" w:rsidRDefault="005021B5">
            <w:pPr>
              <w:pStyle w:val="ListNumber"/>
            </w:pPr>
            <w:r>
              <w:t>$50 million</w:t>
            </w:r>
          </w:p>
        </w:tc>
      </w:tr>
      <w:tr w:rsidR="005021B5" w14:paraId="49BB661D" w14:textId="77777777">
        <w:tblPrEx>
          <w:tblCellMar>
            <w:top w:w="0" w:type="dxa"/>
            <w:bottom w:w="0" w:type="dxa"/>
          </w:tblCellMar>
        </w:tblPrEx>
        <w:trPr>
          <w:jc w:val="center"/>
        </w:trPr>
        <w:tc>
          <w:tcPr>
            <w:tcW w:w="1968" w:type="dxa"/>
          </w:tcPr>
          <w:p w14:paraId="5FE70D7F" w14:textId="77777777" w:rsidR="005021B5" w:rsidRDefault="005021B5">
            <w:pPr>
              <w:pStyle w:val="ListNumber"/>
            </w:pPr>
            <w:r>
              <w:t>BBB</w:t>
            </w:r>
          </w:p>
        </w:tc>
        <w:tc>
          <w:tcPr>
            <w:tcW w:w="2340" w:type="dxa"/>
          </w:tcPr>
          <w:p w14:paraId="3DFDB952" w14:textId="77777777" w:rsidR="005021B5" w:rsidRDefault="005021B5">
            <w:pPr>
              <w:pStyle w:val="ListNumber"/>
            </w:pPr>
            <w:r>
              <w:t>$5 million</w:t>
            </w:r>
          </w:p>
        </w:tc>
      </w:tr>
    </w:tbl>
    <w:p w14:paraId="354952E2" w14:textId="77777777" w:rsidR="005021B5" w:rsidRDefault="005021B5">
      <w:pPr>
        <w:ind w:left="360"/>
        <w:rPr>
          <w:rFonts w:ascii="Arial" w:hAnsi="Arial" w:cs="Arial"/>
          <w:sz w:val="20"/>
        </w:rPr>
      </w:pPr>
    </w:p>
    <w:p w14:paraId="58FD749A" w14:textId="77777777" w:rsidR="005021B5" w:rsidRDefault="005021B5">
      <w:pPr>
        <w:pStyle w:val="BodyTextIndent"/>
      </w:pPr>
      <w:r>
        <w:t>Such an approach is limited in that it does not consider the size of an entity.</w:t>
      </w:r>
    </w:p>
    <w:p w14:paraId="0E6F233F" w14:textId="77777777" w:rsidR="005021B5" w:rsidRDefault="005021B5">
      <w:pPr>
        <w:pStyle w:val="BodyTextIndent"/>
      </w:pPr>
    </w:p>
    <w:p w14:paraId="58A7DF8F" w14:textId="77777777" w:rsidR="005021B5" w:rsidRDefault="005021B5">
      <w:pPr>
        <w:pStyle w:val="BodyTextIndent"/>
      </w:pPr>
      <w:r>
        <w:t>Additional simple rules could be used as well, for example, a government owned utility without a credit rating could receive $1 million in credit.</w:t>
      </w:r>
    </w:p>
    <w:p w14:paraId="3B384937" w14:textId="77777777" w:rsidR="005021B5" w:rsidRDefault="005021B5">
      <w:pPr>
        <w:ind w:left="360"/>
        <w:rPr>
          <w:rFonts w:ascii="Arial" w:hAnsi="Arial" w:cs="Arial"/>
          <w:sz w:val="20"/>
        </w:rPr>
      </w:pPr>
    </w:p>
    <w:p w14:paraId="795D9BC4" w14:textId="77777777" w:rsidR="005021B5" w:rsidRDefault="005021B5">
      <w:pPr>
        <w:ind w:left="360"/>
        <w:rPr>
          <w:rFonts w:ascii="Arial" w:hAnsi="Arial" w:cs="Arial"/>
          <w:sz w:val="20"/>
        </w:rPr>
      </w:pPr>
    </w:p>
    <w:p w14:paraId="172DB7C6" w14:textId="77777777" w:rsidR="005021B5" w:rsidRDefault="005021B5">
      <w:pPr>
        <w:pStyle w:val="BodyTextIndent3"/>
        <w:numPr>
          <w:numberingChange w:id="2" w:author="pnethercut" w:date="2004-10-29T16:56:00Z" w:original="%1:3:3:."/>
        </w:numPr>
      </w:pPr>
      <w:r>
        <w:lastRenderedPageBreak/>
        <w:t xml:space="preserve">Option C:  More Complex Tiered Credit Limits </w:t>
      </w:r>
    </w:p>
    <w:p w14:paraId="4FEFED49" w14:textId="77777777" w:rsidR="005021B5" w:rsidRDefault="005021B5">
      <w:pPr>
        <w:ind w:left="360"/>
        <w:rPr>
          <w:rFonts w:ascii="Arial" w:hAnsi="Arial" w:cs="Arial"/>
          <w:sz w:val="20"/>
        </w:rPr>
      </w:pPr>
    </w:p>
    <w:p w14:paraId="426EF8DD" w14:textId="77777777" w:rsidR="005021B5" w:rsidRDefault="005021B5">
      <w:pPr>
        <w:ind w:left="720"/>
        <w:rPr>
          <w:rFonts w:ascii="Arial" w:hAnsi="Arial" w:cs="Arial"/>
          <w:sz w:val="20"/>
        </w:rPr>
      </w:pPr>
      <w:r>
        <w:rPr>
          <w:rFonts w:ascii="Arial" w:hAnsi="Arial" w:cs="Arial"/>
          <w:sz w:val="20"/>
        </w:rPr>
        <w:t>Two enhancement from Option B are included here:</w:t>
      </w:r>
    </w:p>
    <w:p w14:paraId="364E0CFA" w14:textId="77777777" w:rsidR="005021B5" w:rsidRDefault="005021B5">
      <w:pPr>
        <w:numPr>
          <w:ilvl w:val="0"/>
          <w:numId w:val="43"/>
        </w:numPr>
        <w:rPr>
          <w:rFonts w:ascii="Arial" w:hAnsi="Arial" w:cs="Arial"/>
          <w:sz w:val="20"/>
        </w:rPr>
      </w:pPr>
      <w:r>
        <w:rPr>
          <w:rFonts w:ascii="Arial" w:hAnsi="Arial" w:cs="Arial"/>
          <w:sz w:val="20"/>
        </w:rPr>
        <w:t>Consider entity size in the credit limit determination by including an entity’s “tangible net worth” into the calculation.</w:t>
      </w:r>
    </w:p>
    <w:p w14:paraId="6B54B2BA" w14:textId="77777777" w:rsidR="005021B5" w:rsidRDefault="005021B5">
      <w:pPr>
        <w:numPr>
          <w:ilvl w:val="0"/>
          <w:numId w:val="43"/>
        </w:numPr>
        <w:rPr>
          <w:rFonts w:ascii="Arial" w:hAnsi="Arial" w:cs="Arial"/>
          <w:sz w:val="20"/>
        </w:rPr>
      </w:pPr>
      <w:r>
        <w:rPr>
          <w:rFonts w:ascii="Arial" w:hAnsi="Arial" w:cs="Arial"/>
          <w:sz w:val="20"/>
        </w:rPr>
        <w:t>Consider other third party credit ratings in addition to the ratings by the national credit rating agencies (S&amp;P / Moody’s / Fitch).</w:t>
      </w:r>
    </w:p>
    <w:p w14:paraId="2B597698" w14:textId="77777777" w:rsidR="005021B5" w:rsidRDefault="005021B5">
      <w:pPr>
        <w:ind w:left="720"/>
        <w:rPr>
          <w:rFonts w:ascii="Arial" w:hAnsi="Arial" w:cs="Arial"/>
          <w:sz w:val="20"/>
        </w:rPr>
      </w:pPr>
    </w:p>
    <w:p w14:paraId="222763C9" w14:textId="77777777" w:rsidR="005021B5" w:rsidRDefault="005021B5">
      <w:pPr>
        <w:ind w:left="720"/>
        <w:rPr>
          <w:rFonts w:ascii="Arial" w:hAnsi="Arial" w:cs="Arial"/>
          <w:sz w:val="20"/>
        </w:rPr>
      </w:pPr>
      <w:r>
        <w:rPr>
          <w:rFonts w:ascii="Arial" w:hAnsi="Arial" w:cs="Arial"/>
          <w:sz w:val="20"/>
        </w:rPr>
        <w:t xml:space="preserve">Either of those enhancements could be used independently, and other alternatives are possible.  Several options were considered by the CAISO internal team, but for the sake of brevity, only the recommended option is listed here.   The following discussion incorporates both of these enhancements. </w:t>
      </w:r>
    </w:p>
    <w:p w14:paraId="5C2BE332" w14:textId="77777777" w:rsidR="005021B5" w:rsidRDefault="005021B5">
      <w:pPr>
        <w:ind w:left="720"/>
        <w:rPr>
          <w:rFonts w:ascii="Arial" w:hAnsi="Arial" w:cs="Arial"/>
          <w:sz w:val="20"/>
        </w:rPr>
      </w:pPr>
    </w:p>
    <w:p w14:paraId="1AB7D274" w14:textId="77777777" w:rsidR="005021B5" w:rsidRDefault="005021B5">
      <w:pPr>
        <w:ind w:left="720"/>
        <w:rPr>
          <w:rFonts w:ascii="Arial" w:hAnsi="Arial" w:cs="Arial"/>
          <w:sz w:val="20"/>
          <w:u w:val="single"/>
        </w:rPr>
      </w:pPr>
      <w:r>
        <w:rPr>
          <w:rFonts w:ascii="Arial" w:hAnsi="Arial" w:cs="Arial"/>
          <w:sz w:val="20"/>
          <w:u w:val="single"/>
        </w:rPr>
        <w:t>Description:</w:t>
      </w:r>
    </w:p>
    <w:p w14:paraId="19116517" w14:textId="77777777" w:rsidR="005021B5" w:rsidRDefault="005021B5">
      <w:pPr>
        <w:ind w:left="720"/>
        <w:rPr>
          <w:rFonts w:ascii="Arial" w:hAnsi="Arial" w:cs="Arial"/>
          <w:sz w:val="20"/>
        </w:rPr>
      </w:pPr>
      <w:r>
        <w:rPr>
          <w:rFonts w:ascii="Arial" w:hAnsi="Arial" w:cs="Arial"/>
          <w:sz w:val="20"/>
        </w:rPr>
        <w:t>A combined third-party credit rating is used to determine an allowable percentage of an entity’s net worth.  A combined third-party rating</w:t>
      </w:r>
      <w:r>
        <w:rPr>
          <w:rStyle w:val="FootnoteReference"/>
          <w:rFonts w:ascii="Arial" w:hAnsi="Arial" w:cs="Arial"/>
          <w:sz w:val="20"/>
        </w:rPr>
        <w:footnoteReference w:id="1"/>
      </w:r>
      <w:r>
        <w:rPr>
          <w:rFonts w:ascii="Arial" w:hAnsi="Arial" w:cs="Arial"/>
          <w:sz w:val="20"/>
        </w:rPr>
        <w:t xml:space="preserve"> would blend a rating from Moody’s/Standard &amp; Poor’s/Fitch with another rating such as the implied rating from Moody’s KMV.  Moody’s KMV maintains a proprietary scoring model that provides an alternate, potentially more timely view of the default probability of entities it rates.   For example, we might use the following approach:</w:t>
      </w:r>
    </w:p>
    <w:p w14:paraId="4B5FD8A1" w14:textId="77777777" w:rsidR="005021B5" w:rsidRDefault="005021B5">
      <w:pPr>
        <w:pStyle w:val="FootnoteText"/>
      </w:pPr>
    </w:p>
    <w:p w14:paraId="370677F3" w14:textId="77777777" w:rsidR="005021B5" w:rsidRDefault="005021B5">
      <w:pPr>
        <w:pStyle w:val="Footnote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1052"/>
        <w:gridCol w:w="1326"/>
        <w:gridCol w:w="1198"/>
      </w:tblGrid>
      <w:tr w:rsidR="005021B5" w14:paraId="495716C1" w14:textId="77777777">
        <w:tblPrEx>
          <w:tblCellMar>
            <w:top w:w="0" w:type="dxa"/>
            <w:bottom w:w="0" w:type="dxa"/>
          </w:tblCellMar>
        </w:tblPrEx>
        <w:trPr>
          <w:trHeight w:val="287"/>
          <w:jc w:val="center"/>
        </w:trPr>
        <w:tc>
          <w:tcPr>
            <w:tcW w:w="1008" w:type="dxa"/>
          </w:tcPr>
          <w:p w14:paraId="0E34687E" w14:textId="77777777" w:rsidR="005021B5" w:rsidRDefault="005021B5">
            <w:pPr>
              <w:pStyle w:val="ListNumber"/>
              <w:rPr>
                <w:b/>
                <w:bCs/>
              </w:rPr>
            </w:pPr>
            <w:r>
              <w:rPr>
                <w:b/>
                <w:bCs/>
              </w:rPr>
              <w:t>Combined Third Party Rating</w:t>
            </w:r>
          </w:p>
        </w:tc>
        <w:tc>
          <w:tcPr>
            <w:tcW w:w="1052" w:type="dxa"/>
          </w:tcPr>
          <w:p w14:paraId="0B995AA1" w14:textId="77777777" w:rsidR="005021B5" w:rsidRDefault="005021B5">
            <w:pPr>
              <w:pStyle w:val="ListNumber"/>
              <w:rPr>
                <w:b/>
                <w:bCs/>
              </w:rPr>
            </w:pPr>
            <w:r>
              <w:rPr>
                <w:b/>
                <w:bCs/>
              </w:rPr>
              <w:t xml:space="preserve">% Tangible Net Worth </w:t>
            </w:r>
          </w:p>
        </w:tc>
        <w:tc>
          <w:tcPr>
            <w:tcW w:w="1326" w:type="dxa"/>
          </w:tcPr>
          <w:p w14:paraId="15369674" w14:textId="77777777" w:rsidR="005021B5" w:rsidRDefault="005021B5">
            <w:pPr>
              <w:pStyle w:val="ListNumber"/>
              <w:rPr>
                <w:b/>
                <w:bCs/>
              </w:rPr>
            </w:pPr>
            <w:r>
              <w:rPr>
                <w:b/>
                <w:bCs/>
              </w:rPr>
              <w:t>Tangible Net Worth (TNW)</w:t>
            </w:r>
          </w:p>
        </w:tc>
        <w:tc>
          <w:tcPr>
            <w:tcW w:w="1198" w:type="dxa"/>
          </w:tcPr>
          <w:p w14:paraId="6A3689F3" w14:textId="77777777" w:rsidR="005021B5" w:rsidRDefault="005021B5">
            <w:pPr>
              <w:pStyle w:val="ListNumber"/>
              <w:rPr>
                <w:b/>
                <w:bCs/>
              </w:rPr>
            </w:pPr>
            <w:r>
              <w:rPr>
                <w:b/>
                <w:bCs/>
              </w:rPr>
              <w:t>Initial Unsecured Credit Limit (ICL)</w:t>
            </w:r>
          </w:p>
        </w:tc>
      </w:tr>
      <w:tr w:rsidR="005021B5" w14:paraId="76BEBE7D" w14:textId="77777777">
        <w:tblPrEx>
          <w:tblCellMar>
            <w:top w:w="0" w:type="dxa"/>
            <w:bottom w:w="0" w:type="dxa"/>
          </w:tblCellMar>
        </w:tblPrEx>
        <w:trPr>
          <w:trHeight w:val="323"/>
          <w:jc w:val="center"/>
        </w:trPr>
        <w:tc>
          <w:tcPr>
            <w:tcW w:w="1008" w:type="dxa"/>
          </w:tcPr>
          <w:p w14:paraId="2D10BE09" w14:textId="77777777" w:rsidR="005021B5" w:rsidRDefault="005021B5">
            <w:pPr>
              <w:pStyle w:val="ListNumber"/>
            </w:pPr>
            <w:r>
              <w:t>AAA</w:t>
            </w:r>
          </w:p>
        </w:tc>
        <w:tc>
          <w:tcPr>
            <w:tcW w:w="1052" w:type="dxa"/>
          </w:tcPr>
          <w:p w14:paraId="76572387" w14:textId="77777777" w:rsidR="005021B5" w:rsidRDefault="005021B5">
            <w:pPr>
              <w:pStyle w:val="ListNumber"/>
            </w:pPr>
            <w:r>
              <w:t>7%</w:t>
            </w:r>
          </w:p>
        </w:tc>
        <w:tc>
          <w:tcPr>
            <w:tcW w:w="1326" w:type="dxa"/>
          </w:tcPr>
          <w:p w14:paraId="07FADE18" w14:textId="77777777" w:rsidR="005021B5" w:rsidRDefault="005021B5">
            <w:pPr>
              <w:pStyle w:val="ListNumber"/>
            </w:pPr>
            <w:r>
              <w:t>$W million</w:t>
            </w:r>
          </w:p>
        </w:tc>
        <w:tc>
          <w:tcPr>
            <w:tcW w:w="1198" w:type="dxa"/>
          </w:tcPr>
          <w:p w14:paraId="3E26EF7F" w14:textId="77777777" w:rsidR="005021B5" w:rsidRDefault="005021B5">
            <w:pPr>
              <w:pStyle w:val="ListNumber"/>
            </w:pPr>
            <w:r>
              <w:t>.07 * W</w:t>
            </w:r>
          </w:p>
        </w:tc>
      </w:tr>
      <w:tr w:rsidR="005021B5" w14:paraId="42C499C5" w14:textId="77777777">
        <w:tblPrEx>
          <w:tblCellMar>
            <w:top w:w="0" w:type="dxa"/>
            <w:bottom w:w="0" w:type="dxa"/>
          </w:tblCellMar>
        </w:tblPrEx>
        <w:trPr>
          <w:jc w:val="center"/>
        </w:trPr>
        <w:tc>
          <w:tcPr>
            <w:tcW w:w="1008" w:type="dxa"/>
          </w:tcPr>
          <w:p w14:paraId="0E9EBC12" w14:textId="77777777" w:rsidR="005021B5" w:rsidRDefault="005021B5">
            <w:pPr>
              <w:pStyle w:val="ListNumber"/>
            </w:pPr>
            <w:r>
              <w:t>AA</w:t>
            </w:r>
          </w:p>
        </w:tc>
        <w:tc>
          <w:tcPr>
            <w:tcW w:w="1052" w:type="dxa"/>
          </w:tcPr>
          <w:p w14:paraId="7AA1BF59" w14:textId="77777777" w:rsidR="005021B5" w:rsidRDefault="005021B5">
            <w:pPr>
              <w:pStyle w:val="ListNumber"/>
            </w:pPr>
            <w:r>
              <w:t>5%</w:t>
            </w:r>
          </w:p>
        </w:tc>
        <w:tc>
          <w:tcPr>
            <w:tcW w:w="1326" w:type="dxa"/>
          </w:tcPr>
          <w:p w14:paraId="2A36BE1B" w14:textId="77777777" w:rsidR="005021B5" w:rsidRDefault="005021B5">
            <w:pPr>
              <w:pStyle w:val="ListNumber"/>
            </w:pPr>
            <w:r>
              <w:t>$X million</w:t>
            </w:r>
          </w:p>
        </w:tc>
        <w:tc>
          <w:tcPr>
            <w:tcW w:w="1198" w:type="dxa"/>
          </w:tcPr>
          <w:p w14:paraId="1127E68E" w14:textId="77777777" w:rsidR="005021B5" w:rsidRDefault="005021B5">
            <w:pPr>
              <w:pStyle w:val="ListNumber"/>
            </w:pPr>
            <w:r>
              <w:t>.05 * X</w:t>
            </w:r>
          </w:p>
        </w:tc>
      </w:tr>
      <w:tr w:rsidR="005021B5" w14:paraId="4BEDC0D3" w14:textId="77777777">
        <w:tblPrEx>
          <w:tblCellMar>
            <w:top w:w="0" w:type="dxa"/>
            <w:bottom w:w="0" w:type="dxa"/>
          </w:tblCellMar>
        </w:tblPrEx>
        <w:trPr>
          <w:jc w:val="center"/>
        </w:trPr>
        <w:tc>
          <w:tcPr>
            <w:tcW w:w="1008" w:type="dxa"/>
          </w:tcPr>
          <w:p w14:paraId="0B4BFFA6" w14:textId="77777777" w:rsidR="005021B5" w:rsidRDefault="005021B5">
            <w:pPr>
              <w:pStyle w:val="ListNumber"/>
            </w:pPr>
            <w:r>
              <w:t>A</w:t>
            </w:r>
          </w:p>
        </w:tc>
        <w:tc>
          <w:tcPr>
            <w:tcW w:w="1052" w:type="dxa"/>
          </w:tcPr>
          <w:p w14:paraId="7D9B380D" w14:textId="77777777" w:rsidR="005021B5" w:rsidRDefault="005021B5">
            <w:pPr>
              <w:pStyle w:val="ListNumber"/>
            </w:pPr>
            <w:r>
              <w:t>3%</w:t>
            </w:r>
          </w:p>
        </w:tc>
        <w:tc>
          <w:tcPr>
            <w:tcW w:w="1326" w:type="dxa"/>
          </w:tcPr>
          <w:p w14:paraId="46C24621" w14:textId="77777777" w:rsidR="005021B5" w:rsidRDefault="005021B5">
            <w:pPr>
              <w:pStyle w:val="ListNumber"/>
            </w:pPr>
            <w:r>
              <w:t>$Y million</w:t>
            </w:r>
          </w:p>
        </w:tc>
        <w:tc>
          <w:tcPr>
            <w:tcW w:w="1198" w:type="dxa"/>
          </w:tcPr>
          <w:p w14:paraId="26094020" w14:textId="77777777" w:rsidR="005021B5" w:rsidRDefault="005021B5">
            <w:pPr>
              <w:pStyle w:val="ListNumber"/>
            </w:pPr>
            <w:r>
              <w:t>.03 * Y</w:t>
            </w:r>
          </w:p>
        </w:tc>
      </w:tr>
      <w:tr w:rsidR="005021B5" w14:paraId="3FABDACB" w14:textId="77777777">
        <w:tblPrEx>
          <w:tblCellMar>
            <w:top w:w="0" w:type="dxa"/>
            <w:bottom w:w="0" w:type="dxa"/>
          </w:tblCellMar>
        </w:tblPrEx>
        <w:trPr>
          <w:jc w:val="center"/>
        </w:trPr>
        <w:tc>
          <w:tcPr>
            <w:tcW w:w="1008" w:type="dxa"/>
          </w:tcPr>
          <w:p w14:paraId="7B0B3724" w14:textId="77777777" w:rsidR="005021B5" w:rsidRDefault="005021B5">
            <w:pPr>
              <w:pStyle w:val="ListNumber"/>
            </w:pPr>
            <w:r>
              <w:t>BBB</w:t>
            </w:r>
          </w:p>
        </w:tc>
        <w:tc>
          <w:tcPr>
            <w:tcW w:w="1052" w:type="dxa"/>
          </w:tcPr>
          <w:p w14:paraId="784F4DC5" w14:textId="77777777" w:rsidR="005021B5" w:rsidRDefault="005021B5">
            <w:pPr>
              <w:pStyle w:val="ListNumber"/>
            </w:pPr>
            <w:r>
              <w:t>1%</w:t>
            </w:r>
          </w:p>
        </w:tc>
        <w:tc>
          <w:tcPr>
            <w:tcW w:w="1326" w:type="dxa"/>
          </w:tcPr>
          <w:p w14:paraId="15677BC6" w14:textId="77777777" w:rsidR="005021B5" w:rsidRDefault="005021B5">
            <w:pPr>
              <w:pStyle w:val="ListNumber"/>
            </w:pPr>
            <w:r>
              <w:t>$Z million</w:t>
            </w:r>
          </w:p>
        </w:tc>
        <w:tc>
          <w:tcPr>
            <w:tcW w:w="1198" w:type="dxa"/>
          </w:tcPr>
          <w:p w14:paraId="3E04227D" w14:textId="77777777" w:rsidR="005021B5" w:rsidRDefault="005021B5">
            <w:pPr>
              <w:pStyle w:val="ListNumber"/>
            </w:pPr>
            <w:r>
              <w:t>01 * Z</w:t>
            </w:r>
          </w:p>
        </w:tc>
      </w:tr>
    </w:tbl>
    <w:p w14:paraId="3EF57F3A" w14:textId="77777777" w:rsidR="005021B5" w:rsidRDefault="005021B5">
      <w:pPr>
        <w:pStyle w:val="FootnoteText"/>
      </w:pPr>
    </w:p>
    <w:p w14:paraId="6B1EB9F8" w14:textId="77777777" w:rsidR="005021B5" w:rsidRDefault="005021B5">
      <w:pPr>
        <w:ind w:left="720"/>
        <w:rPr>
          <w:rFonts w:ascii="Arial" w:hAnsi="Arial" w:cs="Arial"/>
          <w:sz w:val="20"/>
        </w:rPr>
      </w:pPr>
    </w:p>
    <w:p w14:paraId="14D1607F" w14:textId="77777777" w:rsidR="005021B5" w:rsidRDefault="005021B5">
      <w:pPr>
        <w:ind w:left="720"/>
      </w:pPr>
      <w:r>
        <w:rPr>
          <w:rFonts w:ascii="Arial" w:hAnsi="Arial" w:cs="Arial"/>
          <w:sz w:val="20"/>
        </w:rPr>
        <w:t>The resulting “Initial Unsecured Credit Limit” might be further adjusted to limit concentration of credit in the ISO market.  Section V of this Appendix provides a detailed example of how this approach might be developed/utilized.</w:t>
      </w:r>
    </w:p>
    <w:p w14:paraId="3F6FB64A" w14:textId="77777777" w:rsidR="005021B5" w:rsidRDefault="005021B5">
      <w:pPr>
        <w:pStyle w:val="FootnoteText"/>
        <w:ind w:left="1080"/>
      </w:pPr>
    </w:p>
    <w:p w14:paraId="3BB0F9AB" w14:textId="77777777" w:rsidR="005021B5" w:rsidRDefault="005021B5">
      <w:pPr>
        <w:pStyle w:val="BodyTextIndent3"/>
      </w:pPr>
    </w:p>
    <w:p w14:paraId="0F66E539" w14:textId="77777777" w:rsidR="005021B5" w:rsidRDefault="005021B5">
      <w:pPr>
        <w:pStyle w:val="BodyTextIndent3"/>
        <w:numPr>
          <w:numberingChange w:id="3" w:author="pnethercut" w:date="2004-10-29T16:56:00Z" w:original="%1:4:3:."/>
        </w:numPr>
      </w:pPr>
      <w:r>
        <w:t>Option D:  Internally conduct a full credit assessment on every scheduling coordinator to establish its credit limit, using an agreed-upon credit scoring methodology.</w:t>
      </w:r>
    </w:p>
    <w:p w14:paraId="797475D9" w14:textId="77777777" w:rsidR="005021B5" w:rsidRDefault="005021B5">
      <w:pPr>
        <w:ind w:left="360"/>
        <w:rPr>
          <w:rFonts w:ascii="Arial" w:hAnsi="Arial" w:cs="Arial"/>
          <w:sz w:val="20"/>
        </w:rPr>
      </w:pPr>
    </w:p>
    <w:p w14:paraId="03DA043D" w14:textId="77777777" w:rsidR="005021B5" w:rsidRDefault="005021B5">
      <w:pPr>
        <w:ind w:left="720"/>
        <w:rPr>
          <w:rFonts w:ascii="Arial" w:hAnsi="Arial" w:cs="Arial"/>
          <w:sz w:val="20"/>
        </w:rPr>
      </w:pPr>
      <w:r>
        <w:rPr>
          <w:rFonts w:ascii="Arial" w:hAnsi="Arial" w:cs="Arial"/>
          <w:sz w:val="20"/>
        </w:rPr>
        <w:t>A credit score would be developed by assessing various measures from a financial statement review, agency credit ratings, payment history, and other factors.  The measures would be assigned and weighted according to predefined standards, but might also include a subjective assessment.  For example:</w:t>
      </w:r>
    </w:p>
    <w:p w14:paraId="5DE15C1E" w14:textId="77777777" w:rsidR="005021B5" w:rsidRDefault="005021B5">
      <w:pPr>
        <w:pStyle w:val="FootnoteText"/>
        <w:tabs>
          <w:tab w:val="clear" w:pos="900"/>
        </w:tabs>
      </w:pPr>
      <w:r>
        <w:t xml:space="preserve"> </w:t>
      </w:r>
    </w:p>
    <w:p w14:paraId="2997E170" w14:textId="77777777" w:rsidR="005021B5" w:rsidRDefault="005021B5">
      <w:pPr>
        <w:ind w:left="360"/>
        <w:rPr>
          <w:rFonts w:ascii="Arial" w:hAnsi="Arial" w:cs="Arial"/>
          <w:sz w:val="20"/>
        </w:rPr>
      </w:pPr>
    </w:p>
    <w:p w14:paraId="42B046CD" w14:textId="77777777" w:rsidR="005021B5" w:rsidRDefault="005021B5">
      <w:pPr>
        <w:ind w:left="360"/>
        <w:rPr>
          <w:rFonts w:ascii="Arial" w:hAnsi="Arial" w:cs="Arial"/>
          <w:sz w:val="20"/>
        </w:rPr>
      </w:pPr>
    </w:p>
    <w:p w14:paraId="7F98FA64" w14:textId="77777777" w:rsidR="005021B5" w:rsidRDefault="005021B5">
      <w:pPr>
        <w:ind w:left="360"/>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440"/>
        <w:gridCol w:w="1440"/>
        <w:gridCol w:w="1440"/>
      </w:tblGrid>
      <w:tr w:rsidR="005021B5" w14:paraId="0C59A9AA" w14:textId="77777777">
        <w:tblPrEx>
          <w:tblCellMar>
            <w:top w:w="0" w:type="dxa"/>
            <w:bottom w:w="0" w:type="dxa"/>
          </w:tblCellMar>
        </w:tblPrEx>
        <w:trPr>
          <w:trHeight w:val="287"/>
          <w:jc w:val="center"/>
        </w:trPr>
        <w:tc>
          <w:tcPr>
            <w:tcW w:w="1440" w:type="dxa"/>
          </w:tcPr>
          <w:p w14:paraId="2ACAB8F4" w14:textId="77777777" w:rsidR="005021B5" w:rsidRDefault="005021B5">
            <w:pPr>
              <w:pStyle w:val="ListNumber"/>
              <w:rPr>
                <w:b/>
                <w:bCs/>
              </w:rPr>
            </w:pPr>
            <w:r>
              <w:rPr>
                <w:b/>
                <w:bCs/>
              </w:rPr>
              <w:t xml:space="preserve">Tangible Net </w:t>
            </w:r>
            <w:r>
              <w:rPr>
                <w:b/>
                <w:bCs/>
              </w:rPr>
              <w:lastRenderedPageBreak/>
              <w:t>Worth</w:t>
            </w:r>
          </w:p>
        </w:tc>
        <w:tc>
          <w:tcPr>
            <w:tcW w:w="1440" w:type="dxa"/>
          </w:tcPr>
          <w:p w14:paraId="3E262E66" w14:textId="77777777" w:rsidR="005021B5" w:rsidRDefault="005021B5">
            <w:pPr>
              <w:pStyle w:val="ListNumber"/>
              <w:rPr>
                <w:b/>
                <w:bCs/>
              </w:rPr>
            </w:pPr>
            <w:r>
              <w:rPr>
                <w:b/>
                <w:bCs/>
              </w:rPr>
              <w:lastRenderedPageBreak/>
              <w:t xml:space="preserve">ISO Assessed </w:t>
            </w:r>
            <w:r>
              <w:rPr>
                <w:b/>
                <w:bCs/>
              </w:rPr>
              <w:lastRenderedPageBreak/>
              <w:t>Credit Score</w:t>
            </w:r>
          </w:p>
        </w:tc>
        <w:tc>
          <w:tcPr>
            <w:tcW w:w="1440" w:type="dxa"/>
          </w:tcPr>
          <w:p w14:paraId="59CEDD03" w14:textId="77777777" w:rsidR="005021B5" w:rsidRDefault="005021B5">
            <w:pPr>
              <w:pStyle w:val="ListNumber"/>
              <w:rPr>
                <w:b/>
                <w:bCs/>
              </w:rPr>
            </w:pPr>
            <w:r>
              <w:rPr>
                <w:b/>
                <w:bCs/>
              </w:rPr>
              <w:lastRenderedPageBreak/>
              <w:t xml:space="preserve">Adjustment </w:t>
            </w:r>
            <w:r>
              <w:rPr>
                <w:b/>
                <w:bCs/>
              </w:rPr>
              <w:lastRenderedPageBreak/>
              <w:t>Factor</w:t>
            </w:r>
          </w:p>
        </w:tc>
        <w:tc>
          <w:tcPr>
            <w:tcW w:w="1440" w:type="dxa"/>
          </w:tcPr>
          <w:p w14:paraId="7001B3BF" w14:textId="77777777" w:rsidR="005021B5" w:rsidRDefault="005021B5">
            <w:pPr>
              <w:pStyle w:val="ListNumber"/>
              <w:rPr>
                <w:b/>
                <w:bCs/>
              </w:rPr>
            </w:pPr>
            <w:r>
              <w:rPr>
                <w:b/>
                <w:bCs/>
              </w:rPr>
              <w:lastRenderedPageBreak/>
              <w:t>Credit Limit</w:t>
            </w:r>
          </w:p>
        </w:tc>
      </w:tr>
      <w:tr w:rsidR="005021B5" w14:paraId="715BBF19" w14:textId="77777777">
        <w:tblPrEx>
          <w:tblCellMar>
            <w:top w:w="0" w:type="dxa"/>
            <w:bottom w:w="0" w:type="dxa"/>
          </w:tblCellMar>
        </w:tblPrEx>
        <w:trPr>
          <w:cantSplit/>
          <w:trHeight w:val="323"/>
          <w:jc w:val="center"/>
        </w:trPr>
        <w:tc>
          <w:tcPr>
            <w:tcW w:w="1440" w:type="dxa"/>
            <w:vMerge w:val="restart"/>
          </w:tcPr>
          <w:p w14:paraId="66CE9B39" w14:textId="77777777" w:rsidR="005021B5" w:rsidRDefault="005021B5">
            <w:pPr>
              <w:pStyle w:val="ListNumber"/>
            </w:pPr>
          </w:p>
          <w:p w14:paraId="1F25C9F4" w14:textId="77777777" w:rsidR="005021B5" w:rsidRDefault="005021B5">
            <w:pPr>
              <w:pStyle w:val="ListNumber"/>
            </w:pPr>
            <w:r>
              <w:t>$X million</w:t>
            </w:r>
          </w:p>
          <w:p w14:paraId="07C14CDE" w14:textId="77777777" w:rsidR="005021B5" w:rsidRDefault="005021B5">
            <w:pPr>
              <w:pStyle w:val="ListNumber"/>
            </w:pPr>
          </w:p>
          <w:p w14:paraId="1DAE8F1B" w14:textId="77777777" w:rsidR="005021B5" w:rsidRDefault="005021B5">
            <w:pPr>
              <w:pStyle w:val="ListNumber"/>
            </w:pPr>
          </w:p>
        </w:tc>
        <w:tc>
          <w:tcPr>
            <w:tcW w:w="1440" w:type="dxa"/>
          </w:tcPr>
          <w:p w14:paraId="4CB4C9F6" w14:textId="77777777" w:rsidR="005021B5" w:rsidRDefault="005021B5">
            <w:pPr>
              <w:pStyle w:val="ListNumber"/>
            </w:pPr>
            <w:r>
              <w:t>90-100</w:t>
            </w:r>
          </w:p>
        </w:tc>
        <w:tc>
          <w:tcPr>
            <w:tcW w:w="1440" w:type="dxa"/>
          </w:tcPr>
          <w:p w14:paraId="4EB4C353" w14:textId="77777777" w:rsidR="005021B5" w:rsidRDefault="005021B5">
            <w:pPr>
              <w:pStyle w:val="ListNumber"/>
            </w:pPr>
            <w:r>
              <w:t>100%</w:t>
            </w:r>
          </w:p>
        </w:tc>
        <w:tc>
          <w:tcPr>
            <w:tcW w:w="1440" w:type="dxa"/>
          </w:tcPr>
          <w:p w14:paraId="07B622A5" w14:textId="77777777" w:rsidR="005021B5" w:rsidRDefault="005021B5">
            <w:pPr>
              <w:pStyle w:val="ListNumber"/>
            </w:pPr>
            <w:r>
              <w:t>X * 1.00</w:t>
            </w:r>
          </w:p>
        </w:tc>
      </w:tr>
      <w:tr w:rsidR="005021B5" w14:paraId="0A7574A8" w14:textId="77777777">
        <w:tblPrEx>
          <w:tblCellMar>
            <w:top w:w="0" w:type="dxa"/>
            <w:bottom w:w="0" w:type="dxa"/>
          </w:tblCellMar>
        </w:tblPrEx>
        <w:trPr>
          <w:cantSplit/>
          <w:jc w:val="center"/>
        </w:trPr>
        <w:tc>
          <w:tcPr>
            <w:tcW w:w="1440" w:type="dxa"/>
            <w:vMerge/>
          </w:tcPr>
          <w:p w14:paraId="67BF13E5" w14:textId="77777777" w:rsidR="005021B5" w:rsidRDefault="005021B5">
            <w:pPr>
              <w:pStyle w:val="ListNumber"/>
            </w:pPr>
          </w:p>
        </w:tc>
        <w:tc>
          <w:tcPr>
            <w:tcW w:w="1440" w:type="dxa"/>
          </w:tcPr>
          <w:p w14:paraId="286B3519" w14:textId="77777777" w:rsidR="005021B5" w:rsidRDefault="005021B5">
            <w:pPr>
              <w:pStyle w:val="ListNumber"/>
            </w:pPr>
            <w:r>
              <w:t>80-89</w:t>
            </w:r>
          </w:p>
        </w:tc>
        <w:tc>
          <w:tcPr>
            <w:tcW w:w="1440" w:type="dxa"/>
          </w:tcPr>
          <w:p w14:paraId="33E0D20E" w14:textId="77777777" w:rsidR="005021B5" w:rsidRDefault="005021B5">
            <w:pPr>
              <w:pStyle w:val="ListNumber"/>
            </w:pPr>
            <w:r>
              <w:t>75%</w:t>
            </w:r>
          </w:p>
        </w:tc>
        <w:tc>
          <w:tcPr>
            <w:tcW w:w="1440" w:type="dxa"/>
          </w:tcPr>
          <w:p w14:paraId="52E731FC" w14:textId="77777777" w:rsidR="005021B5" w:rsidRDefault="005021B5">
            <w:pPr>
              <w:pStyle w:val="ListNumber"/>
            </w:pPr>
            <w:r>
              <w:t>X * .75</w:t>
            </w:r>
          </w:p>
        </w:tc>
      </w:tr>
      <w:tr w:rsidR="005021B5" w14:paraId="7733F4D6" w14:textId="77777777">
        <w:tblPrEx>
          <w:tblCellMar>
            <w:top w:w="0" w:type="dxa"/>
            <w:bottom w:w="0" w:type="dxa"/>
          </w:tblCellMar>
        </w:tblPrEx>
        <w:trPr>
          <w:cantSplit/>
          <w:jc w:val="center"/>
        </w:trPr>
        <w:tc>
          <w:tcPr>
            <w:tcW w:w="1440" w:type="dxa"/>
            <w:vMerge/>
          </w:tcPr>
          <w:p w14:paraId="5708F7EB" w14:textId="77777777" w:rsidR="005021B5" w:rsidRDefault="005021B5">
            <w:pPr>
              <w:pStyle w:val="ListNumber"/>
            </w:pPr>
          </w:p>
        </w:tc>
        <w:tc>
          <w:tcPr>
            <w:tcW w:w="1440" w:type="dxa"/>
          </w:tcPr>
          <w:p w14:paraId="0E1BD6A1" w14:textId="77777777" w:rsidR="005021B5" w:rsidRDefault="005021B5">
            <w:pPr>
              <w:pStyle w:val="ListNumber"/>
            </w:pPr>
            <w:r>
              <w:t>70-79</w:t>
            </w:r>
          </w:p>
        </w:tc>
        <w:tc>
          <w:tcPr>
            <w:tcW w:w="1440" w:type="dxa"/>
          </w:tcPr>
          <w:p w14:paraId="5D059350" w14:textId="77777777" w:rsidR="005021B5" w:rsidRDefault="005021B5">
            <w:pPr>
              <w:pStyle w:val="ListNumber"/>
            </w:pPr>
            <w:r>
              <w:t>50%</w:t>
            </w:r>
          </w:p>
        </w:tc>
        <w:tc>
          <w:tcPr>
            <w:tcW w:w="1440" w:type="dxa"/>
          </w:tcPr>
          <w:p w14:paraId="39F14013" w14:textId="77777777" w:rsidR="005021B5" w:rsidRDefault="005021B5">
            <w:pPr>
              <w:pStyle w:val="ListNumber"/>
            </w:pPr>
            <w:r>
              <w:t>X * .50</w:t>
            </w:r>
          </w:p>
        </w:tc>
      </w:tr>
      <w:tr w:rsidR="005021B5" w14:paraId="0BA328B1" w14:textId="77777777">
        <w:tblPrEx>
          <w:tblCellMar>
            <w:top w:w="0" w:type="dxa"/>
            <w:bottom w:w="0" w:type="dxa"/>
          </w:tblCellMar>
        </w:tblPrEx>
        <w:trPr>
          <w:cantSplit/>
          <w:jc w:val="center"/>
        </w:trPr>
        <w:tc>
          <w:tcPr>
            <w:tcW w:w="1440" w:type="dxa"/>
            <w:vMerge/>
          </w:tcPr>
          <w:p w14:paraId="1F44B114" w14:textId="77777777" w:rsidR="005021B5" w:rsidRDefault="005021B5">
            <w:pPr>
              <w:pStyle w:val="ListNumber"/>
            </w:pPr>
          </w:p>
        </w:tc>
        <w:tc>
          <w:tcPr>
            <w:tcW w:w="1440" w:type="dxa"/>
          </w:tcPr>
          <w:p w14:paraId="2949FF25" w14:textId="77777777" w:rsidR="005021B5" w:rsidRDefault="005021B5">
            <w:pPr>
              <w:pStyle w:val="ListNumber"/>
            </w:pPr>
            <w:r>
              <w:t>60-69</w:t>
            </w:r>
          </w:p>
        </w:tc>
        <w:tc>
          <w:tcPr>
            <w:tcW w:w="1440" w:type="dxa"/>
          </w:tcPr>
          <w:p w14:paraId="16CDEEBC" w14:textId="77777777" w:rsidR="005021B5" w:rsidRDefault="005021B5">
            <w:pPr>
              <w:pStyle w:val="ListNumber"/>
            </w:pPr>
            <w:r>
              <w:t>35%</w:t>
            </w:r>
          </w:p>
        </w:tc>
        <w:tc>
          <w:tcPr>
            <w:tcW w:w="1440" w:type="dxa"/>
          </w:tcPr>
          <w:p w14:paraId="754C4FED" w14:textId="77777777" w:rsidR="005021B5" w:rsidRDefault="005021B5">
            <w:pPr>
              <w:pStyle w:val="ListNumber"/>
            </w:pPr>
            <w:r>
              <w:t>X * .35</w:t>
            </w:r>
          </w:p>
        </w:tc>
      </w:tr>
    </w:tbl>
    <w:p w14:paraId="0D5CCFDE" w14:textId="77777777" w:rsidR="005021B5" w:rsidRDefault="005021B5">
      <w:pPr>
        <w:ind w:left="360"/>
        <w:rPr>
          <w:rFonts w:ascii="Arial" w:hAnsi="Arial" w:cs="Arial"/>
          <w:sz w:val="20"/>
        </w:rPr>
      </w:pPr>
    </w:p>
    <w:p w14:paraId="3C9F28A7" w14:textId="77777777" w:rsidR="005021B5" w:rsidRDefault="005021B5">
      <w:pPr>
        <w:tabs>
          <w:tab w:val="left" w:pos="1080"/>
        </w:tabs>
        <w:ind w:left="720" w:hanging="360"/>
        <w:rPr>
          <w:rFonts w:ascii="Arial" w:hAnsi="Arial" w:cs="Arial"/>
          <w:sz w:val="20"/>
        </w:rPr>
      </w:pPr>
    </w:p>
    <w:p w14:paraId="40E76091" w14:textId="77777777" w:rsidR="005021B5" w:rsidRDefault="005021B5">
      <w:pPr>
        <w:ind w:left="360"/>
        <w:rPr>
          <w:rFonts w:ascii="Arial" w:hAnsi="Arial" w:cs="Arial"/>
          <w:sz w:val="20"/>
        </w:rPr>
      </w:pPr>
      <w:r>
        <w:rPr>
          <w:rFonts w:ascii="Arial" w:hAnsi="Arial" w:cs="Arial"/>
          <w:sz w:val="20"/>
        </w:rPr>
        <w:br w:type="page"/>
      </w:r>
    </w:p>
    <w:p w14:paraId="0770629C" w14:textId="77777777" w:rsidR="005021B5" w:rsidRDefault="005021B5">
      <w:pPr>
        <w:pStyle w:val="Heading1"/>
        <w:rPr>
          <w:sz w:val="24"/>
        </w:rPr>
      </w:pPr>
      <w:r>
        <w:rPr>
          <w:sz w:val="24"/>
        </w:rPr>
        <w:t>II.  Practices at other ISOs</w:t>
      </w:r>
    </w:p>
    <w:p w14:paraId="7D83BC88" w14:textId="698E0C26" w:rsidR="005021B5" w:rsidRDefault="00B65BB4">
      <w:r>
        <w:rPr>
          <w:noProof/>
          <w:sz w:val="20"/>
        </w:rPr>
        <mc:AlternateContent>
          <mc:Choice Requires="wps">
            <w:drawing>
              <wp:anchor distT="0" distB="0" distL="114300" distR="114300" simplePos="0" relativeHeight="251661312" behindDoc="0" locked="0" layoutInCell="1" allowOverlap="1" wp14:anchorId="2264D04D" wp14:editId="6236C0C4">
                <wp:simplePos x="0" y="0"/>
                <wp:positionH relativeFrom="column">
                  <wp:posOffset>-114300</wp:posOffset>
                </wp:positionH>
                <wp:positionV relativeFrom="paragraph">
                  <wp:posOffset>135890</wp:posOffset>
                </wp:positionV>
                <wp:extent cx="0" cy="2171700"/>
                <wp:effectExtent l="13335" t="9525" r="5715" b="9525"/>
                <wp:wrapNone/>
                <wp:docPr id="16161681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8146A" id="Line 1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pt" to="-9pt,1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"/>
            </w:pict>
          </mc:Fallback>
        </mc:AlternateContent>
      </w:r>
      <w:r>
        <w:rPr>
          <w:noProof/>
          <w:sz w:val="20"/>
        </w:rPr>
        <mc:AlternateContent>
          <mc:Choice Requires="wps">
            <w:drawing>
              <wp:anchor distT="0" distB="0" distL="114300" distR="114300" simplePos="0" relativeHeight="251662336" behindDoc="0" locked="0" layoutInCell="1" allowOverlap="1" wp14:anchorId="1097DCF6" wp14:editId="2A5C0037">
                <wp:simplePos x="0" y="0"/>
                <wp:positionH relativeFrom="column">
                  <wp:posOffset>6286500</wp:posOffset>
                </wp:positionH>
                <wp:positionV relativeFrom="paragraph">
                  <wp:posOffset>135890</wp:posOffset>
                </wp:positionV>
                <wp:extent cx="0" cy="2171700"/>
                <wp:effectExtent l="13335" t="9525" r="5715" b="9525"/>
                <wp:wrapNone/>
                <wp:docPr id="9252484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EBF83" id="Line 1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7pt" to="495pt,1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"/>
            </w:pict>
          </mc:Fallback>
        </mc:AlternateContent>
      </w:r>
      <w:r>
        <w:rPr>
          <w:noProof/>
          <w:sz w:val="20"/>
        </w:rPr>
        <mc:AlternateContent>
          <mc:Choice Requires="wps">
            <w:drawing>
              <wp:anchor distT="0" distB="0" distL="114300" distR="114300" simplePos="0" relativeHeight="251659264" behindDoc="0" locked="0" layoutInCell="1" allowOverlap="1" wp14:anchorId="2D048BAE" wp14:editId="571B27F5">
                <wp:simplePos x="0" y="0"/>
                <wp:positionH relativeFrom="column">
                  <wp:posOffset>-114300</wp:posOffset>
                </wp:positionH>
                <wp:positionV relativeFrom="paragraph">
                  <wp:posOffset>135890</wp:posOffset>
                </wp:positionV>
                <wp:extent cx="6400800" cy="0"/>
                <wp:effectExtent l="13335" t="9525" r="5715" b="9525"/>
                <wp:wrapTopAndBottom/>
                <wp:docPr id="20291728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3BFF1"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pt" to="4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">
                <w10:wrap type="topAndBottom"/>
              </v:line>
            </w:pict>
          </mc:Fallback>
        </mc:AlternateContent>
      </w:r>
    </w:p>
    <w:p w14:paraId="41E4A0A5" w14:textId="77777777" w:rsidR="005021B5" w:rsidRDefault="005021B5">
      <w:r>
        <w:rPr>
          <w:rFonts w:ascii="Arial" w:hAnsi="Arial" w:cs="Arial"/>
          <w:b/>
          <w:bCs/>
          <w:sz w:val="20"/>
        </w:rPr>
        <w:t>Characteristics</w:t>
      </w:r>
    </w:p>
    <w:p w14:paraId="7AF3C1DD" w14:textId="77777777" w:rsidR="005021B5" w:rsidRDefault="005021B5">
      <w:pPr>
        <w:rPr>
          <w:rFonts w:ascii="Arial" w:hAnsi="Arial" w:cs="Arial"/>
          <w:b/>
          <w:bCs/>
          <w:sz w:val="20"/>
        </w:rPr>
      </w:pPr>
    </w:p>
    <w:p w14:paraId="74613903" w14:textId="6DD88AA7" w:rsidR="005021B5" w:rsidRDefault="00B65BB4">
      <w:pPr>
        <w:rPr>
          <w:rFonts w:ascii="Arial" w:hAnsi="Arial" w:cs="Arial"/>
          <w:b/>
          <w:bCs/>
          <w:sz w:val="18"/>
        </w:rPr>
      </w:pPr>
      <w:r>
        <w:rPr>
          <w:rFonts w:ascii="Arial" w:hAnsi="Arial" w:cs="Arial"/>
          <w:b/>
          <w:bCs/>
          <w:noProof/>
          <w:sz w:val="20"/>
        </w:rPr>
        <mc:AlternateContent>
          <mc:Choice Requires="wps">
            <w:drawing>
              <wp:anchor distT="0" distB="0" distL="114300" distR="114300" simplePos="0" relativeHeight="251657216" behindDoc="0" locked="0" layoutInCell="1" allowOverlap="1" wp14:anchorId="226F6289" wp14:editId="66AF4AE1">
                <wp:simplePos x="0" y="0"/>
                <wp:positionH relativeFrom="column">
                  <wp:posOffset>1943100</wp:posOffset>
                </wp:positionH>
                <wp:positionV relativeFrom="paragraph">
                  <wp:posOffset>52705</wp:posOffset>
                </wp:positionV>
                <wp:extent cx="2971800" cy="0"/>
                <wp:effectExtent l="22860" t="60325" r="15240" b="53975"/>
                <wp:wrapNone/>
                <wp:docPr id="199470969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D64DA"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15pt" to="38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">
                <v:stroke startarrow="block" endarrow="block"/>
              </v:line>
            </w:pict>
          </mc:Fallback>
        </mc:AlternateContent>
      </w:r>
      <w:r w:rsidR="005021B5">
        <w:rPr>
          <w:rFonts w:ascii="Arial" w:hAnsi="Arial" w:cs="Arial"/>
          <w:b/>
          <w:bCs/>
          <w:sz w:val="18"/>
        </w:rPr>
        <w:t xml:space="preserve">      Complexity</w:t>
      </w:r>
      <w:r w:rsidR="005021B5">
        <w:rPr>
          <w:rFonts w:ascii="Arial" w:hAnsi="Arial" w:cs="Arial"/>
          <w:b/>
          <w:bCs/>
          <w:sz w:val="18"/>
        </w:rPr>
        <w:tab/>
        <w:t xml:space="preserve">                   Simple</w:t>
      </w:r>
      <w:r w:rsidR="005021B5">
        <w:rPr>
          <w:rFonts w:ascii="Arial" w:hAnsi="Arial" w:cs="Arial"/>
          <w:b/>
          <w:bCs/>
          <w:sz w:val="18"/>
        </w:rPr>
        <w:tab/>
      </w:r>
      <w:r w:rsidR="005021B5">
        <w:rPr>
          <w:rFonts w:ascii="Arial" w:hAnsi="Arial" w:cs="Arial"/>
          <w:b/>
          <w:bCs/>
          <w:sz w:val="18"/>
        </w:rPr>
        <w:tab/>
      </w:r>
      <w:r w:rsidR="005021B5">
        <w:rPr>
          <w:rFonts w:ascii="Arial" w:hAnsi="Arial" w:cs="Arial"/>
          <w:b/>
          <w:bCs/>
          <w:sz w:val="18"/>
        </w:rPr>
        <w:tab/>
      </w:r>
      <w:r w:rsidR="005021B5">
        <w:rPr>
          <w:rFonts w:ascii="Arial" w:hAnsi="Arial" w:cs="Arial"/>
          <w:b/>
          <w:bCs/>
          <w:sz w:val="18"/>
        </w:rPr>
        <w:tab/>
        <w:t xml:space="preserve">    </w:t>
      </w:r>
      <w:r w:rsidR="005021B5">
        <w:rPr>
          <w:rFonts w:ascii="Arial" w:hAnsi="Arial" w:cs="Arial"/>
          <w:b/>
          <w:bCs/>
          <w:sz w:val="18"/>
        </w:rPr>
        <w:tab/>
      </w:r>
      <w:r w:rsidR="005021B5">
        <w:rPr>
          <w:rFonts w:ascii="Arial" w:hAnsi="Arial" w:cs="Arial"/>
          <w:b/>
          <w:bCs/>
          <w:sz w:val="18"/>
        </w:rPr>
        <w:tab/>
      </w:r>
      <w:r w:rsidR="005021B5">
        <w:rPr>
          <w:rFonts w:ascii="Arial" w:hAnsi="Arial" w:cs="Arial"/>
          <w:b/>
          <w:bCs/>
          <w:sz w:val="18"/>
        </w:rPr>
        <w:tab/>
        <w:t>Complex</w:t>
      </w:r>
    </w:p>
    <w:p w14:paraId="50D52080" w14:textId="77777777" w:rsidR="005021B5" w:rsidRDefault="005021B5">
      <w:pPr>
        <w:rPr>
          <w:rFonts w:ascii="Arial" w:hAnsi="Arial" w:cs="Arial"/>
          <w:b/>
          <w:bCs/>
          <w:sz w:val="18"/>
        </w:rPr>
      </w:pPr>
    </w:p>
    <w:p w14:paraId="1B4CA472" w14:textId="5738847B" w:rsidR="005021B5" w:rsidRDefault="00B65BB4">
      <w:pPr>
        <w:pStyle w:val="Heading3"/>
      </w:pPr>
      <w:r>
        <w:rPr>
          <w:b w:val="0"/>
          <w:bCs w:val="0"/>
          <w:noProof/>
          <w:sz w:val="20"/>
        </w:rPr>
        <mc:AlternateContent>
          <mc:Choice Requires="wps">
            <w:drawing>
              <wp:anchor distT="0" distB="0" distL="114300" distR="114300" simplePos="0" relativeHeight="251658240" behindDoc="0" locked="0" layoutInCell="1" allowOverlap="1" wp14:anchorId="2623F0D2" wp14:editId="5E6B58BF">
                <wp:simplePos x="0" y="0"/>
                <wp:positionH relativeFrom="column">
                  <wp:posOffset>1943100</wp:posOffset>
                </wp:positionH>
                <wp:positionV relativeFrom="paragraph">
                  <wp:posOffset>18415</wp:posOffset>
                </wp:positionV>
                <wp:extent cx="2971800" cy="0"/>
                <wp:effectExtent l="22860" t="60325" r="15240" b="53975"/>
                <wp:wrapNone/>
                <wp:docPr id="10980289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016D5"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45pt" to="38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">
                <v:stroke startarrow="block" endarrow="block"/>
              </v:line>
            </w:pict>
          </mc:Fallback>
        </mc:AlternateContent>
      </w:r>
      <w:r w:rsidR="005021B5">
        <w:t xml:space="preserve">      Administration Cost        Low</w:t>
      </w:r>
      <w:r w:rsidR="005021B5">
        <w:tab/>
      </w:r>
      <w:r w:rsidR="005021B5">
        <w:tab/>
      </w:r>
      <w:r w:rsidR="005021B5">
        <w:tab/>
      </w:r>
      <w:r w:rsidR="005021B5">
        <w:tab/>
      </w:r>
      <w:r w:rsidR="005021B5">
        <w:tab/>
      </w:r>
      <w:r w:rsidR="005021B5">
        <w:tab/>
      </w:r>
      <w:r w:rsidR="005021B5">
        <w:tab/>
      </w:r>
      <w:r w:rsidR="005021B5">
        <w:tab/>
        <w:t xml:space="preserve">   High</w:t>
      </w:r>
    </w:p>
    <w:p w14:paraId="664D6A00" w14:textId="77777777" w:rsidR="005021B5" w:rsidRDefault="005021B5"/>
    <w:p w14:paraId="42E871DE" w14:textId="2C9A9563" w:rsidR="005021B5" w:rsidRDefault="00B65BB4">
      <w:pPr>
        <w:pStyle w:val="Heading1"/>
      </w:pPr>
      <w:r>
        <w:rPr>
          <w:b w:val="0"/>
          <w:bCs w:val="0"/>
          <w:noProof/>
        </w:rPr>
        <mc:AlternateContent>
          <mc:Choice Requires="wps">
            <w:drawing>
              <wp:anchor distT="0" distB="0" distL="114300" distR="114300" simplePos="0" relativeHeight="251656192" behindDoc="0" locked="0" layoutInCell="1" allowOverlap="1" wp14:anchorId="4BDA73F7" wp14:editId="08D348C0">
                <wp:simplePos x="0" y="0"/>
                <wp:positionH relativeFrom="column">
                  <wp:posOffset>1257300</wp:posOffset>
                </wp:positionH>
                <wp:positionV relativeFrom="paragraph">
                  <wp:posOffset>-1905</wp:posOffset>
                </wp:positionV>
                <wp:extent cx="4572000" cy="342900"/>
                <wp:effectExtent l="13335" t="13335" r="5715" b="5715"/>
                <wp:wrapNone/>
                <wp:docPr id="20031285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42900"/>
                        </a:xfrm>
                        <a:prstGeom prst="rect">
                          <a:avLst/>
                        </a:prstGeom>
                        <a:gradFill rotWithShape="0">
                          <a:gsLst>
                            <a:gs pos="0">
                              <a:srgbClr val="FFFFFF"/>
                            </a:gs>
                            <a:gs pos="100000">
                              <a:srgbClr val="FFFFFF">
                                <a:gamma/>
                                <a:shade val="46275"/>
                                <a:invGamma/>
                              </a:srgbClr>
                            </a:gs>
                          </a:gsLst>
                          <a:lin ang="0" scaled="1"/>
                        </a:gradFill>
                        <a:ln w="9525">
                          <a:solidFill>
                            <a:srgbClr val="000000"/>
                          </a:solidFill>
                          <a:miter lim="800000"/>
                          <a:headEnd/>
                          <a:tailEnd/>
                        </a:ln>
                      </wps:spPr>
                      <wps:txbx>
                        <w:txbxContent>
                          <w:p w14:paraId="31646362" w14:textId="77777777" w:rsidR="005021B5" w:rsidRDefault="005021B5">
                            <w:r>
                              <w:t xml:space="preserve">       (A)</w:t>
                            </w:r>
                            <w:r>
                              <w:tab/>
                              <w:t xml:space="preserve"> (B)</w:t>
                            </w:r>
                            <w:r>
                              <w:tab/>
                            </w:r>
                            <w:r>
                              <w:tab/>
                            </w:r>
                            <w:r>
                              <w:tab/>
                              <w:t xml:space="preserve">      (C)</w:t>
                            </w:r>
                            <w:r>
                              <w:tab/>
                            </w:r>
                            <w:r>
                              <w:tab/>
                              <w:t xml:space="preserve">  </w:t>
                            </w:r>
                            <w:r>
                              <w:tab/>
                              <w:t xml:space="preserve">    (D)</w:t>
                            </w:r>
                          </w:p>
                          <w:p w14:paraId="73456CE2" w14:textId="77777777" w:rsidR="005021B5" w:rsidRDefault="005021B5"/>
                          <w:p w14:paraId="496F027A" w14:textId="77777777" w:rsidR="005021B5" w:rsidRDefault="005021B5"/>
                          <w:p w14:paraId="42BEDD35" w14:textId="77777777" w:rsidR="005021B5" w:rsidRDefault="005021B5"/>
                          <w:p w14:paraId="2F3920C2" w14:textId="77777777" w:rsidR="005021B5" w:rsidRDefault="005021B5"/>
                          <w:p w14:paraId="3DAA7889" w14:textId="77777777" w:rsidR="005021B5" w:rsidRDefault="005021B5"/>
                          <w:p w14:paraId="4FDEF33D" w14:textId="77777777" w:rsidR="005021B5" w:rsidRDefault="00502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A73F7" id="Rectangle 9" o:spid="_x0000_s1027" style="position:absolute;margin-left:99pt;margin-top:-.15pt;width:5in;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">
                <v:fill color2="#767676" angle="90" focus="100%" type="gradient"/>
                <v:textbox>
                  <w:txbxContent>
                    <w:p w14:paraId="31646362" w14:textId="77777777" w:rsidR="005021B5" w:rsidRDefault="005021B5">
                      <w:r>
                        <w:t xml:space="preserve">       (A)</w:t>
                      </w:r>
                      <w:r>
                        <w:tab/>
                        <w:t xml:space="preserve"> (B)</w:t>
                      </w:r>
                      <w:r>
                        <w:tab/>
                      </w:r>
                      <w:r>
                        <w:tab/>
                      </w:r>
                      <w:r>
                        <w:tab/>
                        <w:t xml:space="preserve">      (C)</w:t>
                      </w:r>
                      <w:r>
                        <w:tab/>
                      </w:r>
                      <w:r>
                        <w:tab/>
                        <w:t xml:space="preserve">  </w:t>
                      </w:r>
                      <w:r>
                        <w:tab/>
                        <w:t xml:space="preserve">    (D)</w:t>
                      </w:r>
                    </w:p>
                    <w:p w14:paraId="73456CE2" w14:textId="77777777" w:rsidR="005021B5" w:rsidRDefault="005021B5"/>
                    <w:p w14:paraId="496F027A" w14:textId="77777777" w:rsidR="005021B5" w:rsidRDefault="005021B5"/>
                    <w:p w14:paraId="42BEDD35" w14:textId="77777777" w:rsidR="005021B5" w:rsidRDefault="005021B5"/>
                    <w:p w14:paraId="2F3920C2" w14:textId="77777777" w:rsidR="005021B5" w:rsidRDefault="005021B5"/>
                    <w:p w14:paraId="3DAA7889" w14:textId="77777777" w:rsidR="005021B5" w:rsidRDefault="005021B5"/>
                    <w:p w14:paraId="4FDEF33D" w14:textId="77777777" w:rsidR="005021B5" w:rsidRDefault="005021B5"/>
                  </w:txbxContent>
                </v:textbox>
              </v:rect>
            </w:pict>
          </mc:Fallback>
        </mc:AlternateContent>
      </w:r>
    </w:p>
    <w:p w14:paraId="6A6532C1" w14:textId="77777777" w:rsidR="005021B5" w:rsidRDefault="005021B5">
      <w:pPr>
        <w:pStyle w:val="Heading1"/>
      </w:pPr>
      <w:r>
        <w:t>Option</w:t>
      </w:r>
      <w:r>
        <w:tab/>
      </w:r>
    </w:p>
    <w:p w14:paraId="4758FF8A" w14:textId="77777777" w:rsidR="005021B5" w:rsidRDefault="005021B5">
      <w:pPr>
        <w:rPr>
          <w:rFonts w:ascii="Arial" w:hAnsi="Arial" w:cs="Arial"/>
          <w:b/>
          <w:bCs/>
          <w:sz w:val="20"/>
        </w:rPr>
      </w:pPr>
      <w:r>
        <w:rPr>
          <w:rFonts w:ascii="Arial" w:hAnsi="Arial" w:cs="Arial"/>
          <w:b/>
          <w:bCs/>
          <w:sz w:val="20"/>
        </w:rPr>
        <w:tab/>
      </w:r>
      <w:r>
        <w:rPr>
          <w:rFonts w:ascii="Arial" w:hAnsi="Arial" w:cs="Arial"/>
          <w:b/>
          <w:bCs/>
          <w:sz w:val="20"/>
        </w:rPr>
        <w:tab/>
        <w:t xml:space="preserve">        </w:t>
      </w:r>
    </w:p>
    <w:p w14:paraId="3C501A6A" w14:textId="77777777" w:rsidR="005021B5" w:rsidRDefault="005021B5">
      <w:pPr>
        <w:rPr>
          <w:rFonts w:ascii="Arial" w:hAnsi="Arial" w:cs="Arial"/>
          <w:b/>
          <w:bCs/>
          <w:sz w:val="20"/>
        </w:rPr>
      </w:pPr>
      <w:r>
        <w:rPr>
          <w:rFonts w:ascii="Arial" w:hAnsi="Arial" w:cs="Arial"/>
          <w:b/>
          <w:bCs/>
          <w:sz w:val="20"/>
        </w:rPr>
        <w:t>Where are the ISOs       CAISO now             -</w:t>
      </w:r>
      <w:r>
        <w:rPr>
          <w:rFonts w:ascii="Arial" w:hAnsi="Arial" w:cs="Arial"/>
          <w:b/>
          <w:bCs/>
          <w:sz w:val="20"/>
        </w:rPr>
        <w:tab/>
        <w:t xml:space="preserve">           Ontario IMO           NYISO</w:t>
      </w:r>
      <w:r>
        <w:rPr>
          <w:rFonts w:ascii="Arial" w:hAnsi="Arial" w:cs="Arial"/>
          <w:b/>
          <w:bCs/>
          <w:sz w:val="20"/>
        </w:rPr>
        <w:tab/>
      </w:r>
      <w:r>
        <w:rPr>
          <w:rFonts w:ascii="Arial" w:hAnsi="Arial" w:cs="Arial"/>
          <w:b/>
          <w:bCs/>
          <w:sz w:val="20"/>
        </w:rPr>
        <w:tab/>
        <w:t xml:space="preserve">   </w:t>
      </w:r>
    </w:p>
    <w:p w14:paraId="681220B5" w14:textId="77777777" w:rsidR="005021B5" w:rsidRDefault="005021B5">
      <w:pPr>
        <w:rPr>
          <w:rFonts w:ascii="Arial" w:hAnsi="Arial" w:cs="Arial"/>
          <w:b/>
          <w:bCs/>
          <w:sz w:val="20"/>
        </w:rPr>
      </w:pPr>
      <w:r>
        <w:rPr>
          <w:rFonts w:ascii="Arial" w:hAnsi="Arial" w:cs="Arial"/>
          <w:b/>
          <w:bCs/>
          <w:sz w:val="20"/>
        </w:rPr>
        <w:t xml:space="preserve"> On the continuum?</w:t>
      </w:r>
      <w:r>
        <w:rPr>
          <w:rFonts w:ascii="Arial" w:hAnsi="Arial" w:cs="Arial"/>
          <w:b/>
          <w:bCs/>
          <w:sz w:val="20"/>
        </w:rPr>
        <w:tab/>
        <w:t xml:space="preserve">          </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 xml:space="preserve">     ERCOT</w:t>
      </w:r>
    </w:p>
    <w:p w14:paraId="1A7DB58B" w14:textId="77777777" w:rsidR="005021B5" w:rsidRDefault="005021B5">
      <w:pPr>
        <w:rPr>
          <w:rFonts w:ascii="Arial" w:hAnsi="Arial" w:cs="Arial"/>
          <w:b/>
          <w:bCs/>
          <w:sz w:val="20"/>
          <w:lang w:val="fr-FR"/>
        </w:rPr>
      </w:pPr>
      <w:r>
        <w:rPr>
          <w:rFonts w:ascii="Arial" w:hAnsi="Arial" w:cs="Arial"/>
          <w:b/>
          <w:bCs/>
          <w:sz w:val="20"/>
        </w:rPr>
        <w:tab/>
        <w:t xml:space="preserve">       </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 xml:space="preserve">          </w:t>
      </w:r>
      <w:r>
        <w:rPr>
          <w:rFonts w:ascii="Arial" w:hAnsi="Arial" w:cs="Arial"/>
          <w:b/>
          <w:bCs/>
          <w:sz w:val="20"/>
          <w:lang w:val="fr-FR"/>
        </w:rPr>
        <w:t>NE ISO</w:t>
      </w:r>
    </w:p>
    <w:p w14:paraId="63AA5DA6" w14:textId="77777777" w:rsidR="005021B5" w:rsidRDefault="005021B5">
      <w:pPr>
        <w:rPr>
          <w:rFonts w:ascii="Arial" w:hAnsi="Arial" w:cs="Arial"/>
          <w:b/>
          <w:bCs/>
          <w:sz w:val="20"/>
        </w:rPr>
      </w:pPr>
      <w:r>
        <w:rPr>
          <w:rFonts w:ascii="Arial" w:hAnsi="Arial" w:cs="Arial"/>
          <w:b/>
          <w:bCs/>
          <w:sz w:val="20"/>
          <w:lang w:val="fr-FR"/>
        </w:rPr>
        <w:tab/>
        <w:t xml:space="preserve">      </w:t>
      </w:r>
      <w:r>
        <w:rPr>
          <w:rFonts w:ascii="Arial" w:hAnsi="Arial" w:cs="Arial"/>
          <w:b/>
          <w:bCs/>
          <w:sz w:val="20"/>
          <w:lang w:val="fr-FR"/>
        </w:rPr>
        <w:tab/>
        <w:t xml:space="preserve"> </w:t>
      </w:r>
      <w:r>
        <w:rPr>
          <w:rFonts w:ascii="Arial" w:hAnsi="Arial" w:cs="Arial"/>
          <w:b/>
          <w:bCs/>
          <w:sz w:val="20"/>
          <w:lang w:val="fr-FR"/>
        </w:rPr>
        <w:tab/>
      </w:r>
      <w:r>
        <w:rPr>
          <w:rFonts w:ascii="Arial" w:hAnsi="Arial" w:cs="Arial"/>
          <w:b/>
          <w:bCs/>
          <w:sz w:val="20"/>
          <w:lang w:val="fr-FR"/>
        </w:rPr>
        <w:tab/>
      </w:r>
      <w:r>
        <w:rPr>
          <w:rFonts w:ascii="Arial" w:hAnsi="Arial" w:cs="Arial"/>
          <w:b/>
          <w:bCs/>
          <w:sz w:val="20"/>
          <w:lang w:val="fr-FR"/>
        </w:rPr>
        <w:tab/>
      </w:r>
      <w:r>
        <w:rPr>
          <w:rFonts w:ascii="Arial" w:hAnsi="Arial" w:cs="Arial"/>
          <w:b/>
          <w:bCs/>
          <w:sz w:val="20"/>
          <w:lang w:val="fr-FR"/>
        </w:rPr>
        <w:tab/>
      </w:r>
      <w:r>
        <w:rPr>
          <w:rFonts w:ascii="Arial" w:hAnsi="Arial" w:cs="Arial"/>
          <w:b/>
          <w:bCs/>
          <w:sz w:val="20"/>
          <w:lang w:val="fr-FR"/>
        </w:rPr>
        <w:tab/>
      </w:r>
      <w:r>
        <w:rPr>
          <w:rFonts w:ascii="Arial" w:hAnsi="Arial" w:cs="Arial"/>
          <w:b/>
          <w:bCs/>
          <w:sz w:val="20"/>
          <w:lang w:val="fr-FR"/>
        </w:rPr>
        <w:tab/>
      </w:r>
      <w:r>
        <w:rPr>
          <w:rFonts w:ascii="Arial" w:hAnsi="Arial" w:cs="Arial"/>
          <w:b/>
          <w:bCs/>
          <w:sz w:val="20"/>
          <w:lang w:val="fr-FR"/>
        </w:rPr>
        <w:tab/>
        <w:t xml:space="preserve">          </w:t>
      </w:r>
      <w:r>
        <w:rPr>
          <w:rFonts w:ascii="Arial" w:hAnsi="Arial" w:cs="Arial"/>
          <w:b/>
          <w:bCs/>
          <w:sz w:val="20"/>
        </w:rPr>
        <w:t>PJM</w:t>
      </w:r>
    </w:p>
    <w:p w14:paraId="19D7A670" w14:textId="404FD751" w:rsidR="005021B5" w:rsidRDefault="00B65BB4">
      <w:pPr>
        <w:rPr>
          <w:rFonts w:ascii="Arial" w:hAnsi="Arial" w:cs="Arial"/>
          <w:b/>
          <w:bCs/>
          <w:i/>
          <w:iCs/>
          <w:sz w:val="20"/>
        </w:rPr>
      </w:pPr>
      <w:r>
        <w:rPr>
          <w:noProof/>
          <w:sz w:val="18"/>
        </w:rPr>
        <mc:AlternateContent>
          <mc:Choice Requires="wps">
            <w:drawing>
              <wp:anchor distT="0" distB="0" distL="114300" distR="114300" simplePos="0" relativeHeight="251660288" behindDoc="0" locked="0" layoutInCell="1" allowOverlap="1" wp14:anchorId="169FB61B" wp14:editId="353EABC1">
                <wp:simplePos x="0" y="0"/>
                <wp:positionH relativeFrom="column">
                  <wp:posOffset>-114300</wp:posOffset>
                </wp:positionH>
                <wp:positionV relativeFrom="paragraph">
                  <wp:posOffset>106045</wp:posOffset>
                </wp:positionV>
                <wp:extent cx="6400800" cy="0"/>
                <wp:effectExtent l="13335" t="10160" r="5715" b="8890"/>
                <wp:wrapTopAndBottom/>
                <wp:docPr id="34843680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1806C"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35pt" to="4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">
                <w10:wrap type="topAndBottom"/>
              </v:line>
            </w:pict>
          </mc:Fallback>
        </mc:AlternateContent>
      </w:r>
    </w:p>
    <w:p w14:paraId="0118D734" w14:textId="77777777" w:rsidR="005021B5" w:rsidRDefault="005021B5">
      <w:pPr>
        <w:rPr>
          <w:rFonts w:ascii="Arial" w:hAnsi="Arial" w:cs="Arial"/>
          <w:sz w:val="18"/>
        </w:rPr>
      </w:pPr>
      <w:r>
        <w:rPr>
          <w:rFonts w:ascii="Arial" w:hAnsi="Arial" w:cs="Arial"/>
          <w:b/>
          <w:bCs/>
          <w:i/>
          <w:iCs/>
          <w:sz w:val="18"/>
        </w:rPr>
        <w:t>IMO</w:t>
      </w:r>
      <w:r>
        <w:rPr>
          <w:rFonts w:ascii="Arial" w:hAnsi="Arial" w:cs="Arial"/>
          <w:sz w:val="18"/>
        </w:rPr>
        <w:t xml:space="preserve"> – sets a maximum trading limit is set for each participant, and the amount of security posted is dependent on credits provided to participants.  The credits are based on each participant’s credit rating, payment history and local distribution company transactions. It does not appear that IMO does any credit scoring. Credit watch warnings automatically trigger a one-category reduction in the credit rating. </w:t>
      </w:r>
    </w:p>
    <w:p w14:paraId="3104A86E" w14:textId="77777777" w:rsidR="005021B5" w:rsidRDefault="005021B5">
      <w:pPr>
        <w:rPr>
          <w:rFonts w:ascii="Arial" w:hAnsi="Arial" w:cs="Arial"/>
          <w:sz w:val="18"/>
        </w:rPr>
      </w:pPr>
    </w:p>
    <w:p w14:paraId="1ABE42D4" w14:textId="77777777" w:rsidR="005021B5" w:rsidRDefault="005021B5">
      <w:pPr>
        <w:numPr>
          <w:ilvl w:val="0"/>
          <w:numId w:val="8"/>
        </w:numPr>
        <w:rPr>
          <w:rFonts w:ascii="Arial" w:hAnsi="Arial" w:cs="Arial"/>
          <w:sz w:val="18"/>
        </w:rPr>
      </w:pPr>
      <w:r>
        <w:rPr>
          <w:rFonts w:ascii="Arial" w:hAnsi="Arial" w:cs="Arial"/>
          <w:sz w:val="18"/>
        </w:rPr>
        <w:t>Evaluation Frequency:  Each participant provides a self-assessment of credit exposure to the IMO, and the IMO compares the self-assessment amount against actual transactions.  Each participant can create a new self-assessment at any time, and the IMO will conduct a participant reevaluation if the participant ever defaults on its market obligations.</w:t>
      </w:r>
    </w:p>
    <w:p w14:paraId="10168D35" w14:textId="77777777" w:rsidR="005021B5" w:rsidRDefault="005021B5">
      <w:pPr>
        <w:rPr>
          <w:rFonts w:ascii="Arial" w:hAnsi="Arial" w:cs="Arial"/>
          <w:sz w:val="18"/>
        </w:rPr>
      </w:pPr>
    </w:p>
    <w:p w14:paraId="4C33DF57" w14:textId="77777777" w:rsidR="005021B5" w:rsidRDefault="005021B5">
      <w:pPr>
        <w:rPr>
          <w:rFonts w:ascii="Arial" w:hAnsi="Arial" w:cs="Arial"/>
          <w:sz w:val="18"/>
        </w:rPr>
      </w:pPr>
      <w:r>
        <w:rPr>
          <w:rFonts w:ascii="Arial" w:hAnsi="Arial" w:cs="Arial"/>
          <w:b/>
          <w:bCs/>
          <w:i/>
          <w:iCs/>
          <w:sz w:val="18"/>
        </w:rPr>
        <w:t>NYISO</w:t>
      </w:r>
      <w:r>
        <w:rPr>
          <w:rFonts w:ascii="Arial" w:hAnsi="Arial" w:cs="Arial"/>
          <w:sz w:val="18"/>
        </w:rPr>
        <w:t xml:space="preserve"> – uses a combination of investment grade credit ratings and credit analysis / scoring.  Those participants with investment grade credit ratings are allowed unsecured credit up to a maximum of their tangible net worth.  This is considered the base amount.  The NYISO then conducts a credit analysis to determine the amount of adjustment that should be applied to the base unsecured credit.  Those participants that receive the highest credit score are allowed 10 percent more unsecured credit, other participants either retain the base unsecured amount or are subject to a reduced unsecured amount.  No participant can have unsecured credit in an amount greater than 20 percent of all outstanding market charges (considered a Market Cap).  Security requests for less than $10,000 are not addressed.   NYISO maintains a credit staff of 4-5 individuals.</w:t>
      </w:r>
    </w:p>
    <w:p w14:paraId="7D0BEDD2" w14:textId="77777777" w:rsidR="005021B5" w:rsidRDefault="005021B5">
      <w:pPr>
        <w:rPr>
          <w:rFonts w:ascii="Arial" w:hAnsi="Arial" w:cs="Arial"/>
          <w:sz w:val="18"/>
        </w:rPr>
      </w:pPr>
    </w:p>
    <w:p w14:paraId="4DAF984F" w14:textId="77777777" w:rsidR="005021B5" w:rsidRDefault="005021B5">
      <w:pPr>
        <w:numPr>
          <w:ilvl w:val="0"/>
          <w:numId w:val="8"/>
        </w:numPr>
        <w:rPr>
          <w:rFonts w:ascii="Arial" w:hAnsi="Arial" w:cs="Arial"/>
          <w:sz w:val="18"/>
        </w:rPr>
      </w:pPr>
      <w:r>
        <w:rPr>
          <w:rFonts w:ascii="Arial" w:hAnsi="Arial" w:cs="Arial"/>
          <w:sz w:val="18"/>
        </w:rPr>
        <w:t>Evaluation Frequency:  The market participant must provide year-end statements “90 days after the end of each fiscal year and shall provide quarterly statements within 60 days of the end of each quarter”.</w:t>
      </w:r>
    </w:p>
    <w:p w14:paraId="6472F4D3" w14:textId="77777777" w:rsidR="005021B5" w:rsidRDefault="005021B5">
      <w:pPr>
        <w:rPr>
          <w:rFonts w:ascii="Arial" w:hAnsi="Arial" w:cs="Arial"/>
          <w:sz w:val="18"/>
        </w:rPr>
      </w:pPr>
    </w:p>
    <w:p w14:paraId="29273299" w14:textId="77777777" w:rsidR="005021B5" w:rsidRDefault="005021B5">
      <w:pPr>
        <w:rPr>
          <w:rFonts w:ascii="Arial" w:hAnsi="Arial" w:cs="Arial"/>
          <w:sz w:val="18"/>
        </w:rPr>
      </w:pPr>
      <w:r>
        <w:rPr>
          <w:rFonts w:ascii="Arial" w:hAnsi="Arial" w:cs="Arial"/>
          <w:b/>
          <w:bCs/>
          <w:i/>
          <w:iCs/>
          <w:sz w:val="18"/>
        </w:rPr>
        <w:t>ERCOT</w:t>
      </w:r>
      <w:r>
        <w:rPr>
          <w:rFonts w:ascii="Arial" w:hAnsi="Arial" w:cs="Arial"/>
          <w:sz w:val="18"/>
        </w:rPr>
        <w:t xml:space="preserve"> – uses a combination of credit rating and credit scoring to develop the amount of unsecured credit.  Those participants with investment grade credit ratings and minimum shareholder equity of $100,000,000 are provided unsecured credit up to a maximum amount.  The actual amount of unsecured credit depends on other credit analysis conducted.  Municipal utilities and other participants that do not have credit ratings are subject to credit worthiness scoring and unsecured credit is provided accordingly.  </w:t>
      </w:r>
    </w:p>
    <w:p w14:paraId="5FCCD94B" w14:textId="77777777" w:rsidR="005021B5" w:rsidRDefault="005021B5">
      <w:pPr>
        <w:rPr>
          <w:rFonts w:ascii="Arial" w:hAnsi="Arial" w:cs="Arial"/>
          <w:sz w:val="18"/>
        </w:rPr>
      </w:pPr>
    </w:p>
    <w:p w14:paraId="50B8F78C" w14:textId="77777777" w:rsidR="005021B5" w:rsidRDefault="005021B5">
      <w:pPr>
        <w:pStyle w:val="BodyText2"/>
        <w:numPr>
          <w:ilvl w:val="0"/>
          <w:numId w:val="8"/>
        </w:numPr>
        <w:rPr>
          <w:sz w:val="18"/>
        </w:rPr>
      </w:pPr>
      <w:r>
        <w:rPr>
          <w:sz w:val="18"/>
        </w:rPr>
        <w:t>Evaluation Frequency:  further research is required to determine evaluation frequency.</w:t>
      </w:r>
    </w:p>
    <w:p w14:paraId="62FDA5E0" w14:textId="77777777" w:rsidR="005021B5" w:rsidRDefault="005021B5">
      <w:pPr>
        <w:rPr>
          <w:rFonts w:ascii="Arial" w:hAnsi="Arial" w:cs="Arial"/>
          <w:sz w:val="18"/>
        </w:rPr>
      </w:pPr>
    </w:p>
    <w:p w14:paraId="37D1716B" w14:textId="77777777" w:rsidR="005021B5" w:rsidRDefault="005021B5">
      <w:pPr>
        <w:rPr>
          <w:rFonts w:ascii="Arial" w:hAnsi="Arial" w:cs="Arial"/>
          <w:sz w:val="18"/>
        </w:rPr>
      </w:pPr>
      <w:r>
        <w:rPr>
          <w:rFonts w:ascii="Arial" w:hAnsi="Arial" w:cs="Arial"/>
          <w:b/>
          <w:bCs/>
          <w:i/>
          <w:iCs/>
          <w:sz w:val="18"/>
        </w:rPr>
        <w:t>NEISO</w:t>
      </w:r>
      <w:r>
        <w:rPr>
          <w:rFonts w:ascii="Arial" w:hAnsi="Arial" w:cs="Arial"/>
          <w:sz w:val="18"/>
        </w:rPr>
        <w:t xml:space="preserve"> – uses a combination of investment grade credit ratings and credit analysis / review process.  Those participants that do not have an approved credit rating or cannot prove financial viability must post security.  There does not appear to be a specific set of rules on how unsecured limits are set, but their tariff does refer to satisfying NEISO’s credit review process.  More research would need to be conducted.     </w:t>
      </w:r>
    </w:p>
    <w:p w14:paraId="78F8F70D" w14:textId="77777777" w:rsidR="005021B5" w:rsidRDefault="005021B5">
      <w:pPr>
        <w:rPr>
          <w:rFonts w:ascii="Arial" w:hAnsi="Arial" w:cs="Arial"/>
          <w:sz w:val="18"/>
        </w:rPr>
      </w:pPr>
    </w:p>
    <w:p w14:paraId="022A9E1F" w14:textId="77777777" w:rsidR="005021B5" w:rsidRDefault="005021B5">
      <w:pPr>
        <w:numPr>
          <w:ilvl w:val="0"/>
          <w:numId w:val="8"/>
        </w:numPr>
        <w:rPr>
          <w:rFonts w:ascii="Arial" w:hAnsi="Arial" w:cs="Arial"/>
          <w:sz w:val="18"/>
        </w:rPr>
      </w:pPr>
      <w:r>
        <w:rPr>
          <w:rFonts w:ascii="Arial" w:hAnsi="Arial" w:cs="Arial"/>
          <w:sz w:val="18"/>
        </w:rPr>
        <w:t xml:space="preserve">Evaluation Frequency:  Within 10 days of NEPOOL request or upon a material change in the market participant’s financial position.  Participant 8-k reports must be submitted promptly upon their issuance.  </w:t>
      </w:r>
    </w:p>
    <w:p w14:paraId="3800AA0F" w14:textId="77777777" w:rsidR="005021B5" w:rsidRDefault="005021B5">
      <w:pPr>
        <w:rPr>
          <w:rFonts w:ascii="Arial" w:hAnsi="Arial" w:cs="Arial"/>
          <w:sz w:val="18"/>
        </w:rPr>
      </w:pPr>
    </w:p>
    <w:p w14:paraId="0C88CE08" w14:textId="77777777" w:rsidR="005021B5" w:rsidRDefault="005021B5">
      <w:pPr>
        <w:rPr>
          <w:rFonts w:ascii="Arial" w:hAnsi="Arial" w:cs="Arial"/>
          <w:sz w:val="18"/>
        </w:rPr>
      </w:pPr>
      <w:r>
        <w:rPr>
          <w:rFonts w:ascii="Arial" w:hAnsi="Arial" w:cs="Arial"/>
          <w:b/>
          <w:bCs/>
          <w:i/>
          <w:iCs/>
          <w:sz w:val="18"/>
        </w:rPr>
        <w:t>PJM</w:t>
      </w:r>
      <w:r>
        <w:rPr>
          <w:rFonts w:ascii="Arial" w:hAnsi="Arial" w:cs="Arial"/>
          <w:sz w:val="18"/>
        </w:rPr>
        <w:t xml:space="preserve"> – bases the amount of unsecured credit on each participant’s calculated credit score and tangible net worth.  Participants with investment grade long-term credit ratings are given a credit score based on the rating.  Other unrated participants can submit financial information and PJM will calculate a credit score.  The credit score determines the maximum percentage of the participant’s tangible net worth that is available as unsecured credit. The maximum unsecured credit that a participant can receive is $150 million.  It provides for a working credit limit of 85% of the total of secured and unsecured credit (some “cushion” is required between the credit limit and obligations.)  </w:t>
      </w:r>
    </w:p>
    <w:p w14:paraId="7754C572" w14:textId="77777777" w:rsidR="005021B5" w:rsidRDefault="005021B5">
      <w:pPr>
        <w:rPr>
          <w:rFonts w:ascii="Arial" w:hAnsi="Arial" w:cs="Arial"/>
          <w:sz w:val="18"/>
        </w:rPr>
      </w:pPr>
    </w:p>
    <w:p w14:paraId="0A279DA1" w14:textId="77777777" w:rsidR="005021B5" w:rsidRDefault="005021B5">
      <w:pPr>
        <w:numPr>
          <w:ilvl w:val="0"/>
          <w:numId w:val="8"/>
        </w:numPr>
        <w:rPr>
          <w:rFonts w:ascii="Arial" w:hAnsi="Arial" w:cs="Arial"/>
          <w:sz w:val="18"/>
        </w:rPr>
      </w:pPr>
      <w:r>
        <w:rPr>
          <w:rFonts w:ascii="Arial" w:hAnsi="Arial" w:cs="Arial"/>
          <w:sz w:val="18"/>
        </w:rPr>
        <w:lastRenderedPageBreak/>
        <w:t xml:space="preserve">Evaluation Frequency: “On at least an annual basis, PJM will perform follow-up credit evaluations on all Participants / Members.”  </w:t>
      </w:r>
    </w:p>
    <w:p w14:paraId="2CD6DCAA" w14:textId="77777777" w:rsidR="005021B5" w:rsidRDefault="005021B5">
      <w:pPr>
        <w:ind w:left="360"/>
        <w:rPr>
          <w:rFonts w:ascii="Arial" w:hAnsi="Arial" w:cs="Arial"/>
          <w:sz w:val="20"/>
        </w:rPr>
      </w:pPr>
    </w:p>
    <w:p w14:paraId="49DC41EB" w14:textId="77777777" w:rsidR="005021B5" w:rsidRDefault="005021B5">
      <w:pPr>
        <w:pStyle w:val="Heading1"/>
        <w:rPr>
          <w:sz w:val="24"/>
        </w:rPr>
      </w:pPr>
      <w:r>
        <w:rPr>
          <w:sz w:val="24"/>
        </w:rPr>
        <w:t xml:space="preserve">III.  Assessment Criteria </w:t>
      </w:r>
    </w:p>
    <w:p w14:paraId="21D9BE3F" w14:textId="77777777" w:rsidR="005021B5" w:rsidRDefault="005021B5">
      <w:pPr>
        <w:rPr>
          <w:rFonts w:ascii="Arial" w:hAnsi="Arial" w:cs="Arial"/>
          <w:b/>
          <w:bCs/>
          <w:sz w:val="20"/>
        </w:rPr>
      </w:pPr>
    </w:p>
    <w:p w14:paraId="3964439D" w14:textId="77777777" w:rsidR="005021B5" w:rsidRDefault="005021B5">
      <w:pPr>
        <w:rPr>
          <w:rFonts w:ascii="Arial" w:hAnsi="Arial" w:cs="Arial"/>
          <w:sz w:val="20"/>
        </w:rPr>
      </w:pPr>
      <w:r>
        <w:rPr>
          <w:rFonts w:ascii="Arial" w:hAnsi="Arial" w:cs="Arial"/>
          <w:sz w:val="20"/>
        </w:rPr>
        <w:t>The alternatives considered were assessed against the following criteria.</w:t>
      </w:r>
    </w:p>
    <w:p w14:paraId="5682B7E0" w14:textId="77777777" w:rsidR="005021B5" w:rsidRDefault="005021B5">
      <w:pPr>
        <w:rPr>
          <w:rFonts w:ascii="Arial" w:hAnsi="Arial" w:cs="Arial"/>
          <w:sz w:val="20"/>
        </w:rPr>
      </w:pPr>
    </w:p>
    <w:p w14:paraId="6FD4DE0B" w14:textId="77777777" w:rsidR="005021B5" w:rsidRDefault="005021B5">
      <w:pPr>
        <w:numPr>
          <w:ilvl w:val="0"/>
          <w:numId w:val="4"/>
        </w:numPr>
        <w:rPr>
          <w:rFonts w:ascii="Arial" w:hAnsi="Arial" w:cs="Arial"/>
          <w:sz w:val="20"/>
        </w:rPr>
      </w:pPr>
      <w:r>
        <w:rPr>
          <w:rFonts w:ascii="Arial" w:hAnsi="Arial" w:cs="Arial"/>
          <w:sz w:val="20"/>
        </w:rPr>
        <w:t>Initial and ongoing complexity and cost</w:t>
      </w:r>
    </w:p>
    <w:p w14:paraId="54574BBF" w14:textId="77777777" w:rsidR="005021B5" w:rsidRDefault="005021B5">
      <w:pPr>
        <w:ind w:left="540"/>
        <w:rPr>
          <w:rFonts w:ascii="Arial" w:hAnsi="Arial" w:cs="Arial"/>
          <w:sz w:val="20"/>
        </w:rPr>
      </w:pPr>
    </w:p>
    <w:p w14:paraId="3401D30D" w14:textId="77777777" w:rsidR="005021B5" w:rsidRDefault="005021B5">
      <w:pPr>
        <w:ind w:firstLine="720"/>
        <w:rPr>
          <w:rFonts w:ascii="Arial" w:hAnsi="Arial" w:cs="Arial"/>
          <w:sz w:val="20"/>
        </w:rPr>
      </w:pPr>
      <w:r>
        <w:rPr>
          <w:rFonts w:ascii="Arial" w:hAnsi="Arial" w:cs="Arial"/>
          <w:sz w:val="20"/>
        </w:rPr>
        <w:t xml:space="preserve">a.  Implementation / administrative complexity </w:t>
      </w:r>
    </w:p>
    <w:p w14:paraId="450A6C72" w14:textId="77777777" w:rsidR="005021B5" w:rsidRDefault="005021B5">
      <w:pPr>
        <w:ind w:firstLine="720"/>
        <w:rPr>
          <w:rFonts w:ascii="Arial" w:hAnsi="Arial" w:cs="Arial"/>
          <w:sz w:val="20"/>
        </w:rPr>
      </w:pPr>
      <w:r>
        <w:rPr>
          <w:rFonts w:ascii="Arial" w:hAnsi="Arial" w:cs="Arial"/>
          <w:sz w:val="20"/>
        </w:rPr>
        <w:t xml:space="preserve">b.  New headcount requirement </w:t>
      </w:r>
    </w:p>
    <w:p w14:paraId="3BEF1945" w14:textId="77777777" w:rsidR="005021B5" w:rsidRDefault="005021B5">
      <w:pPr>
        <w:ind w:firstLine="720"/>
        <w:rPr>
          <w:rFonts w:ascii="Arial" w:hAnsi="Arial" w:cs="Arial"/>
          <w:sz w:val="20"/>
        </w:rPr>
      </w:pPr>
      <w:r>
        <w:rPr>
          <w:rFonts w:ascii="Arial" w:hAnsi="Arial" w:cs="Arial"/>
          <w:sz w:val="20"/>
        </w:rPr>
        <w:t>c.  Estimated implementation costs</w:t>
      </w:r>
    </w:p>
    <w:p w14:paraId="5EA94D52" w14:textId="77777777" w:rsidR="005021B5" w:rsidRDefault="005021B5">
      <w:pPr>
        <w:ind w:firstLine="720"/>
        <w:rPr>
          <w:rFonts w:ascii="Arial" w:hAnsi="Arial" w:cs="Arial"/>
          <w:sz w:val="20"/>
        </w:rPr>
      </w:pPr>
    </w:p>
    <w:p w14:paraId="20083A27" w14:textId="77777777" w:rsidR="005021B5" w:rsidRDefault="005021B5">
      <w:pPr>
        <w:ind w:firstLine="540"/>
        <w:rPr>
          <w:rFonts w:ascii="Arial" w:hAnsi="Arial" w:cs="Arial"/>
          <w:sz w:val="20"/>
        </w:rPr>
      </w:pPr>
      <w:r>
        <w:rPr>
          <w:rFonts w:ascii="Arial" w:hAnsi="Arial" w:cs="Arial"/>
          <w:sz w:val="20"/>
        </w:rPr>
        <w:t xml:space="preserve">2.  Level of subjectivity / objectivity </w:t>
      </w:r>
    </w:p>
    <w:p w14:paraId="76ABAB34" w14:textId="77777777" w:rsidR="005021B5" w:rsidRDefault="005021B5">
      <w:pPr>
        <w:ind w:firstLine="540"/>
        <w:rPr>
          <w:rFonts w:ascii="Arial" w:hAnsi="Arial" w:cs="Arial"/>
          <w:sz w:val="20"/>
        </w:rPr>
      </w:pPr>
    </w:p>
    <w:p w14:paraId="32D3DD35" w14:textId="77777777" w:rsidR="005021B5" w:rsidRDefault="005021B5">
      <w:pPr>
        <w:ind w:firstLine="540"/>
        <w:rPr>
          <w:rFonts w:ascii="Arial" w:hAnsi="Arial" w:cs="Arial"/>
          <w:sz w:val="20"/>
        </w:rPr>
      </w:pPr>
      <w:r>
        <w:rPr>
          <w:rFonts w:ascii="Arial" w:hAnsi="Arial" w:cs="Arial"/>
          <w:sz w:val="20"/>
        </w:rPr>
        <w:t>3.  Subject matter expertise required</w:t>
      </w:r>
    </w:p>
    <w:p w14:paraId="04DA02B7" w14:textId="77777777" w:rsidR="005021B5" w:rsidRDefault="005021B5">
      <w:pPr>
        <w:ind w:firstLine="540"/>
        <w:rPr>
          <w:rFonts w:ascii="Arial" w:hAnsi="Arial" w:cs="Arial"/>
          <w:sz w:val="20"/>
        </w:rPr>
      </w:pPr>
    </w:p>
    <w:p w14:paraId="3AA6CC65" w14:textId="77777777" w:rsidR="005021B5" w:rsidRDefault="005021B5">
      <w:pPr>
        <w:ind w:firstLine="540"/>
        <w:rPr>
          <w:rFonts w:ascii="Arial" w:hAnsi="Arial" w:cs="Arial"/>
          <w:sz w:val="20"/>
        </w:rPr>
      </w:pPr>
      <w:r>
        <w:rPr>
          <w:rFonts w:ascii="Arial" w:hAnsi="Arial" w:cs="Arial"/>
          <w:sz w:val="20"/>
        </w:rPr>
        <w:t>4.  Used at other ISOs?</w:t>
      </w:r>
    </w:p>
    <w:p w14:paraId="2BFC1516" w14:textId="77777777" w:rsidR="005021B5" w:rsidRDefault="005021B5">
      <w:pPr>
        <w:ind w:firstLine="540"/>
        <w:rPr>
          <w:rFonts w:ascii="Arial" w:hAnsi="Arial" w:cs="Arial"/>
          <w:sz w:val="20"/>
        </w:rPr>
      </w:pPr>
    </w:p>
    <w:p w14:paraId="00C1B108" w14:textId="77777777" w:rsidR="005021B5" w:rsidRDefault="005021B5">
      <w:pPr>
        <w:ind w:firstLine="540"/>
        <w:rPr>
          <w:rFonts w:ascii="Arial" w:hAnsi="Arial" w:cs="Arial"/>
          <w:sz w:val="20"/>
        </w:rPr>
      </w:pPr>
      <w:r>
        <w:rPr>
          <w:rFonts w:ascii="Arial" w:hAnsi="Arial" w:cs="Arial"/>
          <w:sz w:val="20"/>
        </w:rPr>
        <w:t xml:space="preserve">5.  Advantages compared to other methods </w:t>
      </w:r>
    </w:p>
    <w:p w14:paraId="21B130B0" w14:textId="77777777" w:rsidR="005021B5" w:rsidRDefault="005021B5">
      <w:pPr>
        <w:ind w:firstLine="540"/>
        <w:rPr>
          <w:rFonts w:ascii="Arial" w:hAnsi="Arial" w:cs="Arial"/>
          <w:sz w:val="20"/>
        </w:rPr>
      </w:pPr>
    </w:p>
    <w:p w14:paraId="25A58CEF" w14:textId="77777777" w:rsidR="005021B5" w:rsidRDefault="005021B5">
      <w:pPr>
        <w:ind w:firstLine="540"/>
        <w:rPr>
          <w:rFonts w:ascii="Arial" w:hAnsi="Arial" w:cs="Arial"/>
          <w:sz w:val="20"/>
        </w:rPr>
      </w:pPr>
      <w:r>
        <w:rPr>
          <w:rFonts w:ascii="Arial" w:hAnsi="Arial" w:cs="Arial"/>
          <w:sz w:val="20"/>
        </w:rPr>
        <w:t>6.  Disadvantages compared to other methods</w:t>
      </w:r>
    </w:p>
    <w:p w14:paraId="5B1C6641" w14:textId="77777777" w:rsidR="005021B5" w:rsidRDefault="005021B5">
      <w:pPr>
        <w:rPr>
          <w:rFonts w:ascii="Arial" w:hAnsi="Arial" w:cs="Arial"/>
          <w:sz w:val="20"/>
        </w:rPr>
      </w:pPr>
    </w:p>
    <w:p w14:paraId="6B8BC15C" w14:textId="77777777" w:rsidR="005021B5" w:rsidRDefault="005021B5">
      <w:pPr>
        <w:rPr>
          <w:rFonts w:ascii="Arial" w:hAnsi="Arial" w:cs="Arial"/>
          <w:sz w:val="20"/>
        </w:rPr>
      </w:pPr>
    </w:p>
    <w:p w14:paraId="6B85E499" w14:textId="77777777" w:rsidR="005021B5" w:rsidRDefault="005021B5">
      <w:pPr>
        <w:rPr>
          <w:rFonts w:ascii="Arial" w:hAnsi="Arial" w:cs="Arial"/>
          <w:b/>
          <w:bCs/>
        </w:rPr>
      </w:pPr>
      <w:r>
        <w:rPr>
          <w:rFonts w:ascii="Arial" w:hAnsi="Arial" w:cs="Arial"/>
          <w:b/>
          <w:bCs/>
        </w:rPr>
        <w:t>IV:  Evaluation of Alternatives</w:t>
      </w:r>
    </w:p>
    <w:p w14:paraId="0A9FBD4B" w14:textId="77777777" w:rsidR="005021B5" w:rsidRDefault="005021B5">
      <w:pPr>
        <w:rPr>
          <w:rFonts w:ascii="Arial" w:hAnsi="Arial" w:cs="Arial"/>
          <w:sz w:val="20"/>
        </w:rPr>
      </w:pPr>
    </w:p>
    <w:p w14:paraId="2D2D9587" w14:textId="77777777" w:rsidR="005021B5" w:rsidRDefault="005021B5">
      <w:pPr>
        <w:rPr>
          <w:rFonts w:ascii="Arial" w:hAnsi="Arial" w:cs="Arial"/>
          <w:sz w:val="20"/>
        </w:rPr>
      </w:pPr>
    </w:p>
    <w:p w14:paraId="48CE271F" w14:textId="77777777" w:rsidR="005021B5" w:rsidRDefault="005021B5">
      <w:pPr>
        <w:numPr>
          <w:numberingChange w:id="4" w:author="pnethercut" w:date="2004-10-29T16:56:00Z" w:original="%1:1:3:."/>
        </w:numPr>
        <w:tabs>
          <w:tab w:val="left" w:pos="900"/>
        </w:tabs>
        <w:ind w:left="360"/>
        <w:rPr>
          <w:rFonts w:ascii="Arial" w:hAnsi="Arial" w:cs="Arial"/>
          <w:b/>
          <w:bCs/>
          <w:sz w:val="20"/>
          <w:u w:val="single"/>
        </w:rPr>
      </w:pPr>
      <w:r>
        <w:rPr>
          <w:rFonts w:ascii="Arial" w:hAnsi="Arial" w:cs="Arial"/>
          <w:b/>
          <w:bCs/>
          <w:sz w:val="20"/>
          <w:u w:val="single"/>
        </w:rPr>
        <w:t>Option A:   Status Quo, unlimited market credit with an Approved Credit Rating.</w:t>
      </w:r>
    </w:p>
    <w:p w14:paraId="27BFAA41" w14:textId="77777777" w:rsidR="005021B5" w:rsidRDefault="005021B5">
      <w:pPr>
        <w:rPr>
          <w:rFonts w:ascii="Arial" w:hAnsi="Arial" w:cs="Arial"/>
          <w:sz w:val="20"/>
        </w:rPr>
      </w:pPr>
    </w:p>
    <w:p w14:paraId="7EF338DB" w14:textId="77777777" w:rsidR="005021B5" w:rsidRDefault="005021B5">
      <w:pPr>
        <w:rPr>
          <w:rFonts w:ascii="Arial" w:hAnsi="Arial" w:cs="Arial"/>
          <w:sz w:val="20"/>
        </w:rPr>
      </w:pPr>
    </w:p>
    <w:p w14:paraId="53D92111" w14:textId="77777777" w:rsidR="005021B5" w:rsidRDefault="005021B5">
      <w:pPr>
        <w:numPr>
          <w:ilvl w:val="0"/>
          <w:numId w:val="22"/>
        </w:numPr>
        <w:rPr>
          <w:rFonts w:ascii="Arial" w:hAnsi="Arial" w:cs="Arial"/>
          <w:b/>
          <w:bCs/>
          <w:sz w:val="20"/>
        </w:rPr>
      </w:pPr>
      <w:r>
        <w:rPr>
          <w:rFonts w:ascii="Arial" w:hAnsi="Arial" w:cs="Arial"/>
          <w:b/>
          <w:bCs/>
          <w:sz w:val="20"/>
        </w:rPr>
        <w:t xml:space="preserve">Initial and ongoing complexity and cost </w:t>
      </w:r>
    </w:p>
    <w:p w14:paraId="4BD67E97" w14:textId="77777777" w:rsidR="005021B5" w:rsidRDefault="005021B5">
      <w:pPr>
        <w:ind w:left="540"/>
        <w:rPr>
          <w:rFonts w:ascii="Arial" w:hAnsi="Arial" w:cs="Arial"/>
          <w:sz w:val="20"/>
        </w:rPr>
      </w:pPr>
    </w:p>
    <w:p w14:paraId="7EC33288" w14:textId="77777777" w:rsidR="005021B5" w:rsidRDefault="005021B5">
      <w:pPr>
        <w:numPr>
          <w:ilvl w:val="1"/>
          <w:numId w:val="22"/>
        </w:numPr>
        <w:rPr>
          <w:rFonts w:ascii="Arial" w:hAnsi="Arial" w:cs="Arial"/>
          <w:sz w:val="20"/>
        </w:rPr>
      </w:pPr>
      <w:r>
        <w:rPr>
          <w:rFonts w:ascii="Arial" w:hAnsi="Arial" w:cs="Arial"/>
          <w:b/>
          <w:bCs/>
          <w:sz w:val="20"/>
        </w:rPr>
        <w:t>Implementation / administrative complexity</w:t>
      </w:r>
      <w:r>
        <w:rPr>
          <w:rFonts w:ascii="Arial" w:hAnsi="Arial" w:cs="Arial"/>
          <w:sz w:val="20"/>
        </w:rPr>
        <w:t xml:space="preserve"> – none</w:t>
      </w:r>
    </w:p>
    <w:p w14:paraId="217676C8" w14:textId="77777777" w:rsidR="005021B5" w:rsidRDefault="005021B5">
      <w:pPr>
        <w:ind w:left="1260"/>
        <w:rPr>
          <w:rFonts w:ascii="Arial" w:hAnsi="Arial" w:cs="Arial"/>
          <w:sz w:val="20"/>
        </w:rPr>
      </w:pPr>
    </w:p>
    <w:p w14:paraId="58B7955F" w14:textId="77777777" w:rsidR="005021B5" w:rsidRDefault="005021B5">
      <w:pPr>
        <w:numPr>
          <w:ilvl w:val="1"/>
          <w:numId w:val="22"/>
        </w:numPr>
        <w:rPr>
          <w:rFonts w:ascii="Arial" w:hAnsi="Arial" w:cs="Arial"/>
          <w:sz w:val="20"/>
        </w:rPr>
      </w:pPr>
      <w:r>
        <w:rPr>
          <w:rFonts w:ascii="Arial" w:hAnsi="Arial" w:cs="Arial"/>
          <w:b/>
          <w:bCs/>
          <w:sz w:val="20"/>
        </w:rPr>
        <w:t>New headcount requirement</w:t>
      </w:r>
      <w:r>
        <w:rPr>
          <w:rFonts w:ascii="Arial" w:hAnsi="Arial" w:cs="Arial"/>
          <w:sz w:val="20"/>
        </w:rPr>
        <w:t xml:space="preserve"> – 0</w:t>
      </w:r>
    </w:p>
    <w:p w14:paraId="15EA38A1" w14:textId="77777777" w:rsidR="005021B5" w:rsidRDefault="005021B5">
      <w:pPr>
        <w:rPr>
          <w:rFonts w:ascii="Arial" w:hAnsi="Arial" w:cs="Arial"/>
          <w:sz w:val="20"/>
        </w:rPr>
      </w:pPr>
    </w:p>
    <w:p w14:paraId="558B272B" w14:textId="77777777" w:rsidR="005021B5" w:rsidRDefault="005021B5">
      <w:pPr>
        <w:numPr>
          <w:ilvl w:val="1"/>
          <w:numId w:val="22"/>
        </w:numPr>
        <w:rPr>
          <w:rFonts w:ascii="Arial" w:hAnsi="Arial" w:cs="Arial"/>
          <w:sz w:val="20"/>
        </w:rPr>
      </w:pPr>
      <w:r>
        <w:rPr>
          <w:rFonts w:ascii="Arial" w:hAnsi="Arial" w:cs="Arial"/>
          <w:b/>
          <w:bCs/>
          <w:sz w:val="20"/>
        </w:rPr>
        <w:t>Estimated implementation costs</w:t>
      </w:r>
      <w:r>
        <w:rPr>
          <w:rFonts w:ascii="Arial" w:hAnsi="Arial" w:cs="Arial"/>
          <w:sz w:val="20"/>
        </w:rPr>
        <w:t xml:space="preserve"> – $0</w:t>
      </w:r>
    </w:p>
    <w:p w14:paraId="566A7CAE" w14:textId="77777777" w:rsidR="005021B5" w:rsidRDefault="005021B5">
      <w:pPr>
        <w:ind w:firstLine="720"/>
        <w:rPr>
          <w:rFonts w:ascii="Arial" w:hAnsi="Arial" w:cs="Arial"/>
          <w:sz w:val="20"/>
        </w:rPr>
      </w:pPr>
    </w:p>
    <w:p w14:paraId="4E3DF3CE" w14:textId="77777777" w:rsidR="005021B5" w:rsidRDefault="005021B5">
      <w:pPr>
        <w:ind w:firstLine="540"/>
        <w:rPr>
          <w:rFonts w:ascii="Arial" w:hAnsi="Arial" w:cs="Arial"/>
          <w:sz w:val="20"/>
        </w:rPr>
      </w:pPr>
      <w:r>
        <w:rPr>
          <w:rFonts w:ascii="Arial" w:hAnsi="Arial" w:cs="Arial"/>
          <w:b/>
          <w:bCs/>
          <w:sz w:val="20"/>
        </w:rPr>
        <w:t xml:space="preserve">2.  Level of subjectivity / objectivity – </w:t>
      </w:r>
      <w:r>
        <w:rPr>
          <w:rFonts w:ascii="Arial" w:hAnsi="Arial" w:cs="Arial"/>
          <w:sz w:val="20"/>
        </w:rPr>
        <w:t>Highly Objective</w:t>
      </w:r>
    </w:p>
    <w:p w14:paraId="39BF0273" w14:textId="77777777" w:rsidR="005021B5" w:rsidRDefault="005021B5">
      <w:pPr>
        <w:ind w:firstLine="540"/>
        <w:rPr>
          <w:rFonts w:ascii="Arial" w:hAnsi="Arial" w:cs="Arial"/>
          <w:sz w:val="20"/>
        </w:rPr>
      </w:pPr>
    </w:p>
    <w:p w14:paraId="6FCDBCBB" w14:textId="77777777" w:rsidR="005021B5" w:rsidRDefault="005021B5">
      <w:pPr>
        <w:ind w:firstLine="540"/>
        <w:rPr>
          <w:rFonts w:ascii="Arial" w:hAnsi="Arial" w:cs="Arial"/>
          <w:b/>
          <w:bCs/>
          <w:sz w:val="20"/>
        </w:rPr>
      </w:pPr>
      <w:r>
        <w:rPr>
          <w:rFonts w:ascii="Arial" w:hAnsi="Arial" w:cs="Arial"/>
          <w:b/>
          <w:bCs/>
          <w:sz w:val="20"/>
        </w:rPr>
        <w:t xml:space="preserve">3.  Subject matter expertise required </w:t>
      </w:r>
      <w:r>
        <w:rPr>
          <w:rFonts w:ascii="Arial" w:hAnsi="Arial" w:cs="Arial"/>
          <w:sz w:val="20"/>
        </w:rPr>
        <w:t>– No</w:t>
      </w:r>
      <w:r>
        <w:rPr>
          <w:rFonts w:ascii="Arial" w:hAnsi="Arial" w:cs="Arial"/>
          <w:b/>
          <w:bCs/>
          <w:sz w:val="20"/>
        </w:rPr>
        <w:t xml:space="preserve"> </w:t>
      </w:r>
    </w:p>
    <w:p w14:paraId="42CE52A9" w14:textId="77777777" w:rsidR="005021B5" w:rsidRDefault="005021B5">
      <w:pPr>
        <w:ind w:firstLine="540"/>
        <w:rPr>
          <w:rFonts w:ascii="Arial" w:hAnsi="Arial" w:cs="Arial"/>
          <w:sz w:val="20"/>
        </w:rPr>
      </w:pPr>
    </w:p>
    <w:p w14:paraId="0045F9A3" w14:textId="77777777" w:rsidR="005021B5" w:rsidRDefault="005021B5">
      <w:pPr>
        <w:ind w:firstLine="540"/>
        <w:rPr>
          <w:rFonts w:ascii="Arial" w:hAnsi="Arial" w:cs="Arial"/>
          <w:b/>
          <w:bCs/>
          <w:sz w:val="20"/>
        </w:rPr>
      </w:pPr>
      <w:r>
        <w:rPr>
          <w:rFonts w:ascii="Arial" w:hAnsi="Arial" w:cs="Arial"/>
          <w:b/>
          <w:bCs/>
          <w:sz w:val="20"/>
        </w:rPr>
        <w:t xml:space="preserve">4.  Used at other ISOs? </w:t>
      </w:r>
      <w:r>
        <w:rPr>
          <w:rFonts w:ascii="Arial" w:hAnsi="Arial" w:cs="Arial"/>
          <w:sz w:val="20"/>
        </w:rPr>
        <w:t>– No</w:t>
      </w:r>
      <w:r>
        <w:rPr>
          <w:rFonts w:ascii="Arial" w:hAnsi="Arial" w:cs="Arial"/>
          <w:b/>
          <w:bCs/>
          <w:sz w:val="20"/>
        </w:rPr>
        <w:t xml:space="preserve"> </w:t>
      </w:r>
    </w:p>
    <w:p w14:paraId="17868655" w14:textId="77777777" w:rsidR="005021B5" w:rsidRDefault="005021B5">
      <w:pPr>
        <w:rPr>
          <w:rFonts w:ascii="Arial" w:hAnsi="Arial" w:cs="Arial"/>
          <w:sz w:val="20"/>
        </w:rPr>
      </w:pPr>
    </w:p>
    <w:p w14:paraId="1EDC337D" w14:textId="77777777" w:rsidR="005021B5" w:rsidRDefault="005021B5">
      <w:pPr>
        <w:numPr>
          <w:ilvl w:val="0"/>
          <w:numId w:val="23"/>
        </w:numPr>
        <w:tabs>
          <w:tab w:val="clear" w:pos="900"/>
        </w:tabs>
        <w:rPr>
          <w:rFonts w:ascii="Arial" w:hAnsi="Arial" w:cs="Arial"/>
          <w:b/>
          <w:bCs/>
          <w:sz w:val="20"/>
        </w:rPr>
      </w:pPr>
      <w:r>
        <w:rPr>
          <w:rFonts w:ascii="Arial" w:hAnsi="Arial" w:cs="Arial"/>
          <w:b/>
          <w:bCs/>
          <w:sz w:val="20"/>
        </w:rPr>
        <w:t xml:space="preserve">  Advantages compared to other methods</w:t>
      </w:r>
    </w:p>
    <w:p w14:paraId="00B004A2" w14:textId="77777777" w:rsidR="005021B5" w:rsidRDefault="005021B5">
      <w:pPr>
        <w:ind w:left="540"/>
        <w:rPr>
          <w:rFonts w:ascii="Arial" w:hAnsi="Arial" w:cs="Arial"/>
          <w:b/>
          <w:bCs/>
          <w:sz w:val="20"/>
        </w:rPr>
      </w:pPr>
    </w:p>
    <w:p w14:paraId="7BAE65B5" w14:textId="77777777" w:rsidR="005021B5" w:rsidRDefault="005021B5">
      <w:pPr>
        <w:numPr>
          <w:ilvl w:val="1"/>
          <w:numId w:val="23"/>
        </w:numPr>
        <w:rPr>
          <w:rFonts w:ascii="Arial" w:hAnsi="Arial" w:cs="Arial"/>
          <w:sz w:val="20"/>
        </w:rPr>
      </w:pPr>
      <w:r>
        <w:rPr>
          <w:rFonts w:ascii="Arial" w:hAnsi="Arial" w:cs="Arial"/>
          <w:sz w:val="20"/>
        </w:rPr>
        <w:t>Objective</w:t>
      </w:r>
    </w:p>
    <w:p w14:paraId="6C80CD0F" w14:textId="77777777" w:rsidR="005021B5" w:rsidRDefault="005021B5">
      <w:pPr>
        <w:numPr>
          <w:ilvl w:val="1"/>
          <w:numId w:val="23"/>
        </w:numPr>
        <w:rPr>
          <w:rFonts w:ascii="Arial" w:hAnsi="Arial" w:cs="Arial"/>
          <w:sz w:val="20"/>
        </w:rPr>
      </w:pPr>
      <w:r>
        <w:rPr>
          <w:rFonts w:ascii="Arial" w:hAnsi="Arial" w:cs="Arial"/>
          <w:sz w:val="20"/>
        </w:rPr>
        <w:t>Already implemented</w:t>
      </w:r>
    </w:p>
    <w:p w14:paraId="2447AB04" w14:textId="77777777" w:rsidR="005021B5" w:rsidRDefault="005021B5">
      <w:pPr>
        <w:ind w:left="540"/>
        <w:rPr>
          <w:rFonts w:ascii="Arial" w:hAnsi="Arial" w:cs="Arial"/>
          <w:b/>
          <w:bCs/>
          <w:sz w:val="20"/>
        </w:rPr>
      </w:pPr>
    </w:p>
    <w:p w14:paraId="6C7887F3" w14:textId="77777777" w:rsidR="005021B5" w:rsidRDefault="005021B5">
      <w:pPr>
        <w:numPr>
          <w:ilvl w:val="0"/>
          <w:numId w:val="23"/>
        </w:numPr>
        <w:tabs>
          <w:tab w:val="clear" w:pos="900"/>
        </w:tabs>
        <w:rPr>
          <w:rFonts w:ascii="Arial" w:hAnsi="Arial" w:cs="Arial"/>
          <w:b/>
          <w:bCs/>
          <w:sz w:val="20"/>
        </w:rPr>
      </w:pPr>
      <w:r>
        <w:rPr>
          <w:rFonts w:ascii="Arial" w:hAnsi="Arial" w:cs="Arial"/>
          <w:b/>
          <w:bCs/>
          <w:sz w:val="20"/>
        </w:rPr>
        <w:t xml:space="preserve">  Disadvantages compared to other methods</w:t>
      </w:r>
    </w:p>
    <w:p w14:paraId="67046AC3" w14:textId="77777777" w:rsidR="005021B5" w:rsidRDefault="005021B5">
      <w:pPr>
        <w:ind w:left="540"/>
        <w:rPr>
          <w:rFonts w:ascii="Arial" w:hAnsi="Arial" w:cs="Arial"/>
          <w:b/>
          <w:bCs/>
          <w:sz w:val="20"/>
        </w:rPr>
      </w:pPr>
    </w:p>
    <w:p w14:paraId="2F80B3DA" w14:textId="77777777" w:rsidR="005021B5" w:rsidRDefault="005021B5">
      <w:pPr>
        <w:numPr>
          <w:ilvl w:val="1"/>
          <w:numId w:val="23"/>
        </w:numPr>
        <w:rPr>
          <w:rFonts w:ascii="Arial" w:hAnsi="Arial" w:cs="Arial"/>
          <w:sz w:val="20"/>
        </w:rPr>
      </w:pPr>
      <w:r>
        <w:rPr>
          <w:rFonts w:ascii="Arial" w:hAnsi="Arial" w:cs="Arial"/>
          <w:sz w:val="20"/>
        </w:rPr>
        <w:t>Other ISOs do not allow unlimited unsecured credit</w:t>
      </w:r>
    </w:p>
    <w:p w14:paraId="77807315" w14:textId="77777777" w:rsidR="005021B5" w:rsidRDefault="005021B5">
      <w:pPr>
        <w:numPr>
          <w:ilvl w:val="1"/>
          <w:numId w:val="23"/>
        </w:numPr>
        <w:rPr>
          <w:rFonts w:ascii="Arial" w:hAnsi="Arial" w:cs="Arial"/>
          <w:sz w:val="20"/>
        </w:rPr>
      </w:pPr>
      <w:r>
        <w:rPr>
          <w:rFonts w:ascii="Arial" w:hAnsi="Arial" w:cs="Arial"/>
          <w:sz w:val="20"/>
        </w:rPr>
        <w:t>Increased market risk to creditors</w:t>
      </w:r>
    </w:p>
    <w:p w14:paraId="15CBD203" w14:textId="77777777" w:rsidR="005021B5" w:rsidRDefault="005021B5">
      <w:pPr>
        <w:numPr>
          <w:ilvl w:val="1"/>
          <w:numId w:val="23"/>
        </w:numPr>
        <w:rPr>
          <w:rFonts w:ascii="Arial" w:hAnsi="Arial" w:cs="Arial"/>
          <w:b/>
          <w:bCs/>
          <w:sz w:val="20"/>
        </w:rPr>
      </w:pPr>
      <w:r>
        <w:rPr>
          <w:rFonts w:ascii="Arial" w:hAnsi="Arial" w:cs="Arial"/>
          <w:sz w:val="20"/>
        </w:rPr>
        <w:t>Not considered a viable option due to potential for bankruptcy of highly rated entities</w:t>
      </w:r>
    </w:p>
    <w:p w14:paraId="4744676D" w14:textId="77777777" w:rsidR="005021B5" w:rsidRDefault="005021B5">
      <w:pPr>
        <w:numPr>
          <w:ilvl w:val="1"/>
          <w:numId w:val="23"/>
        </w:numPr>
        <w:rPr>
          <w:rFonts w:ascii="Arial" w:hAnsi="Arial" w:cs="Arial"/>
          <w:b/>
          <w:bCs/>
          <w:sz w:val="20"/>
        </w:rPr>
      </w:pPr>
      <w:r>
        <w:rPr>
          <w:rFonts w:ascii="Arial" w:hAnsi="Arial" w:cs="Arial"/>
          <w:sz w:val="20"/>
        </w:rPr>
        <w:t>Not considered an industry “best practice”</w:t>
      </w:r>
    </w:p>
    <w:p w14:paraId="26408C21" w14:textId="77777777" w:rsidR="005021B5" w:rsidRDefault="005021B5">
      <w:pPr>
        <w:rPr>
          <w:rFonts w:ascii="Arial" w:hAnsi="Arial" w:cs="Arial"/>
          <w:sz w:val="20"/>
        </w:rPr>
      </w:pPr>
    </w:p>
    <w:p w14:paraId="154C8510" w14:textId="77777777" w:rsidR="005021B5" w:rsidRDefault="005021B5">
      <w:pPr>
        <w:rPr>
          <w:rFonts w:ascii="Arial" w:hAnsi="Arial" w:cs="Arial"/>
          <w:sz w:val="20"/>
        </w:rPr>
      </w:pPr>
    </w:p>
    <w:p w14:paraId="33997DB2" w14:textId="77777777" w:rsidR="005021B5" w:rsidRDefault="005021B5">
      <w:pPr>
        <w:pStyle w:val="BodyTextIndent3"/>
        <w:numPr>
          <w:numberingChange w:id="5" w:author="pnethercut" w:date="2004-10-29T16:56:00Z" w:original="%1:2:3:."/>
        </w:numPr>
      </w:pPr>
      <w:r>
        <w:rPr>
          <w:i/>
          <w:iCs/>
        </w:rPr>
        <w:t xml:space="preserve">Option B - </w:t>
      </w:r>
      <w:r>
        <w:t>Tiered credit limits based on national credit rating agency (S&amp;P / Moody’s / Fitch) ratings .</w:t>
      </w:r>
    </w:p>
    <w:p w14:paraId="2277E910" w14:textId="77777777" w:rsidR="005021B5" w:rsidRDefault="005021B5">
      <w:pPr>
        <w:rPr>
          <w:rFonts w:ascii="Arial" w:hAnsi="Arial" w:cs="Arial"/>
          <w:sz w:val="20"/>
        </w:rPr>
      </w:pPr>
    </w:p>
    <w:p w14:paraId="6D34C4A8" w14:textId="77777777" w:rsidR="005021B5" w:rsidRDefault="005021B5">
      <w:pPr>
        <w:numPr>
          <w:ilvl w:val="0"/>
          <w:numId w:val="24"/>
        </w:numPr>
        <w:rPr>
          <w:rFonts w:ascii="Arial" w:hAnsi="Arial" w:cs="Arial"/>
          <w:b/>
          <w:bCs/>
          <w:sz w:val="20"/>
        </w:rPr>
      </w:pPr>
      <w:r>
        <w:rPr>
          <w:rFonts w:ascii="Arial" w:hAnsi="Arial" w:cs="Arial"/>
          <w:b/>
          <w:bCs/>
          <w:sz w:val="20"/>
        </w:rPr>
        <w:t xml:space="preserve">Initial and ongoing complexity and cost </w:t>
      </w:r>
    </w:p>
    <w:p w14:paraId="1C694391" w14:textId="77777777" w:rsidR="005021B5" w:rsidRDefault="005021B5">
      <w:pPr>
        <w:ind w:left="540"/>
        <w:rPr>
          <w:rFonts w:ascii="Arial" w:hAnsi="Arial" w:cs="Arial"/>
          <w:sz w:val="20"/>
        </w:rPr>
      </w:pPr>
    </w:p>
    <w:p w14:paraId="0D51BFC3" w14:textId="77777777" w:rsidR="005021B5" w:rsidRDefault="005021B5">
      <w:pPr>
        <w:numPr>
          <w:ilvl w:val="1"/>
          <w:numId w:val="29"/>
        </w:numPr>
        <w:rPr>
          <w:rFonts w:ascii="Arial" w:hAnsi="Arial" w:cs="Arial"/>
          <w:sz w:val="20"/>
        </w:rPr>
      </w:pPr>
      <w:r>
        <w:rPr>
          <w:rFonts w:ascii="Arial" w:hAnsi="Arial" w:cs="Arial"/>
          <w:b/>
          <w:bCs/>
          <w:sz w:val="20"/>
        </w:rPr>
        <w:t>Implementation / administrative complexity</w:t>
      </w:r>
      <w:r>
        <w:rPr>
          <w:rFonts w:ascii="Arial" w:hAnsi="Arial" w:cs="Arial"/>
          <w:sz w:val="20"/>
        </w:rPr>
        <w:t xml:space="preserve"> – Low, once tiers are agreed to</w:t>
      </w:r>
    </w:p>
    <w:p w14:paraId="14364427" w14:textId="77777777" w:rsidR="005021B5" w:rsidRDefault="005021B5">
      <w:pPr>
        <w:ind w:left="1260"/>
        <w:rPr>
          <w:rFonts w:ascii="Arial" w:hAnsi="Arial" w:cs="Arial"/>
          <w:sz w:val="20"/>
        </w:rPr>
      </w:pPr>
    </w:p>
    <w:p w14:paraId="00E15B5F" w14:textId="77777777" w:rsidR="005021B5" w:rsidRDefault="005021B5">
      <w:pPr>
        <w:numPr>
          <w:ilvl w:val="1"/>
          <w:numId w:val="29"/>
        </w:numPr>
        <w:rPr>
          <w:rFonts w:ascii="Arial" w:hAnsi="Arial" w:cs="Arial"/>
          <w:sz w:val="20"/>
        </w:rPr>
      </w:pPr>
      <w:r>
        <w:rPr>
          <w:rFonts w:ascii="Arial" w:hAnsi="Arial" w:cs="Arial"/>
          <w:b/>
          <w:bCs/>
          <w:sz w:val="20"/>
        </w:rPr>
        <w:t>New headcount requirement</w:t>
      </w:r>
      <w:r>
        <w:rPr>
          <w:rFonts w:ascii="Arial" w:hAnsi="Arial" w:cs="Arial"/>
          <w:sz w:val="20"/>
        </w:rPr>
        <w:t xml:space="preserve"> – 0</w:t>
      </w:r>
    </w:p>
    <w:p w14:paraId="607AFEC3" w14:textId="77777777" w:rsidR="005021B5" w:rsidRDefault="005021B5">
      <w:pPr>
        <w:rPr>
          <w:rFonts w:ascii="Arial" w:hAnsi="Arial" w:cs="Arial"/>
          <w:sz w:val="20"/>
        </w:rPr>
      </w:pPr>
    </w:p>
    <w:p w14:paraId="698C61F8" w14:textId="77777777" w:rsidR="005021B5" w:rsidRDefault="005021B5">
      <w:pPr>
        <w:numPr>
          <w:ilvl w:val="1"/>
          <w:numId w:val="29"/>
        </w:numPr>
        <w:rPr>
          <w:rFonts w:ascii="Arial" w:hAnsi="Arial" w:cs="Arial"/>
          <w:sz w:val="20"/>
        </w:rPr>
      </w:pPr>
      <w:r>
        <w:rPr>
          <w:rFonts w:ascii="Arial" w:hAnsi="Arial" w:cs="Arial"/>
          <w:b/>
          <w:bCs/>
          <w:sz w:val="20"/>
        </w:rPr>
        <w:t>Estimated implementation costs</w:t>
      </w:r>
      <w:r>
        <w:rPr>
          <w:rFonts w:ascii="Arial" w:hAnsi="Arial" w:cs="Arial"/>
          <w:sz w:val="20"/>
        </w:rPr>
        <w:t xml:space="preserve"> – Depends on the amount of support required to substantiate the methodology.  If developed internally, the cost should be minimal.  If outside help is required, the cost may be as high as $100,000.</w:t>
      </w:r>
    </w:p>
    <w:p w14:paraId="4997584F" w14:textId="77777777" w:rsidR="005021B5" w:rsidRDefault="005021B5">
      <w:pPr>
        <w:rPr>
          <w:rFonts w:ascii="Arial" w:hAnsi="Arial" w:cs="Arial"/>
          <w:sz w:val="20"/>
        </w:rPr>
      </w:pPr>
    </w:p>
    <w:p w14:paraId="4E23BA25" w14:textId="77777777" w:rsidR="005021B5" w:rsidRDefault="005021B5">
      <w:pPr>
        <w:numPr>
          <w:ilvl w:val="0"/>
          <w:numId w:val="29"/>
        </w:numPr>
        <w:rPr>
          <w:rFonts w:ascii="Arial" w:hAnsi="Arial" w:cs="Arial"/>
          <w:sz w:val="20"/>
        </w:rPr>
      </w:pPr>
      <w:r>
        <w:rPr>
          <w:rFonts w:ascii="Arial" w:hAnsi="Arial" w:cs="Arial"/>
          <w:b/>
          <w:bCs/>
          <w:sz w:val="20"/>
        </w:rPr>
        <w:t xml:space="preserve">Level of subjectivity / objectivity – </w:t>
      </w:r>
      <w:r>
        <w:rPr>
          <w:rFonts w:ascii="Arial" w:hAnsi="Arial" w:cs="Arial"/>
          <w:sz w:val="20"/>
        </w:rPr>
        <w:t>Developing the tiers would besomewhat subjective, however once implemented, the method will be highly objective—no discretion or interpretation would be involved.</w:t>
      </w:r>
    </w:p>
    <w:p w14:paraId="4BA9096A" w14:textId="77777777" w:rsidR="005021B5" w:rsidRDefault="005021B5">
      <w:pPr>
        <w:ind w:firstLine="540"/>
        <w:rPr>
          <w:rFonts w:ascii="Arial" w:hAnsi="Arial" w:cs="Arial"/>
          <w:sz w:val="20"/>
        </w:rPr>
      </w:pPr>
    </w:p>
    <w:p w14:paraId="2EDAF788" w14:textId="77777777" w:rsidR="005021B5" w:rsidRDefault="005021B5">
      <w:pPr>
        <w:numPr>
          <w:ilvl w:val="0"/>
          <w:numId w:val="29"/>
        </w:numPr>
        <w:rPr>
          <w:rFonts w:ascii="Arial" w:hAnsi="Arial" w:cs="Arial"/>
          <w:sz w:val="20"/>
        </w:rPr>
      </w:pPr>
      <w:r>
        <w:rPr>
          <w:rFonts w:ascii="Arial" w:hAnsi="Arial" w:cs="Arial"/>
          <w:b/>
          <w:bCs/>
          <w:sz w:val="20"/>
        </w:rPr>
        <w:t xml:space="preserve">Subject matter expertise required </w:t>
      </w:r>
      <w:r>
        <w:rPr>
          <w:rFonts w:ascii="Arial" w:hAnsi="Arial" w:cs="Arial"/>
          <w:sz w:val="20"/>
        </w:rPr>
        <w:t>– Possibly for implementation, but not for ongoing use.</w:t>
      </w:r>
    </w:p>
    <w:p w14:paraId="2156F5F3" w14:textId="77777777" w:rsidR="005021B5" w:rsidRDefault="005021B5">
      <w:pPr>
        <w:ind w:firstLine="540"/>
        <w:rPr>
          <w:rFonts w:ascii="Arial" w:hAnsi="Arial" w:cs="Arial"/>
          <w:sz w:val="20"/>
        </w:rPr>
      </w:pPr>
    </w:p>
    <w:p w14:paraId="20262114" w14:textId="77777777" w:rsidR="005021B5" w:rsidRDefault="005021B5">
      <w:pPr>
        <w:numPr>
          <w:ilvl w:val="0"/>
          <w:numId w:val="29"/>
        </w:numPr>
        <w:rPr>
          <w:rFonts w:ascii="Arial" w:hAnsi="Arial" w:cs="Arial"/>
          <w:sz w:val="20"/>
        </w:rPr>
      </w:pPr>
      <w:r>
        <w:rPr>
          <w:rFonts w:ascii="Arial" w:hAnsi="Arial" w:cs="Arial"/>
          <w:b/>
          <w:bCs/>
          <w:sz w:val="20"/>
        </w:rPr>
        <w:t xml:space="preserve">Used at other ISOs? </w:t>
      </w:r>
      <w:r>
        <w:rPr>
          <w:rFonts w:ascii="Arial" w:hAnsi="Arial" w:cs="Arial"/>
          <w:sz w:val="20"/>
        </w:rPr>
        <w:t>– It is implemented at other ISOs, but usually as the first step in a longer process, where other entity specific factors are considered.</w:t>
      </w:r>
    </w:p>
    <w:p w14:paraId="71CFBFC6" w14:textId="77777777" w:rsidR="005021B5" w:rsidRDefault="005021B5">
      <w:pPr>
        <w:ind w:left="540"/>
        <w:rPr>
          <w:rFonts w:ascii="Arial" w:hAnsi="Arial" w:cs="Arial"/>
          <w:sz w:val="20"/>
        </w:rPr>
      </w:pPr>
    </w:p>
    <w:p w14:paraId="49FD0205" w14:textId="77777777" w:rsidR="005021B5" w:rsidRDefault="005021B5">
      <w:pPr>
        <w:numPr>
          <w:ilvl w:val="0"/>
          <w:numId w:val="29"/>
        </w:numPr>
        <w:rPr>
          <w:rFonts w:ascii="Arial" w:hAnsi="Arial" w:cs="Arial"/>
          <w:b/>
          <w:bCs/>
          <w:sz w:val="20"/>
        </w:rPr>
      </w:pPr>
      <w:r>
        <w:rPr>
          <w:rFonts w:ascii="Arial" w:hAnsi="Arial" w:cs="Arial"/>
          <w:b/>
          <w:bCs/>
          <w:sz w:val="20"/>
        </w:rPr>
        <w:t>Advantages compared to other methods</w:t>
      </w:r>
    </w:p>
    <w:p w14:paraId="0A4353A9" w14:textId="77777777" w:rsidR="005021B5" w:rsidRDefault="005021B5">
      <w:pPr>
        <w:ind w:left="540"/>
        <w:rPr>
          <w:rFonts w:ascii="Arial" w:hAnsi="Arial" w:cs="Arial"/>
          <w:b/>
          <w:bCs/>
          <w:sz w:val="20"/>
        </w:rPr>
      </w:pPr>
    </w:p>
    <w:p w14:paraId="53ED25B4" w14:textId="77777777" w:rsidR="005021B5" w:rsidRDefault="005021B5">
      <w:pPr>
        <w:numPr>
          <w:ilvl w:val="1"/>
          <w:numId w:val="29"/>
        </w:numPr>
        <w:rPr>
          <w:rFonts w:ascii="Arial" w:hAnsi="Arial" w:cs="Arial"/>
          <w:sz w:val="20"/>
        </w:rPr>
      </w:pPr>
      <w:r>
        <w:rPr>
          <w:rFonts w:ascii="Arial" w:hAnsi="Arial" w:cs="Arial"/>
          <w:sz w:val="20"/>
        </w:rPr>
        <w:t>Once implemented, establishes objective cap on unsecured amounts</w:t>
      </w:r>
    </w:p>
    <w:p w14:paraId="4BCC43C8" w14:textId="77777777" w:rsidR="005021B5" w:rsidRDefault="005021B5">
      <w:pPr>
        <w:numPr>
          <w:ilvl w:val="1"/>
          <w:numId w:val="29"/>
        </w:numPr>
        <w:rPr>
          <w:rFonts w:ascii="Arial" w:hAnsi="Arial" w:cs="Arial"/>
          <w:sz w:val="20"/>
        </w:rPr>
      </w:pPr>
      <w:r>
        <w:rPr>
          <w:rFonts w:ascii="Arial" w:hAnsi="Arial" w:cs="Arial"/>
          <w:sz w:val="20"/>
        </w:rPr>
        <w:t xml:space="preserve">Relatively easy to maintain and utilize </w:t>
      </w:r>
    </w:p>
    <w:p w14:paraId="76511DE1" w14:textId="77777777" w:rsidR="005021B5" w:rsidRDefault="005021B5">
      <w:pPr>
        <w:numPr>
          <w:ilvl w:val="1"/>
          <w:numId w:val="29"/>
        </w:numPr>
        <w:rPr>
          <w:rFonts w:ascii="Arial" w:hAnsi="Arial" w:cs="Arial"/>
          <w:sz w:val="20"/>
        </w:rPr>
      </w:pPr>
      <w:r>
        <w:rPr>
          <w:rFonts w:ascii="Arial" w:hAnsi="Arial" w:cs="Arial"/>
          <w:sz w:val="20"/>
        </w:rPr>
        <w:t>Headcount requirements remain low</w:t>
      </w:r>
    </w:p>
    <w:p w14:paraId="20F432DB" w14:textId="77777777" w:rsidR="005021B5" w:rsidRDefault="005021B5">
      <w:pPr>
        <w:numPr>
          <w:ilvl w:val="1"/>
          <w:numId w:val="29"/>
        </w:numPr>
        <w:rPr>
          <w:rFonts w:ascii="Arial" w:hAnsi="Arial" w:cs="Arial"/>
          <w:sz w:val="20"/>
        </w:rPr>
      </w:pPr>
      <w:r>
        <w:rPr>
          <w:rFonts w:ascii="Arial" w:hAnsi="Arial" w:cs="Arial"/>
          <w:sz w:val="20"/>
        </w:rPr>
        <w:t>Moving toward a best practice solution</w:t>
      </w:r>
    </w:p>
    <w:p w14:paraId="534FC79C" w14:textId="77777777" w:rsidR="005021B5" w:rsidRDefault="005021B5">
      <w:pPr>
        <w:numPr>
          <w:ilvl w:val="1"/>
          <w:numId w:val="29"/>
        </w:numPr>
        <w:rPr>
          <w:rFonts w:ascii="Arial" w:hAnsi="Arial" w:cs="Arial"/>
          <w:sz w:val="20"/>
        </w:rPr>
      </w:pPr>
      <w:r>
        <w:rPr>
          <w:rFonts w:ascii="Arial" w:hAnsi="Arial" w:cs="Arial"/>
          <w:sz w:val="20"/>
        </w:rPr>
        <w:t>Cost of use is low</w:t>
      </w:r>
    </w:p>
    <w:p w14:paraId="36A99386" w14:textId="77777777" w:rsidR="005021B5" w:rsidRDefault="005021B5">
      <w:pPr>
        <w:numPr>
          <w:ilvl w:val="1"/>
          <w:numId w:val="29"/>
        </w:numPr>
        <w:rPr>
          <w:rFonts w:ascii="Arial" w:hAnsi="Arial" w:cs="Arial"/>
          <w:sz w:val="20"/>
        </w:rPr>
      </w:pPr>
      <w:r>
        <w:rPr>
          <w:rFonts w:ascii="Arial" w:hAnsi="Arial" w:cs="Arial"/>
          <w:sz w:val="20"/>
        </w:rPr>
        <w:t>Improved credit risk management</w:t>
      </w:r>
    </w:p>
    <w:p w14:paraId="228D4C14" w14:textId="77777777" w:rsidR="005021B5" w:rsidRDefault="005021B5">
      <w:pPr>
        <w:ind w:left="1260"/>
        <w:rPr>
          <w:rFonts w:ascii="Arial" w:hAnsi="Arial" w:cs="Arial"/>
          <w:b/>
          <w:bCs/>
          <w:sz w:val="20"/>
        </w:rPr>
      </w:pPr>
    </w:p>
    <w:p w14:paraId="21AC7149" w14:textId="77777777" w:rsidR="005021B5" w:rsidRDefault="005021B5">
      <w:pPr>
        <w:numPr>
          <w:ilvl w:val="0"/>
          <w:numId w:val="28"/>
        </w:numPr>
        <w:rPr>
          <w:rFonts w:ascii="Arial" w:hAnsi="Arial" w:cs="Arial"/>
          <w:b/>
          <w:bCs/>
          <w:sz w:val="20"/>
        </w:rPr>
      </w:pPr>
      <w:r>
        <w:rPr>
          <w:rFonts w:ascii="Arial" w:hAnsi="Arial" w:cs="Arial"/>
          <w:b/>
          <w:bCs/>
          <w:sz w:val="20"/>
        </w:rPr>
        <w:t>Disadvantages compared to other methods</w:t>
      </w:r>
    </w:p>
    <w:p w14:paraId="6F82C513" w14:textId="77777777" w:rsidR="005021B5" w:rsidRDefault="005021B5">
      <w:pPr>
        <w:ind w:left="540"/>
        <w:rPr>
          <w:rFonts w:ascii="Arial" w:hAnsi="Arial" w:cs="Arial"/>
          <w:b/>
          <w:bCs/>
          <w:sz w:val="20"/>
        </w:rPr>
      </w:pPr>
    </w:p>
    <w:p w14:paraId="06CF55A7" w14:textId="77777777" w:rsidR="005021B5" w:rsidRDefault="005021B5">
      <w:pPr>
        <w:numPr>
          <w:ilvl w:val="0"/>
          <w:numId w:val="30"/>
        </w:numPr>
        <w:rPr>
          <w:rFonts w:ascii="Arial" w:hAnsi="Arial" w:cs="Arial"/>
          <w:sz w:val="20"/>
        </w:rPr>
      </w:pPr>
      <w:r>
        <w:rPr>
          <w:rFonts w:ascii="Arial" w:hAnsi="Arial" w:cs="Arial"/>
          <w:sz w:val="20"/>
        </w:rPr>
        <w:t xml:space="preserve">The tiers don’t consider different entity sizes and financial capacity. </w:t>
      </w:r>
    </w:p>
    <w:p w14:paraId="5B15A2EF" w14:textId="77777777" w:rsidR="005021B5" w:rsidRDefault="005021B5">
      <w:pPr>
        <w:numPr>
          <w:ilvl w:val="0"/>
          <w:numId w:val="30"/>
        </w:numPr>
        <w:rPr>
          <w:rFonts w:ascii="Arial" w:hAnsi="Arial" w:cs="Arial"/>
          <w:sz w:val="20"/>
        </w:rPr>
      </w:pPr>
      <w:r>
        <w:rPr>
          <w:rFonts w:ascii="Arial" w:hAnsi="Arial" w:cs="Arial"/>
          <w:sz w:val="20"/>
        </w:rPr>
        <w:t xml:space="preserve">Slow to respond to changing market conditions and credit warnings that may not be published by the rating agencies in a timely manner  </w:t>
      </w:r>
    </w:p>
    <w:p w14:paraId="68189EA9" w14:textId="77777777" w:rsidR="005021B5" w:rsidRDefault="005021B5">
      <w:pPr>
        <w:ind w:left="540"/>
        <w:rPr>
          <w:rFonts w:ascii="Arial" w:hAnsi="Arial" w:cs="Arial"/>
          <w:b/>
          <w:bCs/>
          <w:sz w:val="20"/>
        </w:rPr>
      </w:pPr>
    </w:p>
    <w:p w14:paraId="138BB28E" w14:textId="77777777" w:rsidR="005021B5" w:rsidRDefault="005021B5">
      <w:pPr>
        <w:rPr>
          <w:rFonts w:ascii="Arial" w:hAnsi="Arial" w:cs="Arial"/>
          <w:sz w:val="20"/>
        </w:rPr>
      </w:pPr>
    </w:p>
    <w:p w14:paraId="714DC068" w14:textId="77777777" w:rsidR="005021B5" w:rsidRDefault="005021B5">
      <w:pPr>
        <w:pStyle w:val="BodyTextIndent3"/>
        <w:numPr>
          <w:numberingChange w:id="6" w:author="pnethercut" w:date="2004-10-29T16:56:00Z" w:original="%1:3:3:."/>
        </w:numPr>
      </w:pPr>
      <w:r>
        <w:t xml:space="preserve">Option C:  More Complex Tiered Credit Limits </w:t>
      </w:r>
    </w:p>
    <w:p w14:paraId="4EDB5948" w14:textId="77777777" w:rsidR="005021B5" w:rsidRDefault="005021B5">
      <w:pPr>
        <w:rPr>
          <w:rFonts w:ascii="Arial" w:hAnsi="Arial" w:cs="Arial"/>
          <w:sz w:val="20"/>
        </w:rPr>
      </w:pPr>
    </w:p>
    <w:p w14:paraId="4FFCF09A" w14:textId="77777777" w:rsidR="005021B5" w:rsidRDefault="005021B5">
      <w:pPr>
        <w:ind w:left="540"/>
        <w:rPr>
          <w:rFonts w:ascii="Arial" w:hAnsi="Arial" w:cs="Arial"/>
          <w:sz w:val="20"/>
        </w:rPr>
      </w:pPr>
      <w:r>
        <w:rPr>
          <w:rFonts w:ascii="Arial" w:hAnsi="Arial" w:cs="Arial"/>
          <w:sz w:val="20"/>
        </w:rPr>
        <w:t>The recommended approach considers an entity’s “tangible net worth” and other third party credit ratings in addition to the ratings by the national credit rating agencies (S&amp;P / Moody’s / Fitch).</w:t>
      </w:r>
    </w:p>
    <w:p w14:paraId="35A72ECB" w14:textId="77777777" w:rsidR="005021B5" w:rsidRDefault="005021B5">
      <w:pPr>
        <w:rPr>
          <w:rFonts w:ascii="Arial" w:hAnsi="Arial" w:cs="Arial"/>
          <w:sz w:val="20"/>
        </w:rPr>
      </w:pPr>
    </w:p>
    <w:p w14:paraId="69BAFC55" w14:textId="77777777" w:rsidR="005021B5" w:rsidRDefault="005021B5">
      <w:pPr>
        <w:numPr>
          <w:ilvl w:val="0"/>
          <w:numId w:val="32"/>
        </w:numPr>
        <w:rPr>
          <w:rFonts w:ascii="Arial" w:hAnsi="Arial" w:cs="Arial"/>
          <w:b/>
          <w:bCs/>
          <w:sz w:val="20"/>
        </w:rPr>
      </w:pPr>
      <w:r>
        <w:rPr>
          <w:rFonts w:ascii="Arial" w:hAnsi="Arial" w:cs="Arial"/>
          <w:b/>
          <w:bCs/>
          <w:sz w:val="20"/>
        </w:rPr>
        <w:t xml:space="preserve">Initial and ongoing complexity and cost </w:t>
      </w:r>
    </w:p>
    <w:p w14:paraId="456F39DF" w14:textId="77777777" w:rsidR="005021B5" w:rsidRDefault="005021B5">
      <w:pPr>
        <w:ind w:left="540"/>
        <w:rPr>
          <w:rFonts w:ascii="Arial" w:hAnsi="Arial" w:cs="Arial"/>
          <w:sz w:val="20"/>
        </w:rPr>
      </w:pPr>
    </w:p>
    <w:p w14:paraId="570BF68E" w14:textId="77777777" w:rsidR="005021B5" w:rsidRDefault="005021B5">
      <w:pPr>
        <w:numPr>
          <w:ilvl w:val="1"/>
          <w:numId w:val="33"/>
        </w:numPr>
        <w:rPr>
          <w:rFonts w:ascii="Arial" w:hAnsi="Arial" w:cs="Arial"/>
          <w:sz w:val="20"/>
        </w:rPr>
      </w:pPr>
      <w:r>
        <w:rPr>
          <w:rFonts w:ascii="Arial" w:hAnsi="Arial" w:cs="Arial"/>
          <w:b/>
          <w:bCs/>
          <w:sz w:val="20"/>
        </w:rPr>
        <w:t>Implementation / administrative complexity</w:t>
      </w:r>
      <w:r>
        <w:rPr>
          <w:rFonts w:ascii="Arial" w:hAnsi="Arial" w:cs="Arial"/>
          <w:sz w:val="20"/>
        </w:rPr>
        <w:t xml:space="preserve"> – Low to moderate</w:t>
      </w:r>
    </w:p>
    <w:p w14:paraId="00FE7790" w14:textId="77777777" w:rsidR="005021B5" w:rsidRDefault="005021B5">
      <w:pPr>
        <w:ind w:left="1260"/>
        <w:rPr>
          <w:rFonts w:ascii="Arial" w:hAnsi="Arial" w:cs="Arial"/>
          <w:sz w:val="20"/>
        </w:rPr>
      </w:pPr>
    </w:p>
    <w:p w14:paraId="3D3D77D9" w14:textId="77777777" w:rsidR="005021B5" w:rsidRDefault="005021B5">
      <w:pPr>
        <w:numPr>
          <w:ilvl w:val="1"/>
          <w:numId w:val="33"/>
        </w:numPr>
        <w:rPr>
          <w:rFonts w:ascii="Arial" w:hAnsi="Arial" w:cs="Arial"/>
          <w:sz w:val="20"/>
        </w:rPr>
      </w:pPr>
      <w:r>
        <w:rPr>
          <w:rFonts w:ascii="Arial" w:hAnsi="Arial" w:cs="Arial"/>
          <w:b/>
          <w:bCs/>
          <w:sz w:val="20"/>
        </w:rPr>
        <w:t>New headcount requirement</w:t>
      </w:r>
      <w:r>
        <w:rPr>
          <w:rFonts w:ascii="Arial" w:hAnsi="Arial" w:cs="Arial"/>
          <w:sz w:val="20"/>
        </w:rPr>
        <w:t xml:space="preserve"> – 0</w:t>
      </w:r>
    </w:p>
    <w:p w14:paraId="7A2BA3EF" w14:textId="77777777" w:rsidR="005021B5" w:rsidRDefault="005021B5">
      <w:pPr>
        <w:rPr>
          <w:rFonts w:ascii="Arial" w:hAnsi="Arial" w:cs="Arial"/>
          <w:sz w:val="20"/>
        </w:rPr>
      </w:pPr>
    </w:p>
    <w:p w14:paraId="773D06E6" w14:textId="77777777" w:rsidR="005021B5" w:rsidRDefault="005021B5">
      <w:pPr>
        <w:numPr>
          <w:ilvl w:val="1"/>
          <w:numId w:val="33"/>
        </w:numPr>
        <w:rPr>
          <w:rFonts w:ascii="Arial" w:hAnsi="Arial" w:cs="Arial"/>
          <w:sz w:val="20"/>
        </w:rPr>
      </w:pPr>
      <w:r>
        <w:rPr>
          <w:rFonts w:ascii="Arial" w:hAnsi="Arial" w:cs="Arial"/>
          <w:b/>
          <w:bCs/>
          <w:sz w:val="20"/>
        </w:rPr>
        <w:t>Estimated implementation costs</w:t>
      </w:r>
      <w:r>
        <w:rPr>
          <w:rFonts w:ascii="Arial" w:hAnsi="Arial" w:cs="Arial"/>
          <w:sz w:val="20"/>
        </w:rPr>
        <w:t xml:space="preserve"> – $50,000 - $100,000 ongoing annual cost.</w:t>
      </w:r>
    </w:p>
    <w:p w14:paraId="7B3EA827" w14:textId="77777777" w:rsidR="005021B5" w:rsidRDefault="005021B5">
      <w:pPr>
        <w:ind w:left="1260"/>
        <w:rPr>
          <w:rFonts w:ascii="Arial" w:hAnsi="Arial" w:cs="Arial"/>
          <w:sz w:val="20"/>
        </w:rPr>
      </w:pPr>
    </w:p>
    <w:p w14:paraId="2DC5D116" w14:textId="77777777" w:rsidR="005021B5" w:rsidRDefault="005021B5">
      <w:pPr>
        <w:numPr>
          <w:ilvl w:val="0"/>
          <w:numId w:val="34"/>
        </w:numPr>
        <w:rPr>
          <w:rFonts w:ascii="Arial" w:hAnsi="Arial" w:cs="Arial"/>
          <w:sz w:val="20"/>
        </w:rPr>
      </w:pPr>
      <w:r>
        <w:rPr>
          <w:rFonts w:ascii="Arial" w:hAnsi="Arial" w:cs="Arial"/>
          <w:b/>
          <w:bCs/>
          <w:sz w:val="20"/>
        </w:rPr>
        <w:t xml:space="preserve">Level of subjectivity / objectivity – </w:t>
      </w:r>
      <w:r>
        <w:rPr>
          <w:rFonts w:ascii="Arial" w:hAnsi="Arial" w:cs="Arial"/>
          <w:sz w:val="20"/>
        </w:rPr>
        <w:t xml:space="preserve">This method could be designed with no subjectivity by the ISO, the Credit Rating will be the blended ratings from 3rd Party Rating Agencies and Moody’s KMV quantitative models  </w:t>
      </w:r>
    </w:p>
    <w:p w14:paraId="18F308A5" w14:textId="77777777" w:rsidR="005021B5" w:rsidRDefault="005021B5">
      <w:pPr>
        <w:ind w:left="540"/>
        <w:rPr>
          <w:rFonts w:ascii="Arial" w:hAnsi="Arial" w:cs="Arial"/>
          <w:sz w:val="20"/>
        </w:rPr>
      </w:pPr>
    </w:p>
    <w:p w14:paraId="3E9F58A4" w14:textId="77777777" w:rsidR="005021B5" w:rsidRDefault="005021B5">
      <w:pPr>
        <w:numPr>
          <w:ilvl w:val="0"/>
          <w:numId w:val="34"/>
        </w:numPr>
        <w:rPr>
          <w:rFonts w:ascii="Arial" w:hAnsi="Arial" w:cs="Arial"/>
          <w:sz w:val="20"/>
        </w:rPr>
      </w:pPr>
      <w:r>
        <w:rPr>
          <w:rFonts w:ascii="Arial" w:hAnsi="Arial" w:cs="Arial"/>
          <w:b/>
          <w:bCs/>
          <w:sz w:val="20"/>
        </w:rPr>
        <w:t xml:space="preserve">Subject matter expertise required </w:t>
      </w:r>
      <w:r>
        <w:rPr>
          <w:rFonts w:ascii="Arial" w:hAnsi="Arial" w:cs="Arial"/>
          <w:sz w:val="20"/>
        </w:rPr>
        <w:t>– Yes – the ISO would hire the third party firm with expertise in this area.</w:t>
      </w:r>
    </w:p>
    <w:p w14:paraId="021855FC" w14:textId="77777777" w:rsidR="005021B5" w:rsidRDefault="005021B5">
      <w:pPr>
        <w:rPr>
          <w:rFonts w:ascii="Arial" w:hAnsi="Arial" w:cs="Arial"/>
          <w:sz w:val="20"/>
        </w:rPr>
      </w:pPr>
    </w:p>
    <w:p w14:paraId="7AA7662E" w14:textId="77777777" w:rsidR="005021B5" w:rsidRDefault="005021B5">
      <w:pPr>
        <w:numPr>
          <w:ilvl w:val="0"/>
          <w:numId w:val="34"/>
        </w:numPr>
        <w:rPr>
          <w:rFonts w:ascii="Arial" w:hAnsi="Arial" w:cs="Arial"/>
          <w:sz w:val="20"/>
        </w:rPr>
      </w:pPr>
      <w:r>
        <w:rPr>
          <w:rFonts w:ascii="Arial" w:hAnsi="Arial" w:cs="Arial"/>
          <w:b/>
          <w:bCs/>
          <w:sz w:val="20"/>
        </w:rPr>
        <w:t xml:space="preserve">Used at other ISOs? </w:t>
      </w:r>
      <w:r>
        <w:rPr>
          <w:rFonts w:ascii="Arial" w:hAnsi="Arial" w:cs="Arial"/>
          <w:sz w:val="20"/>
        </w:rPr>
        <w:t xml:space="preserve">– Not as proposed here. The IMO uses Agency Ratings (unblended) and other ISOs add internal credit scoring to adjust Limits.  </w:t>
      </w:r>
    </w:p>
    <w:p w14:paraId="0307F76A" w14:textId="77777777" w:rsidR="005021B5" w:rsidRDefault="005021B5">
      <w:pPr>
        <w:ind w:left="540"/>
        <w:rPr>
          <w:rFonts w:ascii="Arial" w:hAnsi="Arial" w:cs="Arial"/>
          <w:sz w:val="20"/>
        </w:rPr>
      </w:pPr>
    </w:p>
    <w:p w14:paraId="63AB5BEC" w14:textId="77777777" w:rsidR="005021B5" w:rsidRDefault="005021B5">
      <w:pPr>
        <w:numPr>
          <w:ilvl w:val="0"/>
          <w:numId w:val="34"/>
        </w:numPr>
        <w:rPr>
          <w:rFonts w:ascii="Arial" w:hAnsi="Arial" w:cs="Arial"/>
          <w:b/>
          <w:bCs/>
          <w:sz w:val="20"/>
        </w:rPr>
      </w:pPr>
      <w:r>
        <w:rPr>
          <w:rFonts w:ascii="Arial" w:hAnsi="Arial" w:cs="Arial"/>
          <w:b/>
          <w:bCs/>
          <w:sz w:val="20"/>
        </w:rPr>
        <w:t>Advantages compared to other methods</w:t>
      </w:r>
    </w:p>
    <w:p w14:paraId="3FF25257" w14:textId="77777777" w:rsidR="005021B5" w:rsidRDefault="005021B5">
      <w:pPr>
        <w:ind w:left="540"/>
        <w:rPr>
          <w:rFonts w:ascii="Arial" w:hAnsi="Arial" w:cs="Arial"/>
          <w:b/>
          <w:bCs/>
          <w:sz w:val="20"/>
        </w:rPr>
      </w:pPr>
    </w:p>
    <w:p w14:paraId="4E4DA9C6" w14:textId="77777777" w:rsidR="005021B5" w:rsidRDefault="005021B5">
      <w:pPr>
        <w:numPr>
          <w:ilvl w:val="1"/>
          <w:numId w:val="34"/>
        </w:numPr>
        <w:rPr>
          <w:rFonts w:ascii="Arial" w:hAnsi="Arial" w:cs="Arial"/>
          <w:sz w:val="20"/>
        </w:rPr>
      </w:pPr>
      <w:r>
        <w:rPr>
          <w:rFonts w:ascii="Arial" w:hAnsi="Arial" w:cs="Arial"/>
          <w:sz w:val="20"/>
        </w:rPr>
        <w:t>Establishes cap on unsecured amounts, based on third party assessments, and considers entity size.</w:t>
      </w:r>
    </w:p>
    <w:p w14:paraId="1476E66D" w14:textId="77777777" w:rsidR="005021B5" w:rsidRDefault="005021B5">
      <w:pPr>
        <w:numPr>
          <w:ilvl w:val="1"/>
          <w:numId w:val="34"/>
        </w:numPr>
        <w:rPr>
          <w:rFonts w:ascii="Arial" w:hAnsi="Arial" w:cs="Arial"/>
          <w:sz w:val="20"/>
        </w:rPr>
      </w:pPr>
      <w:r>
        <w:rPr>
          <w:rFonts w:ascii="Arial" w:hAnsi="Arial" w:cs="Arial"/>
          <w:sz w:val="20"/>
        </w:rPr>
        <w:lastRenderedPageBreak/>
        <w:t>Relatively easy to administer</w:t>
      </w:r>
    </w:p>
    <w:p w14:paraId="3072A0BE" w14:textId="77777777" w:rsidR="005021B5" w:rsidRDefault="005021B5">
      <w:pPr>
        <w:numPr>
          <w:ilvl w:val="1"/>
          <w:numId w:val="34"/>
        </w:numPr>
        <w:rPr>
          <w:rFonts w:ascii="Arial" w:hAnsi="Arial" w:cs="Arial"/>
          <w:sz w:val="20"/>
        </w:rPr>
      </w:pPr>
      <w:r>
        <w:rPr>
          <w:rFonts w:ascii="Arial" w:hAnsi="Arial" w:cs="Arial"/>
          <w:sz w:val="20"/>
        </w:rPr>
        <w:t xml:space="preserve">No ISO headcount increase  </w:t>
      </w:r>
    </w:p>
    <w:p w14:paraId="388D54E4" w14:textId="77777777" w:rsidR="005021B5" w:rsidRDefault="005021B5">
      <w:pPr>
        <w:numPr>
          <w:ilvl w:val="1"/>
          <w:numId w:val="34"/>
        </w:numPr>
        <w:rPr>
          <w:rFonts w:ascii="Arial" w:hAnsi="Arial" w:cs="Arial"/>
          <w:sz w:val="20"/>
        </w:rPr>
      </w:pPr>
      <w:r>
        <w:rPr>
          <w:rFonts w:ascii="Arial" w:hAnsi="Arial" w:cs="Arial"/>
          <w:sz w:val="20"/>
        </w:rPr>
        <w:t>Moving toward a best practice solution</w:t>
      </w:r>
    </w:p>
    <w:p w14:paraId="20FE8DB1" w14:textId="77777777" w:rsidR="005021B5" w:rsidRDefault="005021B5">
      <w:pPr>
        <w:numPr>
          <w:ilvl w:val="1"/>
          <w:numId w:val="34"/>
        </w:numPr>
        <w:rPr>
          <w:rFonts w:ascii="Arial" w:hAnsi="Arial" w:cs="Arial"/>
          <w:sz w:val="20"/>
        </w:rPr>
      </w:pPr>
      <w:r>
        <w:rPr>
          <w:rFonts w:ascii="Arial" w:hAnsi="Arial" w:cs="Arial"/>
          <w:sz w:val="20"/>
        </w:rPr>
        <w:t xml:space="preserve">Improved credit risk management by incorporating leading indicators (MKMV quantitative ratings) into the credit risk assessment  </w:t>
      </w:r>
    </w:p>
    <w:p w14:paraId="608E7120" w14:textId="77777777" w:rsidR="005021B5" w:rsidRDefault="005021B5">
      <w:pPr>
        <w:ind w:left="1260"/>
        <w:rPr>
          <w:rFonts w:ascii="Arial" w:hAnsi="Arial" w:cs="Arial"/>
          <w:b/>
          <w:bCs/>
          <w:sz w:val="20"/>
        </w:rPr>
      </w:pPr>
    </w:p>
    <w:p w14:paraId="5396D0CF" w14:textId="77777777" w:rsidR="005021B5" w:rsidRDefault="005021B5">
      <w:pPr>
        <w:numPr>
          <w:ilvl w:val="0"/>
          <w:numId w:val="35"/>
        </w:numPr>
        <w:rPr>
          <w:rFonts w:ascii="Arial" w:hAnsi="Arial" w:cs="Arial"/>
          <w:b/>
          <w:bCs/>
          <w:sz w:val="20"/>
        </w:rPr>
      </w:pPr>
      <w:r>
        <w:rPr>
          <w:rFonts w:ascii="Arial" w:hAnsi="Arial" w:cs="Arial"/>
          <w:b/>
          <w:bCs/>
          <w:sz w:val="20"/>
        </w:rPr>
        <w:t>Disadvantages compared to other methods</w:t>
      </w:r>
    </w:p>
    <w:p w14:paraId="5BD57C86" w14:textId="77777777" w:rsidR="005021B5" w:rsidRDefault="005021B5">
      <w:pPr>
        <w:ind w:left="540"/>
        <w:rPr>
          <w:rFonts w:ascii="Arial" w:hAnsi="Arial" w:cs="Arial"/>
          <w:b/>
          <w:bCs/>
          <w:sz w:val="20"/>
        </w:rPr>
      </w:pPr>
    </w:p>
    <w:p w14:paraId="28170D07" w14:textId="77777777" w:rsidR="005021B5" w:rsidRDefault="005021B5">
      <w:pPr>
        <w:numPr>
          <w:ilvl w:val="0"/>
          <w:numId w:val="31"/>
        </w:numPr>
        <w:rPr>
          <w:rFonts w:ascii="Arial" w:hAnsi="Arial" w:cs="Arial"/>
          <w:sz w:val="20"/>
        </w:rPr>
      </w:pPr>
      <w:r>
        <w:rPr>
          <w:rFonts w:ascii="Arial" w:hAnsi="Arial" w:cs="Arial"/>
          <w:sz w:val="20"/>
        </w:rPr>
        <w:t>Although using the MKMV quantitative rating in our final Credit Rating should provide the benefits associated with detecting credit changes early, the established limits might be more volatile.</w:t>
      </w:r>
    </w:p>
    <w:p w14:paraId="175B920C" w14:textId="77777777" w:rsidR="005021B5" w:rsidRDefault="005021B5">
      <w:pPr>
        <w:numPr>
          <w:ilvl w:val="0"/>
          <w:numId w:val="31"/>
        </w:numPr>
        <w:rPr>
          <w:rFonts w:ascii="Arial" w:hAnsi="Arial" w:cs="Arial"/>
          <w:sz w:val="20"/>
        </w:rPr>
      </w:pPr>
      <w:r>
        <w:rPr>
          <w:rFonts w:ascii="Arial" w:hAnsi="Arial" w:cs="Arial"/>
          <w:sz w:val="20"/>
        </w:rPr>
        <w:t>MKMV ratings are not available for every participant (municipal utilities and small entities).</w:t>
      </w:r>
    </w:p>
    <w:p w14:paraId="2EFE9B4B" w14:textId="77777777" w:rsidR="005021B5" w:rsidRDefault="005021B5">
      <w:pPr>
        <w:rPr>
          <w:rFonts w:ascii="Arial" w:hAnsi="Arial" w:cs="Arial"/>
          <w:sz w:val="20"/>
        </w:rPr>
      </w:pPr>
    </w:p>
    <w:p w14:paraId="78986A47" w14:textId="77777777" w:rsidR="005021B5" w:rsidRDefault="005021B5">
      <w:pPr>
        <w:rPr>
          <w:rFonts w:ascii="Arial" w:hAnsi="Arial" w:cs="Arial"/>
          <w:sz w:val="20"/>
        </w:rPr>
      </w:pPr>
    </w:p>
    <w:p w14:paraId="0A32246D" w14:textId="77777777" w:rsidR="005021B5" w:rsidRDefault="005021B5">
      <w:pPr>
        <w:pStyle w:val="BodyTextIndent3"/>
        <w:numPr>
          <w:numberingChange w:id="7" w:author="pnethercut" w:date="2004-10-29T16:56:00Z" w:original="%1:4:3:."/>
        </w:numPr>
      </w:pPr>
      <w:r>
        <w:t>Option D:  Internally conduct a full credit assessment on every scheduling coordinator to establish its credit limit, using an agreed-upon credit scoring methodology.</w:t>
      </w:r>
    </w:p>
    <w:p w14:paraId="40AC1C2D" w14:textId="77777777" w:rsidR="005021B5" w:rsidRDefault="005021B5"/>
    <w:p w14:paraId="25C1B521" w14:textId="77777777" w:rsidR="005021B5" w:rsidRDefault="005021B5">
      <w:pPr>
        <w:numPr>
          <w:ilvl w:val="0"/>
          <w:numId w:val="36"/>
        </w:numPr>
        <w:rPr>
          <w:rFonts w:ascii="Arial" w:hAnsi="Arial" w:cs="Arial"/>
          <w:b/>
          <w:bCs/>
          <w:sz w:val="20"/>
        </w:rPr>
      </w:pPr>
      <w:r>
        <w:rPr>
          <w:rFonts w:ascii="Arial" w:hAnsi="Arial" w:cs="Arial"/>
          <w:b/>
          <w:bCs/>
          <w:sz w:val="20"/>
        </w:rPr>
        <w:t xml:space="preserve">Initial and ongoing complexity and cost </w:t>
      </w:r>
    </w:p>
    <w:p w14:paraId="134E711B" w14:textId="77777777" w:rsidR="005021B5" w:rsidRDefault="005021B5">
      <w:pPr>
        <w:ind w:left="540"/>
        <w:rPr>
          <w:rFonts w:ascii="Arial" w:hAnsi="Arial" w:cs="Arial"/>
          <w:sz w:val="20"/>
        </w:rPr>
      </w:pPr>
    </w:p>
    <w:p w14:paraId="4355E28A" w14:textId="77777777" w:rsidR="005021B5" w:rsidRDefault="005021B5">
      <w:pPr>
        <w:numPr>
          <w:ilvl w:val="1"/>
          <w:numId w:val="37"/>
        </w:numPr>
        <w:rPr>
          <w:rFonts w:ascii="Arial" w:hAnsi="Arial" w:cs="Arial"/>
          <w:sz w:val="20"/>
        </w:rPr>
      </w:pPr>
      <w:r>
        <w:rPr>
          <w:rFonts w:ascii="Arial" w:hAnsi="Arial" w:cs="Arial"/>
          <w:b/>
          <w:bCs/>
          <w:sz w:val="20"/>
        </w:rPr>
        <w:t>Implementation / administrative complexity</w:t>
      </w:r>
      <w:r>
        <w:rPr>
          <w:rFonts w:ascii="Arial" w:hAnsi="Arial" w:cs="Arial"/>
          <w:sz w:val="20"/>
        </w:rPr>
        <w:t xml:space="preserve"> – This approach would be the most complex to implement and manage, especially if the credit assessment is conducted on every participant.</w:t>
      </w:r>
    </w:p>
    <w:p w14:paraId="50E097C8" w14:textId="77777777" w:rsidR="005021B5" w:rsidRDefault="005021B5">
      <w:pPr>
        <w:ind w:left="1260"/>
        <w:rPr>
          <w:rFonts w:ascii="Arial" w:hAnsi="Arial" w:cs="Arial"/>
          <w:sz w:val="20"/>
        </w:rPr>
      </w:pPr>
    </w:p>
    <w:p w14:paraId="532BB0B7" w14:textId="77777777" w:rsidR="005021B5" w:rsidRDefault="005021B5">
      <w:pPr>
        <w:numPr>
          <w:ilvl w:val="1"/>
          <w:numId w:val="37"/>
        </w:numPr>
        <w:rPr>
          <w:rFonts w:ascii="Arial" w:hAnsi="Arial" w:cs="Arial"/>
          <w:sz w:val="20"/>
        </w:rPr>
      </w:pPr>
      <w:r>
        <w:rPr>
          <w:rFonts w:ascii="Arial" w:hAnsi="Arial" w:cs="Arial"/>
          <w:b/>
          <w:bCs/>
          <w:sz w:val="20"/>
        </w:rPr>
        <w:t>New headcount requirement</w:t>
      </w:r>
      <w:r>
        <w:rPr>
          <w:rFonts w:ascii="Arial" w:hAnsi="Arial" w:cs="Arial"/>
          <w:sz w:val="20"/>
        </w:rPr>
        <w:t xml:space="preserve"> – 2-3</w:t>
      </w:r>
    </w:p>
    <w:p w14:paraId="4E274D3F" w14:textId="77777777" w:rsidR="005021B5" w:rsidRDefault="005021B5">
      <w:pPr>
        <w:rPr>
          <w:rFonts w:ascii="Arial" w:hAnsi="Arial" w:cs="Arial"/>
          <w:sz w:val="20"/>
        </w:rPr>
      </w:pPr>
    </w:p>
    <w:p w14:paraId="54CB51E3" w14:textId="77777777" w:rsidR="005021B5" w:rsidRDefault="005021B5">
      <w:pPr>
        <w:numPr>
          <w:ilvl w:val="1"/>
          <w:numId w:val="37"/>
        </w:numPr>
        <w:rPr>
          <w:rFonts w:ascii="Arial" w:hAnsi="Arial" w:cs="Arial"/>
          <w:sz w:val="20"/>
        </w:rPr>
      </w:pPr>
      <w:r>
        <w:rPr>
          <w:rFonts w:ascii="Arial" w:hAnsi="Arial" w:cs="Arial"/>
          <w:b/>
          <w:bCs/>
          <w:sz w:val="20"/>
        </w:rPr>
        <w:t>Estimated implementation costs</w:t>
      </w:r>
      <w:r>
        <w:rPr>
          <w:rFonts w:ascii="Arial" w:hAnsi="Arial" w:cs="Arial"/>
          <w:sz w:val="20"/>
        </w:rPr>
        <w:t xml:space="preserve"> – $300,000 to $500,000</w:t>
      </w:r>
    </w:p>
    <w:p w14:paraId="17114FCD" w14:textId="77777777" w:rsidR="005021B5" w:rsidRDefault="005021B5">
      <w:pPr>
        <w:ind w:left="1260"/>
        <w:rPr>
          <w:rFonts w:ascii="Arial" w:hAnsi="Arial" w:cs="Arial"/>
          <w:sz w:val="20"/>
        </w:rPr>
      </w:pPr>
    </w:p>
    <w:p w14:paraId="0E2F3940" w14:textId="77777777" w:rsidR="005021B5" w:rsidRDefault="005021B5">
      <w:pPr>
        <w:numPr>
          <w:ilvl w:val="0"/>
          <w:numId w:val="38"/>
        </w:numPr>
        <w:rPr>
          <w:rFonts w:ascii="Arial" w:hAnsi="Arial" w:cs="Arial"/>
          <w:sz w:val="20"/>
        </w:rPr>
      </w:pPr>
      <w:r>
        <w:rPr>
          <w:rFonts w:ascii="Arial" w:hAnsi="Arial" w:cs="Arial"/>
          <w:b/>
          <w:bCs/>
          <w:sz w:val="20"/>
        </w:rPr>
        <w:t xml:space="preserve">Level of subjectivity / objectivity </w:t>
      </w:r>
      <w:r>
        <w:rPr>
          <w:rFonts w:ascii="Arial" w:hAnsi="Arial" w:cs="Arial"/>
          <w:sz w:val="20"/>
        </w:rPr>
        <w:t>–</w:t>
      </w:r>
      <w:r>
        <w:rPr>
          <w:rFonts w:ascii="Arial" w:hAnsi="Arial" w:cs="Arial"/>
          <w:b/>
          <w:bCs/>
          <w:sz w:val="20"/>
        </w:rPr>
        <w:t xml:space="preserve"> </w:t>
      </w:r>
      <w:r>
        <w:rPr>
          <w:rFonts w:ascii="Arial" w:hAnsi="Arial" w:cs="Arial"/>
          <w:sz w:val="20"/>
        </w:rPr>
        <w:t>The degree of subjectivity / objectivity will depend on the assessment methods used, however this method would likely be the most subjective.</w:t>
      </w:r>
    </w:p>
    <w:p w14:paraId="44B4148E" w14:textId="77777777" w:rsidR="005021B5" w:rsidRDefault="005021B5">
      <w:pPr>
        <w:ind w:left="540"/>
        <w:rPr>
          <w:rFonts w:ascii="Arial" w:hAnsi="Arial" w:cs="Arial"/>
          <w:sz w:val="20"/>
        </w:rPr>
      </w:pPr>
    </w:p>
    <w:p w14:paraId="4B85704A" w14:textId="77777777" w:rsidR="005021B5" w:rsidRDefault="005021B5">
      <w:pPr>
        <w:numPr>
          <w:ilvl w:val="0"/>
          <w:numId w:val="38"/>
        </w:numPr>
        <w:rPr>
          <w:rFonts w:ascii="Arial" w:hAnsi="Arial" w:cs="Arial"/>
          <w:sz w:val="20"/>
        </w:rPr>
      </w:pPr>
      <w:r>
        <w:rPr>
          <w:rFonts w:ascii="Arial" w:hAnsi="Arial" w:cs="Arial"/>
          <w:b/>
          <w:bCs/>
          <w:sz w:val="20"/>
        </w:rPr>
        <w:t xml:space="preserve">Subject matter expertise required </w:t>
      </w:r>
      <w:r>
        <w:rPr>
          <w:rFonts w:ascii="Arial" w:hAnsi="Arial" w:cs="Arial"/>
          <w:sz w:val="20"/>
        </w:rPr>
        <w:t>– Yes-significant</w:t>
      </w:r>
    </w:p>
    <w:p w14:paraId="5931A584" w14:textId="77777777" w:rsidR="005021B5" w:rsidRDefault="005021B5">
      <w:pPr>
        <w:rPr>
          <w:rFonts w:ascii="Arial" w:hAnsi="Arial" w:cs="Arial"/>
          <w:sz w:val="20"/>
        </w:rPr>
      </w:pPr>
    </w:p>
    <w:p w14:paraId="60A7A29A" w14:textId="77777777" w:rsidR="005021B5" w:rsidRDefault="005021B5">
      <w:pPr>
        <w:numPr>
          <w:ilvl w:val="0"/>
          <w:numId w:val="38"/>
        </w:numPr>
        <w:rPr>
          <w:rFonts w:ascii="Arial" w:hAnsi="Arial" w:cs="Arial"/>
          <w:sz w:val="20"/>
        </w:rPr>
      </w:pPr>
      <w:r>
        <w:rPr>
          <w:rFonts w:ascii="Arial" w:hAnsi="Arial" w:cs="Arial"/>
          <w:b/>
          <w:bCs/>
          <w:sz w:val="20"/>
        </w:rPr>
        <w:t xml:space="preserve">Used at other ISOs? </w:t>
      </w:r>
      <w:r>
        <w:rPr>
          <w:rFonts w:ascii="Arial" w:hAnsi="Arial" w:cs="Arial"/>
          <w:sz w:val="20"/>
        </w:rPr>
        <w:t>– No, though some use internal credit assessment and third party credit ratings to some degree.</w:t>
      </w:r>
    </w:p>
    <w:p w14:paraId="1A15CC22" w14:textId="77777777" w:rsidR="005021B5" w:rsidRDefault="005021B5">
      <w:pPr>
        <w:rPr>
          <w:rFonts w:ascii="Arial" w:hAnsi="Arial" w:cs="Arial"/>
          <w:sz w:val="20"/>
        </w:rPr>
      </w:pPr>
    </w:p>
    <w:p w14:paraId="5144F431" w14:textId="77777777" w:rsidR="005021B5" w:rsidRDefault="005021B5">
      <w:pPr>
        <w:numPr>
          <w:ilvl w:val="0"/>
          <w:numId w:val="38"/>
        </w:numPr>
        <w:rPr>
          <w:rFonts w:ascii="Arial" w:hAnsi="Arial" w:cs="Arial"/>
          <w:b/>
          <w:bCs/>
          <w:sz w:val="20"/>
        </w:rPr>
      </w:pPr>
      <w:r>
        <w:rPr>
          <w:rFonts w:ascii="Arial" w:hAnsi="Arial" w:cs="Arial"/>
          <w:b/>
          <w:bCs/>
          <w:sz w:val="20"/>
        </w:rPr>
        <w:t>Advantages compared to other methods</w:t>
      </w:r>
    </w:p>
    <w:p w14:paraId="5D58CC59" w14:textId="77777777" w:rsidR="005021B5" w:rsidRDefault="005021B5">
      <w:pPr>
        <w:ind w:left="540"/>
        <w:rPr>
          <w:rFonts w:ascii="Arial" w:hAnsi="Arial" w:cs="Arial"/>
          <w:b/>
          <w:bCs/>
          <w:sz w:val="20"/>
        </w:rPr>
      </w:pPr>
    </w:p>
    <w:p w14:paraId="32A4564A" w14:textId="77777777" w:rsidR="005021B5" w:rsidRDefault="005021B5">
      <w:pPr>
        <w:numPr>
          <w:ilvl w:val="1"/>
          <w:numId w:val="39"/>
        </w:numPr>
        <w:rPr>
          <w:rFonts w:ascii="Arial" w:hAnsi="Arial" w:cs="Arial"/>
          <w:sz w:val="20"/>
        </w:rPr>
      </w:pPr>
      <w:r>
        <w:rPr>
          <w:rFonts w:ascii="Arial" w:hAnsi="Arial" w:cs="Arial"/>
          <w:sz w:val="20"/>
        </w:rPr>
        <w:t>Implements a cap on unsecured amounts</w:t>
      </w:r>
    </w:p>
    <w:p w14:paraId="658F1432" w14:textId="77777777" w:rsidR="005021B5" w:rsidRDefault="005021B5">
      <w:pPr>
        <w:numPr>
          <w:ilvl w:val="1"/>
          <w:numId w:val="39"/>
        </w:numPr>
        <w:rPr>
          <w:rFonts w:ascii="Arial" w:hAnsi="Arial" w:cs="Arial"/>
          <w:sz w:val="20"/>
        </w:rPr>
      </w:pPr>
      <w:r>
        <w:rPr>
          <w:rFonts w:ascii="Arial" w:hAnsi="Arial" w:cs="Arial"/>
          <w:sz w:val="20"/>
        </w:rPr>
        <w:t>Moving toward a best practice solution</w:t>
      </w:r>
    </w:p>
    <w:p w14:paraId="3D06AEA9" w14:textId="77777777" w:rsidR="005021B5" w:rsidRDefault="005021B5">
      <w:pPr>
        <w:numPr>
          <w:ilvl w:val="1"/>
          <w:numId w:val="39"/>
        </w:numPr>
        <w:rPr>
          <w:rFonts w:ascii="Arial" w:hAnsi="Arial" w:cs="Arial"/>
          <w:sz w:val="20"/>
        </w:rPr>
      </w:pPr>
      <w:r>
        <w:rPr>
          <w:rFonts w:ascii="Arial" w:hAnsi="Arial" w:cs="Arial"/>
          <w:sz w:val="20"/>
        </w:rPr>
        <w:t xml:space="preserve">Improved credit risk management  </w:t>
      </w:r>
    </w:p>
    <w:p w14:paraId="446763D5" w14:textId="77777777" w:rsidR="005021B5" w:rsidRDefault="005021B5">
      <w:pPr>
        <w:ind w:left="1260"/>
        <w:rPr>
          <w:rFonts w:ascii="Arial" w:hAnsi="Arial" w:cs="Arial"/>
          <w:b/>
          <w:bCs/>
          <w:sz w:val="20"/>
        </w:rPr>
      </w:pPr>
    </w:p>
    <w:p w14:paraId="4D6DC56F" w14:textId="77777777" w:rsidR="005021B5" w:rsidRDefault="005021B5">
      <w:pPr>
        <w:numPr>
          <w:ilvl w:val="0"/>
          <w:numId w:val="41"/>
        </w:numPr>
        <w:rPr>
          <w:rFonts w:ascii="Arial" w:hAnsi="Arial" w:cs="Arial"/>
          <w:b/>
          <w:bCs/>
          <w:sz w:val="20"/>
        </w:rPr>
      </w:pPr>
      <w:r>
        <w:rPr>
          <w:rFonts w:ascii="Arial" w:hAnsi="Arial" w:cs="Arial"/>
          <w:b/>
          <w:bCs/>
          <w:sz w:val="20"/>
        </w:rPr>
        <w:t>Disadvantages compared to other methods</w:t>
      </w:r>
    </w:p>
    <w:p w14:paraId="073C121D" w14:textId="77777777" w:rsidR="005021B5" w:rsidRDefault="005021B5">
      <w:pPr>
        <w:ind w:left="540"/>
        <w:rPr>
          <w:rFonts w:ascii="Arial" w:hAnsi="Arial" w:cs="Arial"/>
          <w:b/>
          <w:bCs/>
          <w:sz w:val="20"/>
        </w:rPr>
      </w:pPr>
    </w:p>
    <w:p w14:paraId="268F8D65" w14:textId="77777777" w:rsidR="005021B5" w:rsidRDefault="005021B5">
      <w:pPr>
        <w:numPr>
          <w:ilvl w:val="0"/>
          <w:numId w:val="40"/>
        </w:numPr>
        <w:rPr>
          <w:rFonts w:ascii="Arial" w:hAnsi="Arial" w:cs="Arial"/>
          <w:sz w:val="20"/>
        </w:rPr>
      </w:pPr>
      <w:r>
        <w:rPr>
          <w:rFonts w:ascii="Arial" w:hAnsi="Arial" w:cs="Arial"/>
          <w:sz w:val="20"/>
        </w:rPr>
        <w:t xml:space="preserve">Higher costs and head count  </w:t>
      </w:r>
    </w:p>
    <w:p w14:paraId="6C3031A2" w14:textId="77777777" w:rsidR="005021B5" w:rsidRDefault="005021B5">
      <w:pPr>
        <w:numPr>
          <w:ilvl w:val="0"/>
          <w:numId w:val="40"/>
        </w:numPr>
        <w:rPr>
          <w:rFonts w:ascii="Arial" w:hAnsi="Arial" w:cs="Arial"/>
          <w:sz w:val="20"/>
        </w:rPr>
      </w:pPr>
      <w:r>
        <w:rPr>
          <w:rFonts w:ascii="Arial" w:hAnsi="Arial" w:cs="Arial"/>
          <w:sz w:val="20"/>
        </w:rPr>
        <w:t xml:space="preserve">Highest degree of subjectivity  </w:t>
      </w:r>
    </w:p>
    <w:p w14:paraId="0FECFACE" w14:textId="77777777" w:rsidR="005021B5" w:rsidRDefault="005021B5">
      <w:pPr>
        <w:numPr>
          <w:ilvl w:val="0"/>
          <w:numId w:val="40"/>
        </w:numPr>
        <w:rPr>
          <w:rFonts w:ascii="Arial" w:hAnsi="Arial" w:cs="Arial"/>
          <w:sz w:val="20"/>
        </w:rPr>
      </w:pPr>
      <w:r>
        <w:rPr>
          <w:rFonts w:ascii="Arial" w:hAnsi="Arial" w:cs="Arial"/>
          <w:sz w:val="20"/>
        </w:rPr>
        <w:t xml:space="preserve">Potentially complex and difficult to manage </w:t>
      </w:r>
    </w:p>
    <w:p w14:paraId="115E7A7E" w14:textId="77777777" w:rsidR="005021B5" w:rsidRDefault="005021B5">
      <w:pPr>
        <w:numPr>
          <w:ilvl w:val="0"/>
          <w:numId w:val="40"/>
        </w:numPr>
        <w:rPr>
          <w:rFonts w:ascii="Arial" w:hAnsi="Arial" w:cs="Arial"/>
          <w:sz w:val="20"/>
        </w:rPr>
      </w:pPr>
      <w:r>
        <w:rPr>
          <w:rFonts w:ascii="Arial" w:hAnsi="Arial" w:cs="Arial"/>
          <w:sz w:val="20"/>
        </w:rPr>
        <w:t xml:space="preserve">Potentially less transparency to market participants.  </w:t>
      </w:r>
    </w:p>
    <w:p w14:paraId="708DFC74" w14:textId="77777777" w:rsidR="005021B5" w:rsidRDefault="005021B5">
      <w:pPr>
        <w:rPr>
          <w:rFonts w:ascii="Arial" w:hAnsi="Arial" w:cs="Arial"/>
          <w:sz w:val="20"/>
        </w:rPr>
      </w:pPr>
    </w:p>
    <w:p w14:paraId="121ACF53" w14:textId="77777777" w:rsidR="005021B5" w:rsidRDefault="005021B5">
      <w:pPr>
        <w:rPr>
          <w:rFonts w:ascii="Arial" w:hAnsi="Arial" w:cs="Arial"/>
          <w:sz w:val="20"/>
        </w:rPr>
      </w:pPr>
    </w:p>
    <w:p w14:paraId="29906D42" w14:textId="77777777" w:rsidR="005021B5" w:rsidRDefault="005021B5">
      <w:pPr>
        <w:pStyle w:val="Heading5"/>
        <w:rPr>
          <w:b w:val="0"/>
          <w:bCs w:val="0"/>
          <w:sz w:val="20"/>
        </w:rPr>
      </w:pPr>
      <w:r>
        <w:rPr>
          <w:b w:val="0"/>
          <w:bCs w:val="0"/>
          <w:sz w:val="20"/>
        </w:rPr>
        <w:br w:type="page"/>
      </w:r>
    </w:p>
    <w:p w14:paraId="24BC491B" w14:textId="77777777" w:rsidR="005021B5" w:rsidRDefault="005021B5">
      <w:pPr>
        <w:pStyle w:val="Heading5"/>
        <w:ind w:left="0"/>
        <w:rPr>
          <w:sz w:val="24"/>
        </w:rPr>
      </w:pPr>
      <w:r>
        <w:rPr>
          <w:sz w:val="24"/>
        </w:rPr>
        <w:t>V.  Example of the CAISO Recommended Approach</w:t>
      </w:r>
    </w:p>
    <w:p w14:paraId="664D5943" w14:textId="77777777" w:rsidR="005021B5" w:rsidRDefault="005021B5">
      <w:pPr>
        <w:ind w:left="720"/>
        <w:rPr>
          <w:rFonts w:ascii="Arial" w:hAnsi="Arial" w:cs="Arial"/>
          <w:b/>
          <w:bCs/>
          <w:sz w:val="20"/>
        </w:rPr>
      </w:pPr>
    </w:p>
    <w:p w14:paraId="406651FB" w14:textId="77777777" w:rsidR="005021B5" w:rsidRDefault="005021B5">
      <w:pPr>
        <w:pStyle w:val="BodyTextIndent2"/>
      </w:pPr>
      <w:r>
        <w:t>A six step process is used to determine an entity’s unsecured credit limit:</w:t>
      </w:r>
    </w:p>
    <w:p w14:paraId="3063E094" w14:textId="77777777" w:rsidR="005021B5" w:rsidRDefault="005021B5">
      <w:pPr>
        <w:pStyle w:val="BodyTextIndent2"/>
        <w:rPr>
          <w:b/>
          <w:bCs/>
        </w:rPr>
      </w:pPr>
    </w:p>
    <w:p w14:paraId="02AB51CE" w14:textId="77777777" w:rsidR="005021B5" w:rsidRDefault="005021B5">
      <w:pPr>
        <w:ind w:left="720"/>
        <w:rPr>
          <w:rFonts w:ascii="Arial" w:hAnsi="Arial" w:cs="Arial"/>
          <w:sz w:val="20"/>
        </w:rPr>
      </w:pPr>
      <w:r>
        <w:rPr>
          <w:rFonts w:ascii="Arial" w:hAnsi="Arial" w:cs="Arial"/>
          <w:b/>
          <w:bCs/>
          <w:sz w:val="20"/>
        </w:rPr>
        <w:t xml:space="preserve">Step 1 – </w:t>
      </w:r>
      <w:r>
        <w:rPr>
          <w:rFonts w:ascii="Arial" w:hAnsi="Arial" w:cs="Arial"/>
          <w:sz w:val="20"/>
        </w:rPr>
        <w:t>If the participant has an Agency Rating, verify participant’s short-term or long-term credit rating with the appropriate rating agency.</w:t>
      </w:r>
    </w:p>
    <w:p w14:paraId="016DFC9E" w14:textId="77777777" w:rsidR="005021B5" w:rsidRDefault="005021B5">
      <w:pPr>
        <w:ind w:left="720"/>
        <w:rPr>
          <w:rFonts w:ascii="Arial" w:hAnsi="Arial" w:cs="Arial"/>
          <w:sz w:val="20"/>
        </w:rPr>
      </w:pPr>
    </w:p>
    <w:p w14:paraId="7380F664" w14:textId="77777777" w:rsidR="005021B5" w:rsidRDefault="005021B5">
      <w:pPr>
        <w:ind w:left="720"/>
        <w:rPr>
          <w:rFonts w:ascii="Arial" w:hAnsi="Arial" w:cs="Arial"/>
          <w:sz w:val="20"/>
        </w:rPr>
      </w:pPr>
      <w:r>
        <w:rPr>
          <w:rFonts w:ascii="Arial" w:hAnsi="Arial" w:cs="Arial"/>
          <w:b/>
          <w:bCs/>
          <w:sz w:val="20"/>
        </w:rPr>
        <w:t xml:space="preserve">Step 2 </w:t>
      </w:r>
      <w:r>
        <w:rPr>
          <w:rFonts w:ascii="Arial" w:hAnsi="Arial" w:cs="Arial"/>
          <w:sz w:val="20"/>
        </w:rPr>
        <w:t xml:space="preserve">– Obtain the participant’s Moody’s KMV default probability and the Implied Rating associated with the default probability.  </w:t>
      </w:r>
    </w:p>
    <w:p w14:paraId="3579459F" w14:textId="77777777" w:rsidR="005021B5" w:rsidRDefault="005021B5">
      <w:pPr>
        <w:ind w:left="720"/>
        <w:rPr>
          <w:rFonts w:ascii="Arial" w:hAnsi="Arial" w:cs="Arial"/>
          <w:sz w:val="20"/>
        </w:rPr>
      </w:pPr>
    </w:p>
    <w:p w14:paraId="0870AFC5" w14:textId="77777777" w:rsidR="005021B5" w:rsidRDefault="005021B5">
      <w:pPr>
        <w:ind w:left="720"/>
        <w:rPr>
          <w:rFonts w:ascii="Arial" w:hAnsi="Arial" w:cs="Arial"/>
          <w:sz w:val="20"/>
        </w:rPr>
      </w:pPr>
      <w:r>
        <w:rPr>
          <w:rFonts w:ascii="Arial" w:hAnsi="Arial" w:cs="Arial"/>
          <w:b/>
          <w:bCs/>
          <w:sz w:val="20"/>
        </w:rPr>
        <w:t>Step 3</w:t>
      </w:r>
      <w:r>
        <w:rPr>
          <w:rFonts w:ascii="Arial" w:hAnsi="Arial" w:cs="Arial"/>
          <w:sz w:val="20"/>
        </w:rPr>
        <w:t xml:space="preserve"> – Calculate a Numeric Rating Score for the Agency Rating and the Moody’s KMV Rating based on Rating Equivalency Charts.  Weight the numeric rating from the Agency scores and Moody’s KMV each by 50% for a Combined Numeric Rating Score.</w:t>
      </w:r>
    </w:p>
    <w:p w14:paraId="6613C539" w14:textId="77777777" w:rsidR="005021B5" w:rsidRDefault="005021B5">
      <w:pPr>
        <w:ind w:left="720"/>
        <w:rPr>
          <w:rFonts w:ascii="Arial" w:hAnsi="Arial" w:cs="Arial"/>
          <w:sz w:val="20"/>
        </w:rPr>
      </w:pPr>
    </w:p>
    <w:p w14:paraId="1F81FF70" w14:textId="77777777" w:rsidR="005021B5" w:rsidRDefault="005021B5">
      <w:pPr>
        <w:pStyle w:val="Heading4"/>
        <w:rPr>
          <w:b/>
          <w:bCs/>
          <w:u w:val="single"/>
        </w:rPr>
      </w:pPr>
    </w:p>
    <w:p w14:paraId="59313C76" w14:textId="77777777" w:rsidR="005021B5" w:rsidRDefault="005021B5">
      <w:pPr>
        <w:pStyle w:val="Heading4"/>
        <w:rPr>
          <w:b/>
          <w:bCs/>
          <w:u w:val="single"/>
        </w:rPr>
      </w:pPr>
      <w:r>
        <w:rPr>
          <w:b/>
          <w:bCs/>
          <w:u w:val="single"/>
        </w:rPr>
        <w:t>Credit Rating Agency Component</w:t>
      </w:r>
    </w:p>
    <w:p w14:paraId="50E94D5D" w14:textId="77777777" w:rsidR="005021B5" w:rsidRDefault="005021B5">
      <w:r>
        <w:tab/>
      </w:r>
      <w:r>
        <w:tab/>
      </w:r>
    </w:p>
    <w:p w14:paraId="2149C21A" w14:textId="77777777" w:rsidR="005021B5" w:rsidRDefault="005021B5">
      <w:pPr>
        <w:pStyle w:val="Heading6"/>
        <w:rPr>
          <w:rFonts w:cs="Arial"/>
        </w:rPr>
      </w:pPr>
      <w:r>
        <w:t>IF THE ENTITY HAS A SHORT TERM RATING, USE THIS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567"/>
        <w:gridCol w:w="1126"/>
        <w:gridCol w:w="2432"/>
      </w:tblGrid>
      <w:tr w:rsidR="005021B5" w14:paraId="4786CEC9" w14:textId="77777777">
        <w:tblPrEx>
          <w:tblCellMar>
            <w:top w:w="0" w:type="dxa"/>
            <w:bottom w:w="0" w:type="dxa"/>
          </w:tblCellMar>
        </w:tblPrEx>
        <w:trPr>
          <w:cantSplit/>
          <w:trHeight w:val="125"/>
          <w:jc w:val="center"/>
        </w:trPr>
        <w:tc>
          <w:tcPr>
            <w:tcW w:w="4218" w:type="dxa"/>
            <w:gridSpan w:val="3"/>
            <w:shd w:val="clear" w:color="auto" w:fill="D9D9D9"/>
          </w:tcPr>
          <w:p w14:paraId="25A826B4" w14:textId="77777777" w:rsidR="005021B5" w:rsidRDefault="005021B5">
            <w:pPr>
              <w:pStyle w:val="ListNumber"/>
            </w:pPr>
          </w:p>
          <w:p w14:paraId="3EE19744" w14:textId="77777777" w:rsidR="005021B5" w:rsidRDefault="005021B5">
            <w:pPr>
              <w:pStyle w:val="ListNumber"/>
            </w:pPr>
            <w:r>
              <w:t>Short-Term Agency Ratings</w:t>
            </w:r>
          </w:p>
        </w:tc>
        <w:tc>
          <w:tcPr>
            <w:tcW w:w="2432" w:type="dxa"/>
            <w:vMerge w:val="restart"/>
            <w:tcBorders>
              <w:right w:val="single" w:sz="4" w:space="0" w:color="auto"/>
            </w:tcBorders>
            <w:shd w:val="clear" w:color="auto" w:fill="D9D9D9"/>
          </w:tcPr>
          <w:p w14:paraId="6F74D74E" w14:textId="77777777" w:rsidR="005021B5" w:rsidRDefault="005021B5">
            <w:pPr>
              <w:pStyle w:val="ListNumber"/>
            </w:pPr>
          </w:p>
          <w:p w14:paraId="7074AFBD" w14:textId="77777777" w:rsidR="005021B5" w:rsidRDefault="005021B5">
            <w:pPr>
              <w:pStyle w:val="ListNumber"/>
            </w:pPr>
            <w:r>
              <w:t>Numeric Rating Score</w:t>
            </w:r>
          </w:p>
        </w:tc>
      </w:tr>
      <w:tr w:rsidR="005021B5" w14:paraId="6ADB66C9" w14:textId="77777777">
        <w:tblPrEx>
          <w:tblCellMar>
            <w:top w:w="0" w:type="dxa"/>
            <w:bottom w:w="0" w:type="dxa"/>
          </w:tblCellMar>
        </w:tblPrEx>
        <w:trPr>
          <w:cantSplit/>
          <w:trHeight w:val="125"/>
          <w:jc w:val="center"/>
        </w:trPr>
        <w:tc>
          <w:tcPr>
            <w:tcW w:w="1525" w:type="dxa"/>
            <w:shd w:val="clear" w:color="auto" w:fill="D9D9D9"/>
          </w:tcPr>
          <w:p w14:paraId="19B7C8DE" w14:textId="77777777" w:rsidR="005021B5" w:rsidRDefault="005021B5">
            <w:pPr>
              <w:pStyle w:val="ListNumber"/>
            </w:pPr>
            <w:r>
              <w:t>S&amp;P</w:t>
            </w:r>
          </w:p>
        </w:tc>
        <w:tc>
          <w:tcPr>
            <w:tcW w:w="1567" w:type="dxa"/>
            <w:shd w:val="clear" w:color="auto" w:fill="D9D9D9"/>
          </w:tcPr>
          <w:p w14:paraId="3AA1A9F1" w14:textId="77777777" w:rsidR="005021B5" w:rsidRDefault="005021B5">
            <w:pPr>
              <w:pStyle w:val="ListNumber"/>
            </w:pPr>
            <w:r>
              <w:t>Moody’s</w:t>
            </w:r>
          </w:p>
        </w:tc>
        <w:tc>
          <w:tcPr>
            <w:tcW w:w="1126" w:type="dxa"/>
            <w:shd w:val="clear" w:color="auto" w:fill="D9D9D9"/>
          </w:tcPr>
          <w:p w14:paraId="67014C5A" w14:textId="77777777" w:rsidR="005021B5" w:rsidRDefault="005021B5">
            <w:pPr>
              <w:pStyle w:val="ListNumber"/>
            </w:pPr>
            <w:r>
              <w:t>Fitch</w:t>
            </w:r>
          </w:p>
        </w:tc>
        <w:tc>
          <w:tcPr>
            <w:tcW w:w="2432" w:type="dxa"/>
            <w:vMerge/>
            <w:tcBorders>
              <w:right w:val="single" w:sz="4" w:space="0" w:color="auto"/>
            </w:tcBorders>
          </w:tcPr>
          <w:p w14:paraId="37DB15AD" w14:textId="77777777" w:rsidR="005021B5" w:rsidRDefault="005021B5">
            <w:pPr>
              <w:pStyle w:val="ListNumber"/>
            </w:pPr>
          </w:p>
        </w:tc>
      </w:tr>
      <w:tr w:rsidR="005021B5" w14:paraId="24541A5D" w14:textId="77777777">
        <w:tblPrEx>
          <w:tblCellMar>
            <w:top w:w="0" w:type="dxa"/>
            <w:bottom w:w="0" w:type="dxa"/>
          </w:tblCellMar>
        </w:tblPrEx>
        <w:trPr>
          <w:cantSplit/>
          <w:trHeight w:val="548"/>
          <w:jc w:val="center"/>
        </w:trPr>
        <w:tc>
          <w:tcPr>
            <w:tcW w:w="1525" w:type="dxa"/>
          </w:tcPr>
          <w:p w14:paraId="7E031E28" w14:textId="77777777" w:rsidR="005021B5" w:rsidRDefault="005021B5">
            <w:pPr>
              <w:pStyle w:val="ListNumber"/>
            </w:pPr>
            <w:r>
              <w:t>A-1 or higher</w:t>
            </w:r>
          </w:p>
        </w:tc>
        <w:tc>
          <w:tcPr>
            <w:tcW w:w="1567" w:type="dxa"/>
          </w:tcPr>
          <w:p w14:paraId="58A8EF86" w14:textId="77777777" w:rsidR="005021B5" w:rsidRDefault="005021B5">
            <w:pPr>
              <w:pStyle w:val="ListNumber"/>
            </w:pPr>
            <w:r>
              <w:t>P-1 or higher</w:t>
            </w:r>
          </w:p>
        </w:tc>
        <w:tc>
          <w:tcPr>
            <w:tcW w:w="1126" w:type="dxa"/>
          </w:tcPr>
          <w:p w14:paraId="63F9BF6B" w14:textId="77777777" w:rsidR="005021B5" w:rsidRDefault="005021B5">
            <w:pPr>
              <w:pStyle w:val="ListNumber"/>
            </w:pPr>
            <w:r>
              <w:t>F-1 or higher</w:t>
            </w:r>
          </w:p>
        </w:tc>
        <w:tc>
          <w:tcPr>
            <w:tcW w:w="2432" w:type="dxa"/>
            <w:tcBorders>
              <w:right w:val="single" w:sz="4" w:space="0" w:color="auto"/>
            </w:tcBorders>
          </w:tcPr>
          <w:p w14:paraId="7F31609B" w14:textId="77777777" w:rsidR="005021B5" w:rsidRDefault="005021B5">
            <w:pPr>
              <w:pStyle w:val="ListNumber"/>
            </w:pPr>
            <w:r>
              <w:t>2</w:t>
            </w:r>
          </w:p>
        </w:tc>
      </w:tr>
      <w:tr w:rsidR="005021B5" w14:paraId="0091E5B7" w14:textId="77777777">
        <w:tblPrEx>
          <w:tblCellMar>
            <w:top w:w="0" w:type="dxa"/>
            <w:bottom w:w="0" w:type="dxa"/>
          </w:tblCellMar>
        </w:tblPrEx>
        <w:trPr>
          <w:cantSplit/>
          <w:trHeight w:val="125"/>
          <w:jc w:val="center"/>
        </w:trPr>
        <w:tc>
          <w:tcPr>
            <w:tcW w:w="1525" w:type="dxa"/>
          </w:tcPr>
          <w:p w14:paraId="49842598" w14:textId="77777777" w:rsidR="005021B5" w:rsidRDefault="005021B5">
            <w:pPr>
              <w:pStyle w:val="ListNumber"/>
            </w:pPr>
            <w:r>
              <w:t>A-2</w:t>
            </w:r>
          </w:p>
        </w:tc>
        <w:tc>
          <w:tcPr>
            <w:tcW w:w="1567" w:type="dxa"/>
          </w:tcPr>
          <w:p w14:paraId="6DA320D1" w14:textId="77777777" w:rsidR="005021B5" w:rsidRDefault="005021B5">
            <w:pPr>
              <w:pStyle w:val="ListNumber"/>
            </w:pPr>
            <w:r>
              <w:t>P-2</w:t>
            </w:r>
          </w:p>
        </w:tc>
        <w:tc>
          <w:tcPr>
            <w:tcW w:w="1126" w:type="dxa"/>
          </w:tcPr>
          <w:p w14:paraId="262EE1A5" w14:textId="77777777" w:rsidR="005021B5" w:rsidRDefault="005021B5">
            <w:pPr>
              <w:pStyle w:val="ListNumber"/>
            </w:pPr>
            <w:r>
              <w:t>F-2</w:t>
            </w:r>
          </w:p>
        </w:tc>
        <w:tc>
          <w:tcPr>
            <w:tcW w:w="2432" w:type="dxa"/>
            <w:tcBorders>
              <w:right w:val="single" w:sz="4" w:space="0" w:color="auto"/>
            </w:tcBorders>
          </w:tcPr>
          <w:p w14:paraId="6F934A2F" w14:textId="77777777" w:rsidR="005021B5" w:rsidRDefault="005021B5">
            <w:pPr>
              <w:pStyle w:val="ListNumber"/>
            </w:pPr>
            <w:r>
              <w:t>4</w:t>
            </w:r>
          </w:p>
        </w:tc>
      </w:tr>
      <w:tr w:rsidR="005021B5" w14:paraId="2F3E9FF5" w14:textId="77777777">
        <w:tblPrEx>
          <w:tblCellMar>
            <w:top w:w="0" w:type="dxa"/>
            <w:bottom w:w="0" w:type="dxa"/>
          </w:tblCellMar>
        </w:tblPrEx>
        <w:trPr>
          <w:cantSplit/>
          <w:trHeight w:val="125"/>
          <w:jc w:val="center"/>
        </w:trPr>
        <w:tc>
          <w:tcPr>
            <w:tcW w:w="1525" w:type="dxa"/>
          </w:tcPr>
          <w:p w14:paraId="78263BAC" w14:textId="77777777" w:rsidR="005021B5" w:rsidRDefault="005021B5">
            <w:pPr>
              <w:pStyle w:val="ListNumber"/>
            </w:pPr>
            <w:r>
              <w:t>A-3</w:t>
            </w:r>
          </w:p>
        </w:tc>
        <w:tc>
          <w:tcPr>
            <w:tcW w:w="1567" w:type="dxa"/>
          </w:tcPr>
          <w:p w14:paraId="6DCC3D67" w14:textId="77777777" w:rsidR="005021B5" w:rsidRDefault="005021B5">
            <w:pPr>
              <w:pStyle w:val="ListNumber"/>
            </w:pPr>
            <w:r>
              <w:t>P-3</w:t>
            </w:r>
          </w:p>
        </w:tc>
        <w:tc>
          <w:tcPr>
            <w:tcW w:w="1126" w:type="dxa"/>
          </w:tcPr>
          <w:p w14:paraId="4F5C90D4" w14:textId="77777777" w:rsidR="005021B5" w:rsidRDefault="005021B5">
            <w:pPr>
              <w:pStyle w:val="ListNumber"/>
            </w:pPr>
            <w:r>
              <w:t>F-3</w:t>
            </w:r>
          </w:p>
        </w:tc>
        <w:tc>
          <w:tcPr>
            <w:tcW w:w="2432" w:type="dxa"/>
            <w:tcBorders>
              <w:right w:val="single" w:sz="4" w:space="0" w:color="auto"/>
            </w:tcBorders>
          </w:tcPr>
          <w:p w14:paraId="2D2CEAF6" w14:textId="77777777" w:rsidR="005021B5" w:rsidRDefault="005021B5">
            <w:pPr>
              <w:pStyle w:val="ListNumber"/>
            </w:pPr>
            <w:r>
              <w:t>6</w:t>
            </w:r>
          </w:p>
        </w:tc>
      </w:tr>
      <w:tr w:rsidR="005021B5" w14:paraId="32D8439A" w14:textId="77777777">
        <w:tblPrEx>
          <w:tblCellMar>
            <w:top w:w="0" w:type="dxa"/>
            <w:bottom w:w="0" w:type="dxa"/>
          </w:tblCellMar>
        </w:tblPrEx>
        <w:trPr>
          <w:cantSplit/>
          <w:trHeight w:val="125"/>
          <w:jc w:val="center"/>
        </w:trPr>
        <w:tc>
          <w:tcPr>
            <w:tcW w:w="1525" w:type="dxa"/>
          </w:tcPr>
          <w:p w14:paraId="108B4383" w14:textId="77777777" w:rsidR="005021B5" w:rsidRDefault="005021B5">
            <w:pPr>
              <w:pStyle w:val="ListNumber"/>
            </w:pPr>
            <w:r>
              <w:t>Lower than A-3</w:t>
            </w:r>
          </w:p>
        </w:tc>
        <w:tc>
          <w:tcPr>
            <w:tcW w:w="1567" w:type="dxa"/>
          </w:tcPr>
          <w:p w14:paraId="49A9B355" w14:textId="77777777" w:rsidR="005021B5" w:rsidRDefault="005021B5">
            <w:pPr>
              <w:pStyle w:val="ListNumber"/>
            </w:pPr>
            <w:r>
              <w:t>Lower than P-3</w:t>
            </w:r>
          </w:p>
        </w:tc>
        <w:tc>
          <w:tcPr>
            <w:tcW w:w="1126" w:type="dxa"/>
          </w:tcPr>
          <w:p w14:paraId="0E51AD4E" w14:textId="77777777" w:rsidR="005021B5" w:rsidRDefault="005021B5">
            <w:pPr>
              <w:pStyle w:val="ListNumber"/>
            </w:pPr>
            <w:r>
              <w:t>Lower than F-3</w:t>
            </w:r>
          </w:p>
        </w:tc>
        <w:tc>
          <w:tcPr>
            <w:tcW w:w="2432" w:type="dxa"/>
            <w:tcBorders>
              <w:right w:val="single" w:sz="4" w:space="0" w:color="auto"/>
            </w:tcBorders>
          </w:tcPr>
          <w:p w14:paraId="6E72529D" w14:textId="77777777" w:rsidR="005021B5" w:rsidRDefault="005021B5">
            <w:pPr>
              <w:pStyle w:val="ListNumber"/>
            </w:pPr>
            <w:r>
              <w:t>6 + (1 for each additional fine grade notch lower)</w:t>
            </w:r>
          </w:p>
        </w:tc>
      </w:tr>
    </w:tbl>
    <w:p w14:paraId="2DA63A72" w14:textId="77777777" w:rsidR="005021B5" w:rsidRDefault="005021B5">
      <w:pPr>
        <w:ind w:left="720"/>
        <w:rPr>
          <w:rFonts w:ascii="Arial" w:hAnsi="Arial" w:cs="Arial"/>
          <w:sz w:val="20"/>
        </w:rPr>
      </w:pPr>
    </w:p>
    <w:p w14:paraId="5D1CF689" w14:textId="77777777" w:rsidR="005021B5" w:rsidRDefault="005021B5">
      <w:pPr>
        <w:jc w:val="center"/>
        <w:rPr>
          <w:rFonts w:ascii="Arial" w:hAnsi="Arial" w:cs="Arial"/>
          <w:sz w:val="20"/>
        </w:rPr>
      </w:pPr>
      <w:r>
        <w:rPr>
          <w:rFonts w:ascii="Arial Narrow" w:hAnsi="Arial Narrow"/>
          <w:b/>
          <w:bCs/>
          <w:sz w:val="20"/>
        </w:rPr>
        <w:t>IF THE ENTITY HAS A LONG-TERM RATING, USE THIS TABLE</w:t>
      </w:r>
    </w:p>
    <w:tbl>
      <w:tblPr>
        <w:tblW w:w="6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1873"/>
        <w:gridCol w:w="2511"/>
      </w:tblGrid>
      <w:tr w:rsidR="005021B5" w14:paraId="48335A6E" w14:textId="77777777">
        <w:tblPrEx>
          <w:tblCellMar>
            <w:top w:w="0" w:type="dxa"/>
            <w:bottom w:w="0" w:type="dxa"/>
          </w:tblCellMar>
        </w:tblPrEx>
        <w:trPr>
          <w:cantSplit/>
          <w:trHeight w:val="900"/>
          <w:jc w:val="center"/>
        </w:trPr>
        <w:tc>
          <w:tcPr>
            <w:tcW w:w="3906" w:type="dxa"/>
            <w:gridSpan w:val="2"/>
            <w:shd w:val="clear" w:color="auto" w:fill="D9D9D9"/>
          </w:tcPr>
          <w:p w14:paraId="3B2ADEC8" w14:textId="77777777" w:rsidR="005021B5" w:rsidRDefault="005021B5">
            <w:pPr>
              <w:pStyle w:val="ListNumber"/>
            </w:pPr>
          </w:p>
          <w:p w14:paraId="76B15F8B" w14:textId="77777777" w:rsidR="005021B5" w:rsidRDefault="005021B5">
            <w:pPr>
              <w:pStyle w:val="ListNumber"/>
            </w:pPr>
            <w:r>
              <w:t>Issuer Rating</w:t>
            </w:r>
          </w:p>
        </w:tc>
        <w:tc>
          <w:tcPr>
            <w:tcW w:w="2511" w:type="dxa"/>
            <w:vMerge w:val="restart"/>
            <w:tcBorders>
              <w:right w:val="single" w:sz="4" w:space="0" w:color="auto"/>
            </w:tcBorders>
            <w:shd w:val="clear" w:color="auto" w:fill="D9D9D9"/>
          </w:tcPr>
          <w:p w14:paraId="0DAB3CE1" w14:textId="77777777" w:rsidR="005021B5" w:rsidRDefault="005021B5">
            <w:pPr>
              <w:pStyle w:val="ListNumber"/>
            </w:pPr>
          </w:p>
          <w:p w14:paraId="7D4B2E12" w14:textId="77777777" w:rsidR="005021B5" w:rsidRDefault="005021B5">
            <w:pPr>
              <w:pStyle w:val="ListNumber"/>
            </w:pPr>
            <w:r>
              <w:t>Numeric Rating Score</w:t>
            </w:r>
          </w:p>
        </w:tc>
      </w:tr>
      <w:tr w:rsidR="005021B5" w14:paraId="16365415" w14:textId="77777777">
        <w:tblPrEx>
          <w:tblCellMar>
            <w:top w:w="0" w:type="dxa"/>
            <w:bottom w:w="0" w:type="dxa"/>
          </w:tblCellMar>
        </w:tblPrEx>
        <w:trPr>
          <w:cantSplit/>
          <w:trHeight w:val="467"/>
          <w:jc w:val="center"/>
        </w:trPr>
        <w:tc>
          <w:tcPr>
            <w:tcW w:w="2033" w:type="dxa"/>
            <w:shd w:val="clear" w:color="auto" w:fill="D9D9D9"/>
          </w:tcPr>
          <w:p w14:paraId="75210B65" w14:textId="77777777" w:rsidR="005021B5" w:rsidRDefault="005021B5">
            <w:pPr>
              <w:pStyle w:val="ListNumber"/>
            </w:pPr>
            <w:r>
              <w:t>S&amp;P, Fitch and Dominion</w:t>
            </w:r>
          </w:p>
        </w:tc>
        <w:tc>
          <w:tcPr>
            <w:tcW w:w="1873" w:type="dxa"/>
            <w:shd w:val="clear" w:color="auto" w:fill="D9D9D9"/>
          </w:tcPr>
          <w:p w14:paraId="0FBF0EF1" w14:textId="77777777" w:rsidR="005021B5" w:rsidRDefault="005021B5">
            <w:pPr>
              <w:pStyle w:val="ListNumber"/>
            </w:pPr>
            <w:r>
              <w:t>Moody’s</w:t>
            </w:r>
          </w:p>
        </w:tc>
        <w:tc>
          <w:tcPr>
            <w:tcW w:w="2511" w:type="dxa"/>
            <w:vMerge/>
            <w:tcBorders>
              <w:right w:val="single" w:sz="4" w:space="0" w:color="auto"/>
            </w:tcBorders>
            <w:shd w:val="clear" w:color="auto" w:fill="D9D9D9"/>
          </w:tcPr>
          <w:p w14:paraId="2FACE0BC" w14:textId="77777777" w:rsidR="005021B5" w:rsidRDefault="005021B5">
            <w:pPr>
              <w:pStyle w:val="ListNumber"/>
            </w:pPr>
          </w:p>
        </w:tc>
      </w:tr>
      <w:tr w:rsidR="005021B5" w14:paraId="064B065A" w14:textId="77777777">
        <w:tblPrEx>
          <w:tblCellMar>
            <w:top w:w="0" w:type="dxa"/>
            <w:bottom w:w="0" w:type="dxa"/>
          </w:tblCellMar>
        </w:tblPrEx>
        <w:trPr>
          <w:cantSplit/>
          <w:trHeight w:val="278"/>
          <w:jc w:val="center"/>
        </w:trPr>
        <w:tc>
          <w:tcPr>
            <w:tcW w:w="2033" w:type="dxa"/>
          </w:tcPr>
          <w:p w14:paraId="3D445D8E" w14:textId="77777777" w:rsidR="005021B5" w:rsidRDefault="005021B5">
            <w:pPr>
              <w:pStyle w:val="ListNumber"/>
            </w:pPr>
            <w:r>
              <w:t>AA- or higher</w:t>
            </w:r>
          </w:p>
        </w:tc>
        <w:tc>
          <w:tcPr>
            <w:tcW w:w="1873" w:type="dxa"/>
          </w:tcPr>
          <w:p w14:paraId="02C5E5B5" w14:textId="77777777" w:rsidR="005021B5" w:rsidRDefault="005021B5">
            <w:pPr>
              <w:pStyle w:val="ListNumber"/>
            </w:pPr>
            <w:r>
              <w:t>Aa3 or higher</w:t>
            </w:r>
          </w:p>
        </w:tc>
        <w:tc>
          <w:tcPr>
            <w:tcW w:w="2511" w:type="dxa"/>
            <w:tcBorders>
              <w:right w:val="single" w:sz="4" w:space="0" w:color="auto"/>
            </w:tcBorders>
          </w:tcPr>
          <w:p w14:paraId="7D0A116A" w14:textId="77777777" w:rsidR="005021B5" w:rsidRDefault="005021B5">
            <w:pPr>
              <w:pStyle w:val="ListNumber"/>
            </w:pPr>
            <w:r>
              <w:t>1</w:t>
            </w:r>
          </w:p>
        </w:tc>
      </w:tr>
      <w:tr w:rsidR="005021B5" w14:paraId="13F5B19D" w14:textId="77777777">
        <w:tblPrEx>
          <w:tblCellMar>
            <w:top w:w="0" w:type="dxa"/>
            <w:bottom w:w="0" w:type="dxa"/>
          </w:tblCellMar>
        </w:tblPrEx>
        <w:trPr>
          <w:cantSplit/>
          <w:trHeight w:val="332"/>
          <w:jc w:val="center"/>
        </w:trPr>
        <w:tc>
          <w:tcPr>
            <w:tcW w:w="2033" w:type="dxa"/>
          </w:tcPr>
          <w:p w14:paraId="073F5209" w14:textId="77777777" w:rsidR="005021B5" w:rsidRDefault="005021B5">
            <w:pPr>
              <w:pStyle w:val="ListNumber"/>
            </w:pPr>
            <w:r>
              <w:t>A+</w:t>
            </w:r>
          </w:p>
        </w:tc>
        <w:tc>
          <w:tcPr>
            <w:tcW w:w="1873" w:type="dxa"/>
          </w:tcPr>
          <w:p w14:paraId="233AE49C" w14:textId="77777777" w:rsidR="005021B5" w:rsidRDefault="005021B5">
            <w:pPr>
              <w:pStyle w:val="ListNumber"/>
            </w:pPr>
            <w:r>
              <w:t>A1</w:t>
            </w:r>
          </w:p>
        </w:tc>
        <w:tc>
          <w:tcPr>
            <w:tcW w:w="2511" w:type="dxa"/>
            <w:tcBorders>
              <w:right w:val="single" w:sz="4" w:space="0" w:color="auto"/>
            </w:tcBorders>
          </w:tcPr>
          <w:p w14:paraId="2560F723" w14:textId="77777777" w:rsidR="005021B5" w:rsidRDefault="005021B5">
            <w:pPr>
              <w:pStyle w:val="ListNumber"/>
            </w:pPr>
            <w:r>
              <w:t>2</w:t>
            </w:r>
          </w:p>
        </w:tc>
      </w:tr>
      <w:tr w:rsidR="005021B5" w14:paraId="22470D8D" w14:textId="77777777">
        <w:tblPrEx>
          <w:tblCellMar>
            <w:top w:w="0" w:type="dxa"/>
            <w:bottom w:w="0" w:type="dxa"/>
          </w:tblCellMar>
        </w:tblPrEx>
        <w:trPr>
          <w:cantSplit/>
          <w:trHeight w:val="125"/>
          <w:jc w:val="center"/>
        </w:trPr>
        <w:tc>
          <w:tcPr>
            <w:tcW w:w="2033" w:type="dxa"/>
          </w:tcPr>
          <w:p w14:paraId="53AB9AD7" w14:textId="77777777" w:rsidR="005021B5" w:rsidRDefault="005021B5">
            <w:pPr>
              <w:pStyle w:val="ListNumber"/>
            </w:pPr>
            <w:r>
              <w:t>A</w:t>
            </w:r>
          </w:p>
        </w:tc>
        <w:tc>
          <w:tcPr>
            <w:tcW w:w="1873" w:type="dxa"/>
          </w:tcPr>
          <w:p w14:paraId="79601CE4" w14:textId="77777777" w:rsidR="005021B5" w:rsidRDefault="005021B5">
            <w:pPr>
              <w:pStyle w:val="ListNumber"/>
            </w:pPr>
            <w:r>
              <w:t>A2</w:t>
            </w:r>
          </w:p>
        </w:tc>
        <w:tc>
          <w:tcPr>
            <w:tcW w:w="2511" w:type="dxa"/>
            <w:tcBorders>
              <w:right w:val="single" w:sz="4" w:space="0" w:color="auto"/>
            </w:tcBorders>
          </w:tcPr>
          <w:p w14:paraId="77416184" w14:textId="77777777" w:rsidR="005021B5" w:rsidRDefault="005021B5">
            <w:pPr>
              <w:pStyle w:val="ListNumber"/>
            </w:pPr>
            <w:r>
              <w:t>3</w:t>
            </w:r>
          </w:p>
        </w:tc>
      </w:tr>
      <w:tr w:rsidR="005021B5" w14:paraId="120D25E3" w14:textId="77777777">
        <w:tblPrEx>
          <w:tblCellMar>
            <w:top w:w="0" w:type="dxa"/>
            <w:bottom w:w="0" w:type="dxa"/>
          </w:tblCellMar>
        </w:tblPrEx>
        <w:trPr>
          <w:cantSplit/>
          <w:trHeight w:val="125"/>
          <w:jc w:val="center"/>
        </w:trPr>
        <w:tc>
          <w:tcPr>
            <w:tcW w:w="2033" w:type="dxa"/>
          </w:tcPr>
          <w:p w14:paraId="1ADF92CC" w14:textId="77777777" w:rsidR="005021B5" w:rsidRDefault="005021B5">
            <w:pPr>
              <w:pStyle w:val="ListNumber"/>
            </w:pPr>
            <w:r>
              <w:t>A-</w:t>
            </w:r>
          </w:p>
        </w:tc>
        <w:tc>
          <w:tcPr>
            <w:tcW w:w="1873" w:type="dxa"/>
          </w:tcPr>
          <w:p w14:paraId="0E0F54E9" w14:textId="77777777" w:rsidR="005021B5" w:rsidRDefault="005021B5">
            <w:pPr>
              <w:pStyle w:val="ListNumber"/>
            </w:pPr>
            <w:r>
              <w:t>A3</w:t>
            </w:r>
          </w:p>
        </w:tc>
        <w:tc>
          <w:tcPr>
            <w:tcW w:w="2511" w:type="dxa"/>
            <w:tcBorders>
              <w:right w:val="single" w:sz="4" w:space="0" w:color="auto"/>
            </w:tcBorders>
          </w:tcPr>
          <w:p w14:paraId="7D3915FA" w14:textId="77777777" w:rsidR="005021B5" w:rsidRDefault="005021B5">
            <w:pPr>
              <w:pStyle w:val="ListNumber"/>
            </w:pPr>
            <w:r>
              <w:t>4</w:t>
            </w:r>
          </w:p>
        </w:tc>
      </w:tr>
      <w:tr w:rsidR="005021B5" w14:paraId="7FAAF8DB" w14:textId="77777777">
        <w:tblPrEx>
          <w:tblCellMar>
            <w:top w:w="0" w:type="dxa"/>
            <w:bottom w:w="0" w:type="dxa"/>
          </w:tblCellMar>
        </w:tblPrEx>
        <w:trPr>
          <w:cantSplit/>
          <w:trHeight w:val="125"/>
          <w:jc w:val="center"/>
        </w:trPr>
        <w:tc>
          <w:tcPr>
            <w:tcW w:w="2033" w:type="dxa"/>
          </w:tcPr>
          <w:p w14:paraId="1D7337EE" w14:textId="77777777" w:rsidR="005021B5" w:rsidRDefault="005021B5">
            <w:pPr>
              <w:pStyle w:val="ListNumber"/>
            </w:pPr>
            <w:r>
              <w:t>BBB+</w:t>
            </w:r>
          </w:p>
        </w:tc>
        <w:tc>
          <w:tcPr>
            <w:tcW w:w="1873" w:type="dxa"/>
          </w:tcPr>
          <w:p w14:paraId="68355D5B" w14:textId="77777777" w:rsidR="005021B5" w:rsidRDefault="005021B5">
            <w:pPr>
              <w:pStyle w:val="ListNumber"/>
            </w:pPr>
            <w:r>
              <w:t>Baa1</w:t>
            </w:r>
          </w:p>
        </w:tc>
        <w:tc>
          <w:tcPr>
            <w:tcW w:w="2511" w:type="dxa"/>
            <w:tcBorders>
              <w:right w:val="single" w:sz="4" w:space="0" w:color="auto"/>
            </w:tcBorders>
          </w:tcPr>
          <w:p w14:paraId="624B593A" w14:textId="77777777" w:rsidR="005021B5" w:rsidRDefault="005021B5">
            <w:pPr>
              <w:pStyle w:val="ListNumber"/>
            </w:pPr>
            <w:r>
              <w:t>5</w:t>
            </w:r>
          </w:p>
        </w:tc>
      </w:tr>
      <w:tr w:rsidR="005021B5" w14:paraId="720A6AAF" w14:textId="77777777">
        <w:tblPrEx>
          <w:tblCellMar>
            <w:top w:w="0" w:type="dxa"/>
            <w:bottom w:w="0" w:type="dxa"/>
          </w:tblCellMar>
        </w:tblPrEx>
        <w:trPr>
          <w:cantSplit/>
          <w:trHeight w:val="125"/>
          <w:jc w:val="center"/>
        </w:trPr>
        <w:tc>
          <w:tcPr>
            <w:tcW w:w="2033" w:type="dxa"/>
          </w:tcPr>
          <w:p w14:paraId="5D19F440" w14:textId="77777777" w:rsidR="005021B5" w:rsidRDefault="005021B5">
            <w:pPr>
              <w:pStyle w:val="ListNumber"/>
            </w:pPr>
            <w:r>
              <w:t>BBB</w:t>
            </w:r>
          </w:p>
        </w:tc>
        <w:tc>
          <w:tcPr>
            <w:tcW w:w="1873" w:type="dxa"/>
          </w:tcPr>
          <w:p w14:paraId="47BC1D7B" w14:textId="77777777" w:rsidR="005021B5" w:rsidRDefault="005021B5">
            <w:pPr>
              <w:pStyle w:val="ListNumber"/>
            </w:pPr>
            <w:r>
              <w:t>Baa2</w:t>
            </w:r>
          </w:p>
        </w:tc>
        <w:tc>
          <w:tcPr>
            <w:tcW w:w="2511" w:type="dxa"/>
            <w:tcBorders>
              <w:right w:val="single" w:sz="4" w:space="0" w:color="auto"/>
            </w:tcBorders>
          </w:tcPr>
          <w:p w14:paraId="16C3D68C" w14:textId="77777777" w:rsidR="005021B5" w:rsidRDefault="005021B5">
            <w:pPr>
              <w:pStyle w:val="ListNumber"/>
            </w:pPr>
            <w:r>
              <w:t>6</w:t>
            </w:r>
          </w:p>
        </w:tc>
      </w:tr>
      <w:tr w:rsidR="005021B5" w14:paraId="205AD8CB" w14:textId="77777777">
        <w:tblPrEx>
          <w:tblCellMar>
            <w:top w:w="0" w:type="dxa"/>
            <w:bottom w:w="0" w:type="dxa"/>
          </w:tblCellMar>
        </w:tblPrEx>
        <w:trPr>
          <w:cantSplit/>
          <w:trHeight w:val="125"/>
          <w:jc w:val="center"/>
        </w:trPr>
        <w:tc>
          <w:tcPr>
            <w:tcW w:w="2033" w:type="dxa"/>
          </w:tcPr>
          <w:p w14:paraId="14ABB3C3" w14:textId="77777777" w:rsidR="005021B5" w:rsidRDefault="005021B5">
            <w:pPr>
              <w:pStyle w:val="ListNumber"/>
            </w:pPr>
            <w:r>
              <w:t>Lower than BBB</w:t>
            </w:r>
          </w:p>
        </w:tc>
        <w:tc>
          <w:tcPr>
            <w:tcW w:w="1873" w:type="dxa"/>
          </w:tcPr>
          <w:p w14:paraId="1A1C00CE" w14:textId="77777777" w:rsidR="005021B5" w:rsidRDefault="005021B5">
            <w:pPr>
              <w:pStyle w:val="ListNumber"/>
            </w:pPr>
            <w:r>
              <w:t>Lower than Baa2</w:t>
            </w:r>
          </w:p>
        </w:tc>
        <w:tc>
          <w:tcPr>
            <w:tcW w:w="2511" w:type="dxa"/>
            <w:tcBorders>
              <w:right w:val="single" w:sz="4" w:space="0" w:color="auto"/>
            </w:tcBorders>
          </w:tcPr>
          <w:p w14:paraId="3F57A4D2" w14:textId="77777777" w:rsidR="005021B5" w:rsidRDefault="005021B5">
            <w:pPr>
              <w:pStyle w:val="ListNumber"/>
            </w:pPr>
            <w:r>
              <w:t>6 + (1 for each fine grade notch lower)</w:t>
            </w:r>
          </w:p>
        </w:tc>
      </w:tr>
    </w:tbl>
    <w:p w14:paraId="583BA8AE" w14:textId="77777777" w:rsidR="005021B5" w:rsidRDefault="005021B5">
      <w:pPr>
        <w:ind w:left="720"/>
        <w:rPr>
          <w:rFonts w:ascii="Arial" w:hAnsi="Arial" w:cs="Arial"/>
          <w:sz w:val="20"/>
        </w:rPr>
      </w:pPr>
    </w:p>
    <w:p w14:paraId="03C2F940" w14:textId="77777777" w:rsidR="005021B5" w:rsidRDefault="005021B5">
      <w:pPr>
        <w:ind w:left="720"/>
        <w:rPr>
          <w:rFonts w:ascii="Arial" w:hAnsi="Arial" w:cs="Arial"/>
          <w:sz w:val="20"/>
        </w:rPr>
      </w:pPr>
    </w:p>
    <w:p w14:paraId="69E0BE26" w14:textId="77777777" w:rsidR="005021B5" w:rsidRDefault="005021B5">
      <w:pPr>
        <w:ind w:left="720"/>
        <w:rPr>
          <w:rFonts w:ascii="Arial" w:hAnsi="Arial" w:cs="Arial"/>
          <w:sz w:val="20"/>
        </w:rPr>
      </w:pPr>
      <w:r>
        <w:rPr>
          <w:rFonts w:ascii="Arial" w:hAnsi="Arial" w:cs="Arial"/>
          <w:sz w:val="20"/>
        </w:rPr>
        <w:lastRenderedPageBreak/>
        <w:t>If the participant has ratings from more than one agency, or both short-term and long-term ratings, a single composite numeric rating score would be calculated.  For example,  the participant has a Moody’s long-term rating of A2, and a Standard &amp; Poor’s Rating of BBB+.  The composite numeric score would be calculated as (2 + 5 ) / 2, or 4.</w:t>
      </w:r>
    </w:p>
    <w:p w14:paraId="6DEBB6F5" w14:textId="77777777" w:rsidR="005021B5" w:rsidRDefault="005021B5">
      <w:pPr>
        <w:ind w:left="720"/>
        <w:rPr>
          <w:rFonts w:ascii="Arial" w:hAnsi="Arial" w:cs="Arial"/>
          <w:sz w:val="20"/>
        </w:rPr>
      </w:pPr>
    </w:p>
    <w:p w14:paraId="06D6B836" w14:textId="77777777" w:rsidR="005021B5" w:rsidRDefault="005021B5">
      <w:pPr>
        <w:ind w:left="720"/>
        <w:rPr>
          <w:rFonts w:ascii="Arial" w:hAnsi="Arial" w:cs="Arial"/>
          <w:sz w:val="20"/>
        </w:rPr>
      </w:pPr>
      <w:r>
        <w:rPr>
          <w:rFonts w:ascii="Arial" w:hAnsi="Arial" w:cs="Arial"/>
          <w:sz w:val="20"/>
        </w:rPr>
        <w:t>Issuer ratings would be used in this assessment.  If an entity had a “senior long-term unsecured rating” instead of an issuer rating, the numeric rating score for that rating would be increased by 1 (as obligations to the ISO have a lower claim priority than senior unsecured debt).</w:t>
      </w:r>
    </w:p>
    <w:p w14:paraId="7665B5F9" w14:textId="77777777" w:rsidR="005021B5" w:rsidRDefault="005021B5">
      <w:pPr>
        <w:ind w:left="720"/>
        <w:rPr>
          <w:rFonts w:ascii="Arial" w:hAnsi="Arial" w:cs="Arial"/>
          <w:sz w:val="20"/>
        </w:rPr>
      </w:pPr>
    </w:p>
    <w:p w14:paraId="370300CD" w14:textId="77777777" w:rsidR="005021B5" w:rsidRDefault="005021B5">
      <w:pPr>
        <w:ind w:left="720"/>
        <w:rPr>
          <w:rFonts w:ascii="Arial" w:hAnsi="Arial" w:cs="Arial"/>
          <w:sz w:val="20"/>
        </w:rPr>
      </w:pPr>
    </w:p>
    <w:p w14:paraId="09428F51" w14:textId="77777777" w:rsidR="005021B5" w:rsidRDefault="005021B5">
      <w:pPr>
        <w:pStyle w:val="Heading4"/>
        <w:rPr>
          <w:b/>
          <w:bCs/>
          <w:u w:val="single"/>
        </w:rPr>
      </w:pPr>
      <w:r>
        <w:rPr>
          <w:b/>
          <w:bCs/>
          <w:u w:val="single"/>
        </w:rPr>
        <w:t>Moody’s KMV component</w:t>
      </w:r>
    </w:p>
    <w:p w14:paraId="5980DDE8" w14:textId="77777777" w:rsidR="005021B5" w:rsidRDefault="005021B5">
      <w:pPr>
        <w:ind w:left="720"/>
        <w:rPr>
          <w:rFonts w:ascii="Arial" w:hAnsi="Arial" w:cs="Arial"/>
          <w:sz w:val="20"/>
        </w:rPr>
      </w:pPr>
    </w:p>
    <w:p w14:paraId="3FCDF20F" w14:textId="77777777" w:rsidR="005021B5" w:rsidRDefault="005021B5">
      <w:pPr>
        <w:ind w:left="720"/>
        <w:rPr>
          <w:rFonts w:ascii="Arial" w:hAnsi="Arial" w:cs="Arial"/>
          <w:sz w:val="20"/>
        </w:rPr>
      </w:pPr>
    </w:p>
    <w:tbl>
      <w:tblPr>
        <w:tblW w:w="3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7"/>
        <w:gridCol w:w="1892"/>
      </w:tblGrid>
      <w:tr w:rsidR="005021B5" w14:paraId="36D2344C" w14:textId="77777777">
        <w:tblPrEx>
          <w:tblCellMar>
            <w:top w:w="0" w:type="dxa"/>
            <w:bottom w:w="0" w:type="dxa"/>
          </w:tblCellMar>
        </w:tblPrEx>
        <w:trPr>
          <w:cantSplit/>
          <w:trHeight w:val="449"/>
          <w:jc w:val="center"/>
        </w:trPr>
        <w:tc>
          <w:tcPr>
            <w:tcW w:w="1977" w:type="dxa"/>
            <w:vMerge w:val="restart"/>
            <w:tcBorders>
              <w:right w:val="single" w:sz="4" w:space="0" w:color="auto"/>
            </w:tcBorders>
            <w:shd w:val="clear" w:color="auto" w:fill="D9D9D9"/>
          </w:tcPr>
          <w:p w14:paraId="5ACC0F0D" w14:textId="77777777" w:rsidR="005021B5" w:rsidRDefault="005021B5">
            <w:pPr>
              <w:pStyle w:val="ListNumber"/>
            </w:pPr>
          </w:p>
          <w:p w14:paraId="616A4B40" w14:textId="77777777" w:rsidR="005021B5" w:rsidRDefault="005021B5">
            <w:pPr>
              <w:pStyle w:val="ListNumber"/>
            </w:pPr>
          </w:p>
          <w:p w14:paraId="45D5B4CF" w14:textId="77777777" w:rsidR="005021B5" w:rsidRDefault="005021B5">
            <w:pPr>
              <w:pStyle w:val="ListNumber"/>
            </w:pPr>
          </w:p>
          <w:p w14:paraId="32864BE2" w14:textId="77777777" w:rsidR="005021B5" w:rsidRDefault="005021B5">
            <w:pPr>
              <w:pStyle w:val="ListNumber"/>
            </w:pPr>
            <w:r>
              <w:t>Moody’s KMV Rating</w:t>
            </w:r>
          </w:p>
        </w:tc>
        <w:tc>
          <w:tcPr>
            <w:tcW w:w="1892" w:type="dxa"/>
            <w:vMerge w:val="restart"/>
            <w:tcBorders>
              <w:right w:val="single" w:sz="4" w:space="0" w:color="auto"/>
            </w:tcBorders>
            <w:shd w:val="clear" w:color="auto" w:fill="D9D9D9"/>
          </w:tcPr>
          <w:p w14:paraId="6519D90B" w14:textId="77777777" w:rsidR="005021B5" w:rsidRDefault="005021B5">
            <w:pPr>
              <w:pStyle w:val="ListNumber"/>
            </w:pPr>
          </w:p>
          <w:p w14:paraId="2BA860D3" w14:textId="77777777" w:rsidR="005021B5" w:rsidRDefault="005021B5">
            <w:pPr>
              <w:pStyle w:val="ListNumber"/>
            </w:pPr>
          </w:p>
          <w:p w14:paraId="759752B8" w14:textId="77777777" w:rsidR="005021B5" w:rsidRDefault="005021B5">
            <w:pPr>
              <w:pStyle w:val="ListNumber"/>
            </w:pPr>
          </w:p>
          <w:p w14:paraId="494D5567" w14:textId="77777777" w:rsidR="005021B5" w:rsidRDefault="005021B5">
            <w:pPr>
              <w:pStyle w:val="ListNumber"/>
            </w:pPr>
            <w:r>
              <w:t>Numeric Rating Score</w:t>
            </w:r>
          </w:p>
        </w:tc>
      </w:tr>
      <w:tr w:rsidR="005021B5" w14:paraId="3FA39A0F" w14:textId="77777777">
        <w:tblPrEx>
          <w:tblCellMar>
            <w:top w:w="0" w:type="dxa"/>
            <w:bottom w:w="0" w:type="dxa"/>
          </w:tblCellMar>
        </w:tblPrEx>
        <w:trPr>
          <w:cantSplit/>
          <w:trHeight w:val="900"/>
          <w:jc w:val="center"/>
        </w:trPr>
        <w:tc>
          <w:tcPr>
            <w:tcW w:w="1977" w:type="dxa"/>
            <w:vMerge/>
            <w:tcBorders>
              <w:right w:val="single" w:sz="4" w:space="0" w:color="auto"/>
            </w:tcBorders>
          </w:tcPr>
          <w:p w14:paraId="392D2652" w14:textId="77777777" w:rsidR="005021B5" w:rsidRDefault="005021B5">
            <w:pPr>
              <w:pStyle w:val="ListNumber"/>
            </w:pPr>
          </w:p>
        </w:tc>
        <w:tc>
          <w:tcPr>
            <w:tcW w:w="1892" w:type="dxa"/>
            <w:vMerge/>
            <w:tcBorders>
              <w:right w:val="single" w:sz="4" w:space="0" w:color="auto"/>
            </w:tcBorders>
          </w:tcPr>
          <w:p w14:paraId="1423E20C" w14:textId="77777777" w:rsidR="005021B5" w:rsidRDefault="005021B5">
            <w:pPr>
              <w:pStyle w:val="ListNumber"/>
            </w:pPr>
          </w:p>
        </w:tc>
      </w:tr>
      <w:tr w:rsidR="005021B5" w14:paraId="41D55D64" w14:textId="77777777">
        <w:tblPrEx>
          <w:tblCellMar>
            <w:top w:w="0" w:type="dxa"/>
            <w:bottom w:w="0" w:type="dxa"/>
          </w:tblCellMar>
        </w:tblPrEx>
        <w:trPr>
          <w:cantSplit/>
          <w:trHeight w:val="900"/>
          <w:jc w:val="center"/>
        </w:trPr>
        <w:tc>
          <w:tcPr>
            <w:tcW w:w="1977" w:type="dxa"/>
            <w:vMerge/>
            <w:tcBorders>
              <w:right w:val="single" w:sz="4" w:space="0" w:color="auto"/>
            </w:tcBorders>
          </w:tcPr>
          <w:p w14:paraId="025A1808" w14:textId="77777777" w:rsidR="005021B5" w:rsidRDefault="005021B5">
            <w:pPr>
              <w:pStyle w:val="ListNumber"/>
            </w:pPr>
          </w:p>
        </w:tc>
        <w:tc>
          <w:tcPr>
            <w:tcW w:w="1892" w:type="dxa"/>
            <w:vMerge/>
            <w:tcBorders>
              <w:right w:val="single" w:sz="4" w:space="0" w:color="auto"/>
            </w:tcBorders>
          </w:tcPr>
          <w:p w14:paraId="55589191" w14:textId="77777777" w:rsidR="005021B5" w:rsidRDefault="005021B5">
            <w:pPr>
              <w:pStyle w:val="ListNumber"/>
            </w:pPr>
          </w:p>
        </w:tc>
      </w:tr>
      <w:tr w:rsidR="005021B5" w14:paraId="73A82B0A" w14:textId="77777777">
        <w:tblPrEx>
          <w:tblCellMar>
            <w:top w:w="0" w:type="dxa"/>
            <w:bottom w:w="0" w:type="dxa"/>
          </w:tblCellMar>
        </w:tblPrEx>
        <w:trPr>
          <w:cantSplit/>
          <w:trHeight w:val="125"/>
          <w:jc w:val="center"/>
        </w:trPr>
        <w:tc>
          <w:tcPr>
            <w:tcW w:w="1977" w:type="dxa"/>
          </w:tcPr>
          <w:p w14:paraId="316C9D85" w14:textId="77777777" w:rsidR="005021B5" w:rsidRDefault="005021B5">
            <w:pPr>
              <w:pStyle w:val="ListNumber"/>
            </w:pPr>
            <w:r>
              <w:t>Aa3 or higher</w:t>
            </w:r>
          </w:p>
        </w:tc>
        <w:tc>
          <w:tcPr>
            <w:tcW w:w="1892" w:type="dxa"/>
            <w:tcBorders>
              <w:right w:val="single" w:sz="4" w:space="0" w:color="auto"/>
            </w:tcBorders>
          </w:tcPr>
          <w:p w14:paraId="2EE3C924" w14:textId="77777777" w:rsidR="005021B5" w:rsidRDefault="005021B5">
            <w:pPr>
              <w:pStyle w:val="ListNumber"/>
            </w:pPr>
            <w:r>
              <w:t>1</w:t>
            </w:r>
          </w:p>
        </w:tc>
      </w:tr>
      <w:tr w:rsidR="005021B5" w14:paraId="4544E39D" w14:textId="77777777">
        <w:tblPrEx>
          <w:tblCellMar>
            <w:top w:w="0" w:type="dxa"/>
            <w:bottom w:w="0" w:type="dxa"/>
          </w:tblCellMar>
        </w:tblPrEx>
        <w:trPr>
          <w:cantSplit/>
          <w:trHeight w:val="125"/>
          <w:jc w:val="center"/>
        </w:trPr>
        <w:tc>
          <w:tcPr>
            <w:tcW w:w="1977" w:type="dxa"/>
          </w:tcPr>
          <w:p w14:paraId="15880AFB" w14:textId="77777777" w:rsidR="005021B5" w:rsidRDefault="005021B5">
            <w:pPr>
              <w:pStyle w:val="ListNumber"/>
            </w:pPr>
            <w:r>
              <w:t>A1</w:t>
            </w:r>
          </w:p>
        </w:tc>
        <w:tc>
          <w:tcPr>
            <w:tcW w:w="1892" w:type="dxa"/>
            <w:tcBorders>
              <w:right w:val="single" w:sz="4" w:space="0" w:color="auto"/>
            </w:tcBorders>
          </w:tcPr>
          <w:p w14:paraId="1F1A0BD6" w14:textId="77777777" w:rsidR="005021B5" w:rsidRDefault="005021B5">
            <w:pPr>
              <w:pStyle w:val="ListNumber"/>
            </w:pPr>
            <w:r>
              <w:t>2</w:t>
            </w:r>
          </w:p>
        </w:tc>
      </w:tr>
      <w:tr w:rsidR="005021B5" w14:paraId="29E015A8" w14:textId="77777777">
        <w:tblPrEx>
          <w:tblCellMar>
            <w:top w:w="0" w:type="dxa"/>
            <w:bottom w:w="0" w:type="dxa"/>
          </w:tblCellMar>
        </w:tblPrEx>
        <w:trPr>
          <w:cantSplit/>
          <w:trHeight w:val="125"/>
          <w:jc w:val="center"/>
        </w:trPr>
        <w:tc>
          <w:tcPr>
            <w:tcW w:w="1977" w:type="dxa"/>
          </w:tcPr>
          <w:p w14:paraId="7EDCD3D3" w14:textId="77777777" w:rsidR="005021B5" w:rsidRDefault="005021B5">
            <w:pPr>
              <w:pStyle w:val="ListNumber"/>
            </w:pPr>
            <w:r>
              <w:t>A2</w:t>
            </w:r>
          </w:p>
        </w:tc>
        <w:tc>
          <w:tcPr>
            <w:tcW w:w="1892" w:type="dxa"/>
            <w:tcBorders>
              <w:right w:val="single" w:sz="4" w:space="0" w:color="auto"/>
            </w:tcBorders>
          </w:tcPr>
          <w:p w14:paraId="78B74507" w14:textId="77777777" w:rsidR="005021B5" w:rsidRDefault="005021B5">
            <w:pPr>
              <w:pStyle w:val="ListNumber"/>
            </w:pPr>
            <w:r>
              <w:t>3</w:t>
            </w:r>
          </w:p>
        </w:tc>
      </w:tr>
      <w:tr w:rsidR="005021B5" w14:paraId="414C9C53" w14:textId="77777777">
        <w:tblPrEx>
          <w:tblCellMar>
            <w:top w:w="0" w:type="dxa"/>
            <w:bottom w:w="0" w:type="dxa"/>
          </w:tblCellMar>
        </w:tblPrEx>
        <w:trPr>
          <w:cantSplit/>
          <w:trHeight w:val="125"/>
          <w:jc w:val="center"/>
        </w:trPr>
        <w:tc>
          <w:tcPr>
            <w:tcW w:w="1977" w:type="dxa"/>
          </w:tcPr>
          <w:p w14:paraId="14AB881B" w14:textId="77777777" w:rsidR="005021B5" w:rsidRDefault="005021B5">
            <w:pPr>
              <w:pStyle w:val="ListNumber"/>
            </w:pPr>
            <w:r>
              <w:t>A3</w:t>
            </w:r>
          </w:p>
        </w:tc>
        <w:tc>
          <w:tcPr>
            <w:tcW w:w="1892" w:type="dxa"/>
            <w:tcBorders>
              <w:right w:val="single" w:sz="4" w:space="0" w:color="auto"/>
            </w:tcBorders>
          </w:tcPr>
          <w:p w14:paraId="13911E85" w14:textId="77777777" w:rsidR="005021B5" w:rsidRDefault="005021B5">
            <w:pPr>
              <w:pStyle w:val="ListNumber"/>
            </w:pPr>
            <w:r>
              <w:t>4</w:t>
            </w:r>
          </w:p>
        </w:tc>
      </w:tr>
      <w:tr w:rsidR="005021B5" w14:paraId="5EC1521F" w14:textId="77777777">
        <w:tblPrEx>
          <w:tblCellMar>
            <w:top w:w="0" w:type="dxa"/>
            <w:bottom w:w="0" w:type="dxa"/>
          </w:tblCellMar>
        </w:tblPrEx>
        <w:trPr>
          <w:cantSplit/>
          <w:trHeight w:val="125"/>
          <w:jc w:val="center"/>
        </w:trPr>
        <w:tc>
          <w:tcPr>
            <w:tcW w:w="1977" w:type="dxa"/>
          </w:tcPr>
          <w:p w14:paraId="3315E4FC" w14:textId="77777777" w:rsidR="005021B5" w:rsidRDefault="005021B5">
            <w:pPr>
              <w:pStyle w:val="ListNumber"/>
            </w:pPr>
            <w:r>
              <w:t>Baa1</w:t>
            </w:r>
          </w:p>
        </w:tc>
        <w:tc>
          <w:tcPr>
            <w:tcW w:w="1892" w:type="dxa"/>
            <w:tcBorders>
              <w:right w:val="single" w:sz="4" w:space="0" w:color="auto"/>
            </w:tcBorders>
          </w:tcPr>
          <w:p w14:paraId="69FE604D" w14:textId="77777777" w:rsidR="005021B5" w:rsidRDefault="005021B5">
            <w:pPr>
              <w:pStyle w:val="ListNumber"/>
            </w:pPr>
            <w:r>
              <w:t>5</w:t>
            </w:r>
          </w:p>
        </w:tc>
      </w:tr>
      <w:tr w:rsidR="005021B5" w14:paraId="474DE564" w14:textId="77777777">
        <w:tblPrEx>
          <w:tblCellMar>
            <w:top w:w="0" w:type="dxa"/>
            <w:bottom w:w="0" w:type="dxa"/>
          </w:tblCellMar>
        </w:tblPrEx>
        <w:trPr>
          <w:cantSplit/>
          <w:trHeight w:val="125"/>
          <w:jc w:val="center"/>
        </w:trPr>
        <w:tc>
          <w:tcPr>
            <w:tcW w:w="1977" w:type="dxa"/>
          </w:tcPr>
          <w:p w14:paraId="39785B89" w14:textId="77777777" w:rsidR="005021B5" w:rsidRDefault="005021B5">
            <w:pPr>
              <w:pStyle w:val="ListNumber"/>
            </w:pPr>
            <w:r>
              <w:t>Baa2</w:t>
            </w:r>
          </w:p>
        </w:tc>
        <w:tc>
          <w:tcPr>
            <w:tcW w:w="1892" w:type="dxa"/>
            <w:tcBorders>
              <w:right w:val="single" w:sz="4" w:space="0" w:color="auto"/>
            </w:tcBorders>
          </w:tcPr>
          <w:p w14:paraId="595C5C4D" w14:textId="77777777" w:rsidR="005021B5" w:rsidRDefault="005021B5">
            <w:pPr>
              <w:pStyle w:val="ListNumber"/>
            </w:pPr>
            <w:r>
              <w:t>6</w:t>
            </w:r>
          </w:p>
        </w:tc>
      </w:tr>
      <w:tr w:rsidR="005021B5" w14:paraId="4357050F" w14:textId="77777777">
        <w:tblPrEx>
          <w:tblCellMar>
            <w:top w:w="0" w:type="dxa"/>
            <w:bottom w:w="0" w:type="dxa"/>
          </w:tblCellMar>
        </w:tblPrEx>
        <w:trPr>
          <w:cantSplit/>
          <w:trHeight w:val="125"/>
          <w:jc w:val="center"/>
        </w:trPr>
        <w:tc>
          <w:tcPr>
            <w:tcW w:w="1977" w:type="dxa"/>
          </w:tcPr>
          <w:p w14:paraId="12660AFE" w14:textId="77777777" w:rsidR="005021B5" w:rsidRDefault="005021B5">
            <w:pPr>
              <w:pStyle w:val="ListNumber"/>
            </w:pPr>
            <w:r>
              <w:t>Lower than Baa2</w:t>
            </w:r>
          </w:p>
        </w:tc>
        <w:tc>
          <w:tcPr>
            <w:tcW w:w="1892" w:type="dxa"/>
            <w:tcBorders>
              <w:right w:val="single" w:sz="4" w:space="0" w:color="auto"/>
            </w:tcBorders>
          </w:tcPr>
          <w:p w14:paraId="6FC067B2" w14:textId="77777777" w:rsidR="005021B5" w:rsidRDefault="005021B5">
            <w:pPr>
              <w:pStyle w:val="ListNumber"/>
            </w:pPr>
            <w:r>
              <w:t>6 + (1 for each fine grade notch lower)</w:t>
            </w:r>
          </w:p>
        </w:tc>
      </w:tr>
    </w:tbl>
    <w:p w14:paraId="7C69F1C7" w14:textId="77777777" w:rsidR="005021B5" w:rsidRDefault="005021B5">
      <w:pPr>
        <w:ind w:left="720"/>
        <w:rPr>
          <w:rFonts w:ascii="Arial" w:hAnsi="Arial" w:cs="Arial"/>
          <w:sz w:val="20"/>
        </w:rPr>
      </w:pPr>
    </w:p>
    <w:p w14:paraId="076D5DA0" w14:textId="77777777" w:rsidR="005021B5" w:rsidRDefault="005021B5">
      <w:pPr>
        <w:ind w:left="720"/>
        <w:rPr>
          <w:rFonts w:ascii="Arial" w:hAnsi="Arial" w:cs="Arial"/>
          <w:sz w:val="20"/>
        </w:rPr>
      </w:pPr>
    </w:p>
    <w:p w14:paraId="09AD8032" w14:textId="77777777" w:rsidR="005021B5" w:rsidRDefault="005021B5">
      <w:pPr>
        <w:ind w:left="720"/>
        <w:rPr>
          <w:rFonts w:ascii="Arial" w:hAnsi="Arial" w:cs="Arial"/>
          <w:sz w:val="20"/>
        </w:rPr>
      </w:pPr>
    </w:p>
    <w:p w14:paraId="601BB310" w14:textId="77777777" w:rsidR="005021B5" w:rsidRDefault="005021B5">
      <w:pPr>
        <w:pStyle w:val="BodyTextIndent2"/>
      </w:pPr>
      <w:r>
        <w:t>For example, if the participant had an “A1” Moody’s KMV Rating, the Combined Numeric Rating Score would be (50%*4)+(50%*2)= 3.0</w:t>
      </w:r>
    </w:p>
    <w:p w14:paraId="21B14FCC" w14:textId="77777777" w:rsidR="005021B5" w:rsidRDefault="005021B5">
      <w:pPr>
        <w:pStyle w:val="BodyTextIndent2"/>
      </w:pPr>
    </w:p>
    <w:p w14:paraId="2A4EF690" w14:textId="77777777" w:rsidR="005021B5" w:rsidRDefault="005021B5">
      <w:pPr>
        <w:rPr>
          <w:rFonts w:ascii="Arial" w:hAnsi="Arial" w:cs="Arial"/>
          <w:sz w:val="20"/>
        </w:rPr>
      </w:pPr>
    </w:p>
    <w:p w14:paraId="3255C7A8" w14:textId="77777777" w:rsidR="005021B5" w:rsidRDefault="005021B5">
      <w:pPr>
        <w:ind w:left="720"/>
        <w:rPr>
          <w:rFonts w:ascii="Arial" w:hAnsi="Arial" w:cs="Arial"/>
          <w:sz w:val="20"/>
        </w:rPr>
      </w:pPr>
      <w:r>
        <w:rPr>
          <w:rFonts w:ascii="Arial" w:hAnsi="Arial" w:cs="Arial"/>
          <w:b/>
          <w:bCs/>
          <w:sz w:val="20"/>
        </w:rPr>
        <w:t>Step 4</w:t>
      </w:r>
      <w:r>
        <w:rPr>
          <w:rFonts w:ascii="Arial" w:hAnsi="Arial" w:cs="Arial"/>
          <w:sz w:val="20"/>
        </w:rPr>
        <w:t xml:space="preserve"> –  Use the Combined Numeric Rating Score to obtain the percentage of tangible net worth to be used for the Initial Unsecured Credit Limit.</w:t>
      </w:r>
      <w:r>
        <w:rPr>
          <w:rStyle w:val="FootnoteReference"/>
          <w:rFonts w:ascii="Arial" w:hAnsi="Arial" w:cs="Arial"/>
          <w:sz w:val="20"/>
        </w:rPr>
        <w:footnoteReference w:id="2"/>
      </w:r>
      <w:r>
        <w:rPr>
          <w:rFonts w:ascii="Arial" w:hAnsi="Arial" w:cs="Arial"/>
          <w:sz w:val="20"/>
        </w:rPr>
        <w:t>:</w:t>
      </w:r>
    </w:p>
    <w:p w14:paraId="1FD94D9A" w14:textId="77777777" w:rsidR="005021B5" w:rsidRDefault="005021B5">
      <w:pPr>
        <w:rPr>
          <w:rFonts w:ascii="Arial" w:hAnsi="Arial" w:cs="Arial"/>
          <w:sz w:val="20"/>
        </w:rPr>
      </w:pPr>
    </w:p>
    <w:p w14:paraId="6E82D10D" w14:textId="77777777" w:rsidR="005021B5" w:rsidRDefault="005021B5">
      <w:pPr>
        <w:rPr>
          <w:rFonts w:ascii="Arial" w:hAnsi="Arial" w:cs="Arial"/>
          <w:sz w:val="20"/>
        </w:rPr>
      </w:pPr>
    </w:p>
    <w:tbl>
      <w:tblPr>
        <w:tblW w:w="3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2340"/>
      </w:tblGrid>
      <w:tr w:rsidR="005021B5" w14:paraId="2A40EABA" w14:textId="77777777">
        <w:tblPrEx>
          <w:tblCellMar>
            <w:top w:w="0" w:type="dxa"/>
            <w:bottom w:w="0" w:type="dxa"/>
          </w:tblCellMar>
        </w:tblPrEx>
        <w:trPr>
          <w:cantSplit/>
          <w:trHeight w:val="125"/>
          <w:jc w:val="center"/>
        </w:trPr>
        <w:tc>
          <w:tcPr>
            <w:tcW w:w="1080" w:type="dxa"/>
          </w:tcPr>
          <w:p w14:paraId="2B9AE433" w14:textId="77777777" w:rsidR="005021B5" w:rsidRDefault="005021B5">
            <w:pPr>
              <w:pStyle w:val="ListNumber"/>
            </w:pPr>
            <w:r>
              <w:t xml:space="preserve">Combined Numeric Rating Score </w:t>
            </w:r>
          </w:p>
        </w:tc>
        <w:tc>
          <w:tcPr>
            <w:tcW w:w="2340" w:type="dxa"/>
            <w:tcBorders>
              <w:right w:val="single" w:sz="4" w:space="0" w:color="auto"/>
            </w:tcBorders>
          </w:tcPr>
          <w:p w14:paraId="70313165" w14:textId="77777777" w:rsidR="005021B5" w:rsidRDefault="005021B5">
            <w:pPr>
              <w:pStyle w:val="ListNumber"/>
            </w:pPr>
            <w:r>
              <w:t>(% of Tangible Net Worth) to be used to calculate the Initial Unsecured Credit Limit</w:t>
            </w:r>
          </w:p>
        </w:tc>
      </w:tr>
      <w:tr w:rsidR="005021B5" w14:paraId="539708DD" w14:textId="77777777">
        <w:tblPrEx>
          <w:tblCellMar>
            <w:top w:w="0" w:type="dxa"/>
            <w:bottom w:w="0" w:type="dxa"/>
          </w:tblCellMar>
        </w:tblPrEx>
        <w:trPr>
          <w:cantSplit/>
          <w:trHeight w:val="125"/>
          <w:jc w:val="center"/>
        </w:trPr>
        <w:tc>
          <w:tcPr>
            <w:tcW w:w="1080" w:type="dxa"/>
          </w:tcPr>
          <w:p w14:paraId="17799EF0" w14:textId="77777777" w:rsidR="005021B5" w:rsidRDefault="005021B5">
            <w:pPr>
              <w:pStyle w:val="ListNumber"/>
            </w:pPr>
            <w:r>
              <w:t>&lt; 1.5</w:t>
            </w:r>
          </w:p>
        </w:tc>
        <w:tc>
          <w:tcPr>
            <w:tcW w:w="2340" w:type="dxa"/>
            <w:tcBorders>
              <w:right w:val="single" w:sz="4" w:space="0" w:color="auto"/>
            </w:tcBorders>
          </w:tcPr>
          <w:p w14:paraId="2FD32DF6" w14:textId="77777777" w:rsidR="005021B5" w:rsidRDefault="005021B5">
            <w:pPr>
              <w:pStyle w:val="ListNumber"/>
            </w:pPr>
            <w:r>
              <w:t>7.5%</w:t>
            </w:r>
          </w:p>
        </w:tc>
      </w:tr>
      <w:tr w:rsidR="005021B5" w14:paraId="114240C4" w14:textId="77777777">
        <w:tblPrEx>
          <w:tblCellMar>
            <w:top w:w="0" w:type="dxa"/>
            <w:bottom w:w="0" w:type="dxa"/>
          </w:tblCellMar>
        </w:tblPrEx>
        <w:trPr>
          <w:cantSplit/>
          <w:trHeight w:val="125"/>
          <w:jc w:val="center"/>
        </w:trPr>
        <w:tc>
          <w:tcPr>
            <w:tcW w:w="1080" w:type="dxa"/>
          </w:tcPr>
          <w:p w14:paraId="643BDF99" w14:textId="77777777" w:rsidR="005021B5" w:rsidRDefault="005021B5">
            <w:pPr>
              <w:pStyle w:val="ListNumber"/>
            </w:pPr>
            <w:r>
              <w:lastRenderedPageBreak/>
              <w:t>&gt;=1.5 and &lt; 2.5</w:t>
            </w:r>
          </w:p>
        </w:tc>
        <w:tc>
          <w:tcPr>
            <w:tcW w:w="2340" w:type="dxa"/>
            <w:tcBorders>
              <w:right w:val="single" w:sz="4" w:space="0" w:color="auto"/>
            </w:tcBorders>
          </w:tcPr>
          <w:p w14:paraId="67FDDE33" w14:textId="77777777" w:rsidR="005021B5" w:rsidRDefault="005021B5">
            <w:pPr>
              <w:pStyle w:val="ListNumber"/>
            </w:pPr>
            <w:r>
              <w:t>6.5%</w:t>
            </w:r>
          </w:p>
        </w:tc>
      </w:tr>
      <w:tr w:rsidR="005021B5" w14:paraId="1C561E49" w14:textId="77777777">
        <w:tblPrEx>
          <w:tblCellMar>
            <w:top w:w="0" w:type="dxa"/>
            <w:bottom w:w="0" w:type="dxa"/>
          </w:tblCellMar>
        </w:tblPrEx>
        <w:trPr>
          <w:cantSplit/>
          <w:trHeight w:val="125"/>
          <w:jc w:val="center"/>
        </w:trPr>
        <w:tc>
          <w:tcPr>
            <w:tcW w:w="1080" w:type="dxa"/>
          </w:tcPr>
          <w:p w14:paraId="35BB6ACF" w14:textId="77777777" w:rsidR="005021B5" w:rsidRDefault="005021B5">
            <w:pPr>
              <w:pStyle w:val="ListNumber"/>
            </w:pPr>
            <w:r>
              <w:t>&gt;=2.5 and &lt;3.5</w:t>
            </w:r>
          </w:p>
        </w:tc>
        <w:tc>
          <w:tcPr>
            <w:tcW w:w="2340" w:type="dxa"/>
            <w:tcBorders>
              <w:right w:val="single" w:sz="4" w:space="0" w:color="auto"/>
            </w:tcBorders>
          </w:tcPr>
          <w:p w14:paraId="71FD453D" w14:textId="77777777" w:rsidR="005021B5" w:rsidRDefault="005021B5">
            <w:pPr>
              <w:pStyle w:val="ListNumber"/>
            </w:pPr>
            <w:r>
              <w:t>5.0%</w:t>
            </w:r>
          </w:p>
        </w:tc>
      </w:tr>
      <w:tr w:rsidR="005021B5" w14:paraId="0BA9D9DC" w14:textId="77777777">
        <w:tblPrEx>
          <w:tblCellMar>
            <w:top w:w="0" w:type="dxa"/>
            <w:bottom w:w="0" w:type="dxa"/>
          </w:tblCellMar>
        </w:tblPrEx>
        <w:trPr>
          <w:cantSplit/>
          <w:trHeight w:val="125"/>
          <w:jc w:val="center"/>
        </w:trPr>
        <w:tc>
          <w:tcPr>
            <w:tcW w:w="1080" w:type="dxa"/>
          </w:tcPr>
          <w:p w14:paraId="2ED4AA5E" w14:textId="77777777" w:rsidR="005021B5" w:rsidRDefault="005021B5">
            <w:pPr>
              <w:pStyle w:val="ListNumber"/>
            </w:pPr>
            <w:r>
              <w:t>&gt;=3.5 and &lt; 4.5</w:t>
            </w:r>
          </w:p>
        </w:tc>
        <w:tc>
          <w:tcPr>
            <w:tcW w:w="2340" w:type="dxa"/>
            <w:tcBorders>
              <w:right w:val="single" w:sz="4" w:space="0" w:color="auto"/>
            </w:tcBorders>
          </w:tcPr>
          <w:p w14:paraId="2F989571" w14:textId="77777777" w:rsidR="005021B5" w:rsidRDefault="005021B5">
            <w:pPr>
              <w:pStyle w:val="ListNumber"/>
            </w:pPr>
            <w:r>
              <w:t>4.0%</w:t>
            </w:r>
          </w:p>
        </w:tc>
      </w:tr>
      <w:tr w:rsidR="005021B5" w14:paraId="0459E1AA" w14:textId="77777777">
        <w:tblPrEx>
          <w:tblCellMar>
            <w:top w:w="0" w:type="dxa"/>
            <w:bottom w:w="0" w:type="dxa"/>
          </w:tblCellMar>
        </w:tblPrEx>
        <w:trPr>
          <w:cantSplit/>
          <w:trHeight w:val="125"/>
          <w:jc w:val="center"/>
        </w:trPr>
        <w:tc>
          <w:tcPr>
            <w:tcW w:w="1080" w:type="dxa"/>
          </w:tcPr>
          <w:p w14:paraId="0E177D2E" w14:textId="77777777" w:rsidR="005021B5" w:rsidRDefault="005021B5">
            <w:pPr>
              <w:pStyle w:val="ListNumber"/>
            </w:pPr>
            <w:r>
              <w:t>&gt;=4.5 and &lt; 5.5</w:t>
            </w:r>
          </w:p>
        </w:tc>
        <w:tc>
          <w:tcPr>
            <w:tcW w:w="2340" w:type="dxa"/>
            <w:tcBorders>
              <w:right w:val="single" w:sz="4" w:space="0" w:color="auto"/>
            </w:tcBorders>
          </w:tcPr>
          <w:p w14:paraId="362A004A" w14:textId="77777777" w:rsidR="005021B5" w:rsidRDefault="005021B5">
            <w:pPr>
              <w:pStyle w:val="ListNumber"/>
            </w:pPr>
            <w:r>
              <w:t>2.5%</w:t>
            </w:r>
          </w:p>
        </w:tc>
      </w:tr>
      <w:tr w:rsidR="005021B5" w14:paraId="2D8F7E75" w14:textId="77777777">
        <w:tblPrEx>
          <w:tblCellMar>
            <w:top w:w="0" w:type="dxa"/>
            <w:bottom w:w="0" w:type="dxa"/>
          </w:tblCellMar>
        </w:tblPrEx>
        <w:trPr>
          <w:cantSplit/>
          <w:trHeight w:val="125"/>
          <w:jc w:val="center"/>
        </w:trPr>
        <w:tc>
          <w:tcPr>
            <w:tcW w:w="1080" w:type="dxa"/>
          </w:tcPr>
          <w:p w14:paraId="0732F4E1" w14:textId="77777777" w:rsidR="005021B5" w:rsidRDefault="005021B5">
            <w:pPr>
              <w:pStyle w:val="ListNumber"/>
            </w:pPr>
            <w:r>
              <w:t>&gt;=5.5 and &lt;6.5</w:t>
            </w:r>
          </w:p>
        </w:tc>
        <w:tc>
          <w:tcPr>
            <w:tcW w:w="2340" w:type="dxa"/>
            <w:tcBorders>
              <w:right w:val="single" w:sz="4" w:space="0" w:color="auto"/>
            </w:tcBorders>
          </w:tcPr>
          <w:p w14:paraId="48E8FF1B" w14:textId="77777777" w:rsidR="005021B5" w:rsidRDefault="005021B5">
            <w:pPr>
              <w:pStyle w:val="ListNumber"/>
            </w:pPr>
            <w:r>
              <w:t>1.5%</w:t>
            </w:r>
          </w:p>
        </w:tc>
      </w:tr>
      <w:tr w:rsidR="005021B5" w14:paraId="0503FB58" w14:textId="77777777">
        <w:tblPrEx>
          <w:tblCellMar>
            <w:top w:w="0" w:type="dxa"/>
            <w:bottom w:w="0" w:type="dxa"/>
          </w:tblCellMar>
        </w:tblPrEx>
        <w:trPr>
          <w:cantSplit/>
          <w:trHeight w:val="125"/>
          <w:jc w:val="center"/>
        </w:trPr>
        <w:tc>
          <w:tcPr>
            <w:tcW w:w="1080" w:type="dxa"/>
            <w:tcBorders>
              <w:bottom w:val="single" w:sz="4" w:space="0" w:color="auto"/>
            </w:tcBorders>
          </w:tcPr>
          <w:p w14:paraId="74F32B90" w14:textId="77777777" w:rsidR="005021B5" w:rsidRDefault="005021B5">
            <w:pPr>
              <w:pStyle w:val="ListNumber"/>
            </w:pPr>
            <w:r>
              <w:t>&gt;=7</w:t>
            </w:r>
          </w:p>
        </w:tc>
        <w:tc>
          <w:tcPr>
            <w:tcW w:w="2340" w:type="dxa"/>
            <w:tcBorders>
              <w:bottom w:val="single" w:sz="4" w:space="0" w:color="auto"/>
              <w:right w:val="single" w:sz="4" w:space="0" w:color="auto"/>
            </w:tcBorders>
          </w:tcPr>
          <w:p w14:paraId="2FDB2415" w14:textId="77777777" w:rsidR="005021B5" w:rsidRDefault="005021B5">
            <w:pPr>
              <w:pStyle w:val="ListNumber"/>
            </w:pPr>
            <w:r>
              <w:t>0%</w:t>
            </w:r>
          </w:p>
        </w:tc>
      </w:tr>
    </w:tbl>
    <w:p w14:paraId="04CE1DEA" w14:textId="77777777" w:rsidR="005021B5" w:rsidRDefault="005021B5">
      <w:pPr>
        <w:rPr>
          <w:rFonts w:ascii="Arial" w:hAnsi="Arial" w:cs="Arial"/>
          <w:sz w:val="20"/>
        </w:rPr>
      </w:pPr>
    </w:p>
    <w:p w14:paraId="725E3D4C" w14:textId="77777777" w:rsidR="005021B5" w:rsidRDefault="005021B5">
      <w:pPr>
        <w:pStyle w:val="BodyTextIndent2"/>
      </w:pPr>
      <w:r>
        <w:t xml:space="preserve">In the example used thus far, a combined numeric rating score of 3 would equate to an initial credit limit of 5% of the entities net worth. </w:t>
      </w:r>
    </w:p>
    <w:p w14:paraId="24627BA8" w14:textId="77777777" w:rsidR="005021B5" w:rsidRDefault="005021B5">
      <w:pPr>
        <w:pStyle w:val="BodyTextIndent2"/>
        <w:ind w:left="0"/>
        <w:rPr>
          <w:b/>
          <w:bCs/>
        </w:rPr>
      </w:pPr>
    </w:p>
    <w:p w14:paraId="712E96FF" w14:textId="77777777" w:rsidR="005021B5" w:rsidRDefault="005021B5">
      <w:pPr>
        <w:pStyle w:val="BodyTextIndent2"/>
      </w:pPr>
      <w:r>
        <w:rPr>
          <w:b/>
          <w:bCs/>
        </w:rPr>
        <w:t>Step 5</w:t>
      </w:r>
      <w:r>
        <w:t xml:space="preserve"> –  Calculate the participant’s tangible net worth and initial unsecured credit limit:</w:t>
      </w:r>
    </w:p>
    <w:p w14:paraId="2363B2F8" w14:textId="77777777" w:rsidR="005021B5" w:rsidRDefault="005021B5">
      <w:pPr>
        <w:rPr>
          <w:rFonts w:ascii="Arial" w:hAnsi="Arial" w:cs="Arial"/>
          <w:sz w:val="20"/>
        </w:rPr>
      </w:pPr>
    </w:p>
    <w:p w14:paraId="42D59129" w14:textId="77777777" w:rsidR="005021B5" w:rsidRDefault="005021B5">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266"/>
        <w:gridCol w:w="2346"/>
      </w:tblGrid>
      <w:tr w:rsidR="005021B5" w14:paraId="020DF947" w14:textId="77777777">
        <w:tblPrEx>
          <w:tblCellMar>
            <w:top w:w="0" w:type="dxa"/>
            <w:bottom w:w="0" w:type="dxa"/>
          </w:tblCellMar>
        </w:tblPrEx>
        <w:trPr>
          <w:cantSplit/>
          <w:trHeight w:val="248"/>
          <w:jc w:val="center"/>
        </w:trPr>
        <w:tc>
          <w:tcPr>
            <w:tcW w:w="846" w:type="dxa"/>
          </w:tcPr>
          <w:p w14:paraId="162EAD29" w14:textId="77777777" w:rsidR="005021B5" w:rsidRDefault="005021B5">
            <w:pPr>
              <w:pStyle w:val="ListNumber"/>
            </w:pPr>
            <w:r>
              <w:t>1.</w:t>
            </w:r>
            <w:r>
              <w:br/>
              <w:t>Allowable % of Tangible Net Worth</w:t>
            </w:r>
          </w:p>
        </w:tc>
        <w:tc>
          <w:tcPr>
            <w:tcW w:w="2266" w:type="dxa"/>
          </w:tcPr>
          <w:p w14:paraId="17B5BA84" w14:textId="77777777" w:rsidR="005021B5" w:rsidRDefault="005021B5">
            <w:pPr>
              <w:pStyle w:val="ListNumber"/>
            </w:pPr>
            <w:r>
              <w:t>2.</w:t>
            </w:r>
            <w:r>
              <w:br/>
              <w:t>Tangible Net Worth (TNW)</w:t>
            </w:r>
          </w:p>
          <w:p w14:paraId="31C10B68" w14:textId="77777777" w:rsidR="005021B5" w:rsidRDefault="005021B5">
            <w:pPr>
              <w:pStyle w:val="ListNumber"/>
            </w:pPr>
            <w:r>
              <w:t>$s in (,000)</w:t>
            </w:r>
          </w:p>
        </w:tc>
        <w:tc>
          <w:tcPr>
            <w:tcW w:w="2346" w:type="dxa"/>
            <w:tcBorders>
              <w:right w:val="single" w:sz="4" w:space="0" w:color="auto"/>
            </w:tcBorders>
          </w:tcPr>
          <w:p w14:paraId="55DF6A20" w14:textId="77777777" w:rsidR="005021B5" w:rsidRDefault="005021B5">
            <w:pPr>
              <w:pStyle w:val="ListNumber"/>
            </w:pPr>
            <w:r>
              <w:t>3.</w:t>
            </w:r>
            <w:r>
              <w:br/>
              <w:t>Initial Unsecured Credit Limit</w:t>
            </w:r>
          </w:p>
          <w:p w14:paraId="76F72331" w14:textId="77777777" w:rsidR="005021B5" w:rsidRDefault="005021B5">
            <w:pPr>
              <w:pStyle w:val="ListNumber"/>
            </w:pPr>
            <w:r>
              <w:t>$s in (,000)</w:t>
            </w:r>
          </w:p>
        </w:tc>
      </w:tr>
      <w:tr w:rsidR="005021B5" w14:paraId="35A323BA" w14:textId="77777777">
        <w:tblPrEx>
          <w:tblCellMar>
            <w:top w:w="0" w:type="dxa"/>
            <w:bottom w:w="0" w:type="dxa"/>
          </w:tblCellMar>
        </w:tblPrEx>
        <w:trPr>
          <w:cantSplit/>
          <w:trHeight w:val="125"/>
          <w:jc w:val="center"/>
        </w:trPr>
        <w:tc>
          <w:tcPr>
            <w:tcW w:w="846" w:type="dxa"/>
          </w:tcPr>
          <w:p w14:paraId="6D20D09D" w14:textId="77777777" w:rsidR="005021B5" w:rsidRDefault="005021B5">
            <w:pPr>
              <w:pStyle w:val="ListNumber"/>
            </w:pPr>
            <w:r>
              <w:t>5%</w:t>
            </w:r>
          </w:p>
        </w:tc>
        <w:tc>
          <w:tcPr>
            <w:tcW w:w="2266" w:type="dxa"/>
          </w:tcPr>
          <w:p w14:paraId="1EEFFD3E" w14:textId="77777777" w:rsidR="005021B5" w:rsidRDefault="005021B5">
            <w:pPr>
              <w:pStyle w:val="ListNumber"/>
            </w:pPr>
            <w:r>
              <w:t>Total Assets        $192,100</w:t>
            </w:r>
          </w:p>
          <w:p w14:paraId="77D2F4C8" w14:textId="77777777" w:rsidR="005021B5" w:rsidRDefault="005021B5">
            <w:pPr>
              <w:pStyle w:val="ListNumber"/>
            </w:pPr>
            <w:r>
              <w:t xml:space="preserve">Total Liabilities      </w:t>
            </w:r>
            <w:r>
              <w:rPr>
                <w:u w:val="single"/>
              </w:rPr>
              <w:t>$38,000</w:t>
            </w:r>
          </w:p>
          <w:p w14:paraId="7305A4E0" w14:textId="77777777" w:rsidR="005021B5" w:rsidRDefault="005021B5">
            <w:pPr>
              <w:pStyle w:val="ListNumber"/>
            </w:pPr>
            <w:r>
              <w:t xml:space="preserve">TNW                    </w:t>
            </w:r>
            <w:r>
              <w:rPr>
                <w:u w:val="single"/>
              </w:rPr>
              <w:t>$154,100</w:t>
            </w:r>
          </w:p>
        </w:tc>
        <w:tc>
          <w:tcPr>
            <w:tcW w:w="2346" w:type="dxa"/>
            <w:tcBorders>
              <w:right w:val="single" w:sz="4" w:space="0" w:color="auto"/>
            </w:tcBorders>
          </w:tcPr>
          <w:p w14:paraId="3A9307E8" w14:textId="77777777" w:rsidR="005021B5" w:rsidRDefault="005021B5">
            <w:pPr>
              <w:pStyle w:val="ListNumber"/>
            </w:pPr>
            <w:r>
              <w:t xml:space="preserve">$154,100 * 5% =  </w:t>
            </w:r>
            <w:r>
              <w:rPr>
                <w:b/>
                <w:bCs/>
              </w:rPr>
              <w:t xml:space="preserve">$7,705 </w:t>
            </w:r>
          </w:p>
        </w:tc>
      </w:tr>
    </w:tbl>
    <w:p w14:paraId="4E9E653F" w14:textId="77777777" w:rsidR="005021B5" w:rsidRDefault="005021B5">
      <w:pPr>
        <w:rPr>
          <w:rFonts w:ascii="Arial" w:hAnsi="Arial" w:cs="Arial"/>
          <w:sz w:val="20"/>
        </w:rPr>
      </w:pPr>
    </w:p>
    <w:p w14:paraId="2D9EF116" w14:textId="77777777" w:rsidR="005021B5" w:rsidRDefault="005021B5">
      <w:pPr>
        <w:rPr>
          <w:rFonts w:ascii="Arial" w:hAnsi="Arial" w:cs="Arial"/>
          <w:sz w:val="20"/>
        </w:rPr>
      </w:pPr>
    </w:p>
    <w:p w14:paraId="4593B29B" w14:textId="77777777" w:rsidR="005021B5" w:rsidRDefault="005021B5">
      <w:pPr>
        <w:ind w:left="720"/>
        <w:rPr>
          <w:rFonts w:ascii="Arial" w:hAnsi="Arial" w:cs="Arial"/>
          <w:sz w:val="20"/>
        </w:rPr>
      </w:pPr>
      <w:r>
        <w:rPr>
          <w:rFonts w:ascii="Arial" w:hAnsi="Arial" w:cs="Arial"/>
          <w:sz w:val="20"/>
        </w:rPr>
        <w:t>Tangible Net Worth (TNW) = book value of assets (excluding intangible assets such as goodwill) less book value of liabilities</w:t>
      </w:r>
      <w:r>
        <w:rPr>
          <w:rStyle w:val="FootnoteReference"/>
          <w:rFonts w:ascii="Arial" w:hAnsi="Arial" w:cs="Arial"/>
          <w:sz w:val="20"/>
        </w:rPr>
        <w:footnoteReference w:id="3"/>
      </w:r>
      <w:r>
        <w:rPr>
          <w:rFonts w:ascii="Arial" w:hAnsi="Arial" w:cs="Arial"/>
          <w:sz w:val="20"/>
        </w:rPr>
        <w:t xml:space="preserve">. </w:t>
      </w:r>
    </w:p>
    <w:p w14:paraId="4E37C770" w14:textId="77777777" w:rsidR="005021B5" w:rsidRDefault="005021B5">
      <w:pPr>
        <w:rPr>
          <w:rFonts w:ascii="Arial" w:hAnsi="Arial" w:cs="Arial"/>
          <w:sz w:val="20"/>
        </w:rPr>
      </w:pPr>
    </w:p>
    <w:p w14:paraId="4CEAF971" w14:textId="77777777" w:rsidR="005021B5" w:rsidRDefault="005021B5">
      <w:pPr>
        <w:rPr>
          <w:rFonts w:ascii="Arial" w:hAnsi="Arial" w:cs="Arial"/>
          <w:sz w:val="20"/>
        </w:rPr>
      </w:pPr>
    </w:p>
    <w:p w14:paraId="6D703126" w14:textId="77777777" w:rsidR="005021B5" w:rsidRDefault="005021B5">
      <w:pPr>
        <w:ind w:left="720"/>
        <w:rPr>
          <w:rFonts w:ascii="Arial" w:hAnsi="Arial" w:cs="Arial"/>
          <w:sz w:val="20"/>
        </w:rPr>
      </w:pPr>
      <w:r>
        <w:rPr>
          <w:rFonts w:ascii="Arial" w:hAnsi="Arial" w:cs="Arial"/>
          <w:b/>
          <w:bCs/>
          <w:sz w:val="20"/>
        </w:rPr>
        <w:t>Step 6</w:t>
      </w:r>
      <w:r>
        <w:rPr>
          <w:rFonts w:ascii="Arial" w:hAnsi="Arial" w:cs="Arial"/>
          <w:sz w:val="20"/>
        </w:rPr>
        <w:t xml:space="preserve"> -  </w:t>
      </w:r>
      <w:r>
        <w:rPr>
          <w:rFonts w:ascii="Arial" w:hAnsi="Arial" w:cs="Arial"/>
          <w:b/>
          <w:bCs/>
          <w:sz w:val="20"/>
        </w:rPr>
        <w:t xml:space="preserve">OPTIONAL- </w:t>
      </w:r>
      <w:r>
        <w:rPr>
          <w:rFonts w:ascii="Arial" w:hAnsi="Arial" w:cs="Arial"/>
          <w:sz w:val="20"/>
        </w:rPr>
        <w:t>Participant A’s Final Unsecured Credit Limit = the lesser of the Initial Unsecured Credit Limit or Total ISO Accounts Receivable * the Market Concentration Cap Limit.</w:t>
      </w:r>
    </w:p>
    <w:p w14:paraId="041A7B7D" w14:textId="77777777" w:rsidR="005021B5" w:rsidRDefault="005021B5">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1238"/>
        <w:gridCol w:w="1238"/>
        <w:gridCol w:w="1383"/>
        <w:gridCol w:w="1383"/>
      </w:tblGrid>
      <w:tr w:rsidR="005021B5" w14:paraId="21193DF9" w14:textId="77777777">
        <w:tblPrEx>
          <w:tblCellMar>
            <w:top w:w="0" w:type="dxa"/>
            <w:bottom w:w="0" w:type="dxa"/>
          </w:tblCellMar>
        </w:tblPrEx>
        <w:trPr>
          <w:cantSplit/>
          <w:trHeight w:val="287"/>
          <w:jc w:val="center"/>
        </w:trPr>
        <w:tc>
          <w:tcPr>
            <w:tcW w:w="1709" w:type="dxa"/>
            <w:tcBorders>
              <w:left w:val="single" w:sz="4" w:space="0" w:color="auto"/>
            </w:tcBorders>
          </w:tcPr>
          <w:p w14:paraId="0700277B" w14:textId="77777777" w:rsidR="005021B5" w:rsidRDefault="005021B5">
            <w:pPr>
              <w:pStyle w:val="ListNumber"/>
            </w:pPr>
            <w:r>
              <w:t>4.</w:t>
            </w:r>
          </w:p>
          <w:p w14:paraId="2BF74E96" w14:textId="77777777" w:rsidR="005021B5" w:rsidRDefault="005021B5">
            <w:pPr>
              <w:pStyle w:val="ListNumber"/>
            </w:pPr>
            <w:r>
              <w:br/>
              <w:t>Initial Credit Limit</w:t>
            </w:r>
          </w:p>
          <w:p w14:paraId="498E8D1C" w14:textId="77777777" w:rsidR="005021B5" w:rsidRDefault="005021B5">
            <w:pPr>
              <w:pStyle w:val="ListNumber"/>
            </w:pPr>
            <w:r>
              <w:t>$s in (,000)</w:t>
            </w:r>
          </w:p>
        </w:tc>
        <w:tc>
          <w:tcPr>
            <w:tcW w:w="1238" w:type="dxa"/>
          </w:tcPr>
          <w:p w14:paraId="7CC842FC" w14:textId="77777777" w:rsidR="005021B5" w:rsidRDefault="005021B5">
            <w:pPr>
              <w:pStyle w:val="ListNumber"/>
            </w:pPr>
            <w:r>
              <w:t xml:space="preserve">5. </w:t>
            </w:r>
          </w:p>
          <w:p w14:paraId="29BEB941" w14:textId="77777777" w:rsidR="005021B5" w:rsidRDefault="005021B5">
            <w:pPr>
              <w:pStyle w:val="ListNumber"/>
            </w:pPr>
            <w:r>
              <w:t>Total ISO Accounts Receivable</w:t>
            </w:r>
          </w:p>
          <w:p w14:paraId="14D5C842" w14:textId="77777777" w:rsidR="005021B5" w:rsidRDefault="005021B5">
            <w:pPr>
              <w:pStyle w:val="ListNumber"/>
            </w:pPr>
            <w:r>
              <w:t>$s in (,000)</w:t>
            </w:r>
          </w:p>
        </w:tc>
        <w:tc>
          <w:tcPr>
            <w:tcW w:w="1238" w:type="dxa"/>
          </w:tcPr>
          <w:p w14:paraId="6870570D" w14:textId="77777777" w:rsidR="005021B5" w:rsidRDefault="005021B5">
            <w:pPr>
              <w:pStyle w:val="ListNumber"/>
            </w:pPr>
            <w:r>
              <w:t>6.</w:t>
            </w:r>
          </w:p>
          <w:p w14:paraId="38C88E13" w14:textId="77777777" w:rsidR="005021B5" w:rsidRDefault="005021B5">
            <w:pPr>
              <w:pStyle w:val="ListNumber"/>
            </w:pPr>
            <w:r>
              <w:t>Market Concentration Cap Limitation</w:t>
            </w:r>
          </w:p>
        </w:tc>
        <w:tc>
          <w:tcPr>
            <w:tcW w:w="1383" w:type="dxa"/>
          </w:tcPr>
          <w:p w14:paraId="00FF4E84" w14:textId="77777777" w:rsidR="005021B5" w:rsidRDefault="005021B5">
            <w:pPr>
              <w:pStyle w:val="ListNumber"/>
            </w:pPr>
            <w:r>
              <w:t>7.</w:t>
            </w:r>
          </w:p>
          <w:p w14:paraId="5D73C8BC" w14:textId="77777777" w:rsidR="005021B5" w:rsidRDefault="005021B5">
            <w:pPr>
              <w:pStyle w:val="ListNumber"/>
            </w:pPr>
            <w:r>
              <w:t xml:space="preserve"> Market Concentration Cap</w:t>
            </w:r>
          </w:p>
          <w:p w14:paraId="3DE8C9A3" w14:textId="77777777" w:rsidR="005021B5" w:rsidRDefault="005021B5">
            <w:pPr>
              <w:pStyle w:val="ListNumber"/>
            </w:pPr>
            <w:r>
              <w:t>$s in (,000)</w:t>
            </w:r>
          </w:p>
        </w:tc>
        <w:tc>
          <w:tcPr>
            <w:tcW w:w="1383" w:type="dxa"/>
          </w:tcPr>
          <w:p w14:paraId="268C4264" w14:textId="77777777" w:rsidR="005021B5" w:rsidRDefault="005021B5">
            <w:pPr>
              <w:pStyle w:val="ListNumber"/>
            </w:pPr>
            <w:r>
              <w:t>8.</w:t>
            </w:r>
          </w:p>
          <w:p w14:paraId="6DDBB770" w14:textId="77777777" w:rsidR="005021B5" w:rsidRDefault="005021B5">
            <w:pPr>
              <w:pStyle w:val="ListNumber"/>
            </w:pPr>
            <w:r>
              <w:br/>
              <w:t>Final Unsecured Credit Limit</w:t>
            </w:r>
          </w:p>
        </w:tc>
      </w:tr>
      <w:tr w:rsidR="005021B5" w14:paraId="41CFECC9" w14:textId="77777777">
        <w:tblPrEx>
          <w:tblCellMar>
            <w:top w:w="0" w:type="dxa"/>
            <w:bottom w:w="0" w:type="dxa"/>
          </w:tblCellMar>
        </w:tblPrEx>
        <w:trPr>
          <w:cantSplit/>
          <w:trHeight w:val="323"/>
          <w:jc w:val="center"/>
        </w:trPr>
        <w:tc>
          <w:tcPr>
            <w:tcW w:w="1709" w:type="dxa"/>
            <w:tcBorders>
              <w:left w:val="single" w:sz="4" w:space="0" w:color="auto"/>
            </w:tcBorders>
          </w:tcPr>
          <w:p w14:paraId="606B3DB7" w14:textId="77777777" w:rsidR="005021B5" w:rsidRDefault="005021B5">
            <w:pPr>
              <w:pStyle w:val="ListNumber"/>
            </w:pPr>
            <w:r>
              <w:t xml:space="preserve">$7,705 </w:t>
            </w:r>
          </w:p>
          <w:p w14:paraId="0D2B8188" w14:textId="77777777" w:rsidR="005021B5" w:rsidRDefault="005021B5">
            <w:pPr>
              <w:pStyle w:val="ListNumber"/>
            </w:pPr>
          </w:p>
        </w:tc>
        <w:tc>
          <w:tcPr>
            <w:tcW w:w="1238" w:type="dxa"/>
          </w:tcPr>
          <w:p w14:paraId="5914EF09" w14:textId="77777777" w:rsidR="005021B5" w:rsidRDefault="005021B5">
            <w:pPr>
              <w:pStyle w:val="ListNumber"/>
            </w:pPr>
            <w:r>
              <w:t>$13,654</w:t>
            </w:r>
          </w:p>
        </w:tc>
        <w:tc>
          <w:tcPr>
            <w:tcW w:w="1238" w:type="dxa"/>
          </w:tcPr>
          <w:p w14:paraId="132301B1" w14:textId="77777777" w:rsidR="005021B5" w:rsidRDefault="005021B5">
            <w:pPr>
              <w:pStyle w:val="ListNumber"/>
            </w:pPr>
            <w:r>
              <w:t>35%</w:t>
            </w:r>
          </w:p>
        </w:tc>
        <w:tc>
          <w:tcPr>
            <w:tcW w:w="1383" w:type="dxa"/>
          </w:tcPr>
          <w:p w14:paraId="41049979" w14:textId="77777777" w:rsidR="005021B5" w:rsidRDefault="005021B5">
            <w:pPr>
              <w:pStyle w:val="ListNumber"/>
            </w:pPr>
            <w:r>
              <w:t>$13,654 * 35% = $4,779</w:t>
            </w:r>
          </w:p>
        </w:tc>
        <w:tc>
          <w:tcPr>
            <w:tcW w:w="1383" w:type="dxa"/>
          </w:tcPr>
          <w:p w14:paraId="68809D4F" w14:textId="77777777" w:rsidR="005021B5" w:rsidRDefault="005021B5">
            <w:pPr>
              <w:pStyle w:val="ListNumber"/>
            </w:pPr>
            <w:r>
              <w:t>$4,779</w:t>
            </w:r>
          </w:p>
          <w:p w14:paraId="291FBE2F" w14:textId="77777777" w:rsidR="005021B5" w:rsidRDefault="005021B5">
            <w:pPr>
              <w:pStyle w:val="ListNumber"/>
            </w:pPr>
          </w:p>
        </w:tc>
      </w:tr>
    </w:tbl>
    <w:p w14:paraId="60BBC172" w14:textId="77777777" w:rsidR="005021B5" w:rsidRDefault="005021B5"/>
    <w:sectPr w:rsidR="005021B5">
      <w:footerReference w:type="even" r:id="rId11"/>
      <w:footerReference w:type="default" r:id="rId12"/>
      <w:pgSz w:w="12240" w:h="15840" w:code="1"/>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F1527" w14:textId="77777777" w:rsidR="005021B5" w:rsidRDefault="005021B5">
      <w:r>
        <w:separator/>
      </w:r>
    </w:p>
  </w:endnote>
  <w:endnote w:type="continuationSeparator" w:id="0">
    <w:p w14:paraId="56646EC8" w14:textId="77777777" w:rsidR="005021B5" w:rsidRDefault="0050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6E97E" w14:textId="77777777" w:rsidR="005021B5" w:rsidRDefault="005021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387F09" w14:textId="77777777" w:rsidR="005021B5" w:rsidRDefault="00502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B40C0" w14:textId="77777777" w:rsidR="005021B5" w:rsidRDefault="005021B5">
    <w:pPr>
      <w:pStyle w:val="Footer"/>
      <w:framePr w:h="267" w:hRule="exact" w:wrap="around" w:vAnchor="text" w:hAnchor="page" w:x="10621" w:y="53"/>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Pr>
        <w:rStyle w:val="PageNumber"/>
        <w:rFonts w:ascii="Arial" w:hAnsi="Arial" w:cs="Arial"/>
        <w:noProof/>
        <w:sz w:val="20"/>
      </w:rPr>
      <w:t>1</w:t>
    </w:r>
    <w:r>
      <w:rPr>
        <w:rStyle w:val="PageNumber"/>
        <w:rFonts w:ascii="Arial" w:hAnsi="Arial" w:cs="Arial"/>
        <w:sz w:val="20"/>
      </w:rPr>
      <w:fldChar w:fldCharType="end"/>
    </w:r>
  </w:p>
  <w:p w14:paraId="222FF8FE" w14:textId="77777777" w:rsidR="005021B5" w:rsidRDefault="005021B5">
    <w:pPr>
      <w:pStyle w:val="Footer"/>
      <w:rPr>
        <w:rFonts w:ascii="Arial" w:hAnsi="Arial" w:cs="Arial"/>
        <w:sz w:val="20"/>
      </w:rPr>
    </w:pPr>
    <w:r>
      <w:rPr>
        <w:rFonts w:ascii="Arial" w:hAnsi="Arial" w:cs="Arial"/>
        <w:sz w:val="20"/>
      </w:rPr>
      <w:t>CAISO/FIN  11/10/2004</w:t>
    </w:r>
    <w:r>
      <w:rPr>
        <w:rFonts w:ascii="Arial" w:hAnsi="Arial" w:cs="Arial"/>
        <w:sz w:val="20"/>
      </w:rPr>
      <w:tab/>
      <w:t xml:space="preserve">                  Draft For Discussion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4D1E5" w14:textId="77777777" w:rsidR="005021B5" w:rsidRDefault="005021B5">
      <w:r>
        <w:separator/>
      </w:r>
    </w:p>
  </w:footnote>
  <w:footnote w:type="continuationSeparator" w:id="0">
    <w:p w14:paraId="26B7B05A" w14:textId="77777777" w:rsidR="005021B5" w:rsidRDefault="005021B5">
      <w:r>
        <w:continuationSeparator/>
      </w:r>
    </w:p>
  </w:footnote>
  <w:footnote w:id="1">
    <w:p w14:paraId="234DC64A" w14:textId="77777777" w:rsidR="005021B5" w:rsidRDefault="005021B5">
      <w:pPr>
        <w:pStyle w:val="FootnoteText"/>
      </w:pPr>
      <w:r>
        <w:rPr>
          <w:rStyle w:val="FootnoteReference"/>
        </w:rPr>
        <w:footnoteRef/>
      </w:r>
      <w:r>
        <w:t xml:space="preserve"> The option described here includes the use of Moody’s KMV (MKMV) default probabilities, in conjunction with traditional Agency Ratings, to arrive at the Combined Third Party Credit Rating.  Including the MKMV forward looking default probabilities will give the participants early indications of improving and deteriorating credit worthiness.  The Combined Third-Party Credit Rating will be a 50%/50% weighting of the Agency Ratings (S&amp;P/Moody’s/Fitch) with the Moody’s KMV Quantitative Rating (the rating implied by the Moody’s KMV default probability model). </w:t>
      </w:r>
    </w:p>
  </w:footnote>
  <w:footnote w:id="2">
    <w:p w14:paraId="79BCCC10" w14:textId="77777777" w:rsidR="005021B5" w:rsidRDefault="005021B5">
      <w:pPr>
        <w:pStyle w:val="FootnoteText"/>
      </w:pPr>
      <w:r>
        <w:rPr>
          <w:rStyle w:val="FootnoteReference"/>
        </w:rPr>
        <w:footnoteRef/>
      </w:r>
      <w:r>
        <w:t xml:space="preserve"> Tiered charts developed from Table K-1 in Attachment K of the NY ISO’s Tariff in combination with the investment grade rating comparative analysis in the CA ISO’s Draft Credit Policy.  </w:t>
      </w:r>
    </w:p>
  </w:footnote>
  <w:footnote w:id="3">
    <w:p w14:paraId="5AED7114" w14:textId="77777777" w:rsidR="005021B5" w:rsidRDefault="005021B5">
      <w:pPr>
        <w:pStyle w:val="FootnoteText"/>
      </w:pPr>
      <w:r>
        <w:rPr>
          <w:rStyle w:val="FootnoteReference"/>
        </w:rPr>
        <w:footnoteRef/>
      </w:r>
      <w:r>
        <w:t xml:space="preserve"> Tangible Net Worth definition derived from Attachment Q - “PJM Credit Policy” of PJM’s Tariff.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5E26BEE"/>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3EAE122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9AAE46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04621C"/>
    <w:multiLevelType w:val="hybridMultilevel"/>
    <w:tmpl w:val="2FB6C60E"/>
    <w:lvl w:ilvl="0" w:tplc="1E7AAF84">
      <w:start w:val="1"/>
      <w:numFmt w:val="lowerLetter"/>
      <w:lvlText w:val="%1."/>
      <w:lvlJc w:val="left"/>
      <w:pPr>
        <w:tabs>
          <w:tab w:val="num" w:pos="1620"/>
        </w:tabs>
        <w:ind w:left="16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9D1CD3"/>
    <w:multiLevelType w:val="hybridMultilevel"/>
    <w:tmpl w:val="FA3EB9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DE342A"/>
    <w:multiLevelType w:val="hybridMultilevel"/>
    <w:tmpl w:val="36802A7C"/>
    <w:lvl w:ilvl="0" w:tplc="2232310C">
      <w:start w:val="1"/>
      <w:numFmt w:val="bullet"/>
      <w:pStyle w:val="List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7D1351"/>
    <w:multiLevelType w:val="multilevel"/>
    <w:tmpl w:val="B8D69754"/>
    <w:lvl w:ilvl="0">
      <w:start w:val="1"/>
      <w:numFmt w:val="decimal"/>
      <w:lvlText w:val="%1."/>
      <w:lvlJc w:val="left"/>
      <w:pPr>
        <w:tabs>
          <w:tab w:val="num" w:pos="900"/>
        </w:tabs>
        <w:ind w:left="900" w:hanging="360"/>
      </w:pPr>
      <w:rPr>
        <w:rFonts w:hint="default"/>
        <w:b/>
        <w:i w:val="0"/>
      </w:rPr>
    </w:lvl>
    <w:lvl w:ilvl="1">
      <w:start w:val="1"/>
      <w:numFmt w:val="lowerLetter"/>
      <w:lvlText w:val="%2."/>
      <w:lvlJc w:val="left"/>
      <w:pPr>
        <w:tabs>
          <w:tab w:val="num" w:pos="1620"/>
        </w:tabs>
        <w:ind w:left="1620" w:hanging="360"/>
      </w:pPr>
      <w:rPr>
        <w:rFonts w:hint="default"/>
        <w:b/>
        <w:i w:val="0"/>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7" w15:restartNumberingAfterBreak="0">
    <w:nsid w:val="0C345162"/>
    <w:multiLevelType w:val="hybridMultilevel"/>
    <w:tmpl w:val="5A70F4B8"/>
    <w:lvl w:ilvl="0" w:tplc="DC648E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A2E1682"/>
    <w:multiLevelType w:val="multilevel"/>
    <w:tmpl w:val="B9A0DB32"/>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rPr>
        <w:rFonts w:hint="default"/>
        <w:b/>
        <w:i w:val="0"/>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9" w15:restartNumberingAfterBreak="0">
    <w:nsid w:val="1B3A4266"/>
    <w:multiLevelType w:val="hybridMultilevel"/>
    <w:tmpl w:val="F618C0B4"/>
    <w:lvl w:ilvl="0" w:tplc="B63228EC">
      <w:start w:val="1"/>
      <w:numFmt w:val="lowerLetter"/>
      <w:lvlText w:val="%1."/>
      <w:lvlJc w:val="left"/>
      <w:pPr>
        <w:tabs>
          <w:tab w:val="num" w:pos="1620"/>
        </w:tabs>
        <w:ind w:left="16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8C3E10"/>
    <w:multiLevelType w:val="hybridMultilevel"/>
    <w:tmpl w:val="7D82602E"/>
    <w:lvl w:ilvl="0" w:tplc="E4AE7D94">
      <w:start w:val="1"/>
      <w:numFmt w:val="bullet"/>
      <w:lvlText w:val=""/>
      <w:lvlJc w:val="left"/>
      <w:pPr>
        <w:tabs>
          <w:tab w:val="num" w:pos="1944"/>
        </w:tabs>
        <w:ind w:left="1728" w:hanging="144"/>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37D3A4A"/>
    <w:multiLevelType w:val="hybridMultilevel"/>
    <w:tmpl w:val="DF160B54"/>
    <w:lvl w:ilvl="0" w:tplc="2D4AF02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23D44150"/>
    <w:multiLevelType w:val="multilevel"/>
    <w:tmpl w:val="9BA0E0B6"/>
    <w:lvl w:ilvl="0">
      <w:start w:val="5"/>
      <w:numFmt w:val="decimal"/>
      <w:lvlText w:val="%1."/>
      <w:lvlJc w:val="left"/>
      <w:pPr>
        <w:tabs>
          <w:tab w:val="num" w:pos="900"/>
        </w:tabs>
        <w:ind w:left="900" w:hanging="360"/>
      </w:pPr>
      <w:rPr>
        <w:rFonts w:hint="default"/>
        <w:b/>
        <w:i w:val="0"/>
      </w:rPr>
    </w:lvl>
    <w:lvl w:ilvl="1">
      <w:start w:val="1"/>
      <w:numFmt w:val="lowerLetter"/>
      <w:lvlText w:val="%2."/>
      <w:lvlJc w:val="left"/>
      <w:pPr>
        <w:tabs>
          <w:tab w:val="num" w:pos="1620"/>
        </w:tabs>
        <w:ind w:left="1620" w:hanging="360"/>
      </w:pPr>
      <w:rPr>
        <w:rFonts w:hint="default"/>
        <w:b/>
        <w:i w:val="0"/>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3" w15:restartNumberingAfterBreak="0">
    <w:nsid w:val="26164816"/>
    <w:multiLevelType w:val="hybridMultilevel"/>
    <w:tmpl w:val="4E50EC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A23564"/>
    <w:multiLevelType w:val="multilevel"/>
    <w:tmpl w:val="1920238E"/>
    <w:lvl w:ilvl="0">
      <w:start w:val="2"/>
      <w:numFmt w:val="decimal"/>
      <w:lvlText w:val="%1."/>
      <w:lvlJc w:val="left"/>
      <w:pPr>
        <w:tabs>
          <w:tab w:val="num" w:pos="900"/>
        </w:tabs>
        <w:ind w:left="900" w:hanging="360"/>
      </w:pPr>
      <w:rPr>
        <w:rFonts w:hint="default"/>
        <w:b/>
        <w:i w:val="0"/>
      </w:rPr>
    </w:lvl>
    <w:lvl w:ilvl="1">
      <w:start w:val="1"/>
      <w:numFmt w:val="lowerLetter"/>
      <w:lvlText w:val="%2."/>
      <w:lvlJc w:val="left"/>
      <w:pPr>
        <w:tabs>
          <w:tab w:val="num" w:pos="1620"/>
        </w:tabs>
        <w:ind w:left="1620" w:hanging="360"/>
      </w:pPr>
      <w:rPr>
        <w:rFonts w:hint="default"/>
        <w:b/>
        <w:i w:val="0"/>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5" w15:restartNumberingAfterBreak="0">
    <w:nsid w:val="2E0E7B15"/>
    <w:multiLevelType w:val="multilevel"/>
    <w:tmpl w:val="B9A0DB32"/>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rPr>
        <w:rFonts w:hint="default"/>
        <w:b/>
        <w:i w:val="0"/>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6" w15:restartNumberingAfterBreak="0">
    <w:nsid w:val="2E675D0C"/>
    <w:multiLevelType w:val="multilevel"/>
    <w:tmpl w:val="690A18BC"/>
    <w:lvl w:ilvl="0">
      <w:start w:val="5"/>
      <w:numFmt w:val="decimal"/>
      <w:lvlText w:val="%1."/>
      <w:lvlJc w:val="left"/>
      <w:pPr>
        <w:tabs>
          <w:tab w:val="num" w:pos="900"/>
        </w:tabs>
        <w:ind w:left="900" w:hanging="360"/>
      </w:pPr>
      <w:rPr>
        <w:rFonts w:hint="default"/>
        <w:b/>
        <w:i w:val="0"/>
      </w:rPr>
    </w:lvl>
    <w:lvl w:ilvl="1">
      <w:start w:val="1"/>
      <w:numFmt w:val="lowerLetter"/>
      <w:lvlText w:val="%2."/>
      <w:lvlJc w:val="left"/>
      <w:pPr>
        <w:tabs>
          <w:tab w:val="num" w:pos="1620"/>
        </w:tabs>
        <w:ind w:left="1620" w:hanging="360"/>
      </w:pPr>
      <w:rPr>
        <w:rFonts w:hint="default"/>
        <w:b/>
        <w:i w:val="0"/>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7" w15:restartNumberingAfterBreak="0">
    <w:nsid w:val="2E900E88"/>
    <w:multiLevelType w:val="multilevel"/>
    <w:tmpl w:val="0D362A84"/>
    <w:lvl w:ilvl="0">
      <w:start w:val="2"/>
      <w:numFmt w:val="decimal"/>
      <w:lvlText w:val="%1."/>
      <w:lvlJc w:val="left"/>
      <w:pPr>
        <w:tabs>
          <w:tab w:val="num" w:pos="900"/>
        </w:tabs>
        <w:ind w:left="900" w:hanging="360"/>
      </w:pPr>
      <w:rPr>
        <w:rFonts w:hint="default"/>
        <w:b/>
        <w:i w:val="0"/>
      </w:rPr>
    </w:lvl>
    <w:lvl w:ilvl="1">
      <w:start w:val="1"/>
      <w:numFmt w:val="lowerLetter"/>
      <w:lvlText w:val="%2."/>
      <w:lvlJc w:val="left"/>
      <w:pPr>
        <w:tabs>
          <w:tab w:val="num" w:pos="1620"/>
        </w:tabs>
        <w:ind w:left="1620" w:hanging="360"/>
      </w:pPr>
      <w:rPr>
        <w:rFonts w:hint="default"/>
        <w:b/>
        <w:i w:val="0"/>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8" w15:restartNumberingAfterBreak="0">
    <w:nsid w:val="36104192"/>
    <w:multiLevelType w:val="multilevel"/>
    <w:tmpl w:val="B9A0DB32"/>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rPr>
        <w:rFonts w:hint="default"/>
        <w:b/>
        <w:i w:val="0"/>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9" w15:restartNumberingAfterBreak="0">
    <w:nsid w:val="38891806"/>
    <w:multiLevelType w:val="multilevel"/>
    <w:tmpl w:val="63786CE2"/>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rPr>
        <w:rFonts w:hint="default"/>
        <w:b/>
        <w:i w:val="0"/>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20" w15:restartNumberingAfterBreak="0">
    <w:nsid w:val="475D742B"/>
    <w:multiLevelType w:val="hybridMultilevel"/>
    <w:tmpl w:val="BB867B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81302B"/>
    <w:multiLevelType w:val="hybridMultilevel"/>
    <w:tmpl w:val="1FC4E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690BDE"/>
    <w:multiLevelType w:val="hybridMultilevel"/>
    <w:tmpl w:val="0F8A7DDE"/>
    <w:lvl w:ilvl="0" w:tplc="6F5CC030">
      <w:start w:val="1"/>
      <w:numFmt w:val="lowerLetter"/>
      <w:lvlText w:val="%1."/>
      <w:lvlJc w:val="left"/>
      <w:pPr>
        <w:tabs>
          <w:tab w:val="num" w:pos="1620"/>
        </w:tabs>
        <w:ind w:left="16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825ADD"/>
    <w:multiLevelType w:val="multilevel"/>
    <w:tmpl w:val="6F00C4A6"/>
    <w:lvl w:ilvl="0">
      <w:start w:val="6"/>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rPr>
        <w:rFonts w:hint="default"/>
        <w:b/>
        <w:i w:val="0"/>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24" w15:restartNumberingAfterBreak="0">
    <w:nsid w:val="4FA0762A"/>
    <w:multiLevelType w:val="hybridMultilevel"/>
    <w:tmpl w:val="DEF884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6105934"/>
    <w:multiLevelType w:val="hybridMultilevel"/>
    <w:tmpl w:val="E1586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9E0665"/>
    <w:multiLevelType w:val="hybridMultilevel"/>
    <w:tmpl w:val="BE6A80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A56931"/>
    <w:multiLevelType w:val="hybridMultilevel"/>
    <w:tmpl w:val="DD2EC070"/>
    <w:lvl w:ilvl="0" w:tplc="DA9AC47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F417C3"/>
    <w:multiLevelType w:val="hybridMultilevel"/>
    <w:tmpl w:val="90D6D9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A8010A9"/>
    <w:multiLevelType w:val="hybridMultilevel"/>
    <w:tmpl w:val="AD5ADF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61471F"/>
    <w:multiLevelType w:val="multilevel"/>
    <w:tmpl w:val="C5528254"/>
    <w:lvl w:ilvl="0">
      <w:start w:val="6"/>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rPr>
        <w:rFonts w:hint="default"/>
        <w:b/>
        <w:i w:val="0"/>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31" w15:restartNumberingAfterBreak="0">
    <w:nsid w:val="6C1B1A4C"/>
    <w:multiLevelType w:val="hybridMultilevel"/>
    <w:tmpl w:val="87C631BE"/>
    <w:lvl w:ilvl="0" w:tplc="4AAE5ACA">
      <w:start w:val="5"/>
      <w:numFmt w:val="decimal"/>
      <w:lvlText w:val="%1."/>
      <w:lvlJc w:val="left"/>
      <w:pPr>
        <w:tabs>
          <w:tab w:val="num" w:pos="900"/>
        </w:tabs>
        <w:ind w:left="900" w:hanging="360"/>
      </w:pPr>
      <w:rPr>
        <w:rFonts w:hint="default"/>
      </w:rPr>
    </w:lvl>
    <w:lvl w:ilvl="1" w:tplc="E4BECC94">
      <w:start w:val="1"/>
      <w:numFmt w:val="lowerLetter"/>
      <w:lvlText w:val="%2."/>
      <w:lvlJc w:val="left"/>
      <w:pPr>
        <w:tabs>
          <w:tab w:val="num" w:pos="1620"/>
        </w:tabs>
        <w:ind w:left="1620" w:hanging="360"/>
      </w:pPr>
      <w:rPr>
        <w:rFonts w:hint="default"/>
        <w:b/>
        <w:i w:val="0"/>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6C1C4852"/>
    <w:multiLevelType w:val="multilevel"/>
    <w:tmpl w:val="327E8B34"/>
    <w:lvl w:ilvl="0">
      <w:start w:val="1"/>
      <w:numFmt w:val="decimal"/>
      <w:lvlText w:val="%1."/>
      <w:lvlJc w:val="left"/>
      <w:pPr>
        <w:tabs>
          <w:tab w:val="num" w:pos="900"/>
        </w:tabs>
        <w:ind w:left="900" w:hanging="360"/>
      </w:pPr>
      <w:rPr>
        <w:rFonts w:hint="default"/>
        <w:b/>
        <w:i w:val="0"/>
      </w:rPr>
    </w:lvl>
    <w:lvl w:ilvl="1">
      <w:start w:val="1"/>
      <w:numFmt w:val="lowerLetter"/>
      <w:lvlText w:val="%2."/>
      <w:lvlJc w:val="left"/>
      <w:pPr>
        <w:tabs>
          <w:tab w:val="num" w:pos="1620"/>
        </w:tabs>
        <w:ind w:left="1620" w:hanging="360"/>
      </w:pPr>
      <w:rPr>
        <w:rFonts w:hint="default"/>
        <w:b/>
        <w:i w:val="0"/>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33" w15:restartNumberingAfterBreak="0">
    <w:nsid w:val="6C246CD3"/>
    <w:multiLevelType w:val="hybridMultilevel"/>
    <w:tmpl w:val="650016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344411"/>
    <w:multiLevelType w:val="hybridMultilevel"/>
    <w:tmpl w:val="0896BB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7C37FA"/>
    <w:multiLevelType w:val="multilevel"/>
    <w:tmpl w:val="521A0B4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rPr>
        <w:rFonts w:hint="default"/>
        <w:b/>
        <w:i w:val="0"/>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36" w15:restartNumberingAfterBreak="0">
    <w:nsid w:val="769C0578"/>
    <w:multiLevelType w:val="multilevel"/>
    <w:tmpl w:val="53D2F328"/>
    <w:lvl w:ilvl="0">
      <w:start w:val="6"/>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rPr>
        <w:rFonts w:hint="default"/>
        <w:b/>
        <w:i w:val="0"/>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37" w15:restartNumberingAfterBreak="0">
    <w:nsid w:val="78BC0E6D"/>
    <w:multiLevelType w:val="hybridMultilevel"/>
    <w:tmpl w:val="41F6D582"/>
    <w:lvl w:ilvl="0" w:tplc="DC648EA2">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1C65F8"/>
    <w:multiLevelType w:val="multilevel"/>
    <w:tmpl w:val="1920238E"/>
    <w:lvl w:ilvl="0">
      <w:start w:val="2"/>
      <w:numFmt w:val="decimal"/>
      <w:lvlText w:val="%1."/>
      <w:lvlJc w:val="left"/>
      <w:pPr>
        <w:tabs>
          <w:tab w:val="num" w:pos="900"/>
        </w:tabs>
        <w:ind w:left="900" w:hanging="360"/>
      </w:pPr>
      <w:rPr>
        <w:rFonts w:hint="default"/>
        <w:b/>
        <w:i w:val="0"/>
      </w:rPr>
    </w:lvl>
    <w:lvl w:ilvl="1">
      <w:start w:val="1"/>
      <w:numFmt w:val="lowerLetter"/>
      <w:lvlText w:val="%2."/>
      <w:lvlJc w:val="left"/>
      <w:pPr>
        <w:tabs>
          <w:tab w:val="num" w:pos="1620"/>
        </w:tabs>
        <w:ind w:left="1620" w:hanging="360"/>
      </w:pPr>
      <w:rPr>
        <w:rFonts w:hint="default"/>
        <w:b/>
        <w:i w:val="0"/>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39" w15:restartNumberingAfterBreak="0">
    <w:nsid w:val="7DBE2A58"/>
    <w:multiLevelType w:val="multilevel"/>
    <w:tmpl w:val="B9A0DB32"/>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rPr>
        <w:rFonts w:hint="default"/>
        <w:b/>
        <w:i w:val="0"/>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40" w15:restartNumberingAfterBreak="0">
    <w:nsid w:val="7E6E07BC"/>
    <w:multiLevelType w:val="hybridMultilevel"/>
    <w:tmpl w:val="B472F64C"/>
    <w:lvl w:ilvl="0" w:tplc="0409000F">
      <w:start w:val="1"/>
      <w:numFmt w:val="decimal"/>
      <w:lvlText w:val="%1."/>
      <w:lvlJc w:val="left"/>
      <w:pPr>
        <w:tabs>
          <w:tab w:val="num" w:pos="1494"/>
        </w:tabs>
        <w:ind w:left="1494" w:hanging="360"/>
      </w:p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41" w15:restartNumberingAfterBreak="0">
    <w:nsid w:val="7F860D62"/>
    <w:multiLevelType w:val="hybridMultilevel"/>
    <w:tmpl w:val="1598C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8D0ECA"/>
    <w:multiLevelType w:val="hybridMultilevel"/>
    <w:tmpl w:val="06320B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1051046">
    <w:abstractNumId w:val="27"/>
  </w:num>
  <w:num w:numId="2" w16cid:durableId="1006908693">
    <w:abstractNumId w:val="1"/>
  </w:num>
  <w:num w:numId="3" w16cid:durableId="468977044">
    <w:abstractNumId w:val="2"/>
  </w:num>
  <w:num w:numId="4" w16cid:durableId="724989774">
    <w:abstractNumId w:val="11"/>
  </w:num>
  <w:num w:numId="5" w16cid:durableId="871263506">
    <w:abstractNumId w:val="4"/>
  </w:num>
  <w:num w:numId="6" w16cid:durableId="631400992">
    <w:abstractNumId w:val="20"/>
  </w:num>
  <w:num w:numId="7" w16cid:durableId="480776233">
    <w:abstractNumId w:val="41"/>
  </w:num>
  <w:num w:numId="8" w16cid:durableId="688920294">
    <w:abstractNumId w:val="5"/>
  </w:num>
  <w:num w:numId="9" w16cid:durableId="1006907414">
    <w:abstractNumId w:val="24"/>
  </w:num>
  <w:num w:numId="10" w16cid:durableId="27948416">
    <w:abstractNumId w:val="10"/>
  </w:num>
  <w:num w:numId="11" w16cid:durableId="60102821">
    <w:abstractNumId w:val="29"/>
  </w:num>
  <w:num w:numId="12" w16cid:durableId="488600520">
    <w:abstractNumId w:val="42"/>
  </w:num>
  <w:num w:numId="13" w16cid:durableId="463500371">
    <w:abstractNumId w:val="7"/>
  </w:num>
  <w:num w:numId="14" w16cid:durableId="1400132321">
    <w:abstractNumId w:val="37"/>
  </w:num>
  <w:num w:numId="15" w16cid:durableId="1384791378">
    <w:abstractNumId w:val="25"/>
  </w:num>
  <w:num w:numId="16" w16cid:durableId="648247847">
    <w:abstractNumId w:val="0"/>
  </w:num>
  <w:num w:numId="17" w16cid:durableId="143202516">
    <w:abstractNumId w:val="13"/>
  </w:num>
  <w:num w:numId="18" w16cid:durableId="1067151007">
    <w:abstractNumId w:val="33"/>
  </w:num>
  <w:num w:numId="19" w16cid:durableId="362438160">
    <w:abstractNumId w:val="34"/>
  </w:num>
  <w:num w:numId="20" w16cid:durableId="1728912359">
    <w:abstractNumId w:val="21"/>
  </w:num>
  <w:num w:numId="21" w16cid:durableId="521286895">
    <w:abstractNumId w:val="40"/>
  </w:num>
  <w:num w:numId="22" w16cid:durableId="39716175">
    <w:abstractNumId w:val="32"/>
  </w:num>
  <w:num w:numId="23" w16cid:durableId="1665355794">
    <w:abstractNumId w:val="31"/>
  </w:num>
  <w:num w:numId="24" w16cid:durableId="255133709">
    <w:abstractNumId w:val="39"/>
  </w:num>
  <w:num w:numId="25" w16cid:durableId="70934556">
    <w:abstractNumId w:val="15"/>
  </w:num>
  <w:num w:numId="26" w16cid:durableId="1718160164">
    <w:abstractNumId w:val="8"/>
  </w:num>
  <w:num w:numId="27" w16cid:durableId="361328732">
    <w:abstractNumId w:val="18"/>
  </w:num>
  <w:num w:numId="28" w16cid:durableId="1179929970">
    <w:abstractNumId w:val="23"/>
  </w:num>
  <w:num w:numId="29" w16cid:durableId="1609896519">
    <w:abstractNumId w:val="6"/>
  </w:num>
  <w:num w:numId="30" w16cid:durableId="1929147988">
    <w:abstractNumId w:val="3"/>
  </w:num>
  <w:num w:numId="31" w16cid:durableId="996615707">
    <w:abstractNumId w:val="9"/>
  </w:num>
  <w:num w:numId="32" w16cid:durableId="286392360">
    <w:abstractNumId w:val="19"/>
  </w:num>
  <w:num w:numId="33" w16cid:durableId="814832195">
    <w:abstractNumId w:val="12"/>
  </w:num>
  <w:num w:numId="34" w16cid:durableId="2146657095">
    <w:abstractNumId w:val="38"/>
  </w:num>
  <w:num w:numId="35" w16cid:durableId="1435054474">
    <w:abstractNumId w:val="30"/>
  </w:num>
  <w:num w:numId="36" w16cid:durableId="1051687900">
    <w:abstractNumId w:val="35"/>
  </w:num>
  <w:num w:numId="37" w16cid:durableId="1909998229">
    <w:abstractNumId w:val="16"/>
  </w:num>
  <w:num w:numId="38" w16cid:durableId="156580398">
    <w:abstractNumId w:val="14"/>
  </w:num>
  <w:num w:numId="39" w16cid:durableId="703021169">
    <w:abstractNumId w:val="17"/>
  </w:num>
  <w:num w:numId="40" w16cid:durableId="1990204531">
    <w:abstractNumId w:val="22"/>
  </w:num>
  <w:num w:numId="41" w16cid:durableId="279991427">
    <w:abstractNumId w:val="36"/>
  </w:num>
  <w:num w:numId="42" w16cid:durableId="1955162715">
    <w:abstractNumId w:val="26"/>
  </w:num>
  <w:num w:numId="43" w16cid:durableId="16652347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CD"/>
    <w:rsid w:val="00194AF7"/>
    <w:rsid w:val="004D17CD"/>
    <w:rsid w:val="005021B5"/>
    <w:rsid w:val="00B6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905B6D"/>
  <w15:chartTrackingRefBased/>
  <w15:docId w15:val="{9D09DAAA-F4DF-40B7-9575-3ED741E9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ascii="Arial" w:hAnsi="Arial" w:cs="Arial"/>
      <w:b/>
      <w:bCs/>
      <w:sz w:val="18"/>
    </w:rPr>
  </w:style>
  <w:style w:type="paragraph" w:styleId="Heading4">
    <w:name w:val="heading 4"/>
    <w:basedOn w:val="Normal"/>
    <w:next w:val="Normal"/>
    <w:qFormat/>
    <w:pPr>
      <w:keepNext/>
      <w:ind w:left="720"/>
      <w:outlineLvl w:val="3"/>
    </w:pPr>
    <w:rPr>
      <w:rFonts w:ascii="Arial" w:hAnsi="Arial" w:cs="Arial"/>
      <w:sz w:val="20"/>
    </w:rPr>
  </w:style>
  <w:style w:type="paragraph" w:styleId="Heading5">
    <w:name w:val="heading 5"/>
    <w:basedOn w:val="Normal"/>
    <w:next w:val="Normal"/>
    <w:qFormat/>
    <w:pPr>
      <w:keepNext/>
      <w:ind w:left="720"/>
      <w:outlineLvl w:val="4"/>
    </w:pPr>
    <w:rPr>
      <w:rFonts w:ascii="Arial" w:hAnsi="Arial" w:cs="Arial"/>
      <w:b/>
      <w:bCs/>
      <w:sz w:val="28"/>
    </w:rPr>
  </w:style>
  <w:style w:type="paragraph" w:styleId="Heading6">
    <w:name w:val="heading 6"/>
    <w:basedOn w:val="Normal"/>
    <w:next w:val="Normal"/>
    <w:qFormat/>
    <w:pPr>
      <w:keepNext/>
      <w:jc w:val="center"/>
      <w:outlineLvl w:val="5"/>
    </w:pPr>
    <w:rPr>
      <w:rFonts w:ascii="Arial Narrow" w:hAnsi="Arial Narrow"/>
      <w:b/>
      <w:bCs/>
      <w:sz w:val="20"/>
    </w:rPr>
  </w:style>
  <w:style w:type="paragraph" w:styleId="Heading7">
    <w:name w:val="heading 7"/>
    <w:basedOn w:val="Normal"/>
    <w:next w:val="Normal"/>
    <w:qFormat/>
    <w:pPr>
      <w:keepNext/>
      <w:spacing w:after="220"/>
      <w:outlineLvl w:val="6"/>
    </w:pPr>
    <w:rPr>
      <w:rFonts w:ascii="Arial Narrow" w:hAnsi="Arial Narrow"/>
      <w:b/>
      <w:bCs/>
      <w:szCs w:val="20"/>
    </w:rPr>
  </w:style>
  <w:style w:type="paragraph" w:styleId="Heading8">
    <w:name w:val="heading 8"/>
    <w:basedOn w:val="Normal"/>
    <w:next w:val="Normal"/>
    <w:qFormat/>
    <w:pPr>
      <w:keepNext/>
      <w:outlineLvl w:val="7"/>
    </w:pPr>
    <w:rPr>
      <w:rFonts w:ascii="Arial" w:hAnsi="Arial" w:cs="Arial"/>
      <w:b/>
      <w:bCs/>
      <w:i/>
      <w:iCs/>
      <w:sz w:val="20"/>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paragraph" w:styleId="Subtitle">
    <w:name w:val="Subtitle"/>
    <w:basedOn w:val="Normal"/>
    <w:qFormat/>
    <w:pPr>
      <w:jc w:val="center"/>
    </w:pPr>
    <w:rPr>
      <w:rFonts w:ascii="Arial" w:hAnsi="Arial" w:cs="Arial"/>
      <w:b/>
      <w:bCs/>
      <w:sz w:val="28"/>
    </w:rPr>
  </w:style>
  <w:style w:type="paragraph" w:styleId="ListNumber">
    <w:name w:val="List Number"/>
    <w:basedOn w:val="Normal"/>
    <w:autoRedefine/>
    <w:semiHidden/>
    <w:pPr>
      <w:spacing w:after="220"/>
      <w:jc w:val="center"/>
    </w:pPr>
    <w:rPr>
      <w:rFonts w:ascii="Arial Narrow" w:hAnsi="Arial Narrow" w:cs="Arial"/>
      <w:sz w:val="20"/>
    </w:rPr>
  </w:style>
  <w:style w:type="paragraph" w:styleId="BodyText">
    <w:name w:val="Body Text"/>
    <w:basedOn w:val="Normal"/>
    <w:autoRedefine/>
    <w:semiHidden/>
    <w:pPr>
      <w:ind w:left="360" w:firstLine="360"/>
    </w:pPr>
    <w:rPr>
      <w:rFonts w:ascii="Arial Narrow" w:hAnsi="Arial Narrow" w:cs="Arial"/>
      <w:szCs w:val="20"/>
    </w:rPr>
  </w:style>
  <w:style w:type="paragraph" w:styleId="Header">
    <w:name w:val="header"/>
    <w:basedOn w:val="Normal"/>
    <w:autoRedefine/>
    <w:semiHidden/>
    <w:pPr>
      <w:tabs>
        <w:tab w:val="center" w:pos="4680"/>
        <w:tab w:val="right" w:pos="9360"/>
      </w:tabs>
    </w:pPr>
    <w:rPr>
      <w:rFonts w:ascii="Arial Narrow" w:hAnsi="Arial Narrow"/>
      <w:b/>
    </w:rPr>
  </w:style>
  <w:style w:type="paragraph" w:styleId="ListBullet">
    <w:name w:val="List Bullet"/>
    <w:basedOn w:val="Normal"/>
    <w:autoRedefine/>
    <w:semiHidden/>
    <w:pPr>
      <w:numPr>
        <w:numId w:val="8"/>
      </w:numPr>
      <w:spacing w:after="220"/>
    </w:pPr>
    <w:rPr>
      <w:rFonts w:ascii="Arial Narrow" w:hAnsi="Arial Narrow" w:cs="Arial"/>
      <w:sz w:val="20"/>
    </w:rPr>
  </w:style>
  <w:style w:type="paragraph" w:styleId="FootnoteText">
    <w:name w:val="footnote text"/>
    <w:basedOn w:val="Normal"/>
    <w:autoRedefine/>
    <w:semiHidden/>
    <w:pPr>
      <w:tabs>
        <w:tab w:val="left" w:pos="900"/>
      </w:tabs>
      <w:ind w:left="360"/>
    </w:pPr>
    <w:rPr>
      <w:rFonts w:ascii="Arial" w:hAnsi="Arial" w:cs="Arial"/>
      <w:sz w:val="20"/>
    </w:rPr>
  </w:style>
  <w:style w:type="paragraph" w:customStyle="1" w:styleId="TableHeading">
    <w:name w:val="Table Heading"/>
    <w:basedOn w:val="Heading2"/>
    <w:autoRedefine/>
    <w:pPr>
      <w:spacing w:before="0" w:after="120"/>
      <w:ind w:right="-288"/>
    </w:pPr>
    <w:rPr>
      <w:b w:val="0"/>
      <w:bCs w:val="0"/>
      <w:i w:val="0"/>
      <w:spacing w:val="-4"/>
      <w:kern w:val="28"/>
      <w:sz w:val="20"/>
      <w:lang w:val="fr-FR"/>
    </w:rPr>
  </w:style>
  <w:style w:type="character" w:styleId="FootnoteReference">
    <w:name w:val="footnote reference"/>
    <w:semiHidden/>
    <w:rPr>
      <w:vertAlign w:val="superscript"/>
    </w:rPr>
  </w:style>
  <w:style w:type="paragraph" w:styleId="BodyText2">
    <w:name w:val="Body Text 2"/>
    <w:basedOn w:val="Normal"/>
    <w:semiHidden/>
    <w:rPr>
      <w:rFonts w:ascii="Arial" w:hAnsi="Arial" w:cs="Arial"/>
      <w:sz w:val="20"/>
    </w:rPr>
  </w:style>
  <w:style w:type="paragraph" w:styleId="BodyTextIndent">
    <w:name w:val="Body Text Indent"/>
    <w:basedOn w:val="Normal"/>
    <w:semiHidden/>
    <w:pPr>
      <w:ind w:left="900"/>
    </w:pPr>
    <w:rPr>
      <w:rFonts w:ascii="Arial" w:hAnsi="Arial" w:cs="Arial"/>
      <w:sz w:val="20"/>
    </w:rPr>
  </w:style>
  <w:style w:type="paragraph" w:styleId="BodyTextIndent2">
    <w:name w:val="Body Text Indent 2"/>
    <w:basedOn w:val="Normal"/>
    <w:semiHidden/>
    <w:pPr>
      <w:ind w:left="720"/>
    </w:pPr>
    <w:rPr>
      <w:rFonts w:ascii="Arial" w:hAnsi="Arial" w:cs="Arial"/>
      <w:sz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Number2">
    <w:name w:val="List Number 2"/>
    <w:basedOn w:val="Normal"/>
    <w:semiHidden/>
    <w:pPr>
      <w:numPr>
        <w:numId w:val="16"/>
      </w:numPr>
      <w:spacing w:after="120"/>
    </w:pPr>
    <w:rPr>
      <w:rFonts w:ascii="Arial" w:hAnsi="Arial"/>
      <w:sz w:val="20"/>
    </w:rPr>
  </w:style>
  <w:style w:type="character" w:styleId="Strong">
    <w:name w:val="Strong"/>
    <w:qFormat/>
    <w:rPr>
      <w:b/>
      <w:bCs/>
    </w:rPr>
  </w:style>
  <w:style w:type="paragraph" w:styleId="BodyTextIndent3">
    <w:name w:val="Body Text Indent 3"/>
    <w:basedOn w:val="Normal"/>
    <w:semiHidden/>
    <w:pPr>
      <w:ind w:left="360"/>
    </w:pPr>
    <w:rPr>
      <w:rFonts w:ascii="Arial" w:hAnsi="Arial" w:cs="Arial"/>
      <w:b/>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7141;#SC Credit Policy Appendix A|8d5316a4-a703-49a6-a7d6-8632a1f35a97;#7;#Stakeholder processes|71659ab1-dac7-419e-9529-abc47c232b66;#7134;#SC Credit Policy Changes Under Consideration|75188b57-9a27-4973-9aeb-1dd1eb32d5dd;#1;#Not Archived|d4ac4999-fa66-470b-a400-7ab6671d1fab]]></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8DA8CA-441D-4D67-B0EE-0B566EBBEBCC}"/>
</file>

<file path=customXml/itemProps2.xml><?xml version="1.0" encoding="utf-8"?>
<ds:datastoreItem xmlns:ds="http://schemas.openxmlformats.org/officeDocument/2006/customXml" ds:itemID="{894C8C35-7238-4527-BB8B-D37D94064321}"/>
</file>

<file path=customXml/itemProps3.xml><?xml version="1.0" encoding="utf-8"?>
<ds:datastoreItem xmlns:ds="http://schemas.openxmlformats.org/officeDocument/2006/customXml" ds:itemID="{C93D98EF-AE9E-400F-94B5-C397E0C52C06}">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779B6F69-0199-46ED-BB36-497B7A2BA8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2633</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SC Credit Policy Appendix A - Credit Limit Caps</vt:lpstr>
    </vt:vector>
  </TitlesOfParts>
  <Company>California ISO</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Credit Policy Appendix A - Credit Limit Caps</dc:title>
  <dc:subject/>
  <dc:creator>eyoho</dc:creator>
  <cp:keywords/>
  <dc:description/>
  <cp:lastModifiedBy>Valladares, Angela</cp:lastModifiedBy>
  <cp:revision>2</cp:revision>
  <cp:lastPrinted>2004-11-09T01:27:00Z</cp:lastPrinted>
  <dcterms:created xsi:type="dcterms:W3CDTF">2025-09-12T15:56:00Z</dcterms:created>
  <dcterms:modified xsi:type="dcterms:W3CDTF">2025-09-12T15:56:00Z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2004-11-10T12:13:01Z</vt:lpwstr>
  </property>
  <property fmtid="{D5CDD505-2E9C-101B-9397-08002B2CF9AE}" pid="3" name="ISOKeywords">
    <vt:lpwstr>7141;#SC Credit Policy Appendix A|8d5316a4-a703-49a6-a7d6-8632a1f35a97</vt:lpwstr>
  </property>
  <property fmtid="{D5CDD505-2E9C-101B-9397-08002B2CF9AE}" pid="4" name="ISOGroup">
    <vt:lpwstr>7134;#SC Credit Policy Changes Under Consideration|75188b57-9a27-4973-9aeb-1dd1eb32d5dd</vt:lpwstr>
  </property>
  <property fmtid="{D5CDD505-2E9C-101B-9397-08002B2CF9AE}" pid="5" name="ISOTopic">
    <vt:lpwstr>7;#Stakeholder processes|71659ab1-dac7-419e-9529-abc47c232b66</vt:lpwstr>
  </property>
  <property fmtid="{D5CDD505-2E9C-101B-9397-08002B2CF9AE}" pid="6" name="Order">
    <vt:lpwstr>25492000.0000000</vt:lpwstr>
  </property>
  <property fmtid="{D5CDD505-2E9C-101B-9397-08002B2CF9AE}" pid="7" name="ISOArchive">
    <vt:lpwstr>1;#Not Archived|d4ac4999-fa66-470b-a400-7ab6671d1fab</vt:lpwstr>
  </property>
  <property fmtid="{D5CDD505-2E9C-101B-9397-08002B2CF9AE}" pid="8" name="OriginalUriCopy">
    <vt:lpwstr>http://www.caiso.com/docs/2004/11/10/2004111012104210120.doc, http://www.caiso.com/docs/2004/11/10/2004111012104210120.doc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http://www.caiso.com/docs/2004/11/10/2004111012104210120.doc, /docs/2004/11/10/2004111012104210120.doc</vt:lpwstr>
  </property>
  <property fmtid="{D5CDD505-2E9C-101B-9397-08002B2CF9AE}" pid="12" name="ContentTypeId">
    <vt:lpwstr>0x010100776092249CC62C48AA17033F357BFB4B</vt:lpwstr>
  </property>
</Properties>
</file>