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4E2" w:rsidRPr="004E34DE" w:rsidRDefault="00BE44E2">
      <w:pPr>
        <w:rPr>
          <w:color w:val="000000"/>
          <w:sz w:val="24"/>
        </w:rPr>
      </w:pPr>
      <w:bookmarkStart w:id="0" w:name="_GoBack"/>
      <w:bookmarkEnd w:id="0"/>
    </w:p>
    <w:p w:rsidR="00BE44E2" w:rsidRPr="004E34DE" w:rsidRDefault="00BE44E2">
      <w:pPr>
        <w:pStyle w:val="bodytext"/>
        <w:widowControl/>
        <w:pBdr>
          <w:top w:val="single" w:sz="6" w:space="1" w:color="auto"/>
          <w:left w:val="single" w:sz="6" w:space="1" w:color="auto"/>
          <w:bottom w:val="single" w:sz="6" w:space="1" w:color="auto"/>
          <w:right w:val="single" w:sz="6" w:space="1" w:color="auto"/>
        </w:pBdr>
        <w:shd w:val="pct25" w:color="auto" w:fill="auto"/>
        <w:spacing w:before="0"/>
        <w:jc w:val="center"/>
        <w:rPr>
          <w:rFonts w:ascii="Times New Roman" w:hAnsi="Times New Roman"/>
          <w:b/>
          <w:i/>
          <w:color w:val="000000"/>
          <w:sz w:val="22"/>
        </w:rPr>
      </w:pPr>
      <w:r w:rsidRPr="004E34DE">
        <w:rPr>
          <w:rFonts w:ascii="Times New Roman" w:hAnsi="Times New Roman"/>
          <w:b/>
          <w:i/>
          <w:color w:val="000000"/>
          <w:sz w:val="30"/>
        </w:rPr>
        <w:t>GUARANTY</w:t>
      </w:r>
    </w:p>
    <w:p w:rsidR="00BE44E2" w:rsidRPr="004E34DE" w:rsidRDefault="00BE44E2">
      <w:pPr>
        <w:pStyle w:val="bodytext"/>
        <w:widowControl/>
        <w:jc w:val="both"/>
        <w:rPr>
          <w:rFonts w:ascii="Times New Roman" w:hAnsi="Times New Roman"/>
          <w:color w:val="000000"/>
          <w:sz w:val="22"/>
        </w:rPr>
      </w:pPr>
      <w:r w:rsidRPr="004E34DE">
        <w:rPr>
          <w:rFonts w:ascii="Times New Roman" w:hAnsi="Times New Roman"/>
          <w:color w:val="000000"/>
          <w:sz w:val="22"/>
        </w:rPr>
        <w:tab/>
        <w:t xml:space="preserve">In consideration of </w:t>
      </w:r>
      <w:r w:rsidR="005C53A6">
        <w:rPr>
          <w:rFonts w:ascii="Times New Roman" w:hAnsi="Times New Roman"/>
          <w:color w:val="000000"/>
          <w:sz w:val="22"/>
        </w:rPr>
        <w:t>San Diego</w:t>
      </w:r>
      <w:r w:rsidRPr="004E34DE">
        <w:rPr>
          <w:rFonts w:ascii="Times New Roman" w:hAnsi="Times New Roman"/>
          <w:color w:val="000000"/>
          <w:sz w:val="22"/>
        </w:rPr>
        <w:t xml:space="preserve"> Gas </w:t>
      </w:r>
      <w:r w:rsidR="005C53A6">
        <w:rPr>
          <w:rFonts w:ascii="Times New Roman" w:hAnsi="Times New Roman"/>
          <w:color w:val="000000"/>
          <w:sz w:val="22"/>
        </w:rPr>
        <w:t xml:space="preserve">&amp; Electric </w:t>
      </w:r>
      <w:r w:rsidRPr="004E34DE">
        <w:rPr>
          <w:rFonts w:ascii="Times New Roman" w:hAnsi="Times New Roman"/>
          <w:color w:val="000000"/>
          <w:sz w:val="22"/>
        </w:rPr>
        <w:t xml:space="preserve">Company ("Company") entering into a contract with or furnishing gas service or other goods or services or credit to </w:t>
      </w:r>
      <w:r w:rsidR="00580D56" w:rsidRPr="00580D56">
        <w:rPr>
          <w:rFonts w:ascii="Times New Roman" w:hAnsi="Times New Roman"/>
          <w:color w:val="000000"/>
          <w:sz w:val="22"/>
          <w:shd w:val="clear" w:color="auto" w:fill="C0C0C0"/>
        </w:rPr>
        <w:t>[NAME OF COUNTERPARTY]</w:t>
      </w:r>
      <w:r w:rsidR="0016795E">
        <w:rPr>
          <w:rFonts w:ascii="Times New Roman" w:hAnsi="Times New Roman"/>
          <w:color w:val="000000"/>
          <w:sz w:val="22"/>
        </w:rPr>
        <w:t xml:space="preserve"> </w:t>
      </w:r>
      <w:r w:rsidRPr="004E34DE">
        <w:rPr>
          <w:rFonts w:ascii="Times New Roman" w:hAnsi="Times New Roman"/>
          <w:color w:val="000000"/>
          <w:sz w:val="22"/>
        </w:rPr>
        <w:t xml:space="preserve">(hereinafter referred to as "Applicant"), </w:t>
      </w:r>
      <w:r w:rsidR="00580D56" w:rsidRPr="00580D56">
        <w:rPr>
          <w:rFonts w:ascii="Times New Roman" w:hAnsi="Times New Roman"/>
          <w:color w:val="000000"/>
          <w:sz w:val="22"/>
          <w:shd w:val="clear" w:color="auto" w:fill="C0C0C0"/>
        </w:rPr>
        <w:t>[NAME OF GUARANTOR]</w:t>
      </w:r>
      <w:r w:rsidRPr="004E34DE">
        <w:rPr>
          <w:rFonts w:ascii="Times New Roman" w:hAnsi="Times New Roman"/>
          <w:color w:val="000000"/>
          <w:sz w:val="22"/>
        </w:rPr>
        <w:t xml:space="preserve"> a </w:t>
      </w:r>
      <w:r w:rsidR="00580D56" w:rsidRPr="00580D56">
        <w:rPr>
          <w:rFonts w:ascii="Times New Roman" w:hAnsi="Times New Roman"/>
          <w:color w:val="000000"/>
          <w:sz w:val="22"/>
          <w:shd w:val="clear" w:color="auto" w:fill="C0C0C0"/>
        </w:rPr>
        <w:t>[TYPE OF LEGAL ENTITY i.e. California corporation]</w:t>
      </w:r>
      <w:r w:rsidRPr="004E34DE">
        <w:rPr>
          <w:rFonts w:ascii="Times New Roman" w:hAnsi="Times New Roman"/>
          <w:color w:val="000000"/>
          <w:sz w:val="22"/>
        </w:rPr>
        <w:t>, (hereinafter referred to as “Guarantor”) agrees with Company as follows:</w:t>
      </w:r>
    </w:p>
    <w:p w:rsidR="008A6864" w:rsidRDefault="00BE44E2" w:rsidP="008A6864">
      <w:pPr>
        <w:pStyle w:val="bodytext"/>
        <w:widowControl/>
        <w:jc w:val="both"/>
        <w:rPr>
          <w:rFonts w:ascii="Times New Roman" w:hAnsi="Times New Roman"/>
          <w:sz w:val="22"/>
        </w:rPr>
      </w:pPr>
      <w:r w:rsidRPr="004E34DE">
        <w:tab/>
      </w:r>
      <w:r w:rsidRPr="00183DD1">
        <w:rPr>
          <w:rFonts w:ascii="Times New Roman" w:hAnsi="Times New Roman"/>
          <w:color w:val="000000"/>
          <w:sz w:val="22"/>
        </w:rPr>
        <w:t>1.</w:t>
      </w:r>
      <w:r w:rsidRPr="00183DD1">
        <w:rPr>
          <w:rFonts w:ascii="Times New Roman" w:hAnsi="Times New Roman"/>
          <w:color w:val="000000"/>
          <w:sz w:val="22"/>
        </w:rPr>
        <w:tab/>
      </w:r>
      <w:r w:rsidR="008A6864">
        <w:rPr>
          <w:rFonts w:ascii="Times New Roman" w:hAnsi="Times New Roman"/>
          <w:sz w:val="22"/>
        </w:rPr>
        <w:t xml:space="preserve">The term “Obligations” is used herein in its broadest and most comprehensive sense and shall mean, without limiting the generality of the foregoing, all obligations, liabilities and indebtedness of any kind whatsoever now or hereafter owing by Applicant to the Company in respect of or pursuant to any existing or future agreement, contract, applicable law, regulation or tariff, and any amendments, modifications or extensions thereof, and without limiting the generality of the foregoing, the term "Obligations" shall include all obligations, liabilities and indebtedness of any kind whatsoever (a) for electricity or gas service to Applicant; (b) for any and all electricity or gas delivery, transportation, imbalance and other charges and liabilities arising in connection with or under any agreement or otherwise including, but without limiting the generality of the foregoing, not limited to any Marketer/Core Aggregator/Use or Pay Aggregator Agreement, Aggregation/Transportation Service Agreement for Core Aggregation Service, or any other agreement which designates Applicant as a marketer of electricity or gas, or as an aggregator of gas or relating to Applicant's activities as a marketer of electricity or gas or as an aggregator of gas; (c) arising in connection with or under any Consolidated Billing Agreement or any other agreement pursuant to which the Company bills any of the customers of Applicant for electricity or gas provided or sold by Applicant to such customers; (d) arising in connection with the extension by the Company of credit to Applicant in connection with Applicant’s activities as an electric or gas energy service provider; (e) arising in connection with the purchase, sale, or exchange of natural gas and/or electricity, </w:t>
      </w:r>
      <w:r w:rsidR="008A6864" w:rsidRPr="00CE12C0">
        <w:rPr>
          <w:rFonts w:ascii="Times New Roman" w:hAnsi="Times New Roman"/>
          <w:color w:val="000000"/>
          <w:sz w:val="22"/>
        </w:rPr>
        <w:t xml:space="preserve">and/or </w:t>
      </w:r>
      <w:r w:rsidR="008A6864" w:rsidRPr="00AD6353">
        <w:rPr>
          <w:rFonts w:ascii="Times New Roman" w:hAnsi="Times New Roman"/>
          <w:sz w:val="22"/>
        </w:rPr>
        <w:t>Cap-and-Trade Product</w:t>
      </w:r>
      <w:r w:rsidR="008A6864">
        <w:rPr>
          <w:rFonts w:ascii="Times New Roman" w:hAnsi="Times New Roman"/>
          <w:sz w:val="22"/>
        </w:rPr>
        <w:t xml:space="preserve">; (f) arising in connection with the trading of financial derivatives including, without limitation, price swaps, puts and calls; (g) </w:t>
      </w:r>
      <w:r w:rsidR="008A6864" w:rsidRPr="00AD6353">
        <w:rPr>
          <w:rFonts w:ascii="Times New Roman" w:hAnsi="Times New Roman"/>
          <w:sz w:val="22"/>
        </w:rPr>
        <w:t>arising in connection with the purchase or sale of low carbon fuel standard credits</w:t>
      </w:r>
      <w:r w:rsidR="008A6864">
        <w:rPr>
          <w:rFonts w:ascii="Times New Roman" w:hAnsi="Times New Roman"/>
          <w:sz w:val="22"/>
        </w:rPr>
        <w:t>; (h) arising in connection with or under any security agreement or other agreement between the Company and Applicant;</w:t>
      </w:r>
      <w:r w:rsidR="009D15CE">
        <w:rPr>
          <w:rFonts w:ascii="Times New Roman" w:hAnsi="Times New Roman"/>
          <w:sz w:val="22"/>
        </w:rPr>
        <w:t xml:space="preserve"> </w:t>
      </w:r>
      <w:r w:rsidR="00FC1B94" w:rsidRPr="00183DD1">
        <w:rPr>
          <w:rFonts w:ascii="Times New Roman" w:hAnsi="Times New Roman"/>
          <w:color w:val="000000"/>
          <w:sz w:val="22"/>
        </w:rPr>
        <w:t>(i)</w:t>
      </w:r>
      <w:r w:rsidR="008A6864">
        <w:rPr>
          <w:rFonts w:ascii="Times New Roman" w:hAnsi="Times New Roman"/>
          <w:sz w:val="22"/>
        </w:rPr>
        <w:t xml:space="preserve"> arising in connection with or under any purchase or sale of resource adequacy and/or any other capacity attribute</w:t>
      </w:r>
      <w:r w:rsidR="009D15CE">
        <w:rPr>
          <w:rFonts w:ascii="Times New Roman" w:hAnsi="Times New Roman"/>
          <w:sz w:val="22"/>
        </w:rPr>
        <w:t xml:space="preserve">; </w:t>
      </w:r>
      <w:r w:rsidR="009D15CE" w:rsidRPr="00D27A33">
        <w:rPr>
          <w:rFonts w:ascii="Times New Roman" w:hAnsi="Times New Roman"/>
          <w:sz w:val="22"/>
        </w:rPr>
        <w:t>and (j) arising in connection with or under the Aggregator Agreement for Capacity Bidding Program (CBP).</w:t>
      </w:r>
      <w:r w:rsidR="008A6864" w:rsidRPr="00D27A33">
        <w:rPr>
          <w:rFonts w:ascii="Times New Roman" w:hAnsi="Times New Roman"/>
          <w:sz w:val="22"/>
        </w:rPr>
        <w:t xml:space="preserve"> The amount of Obligations existing from time to time shall be calculated after giving effect to all contractual</w:t>
      </w:r>
      <w:r w:rsidR="008A6864">
        <w:rPr>
          <w:rFonts w:ascii="Times New Roman" w:hAnsi="Times New Roman"/>
          <w:sz w:val="22"/>
        </w:rPr>
        <w:t xml:space="preserve"> netting arrangements between Applicant and the Company.</w:t>
      </w:r>
    </w:p>
    <w:p w:rsidR="00BE44E2" w:rsidRPr="004E34DE" w:rsidRDefault="00BE44E2">
      <w:pPr>
        <w:pStyle w:val="bodytext"/>
        <w:widowControl/>
        <w:jc w:val="both"/>
        <w:rPr>
          <w:rFonts w:ascii="Times New Roman" w:hAnsi="Times New Roman"/>
          <w:color w:val="000000"/>
          <w:sz w:val="22"/>
        </w:rPr>
      </w:pPr>
      <w:r w:rsidRPr="004E34DE">
        <w:rPr>
          <w:rFonts w:ascii="Times New Roman" w:hAnsi="Times New Roman"/>
          <w:color w:val="000000"/>
          <w:sz w:val="22"/>
        </w:rPr>
        <w:tab/>
        <w:t>2.</w:t>
      </w:r>
      <w:r w:rsidRPr="004E34DE">
        <w:rPr>
          <w:rFonts w:ascii="Times New Roman" w:hAnsi="Times New Roman"/>
          <w:color w:val="000000"/>
          <w:sz w:val="22"/>
        </w:rPr>
        <w:tab/>
      </w:r>
      <w:r w:rsidR="008A6864">
        <w:rPr>
          <w:rFonts w:ascii="Times New Roman" w:hAnsi="Times New Roman"/>
          <w:sz w:val="22"/>
        </w:rPr>
        <w:t xml:space="preserve">Guarantor unconditionally and irrevocably guarantees to Company the full, prompt and faithful payment and performance when due of each and all of the Obligations.  </w:t>
      </w:r>
    </w:p>
    <w:p w:rsidR="00BE44E2" w:rsidRPr="00E040AA" w:rsidRDefault="00BE44E2">
      <w:pPr>
        <w:pStyle w:val="bodytext"/>
        <w:widowControl/>
        <w:jc w:val="both"/>
        <w:rPr>
          <w:rFonts w:ascii="Times New Roman" w:hAnsi="Times New Roman"/>
          <w:sz w:val="22"/>
        </w:rPr>
      </w:pPr>
      <w:r w:rsidRPr="004E34DE">
        <w:rPr>
          <w:rFonts w:ascii="Times New Roman" w:hAnsi="Times New Roman"/>
          <w:color w:val="000000"/>
          <w:sz w:val="22"/>
        </w:rPr>
        <w:tab/>
        <w:t>3.</w:t>
      </w:r>
      <w:r w:rsidRPr="004E34DE">
        <w:rPr>
          <w:rFonts w:ascii="Times New Roman" w:hAnsi="Times New Roman"/>
          <w:color w:val="000000"/>
          <w:sz w:val="22"/>
        </w:rPr>
        <w:tab/>
      </w:r>
      <w:r w:rsidR="00E040AA">
        <w:rPr>
          <w:rFonts w:ascii="Times New Roman" w:hAnsi="Times New Roman"/>
          <w:sz w:val="22"/>
        </w:rPr>
        <w:t xml:space="preserve">This is a continuing guaranty relating to the Obligations.  Guarantor acknowledges that there is a continuing consideration to Guarantor for this Guaranty and therefore Guarantor waives and relinquishes the right to revoke or terminate this Guaranty as provided in California Civil Code Section 2815 except for the right to terminate this Guaranty in accordance with this paragraph 3.  No termination of this Guaranty by Guarantor shall affect any Obligations outstanding or contracted or committed for as of the effective date of the termination, the payment of which Obligations shall continue to be guaranteed by Guarantor pursuant to this Guaranty notwithstanding such termination, and this Guaranty shall remain in full force and effect with respect to such Obligations until finally and irrevocably paid in full.  Guarantor may terminate this Guaranty with respect to future Obligations only </w:t>
      </w:r>
      <w:r w:rsidR="00E040AA">
        <w:rPr>
          <w:rFonts w:ascii="Times New Roman" w:hAnsi="Times New Roman"/>
          <w:sz w:val="22"/>
        </w:rPr>
        <w:lastRenderedPageBreak/>
        <w:t>by delivering personally, by certified mail, postage prepaid and return receipt requested, or by confirmed facsimile transmission (fax), written notice thereof to Company, provided that such notice shall specify the effective date thereof, which effective date shall be no sooner than ninety (90) days after Company’s actual receipt of such notice, at the address set forth below (or to such new address or fax number as Company may designate hereafter in a notice to Guarantor):</w:t>
      </w:r>
    </w:p>
    <w:p w:rsidR="007146BB" w:rsidRDefault="007146BB" w:rsidP="007146BB">
      <w:pPr>
        <w:pStyle w:val="bodytext"/>
        <w:widowControl/>
        <w:spacing w:before="0"/>
        <w:ind w:left="2160"/>
        <w:rPr>
          <w:rFonts w:ascii="Times New Roman" w:hAnsi="Times New Roman"/>
          <w:sz w:val="22"/>
        </w:rPr>
      </w:pPr>
    </w:p>
    <w:p w:rsidR="007146BB" w:rsidRDefault="007146BB" w:rsidP="007146BB">
      <w:pPr>
        <w:pStyle w:val="bodytext"/>
        <w:widowControl/>
        <w:spacing w:before="0"/>
        <w:ind w:left="2160"/>
        <w:rPr>
          <w:rFonts w:ascii="Times New Roman" w:hAnsi="Times New Roman"/>
          <w:sz w:val="22"/>
        </w:rPr>
      </w:pPr>
      <w:r>
        <w:rPr>
          <w:rFonts w:ascii="Times New Roman" w:hAnsi="Times New Roman"/>
          <w:sz w:val="22"/>
        </w:rPr>
        <w:t>Attn:  Commercial &amp; Credit Risk, CP21D</w:t>
      </w:r>
    </w:p>
    <w:p w:rsidR="00B60FC9" w:rsidRDefault="00B60FC9" w:rsidP="007146BB">
      <w:pPr>
        <w:pStyle w:val="bodytext"/>
        <w:widowControl/>
        <w:spacing w:before="0"/>
        <w:ind w:left="2160"/>
        <w:rPr>
          <w:rFonts w:ascii="Times New Roman" w:hAnsi="Times New Roman"/>
          <w:sz w:val="22"/>
        </w:rPr>
      </w:pPr>
      <w:r>
        <w:rPr>
          <w:rFonts w:ascii="Times New Roman" w:hAnsi="Times New Roman"/>
          <w:sz w:val="22"/>
        </w:rPr>
        <w:t>San Diego Gas &amp; Electric Company</w:t>
      </w:r>
      <w:r>
        <w:rPr>
          <w:rFonts w:ascii="Times New Roman" w:hAnsi="Times New Roman"/>
          <w:sz w:val="22"/>
        </w:rPr>
        <w:br/>
        <w:t>8326 Century Park Court</w:t>
      </w:r>
      <w:r>
        <w:rPr>
          <w:rFonts w:ascii="Times New Roman" w:hAnsi="Times New Roman"/>
          <w:sz w:val="22"/>
        </w:rPr>
        <w:br/>
        <w:t>San Diego, CA  92123</w:t>
      </w:r>
    </w:p>
    <w:p w:rsidR="00BE44E2" w:rsidRPr="004E34DE" w:rsidRDefault="00BE44E2" w:rsidP="00B60FC9">
      <w:pPr>
        <w:pStyle w:val="bodytext"/>
        <w:widowControl/>
        <w:ind w:firstLine="720"/>
        <w:rPr>
          <w:rFonts w:ascii="Times New Roman" w:hAnsi="Times New Roman"/>
          <w:color w:val="000000"/>
          <w:sz w:val="22"/>
        </w:rPr>
      </w:pPr>
      <w:r w:rsidRPr="004E34DE">
        <w:rPr>
          <w:rFonts w:ascii="Times New Roman" w:hAnsi="Times New Roman"/>
          <w:color w:val="000000"/>
          <w:sz w:val="22"/>
        </w:rPr>
        <w:t>4.</w:t>
      </w:r>
      <w:r w:rsidRPr="004E34DE">
        <w:rPr>
          <w:rFonts w:ascii="Times New Roman" w:hAnsi="Times New Roman"/>
          <w:color w:val="000000"/>
          <w:sz w:val="22"/>
        </w:rPr>
        <w:tab/>
      </w:r>
      <w:r w:rsidR="00E040AA">
        <w:rPr>
          <w:rFonts w:ascii="Times New Roman" w:hAnsi="Times New Roman"/>
          <w:sz w:val="22"/>
        </w:rPr>
        <w:t xml:space="preserve">Any of the Obligations may be amended, modified, waived, or increased (whether or not beyond any dollar limitation hereunder), further agreements may be entered into between Company and Applicant, Company may provide additional goods or services or credit to Applicant or increase or decrease the dollar value of such goods, services or credit, and further obligations (including, without limitation, the provision or pledging of security to Company for any obligation), indebtedness and liabilities may be entered into or incurred from time to time by Applicant and without further authorization from or notice to Guarantor and no such action shall terminate, release, impair, reduce, discharge, diminish or in any way affect any of the obligations of Guarantor hereunder or any security furnished by Guarantor or give Guarantor any recourse or defense against Company.  Company need not inquire into the power of Applicant or the authority of its officers, directors, partners or agents acting or purporting to act in its behalf.  </w:t>
      </w:r>
      <w:r w:rsidRPr="004E34DE">
        <w:rPr>
          <w:rFonts w:ascii="Times New Roman" w:hAnsi="Times New Roman"/>
          <w:color w:val="000000"/>
          <w:sz w:val="22"/>
        </w:rPr>
        <w:t xml:space="preserve">  </w:t>
      </w:r>
    </w:p>
    <w:p w:rsidR="00BE44E2" w:rsidRPr="00E040AA" w:rsidRDefault="00BE44E2">
      <w:pPr>
        <w:pStyle w:val="bodytext"/>
        <w:widowControl/>
        <w:jc w:val="both"/>
        <w:rPr>
          <w:rFonts w:ascii="Times New Roman" w:hAnsi="Times New Roman"/>
          <w:sz w:val="22"/>
        </w:rPr>
      </w:pPr>
      <w:r w:rsidRPr="004E34DE">
        <w:rPr>
          <w:rFonts w:ascii="Times New Roman" w:hAnsi="Times New Roman"/>
          <w:color w:val="000000"/>
          <w:sz w:val="22"/>
        </w:rPr>
        <w:tab/>
        <w:t>5.</w:t>
      </w:r>
      <w:r w:rsidRPr="004E34DE">
        <w:rPr>
          <w:rFonts w:ascii="Times New Roman" w:hAnsi="Times New Roman"/>
          <w:color w:val="000000"/>
          <w:sz w:val="22"/>
        </w:rPr>
        <w:tab/>
      </w:r>
      <w:r w:rsidR="00E040AA">
        <w:rPr>
          <w:rFonts w:ascii="Times New Roman" w:hAnsi="Times New Roman"/>
          <w:sz w:val="22"/>
        </w:rPr>
        <w:t>With respect to all Obligations, this is a guaranty of payment and performance and not of collection, and Guarantor waives and agrees not to assert or take advantage of:</w:t>
      </w:r>
    </w:p>
    <w:p w:rsidR="00BE44E2" w:rsidRPr="00E040AA" w:rsidRDefault="00BE44E2">
      <w:pPr>
        <w:pStyle w:val="bodytext"/>
        <w:widowControl/>
        <w:jc w:val="both"/>
        <w:rPr>
          <w:rFonts w:ascii="Times New Roman" w:hAnsi="Times New Roman"/>
          <w:sz w:val="22"/>
        </w:rPr>
      </w:pPr>
      <w:r w:rsidRPr="004E34DE">
        <w:rPr>
          <w:rFonts w:ascii="Times New Roman" w:hAnsi="Times New Roman"/>
          <w:color w:val="000000"/>
          <w:sz w:val="22"/>
        </w:rPr>
        <w:tab/>
      </w:r>
      <w:r w:rsidRPr="004E34DE">
        <w:rPr>
          <w:rFonts w:ascii="Times New Roman" w:hAnsi="Times New Roman"/>
          <w:color w:val="000000"/>
          <w:sz w:val="22"/>
        </w:rPr>
        <w:tab/>
        <w:t>(a)</w:t>
      </w:r>
      <w:r w:rsidRPr="004E34DE">
        <w:rPr>
          <w:rFonts w:ascii="Times New Roman" w:hAnsi="Times New Roman"/>
          <w:color w:val="000000"/>
          <w:sz w:val="22"/>
        </w:rPr>
        <w:tab/>
      </w:r>
      <w:r w:rsidR="00E040AA">
        <w:rPr>
          <w:rFonts w:ascii="Times New Roman" w:hAnsi="Times New Roman"/>
          <w:sz w:val="22"/>
        </w:rPr>
        <w:t>any right to require Company to proceed against Applicant or any other person or to resort to, proceed against or exhaust any security held by it at any time or to pursue any other remedy in its power before proceeding against any Guarantor;</w:t>
      </w:r>
    </w:p>
    <w:p w:rsidR="00E040AA" w:rsidRDefault="00BE44E2" w:rsidP="00E040AA">
      <w:pPr>
        <w:pStyle w:val="bodytext"/>
        <w:widowControl/>
        <w:jc w:val="both"/>
        <w:rPr>
          <w:rFonts w:ascii="Times New Roman" w:hAnsi="Times New Roman"/>
          <w:sz w:val="22"/>
        </w:rPr>
      </w:pPr>
      <w:r w:rsidRPr="004E34DE">
        <w:rPr>
          <w:rFonts w:ascii="Times New Roman" w:hAnsi="Times New Roman"/>
          <w:color w:val="000000"/>
          <w:sz w:val="22"/>
        </w:rPr>
        <w:tab/>
      </w:r>
      <w:r w:rsidRPr="004E34DE">
        <w:rPr>
          <w:rFonts w:ascii="Times New Roman" w:hAnsi="Times New Roman"/>
          <w:color w:val="000000"/>
          <w:sz w:val="22"/>
        </w:rPr>
        <w:tab/>
        <w:t>(b)</w:t>
      </w:r>
      <w:r w:rsidRPr="004E34DE">
        <w:rPr>
          <w:rFonts w:ascii="Times New Roman" w:hAnsi="Times New Roman"/>
          <w:color w:val="000000"/>
          <w:sz w:val="22"/>
        </w:rPr>
        <w:tab/>
      </w:r>
      <w:r w:rsidR="00E040AA">
        <w:rPr>
          <w:rFonts w:ascii="Times New Roman" w:hAnsi="Times New Roman"/>
          <w:sz w:val="22"/>
        </w:rPr>
        <w:t>demand, presentment, protest and notice of any kind including, without limiting the generality of the foregoing, notice of nonperformance, protest, dishonor and acceptance of this Guaranty, notice under Section 9611 of the California Commercial Code, and notice of the existence, creation or incurring of any new or additional indebtedness or obligation or of any action or non-action on the part of Applicant, Company, a guarantor under this or any other instrument, or creditor of Applicant or any other person whomsoever, in connection with any of the Obligations or any collateral for any of the Obligations or in connection with any of the Obligations; and</w:t>
      </w:r>
    </w:p>
    <w:p w:rsidR="00E040AA" w:rsidRDefault="00E040AA" w:rsidP="00E040AA">
      <w:pPr>
        <w:pStyle w:val="bodytext"/>
        <w:widowControl/>
        <w:jc w:val="both"/>
        <w:rPr>
          <w:rFonts w:ascii="Times New Roman" w:hAnsi="Times New Roman"/>
          <w:sz w:val="22"/>
        </w:rPr>
      </w:pPr>
      <w:r>
        <w:rPr>
          <w:rFonts w:ascii="Times New Roman" w:hAnsi="Times New Roman"/>
          <w:sz w:val="22"/>
        </w:rPr>
        <w:tab/>
      </w:r>
      <w:r>
        <w:rPr>
          <w:rFonts w:ascii="Times New Roman" w:hAnsi="Times New Roman"/>
          <w:sz w:val="22"/>
        </w:rPr>
        <w:tab/>
        <w:t>(c)</w:t>
      </w:r>
      <w:r>
        <w:rPr>
          <w:rFonts w:ascii="Times New Roman" w:hAnsi="Times New Roman"/>
          <w:sz w:val="22"/>
        </w:rPr>
        <w:tab/>
        <w:t xml:space="preserve">any suretyship defenses and suretyship rights of every nature otherwise available under California law and the laws of any other state or jurisdiction, including, without limitation, all defenses and rights arising under Sections 2787 through 2855 of the California Civil Code (the “Suretyship Provisions”) and any successor provisions to those Sections.  Without limiting the generality of the foregoing, Guarantor acknowledges his, her or its understanding that the Suretyship Provisions provide various partial or complete defenses to the recovery by Company from Guarantor and/or grant Guarantor rights the enforcement of which could reduce or eliminate entirely Guarantor’s liability hereunder to Company.  Among the defenses and rights contained in the Suretyship Provisions are the following: (1) Section 2809 of the Civil Code, which provides, in part, that the obligation of a surety must not be either larger in amount or in other respects more burdensome than that of the </w:t>
      </w:r>
      <w:r>
        <w:rPr>
          <w:rFonts w:ascii="Times New Roman" w:hAnsi="Times New Roman"/>
          <w:sz w:val="22"/>
        </w:rPr>
        <w:lastRenderedPageBreak/>
        <w:t>principal; (2) Section 2810 of the Civil Code, which provides, in part, that a surety is not liable if for any reason other than the mere personal disability of the principal there is no liability upon the part of the principal at the time of execution of the contract, or the liability of the principal thereafter ceases; (3) Section 2819 of the Civil Code, which provides, in part, that a surety is exonerated if the creditor alters the original obligation of the principal without the consent of the surety; (4) Section 2845 of the Civil Code, which provides, in part, that a surety is exonerated to the extent that the creditor fails to proceed against the principal, or to pursue any other remedy in the creditor’s power which the surety cannot pursue and which would lighten the surety’s burden; (5) Section 2846 of the Civil Code, which provides that a surety may compel his principal to perform the obligation when due; (6) Section 2847 of the Civil Code, which provides, in part, that if a surety satisfies the principal obligation, or any part thereof, the principal is obligated to reimburse the surety for the amounts paid by the surety; (7) Section 2848 of the Civil Code, which provides, in part, that a surety, upon satisfaction of the obligation of the principal is entitled to enforce remedies which the creditor then has against the principal; (8) Section 2849 of the Civil Code, which provides, in part, that a surety is entitled to the benefit of security held by the creditor for the performance of the principal obligation held by the creditor; (9) Section 2850 of the Civil Code, which provides, in part, that whenever the property of a surety is hypothecated with property of the principal, the surety is entitled to have the property of the principal first applied to the discharge of the obligation; and (10) Section 2822 of the Civil Code, which provides, in part, for a right to have the principal designate the portion of any obligation to be satisfied by the surety in the event that the principal provides partial satisfaction of such obligation.</w:t>
      </w:r>
    </w:p>
    <w:p w:rsidR="00BE44E2" w:rsidRDefault="00BE44E2" w:rsidP="00E040AA">
      <w:pPr>
        <w:pStyle w:val="bodytext"/>
        <w:widowControl/>
        <w:jc w:val="both"/>
        <w:rPr>
          <w:rFonts w:ascii="Times New Roman" w:hAnsi="Times New Roman"/>
          <w:sz w:val="22"/>
        </w:rPr>
      </w:pPr>
      <w:r w:rsidRPr="004E34DE">
        <w:rPr>
          <w:rFonts w:ascii="Times New Roman" w:hAnsi="Times New Roman"/>
          <w:color w:val="000000"/>
          <w:sz w:val="22"/>
        </w:rPr>
        <w:tab/>
        <w:t>6.</w:t>
      </w:r>
      <w:r w:rsidRPr="004E34DE">
        <w:rPr>
          <w:rFonts w:ascii="Times New Roman" w:hAnsi="Times New Roman"/>
          <w:color w:val="000000"/>
          <w:sz w:val="22"/>
        </w:rPr>
        <w:tab/>
      </w:r>
      <w:r w:rsidR="00E040AA">
        <w:rPr>
          <w:rFonts w:ascii="Times New Roman" w:hAnsi="Times New Roman"/>
          <w:sz w:val="22"/>
        </w:rPr>
        <w:t>All existing and future indebtedness of Applicant to Guarantor (“Intercompany Obligations”) is subordinated to all Obligations hereby guaranteed.  All of Guarantor’s right, title and interest in and to the Intercompany Obligations and rights to receive any payments of the Intercompany Obligations are hereby granted and assigned to Company as continuing security for the Obligations hereby guaranteed, and, in the event of any default in the payment of any of the Obligations when due and until the Obligations guaranteed hereby have been paid in full (a) at the Company’s request, Applicant shall forthwith pay to the Company all or any part of such Intercompany Obligations and any capital which Guarantor is entitled to withdraw until all of the Obligations guaranteed hereby have been paid in full, and (b) Guarantor shall pay to Company immediately any payments of such Intercompany Obligations received by Guarantor.</w:t>
      </w:r>
    </w:p>
    <w:p w:rsidR="00BE44E2" w:rsidRPr="004E34DE" w:rsidRDefault="00BE44E2">
      <w:pPr>
        <w:rPr>
          <w:rFonts w:ascii="Times New Roman" w:hAnsi="Times New Roman"/>
          <w:color w:val="000000"/>
          <w:sz w:val="22"/>
        </w:rPr>
      </w:pPr>
    </w:p>
    <w:p w:rsidR="00E040AA" w:rsidRPr="00E040AA" w:rsidRDefault="00BE44E2" w:rsidP="00E040AA">
      <w:pPr>
        <w:ind w:firstLine="720"/>
        <w:rPr>
          <w:rFonts w:ascii="Times New Roman" w:hAnsi="Times New Roman"/>
          <w:sz w:val="22"/>
        </w:rPr>
      </w:pPr>
      <w:r w:rsidRPr="00E040AA">
        <w:rPr>
          <w:rFonts w:ascii="Times New Roman" w:hAnsi="Times New Roman"/>
          <w:sz w:val="22"/>
        </w:rPr>
        <w:t>7.</w:t>
      </w:r>
      <w:r w:rsidRPr="00E040AA">
        <w:rPr>
          <w:rFonts w:ascii="Times New Roman" w:hAnsi="Times New Roman"/>
          <w:sz w:val="22"/>
        </w:rPr>
        <w:tab/>
      </w:r>
      <w:r w:rsidR="00E040AA" w:rsidRPr="00E040AA">
        <w:rPr>
          <w:rFonts w:ascii="Times New Roman" w:hAnsi="Times New Roman"/>
          <w:sz w:val="22"/>
        </w:rPr>
        <w:t>Guarantor agrees to pay all attorneys' fees (including without limitation, reasonably allocated fees of in-house counsel) and all other costs and expenses which may be incurred by Company in the enforcement of this Guaranty against Guarantor.</w:t>
      </w:r>
    </w:p>
    <w:p w:rsidR="00E040AA" w:rsidRDefault="00E040AA" w:rsidP="00E040AA">
      <w:pPr>
        <w:pStyle w:val="bodytext"/>
        <w:widowControl/>
        <w:jc w:val="both"/>
        <w:rPr>
          <w:rFonts w:ascii="Times New Roman" w:hAnsi="Times New Roman"/>
          <w:sz w:val="22"/>
        </w:rPr>
      </w:pPr>
      <w:r>
        <w:rPr>
          <w:rFonts w:ascii="Times New Roman" w:hAnsi="Times New Roman"/>
          <w:sz w:val="22"/>
        </w:rPr>
        <w:tab/>
        <w:t>8.</w:t>
      </w:r>
      <w:r>
        <w:rPr>
          <w:rFonts w:ascii="Times New Roman" w:hAnsi="Times New Roman"/>
          <w:sz w:val="22"/>
        </w:rPr>
        <w:tab/>
        <w:t>This Guaranty</w:t>
      </w:r>
      <w:r>
        <w:rPr>
          <w:rFonts w:ascii="Times New Roman" w:hAnsi="Times New Roman"/>
          <w:color w:val="000000"/>
          <w:sz w:val="22"/>
          <w:szCs w:val="22"/>
        </w:rPr>
        <w:t xml:space="preserve"> is not assignable by Guarantor without Company’s consent.  This Guaranty</w:t>
      </w:r>
      <w:r>
        <w:rPr>
          <w:rFonts w:ascii="Times New Roman" w:hAnsi="Times New Roman"/>
          <w:sz w:val="22"/>
        </w:rPr>
        <w:t xml:space="preserve"> shall inure to the benefit of Company and its successors and assigns, including the assignees of any Obligations, and bind the heirs, executors, administrators, successors and permitted (if any) assigns of Guarantor.  This Guaranty is assignable by Company with respect to all or any portion of the Obligations, and when so assigned Guarantor shall be liable to the assignees under this Guaranty without in any manner affecting the liability of Guarantor hereunder with respect to any Obligations retained by Company.</w:t>
      </w:r>
    </w:p>
    <w:p w:rsidR="00E040AA" w:rsidRDefault="00E040AA" w:rsidP="00E040AA">
      <w:pPr>
        <w:pStyle w:val="bodytext"/>
        <w:widowControl/>
        <w:jc w:val="both"/>
        <w:rPr>
          <w:rFonts w:ascii="Times New Roman" w:hAnsi="Times New Roman"/>
          <w:sz w:val="22"/>
        </w:rPr>
      </w:pPr>
      <w:r>
        <w:rPr>
          <w:rFonts w:ascii="Times New Roman" w:hAnsi="Times New Roman"/>
          <w:sz w:val="22"/>
        </w:rPr>
        <w:tab/>
        <w:t>9.</w:t>
      </w:r>
      <w:r>
        <w:rPr>
          <w:rFonts w:ascii="Times New Roman" w:hAnsi="Times New Roman"/>
          <w:sz w:val="22"/>
        </w:rPr>
        <w:tab/>
        <w:t xml:space="preserve">This Guaranty shall be governed by and construed in accordance with the laws of the State of </w:t>
      </w:r>
      <w:smartTag w:uri="urn:schemas-microsoft-com:office:smarttags" w:element="State">
        <w:smartTag w:uri="urn:schemas-microsoft-com:office:smarttags" w:element="PostalCode">
          <w:r>
            <w:rPr>
              <w:rFonts w:ascii="Times New Roman" w:hAnsi="Times New Roman"/>
              <w:sz w:val="22"/>
            </w:rPr>
            <w:t>California</w:t>
          </w:r>
        </w:smartTag>
      </w:smartTag>
      <w:r>
        <w:rPr>
          <w:rFonts w:ascii="Times New Roman" w:hAnsi="Times New Roman"/>
          <w:sz w:val="22"/>
        </w:rPr>
        <w:t xml:space="preserve">, without reference to its choice of law provisions.  Guarantor hereby irrevocably and unconditionally agrees that any legal action or proceeding against Guarantor or any of Guarantor's property with respect to this Guaranty may be brought in the courts of the State of California in the County of San Diego or the courts of the United States in the County of San Diego, as Company may elect, and by executing and delivering this Guaranty Guarantor hereby submits to and accepts with regard to any such action or proceeding for himself, herself or itself and in respect of his, her or its property, generally, irrevocably and unconditionally, the jurisdiction of the above mentioned courts.  Guarantor hereby irrevocably appoints the Secretary of State of the State of </w:t>
      </w:r>
      <w:smartTag w:uri="urn:schemas-microsoft-com:office:smarttags" w:element="State">
        <w:r>
          <w:rPr>
            <w:rFonts w:ascii="Times New Roman" w:hAnsi="Times New Roman"/>
            <w:sz w:val="22"/>
          </w:rPr>
          <w:t>California</w:t>
        </w:r>
      </w:smartTag>
      <w:r>
        <w:rPr>
          <w:rFonts w:ascii="Times New Roman" w:hAnsi="Times New Roman"/>
          <w:sz w:val="22"/>
        </w:rPr>
        <w:t xml:space="preserve"> as his, her or its</w:t>
      </w:r>
      <w:r>
        <w:rPr>
          <w:sz w:val="22"/>
        </w:rPr>
        <w:t xml:space="preserve"> </w:t>
      </w:r>
      <w:r>
        <w:rPr>
          <w:rFonts w:ascii="Times New Roman" w:hAnsi="Times New Roman"/>
          <w:sz w:val="22"/>
        </w:rPr>
        <w:t xml:space="preserve">agent for service of process in any suit or proceeding if the Guarantor is located outside the State of </w:t>
      </w:r>
      <w:smartTag w:uri="urn:schemas-microsoft-com:office:smarttags" w:element="State">
        <w:smartTag w:uri="urn:schemas-microsoft-com:office:smarttags" w:element="PostalCode">
          <w:r>
            <w:rPr>
              <w:rFonts w:ascii="Times New Roman" w:hAnsi="Times New Roman"/>
              <w:sz w:val="22"/>
            </w:rPr>
            <w:t>California</w:t>
          </w:r>
        </w:smartTag>
      </w:smartTag>
      <w:r>
        <w:rPr>
          <w:rFonts w:ascii="Times New Roman" w:hAnsi="Times New Roman"/>
          <w:sz w:val="22"/>
        </w:rPr>
        <w:t xml:space="preserve"> at the time of service or cannot reasonably be located by Company.  The foregoing, however, shall not limit the right of Company as it may elect to bring any legal action or proceeding or to obtain execution of judgment in any other appropriate jurisdiction including but not limited to any other jurisdiction in which Guarantor or his, her or its property is located.</w:t>
      </w:r>
    </w:p>
    <w:p w:rsidR="00E040AA" w:rsidRDefault="00E040AA" w:rsidP="00E040AA">
      <w:pPr>
        <w:pStyle w:val="bodytext"/>
        <w:widowControl/>
        <w:jc w:val="both"/>
        <w:rPr>
          <w:rFonts w:ascii="Times New Roman" w:hAnsi="Times New Roman"/>
          <w:sz w:val="22"/>
        </w:rPr>
      </w:pPr>
      <w:r>
        <w:rPr>
          <w:rFonts w:ascii="Times New Roman" w:hAnsi="Times New Roman"/>
          <w:sz w:val="22"/>
        </w:rPr>
        <w:tab/>
        <w:t>10.</w:t>
      </w:r>
      <w:r>
        <w:rPr>
          <w:rFonts w:ascii="Times New Roman" w:hAnsi="Times New Roman"/>
          <w:sz w:val="22"/>
        </w:rPr>
        <w:tab/>
        <w:t>Except as provided in any other written agreement now or at any time hereafter in force between Company and Guarantor, this Guaranty shall constitute the entire agreement of Guarantor with Company with respect to the subject matter hereof and no representation, understanding, promise or condition concerning the subject matter hereof shall be binding upon Company unless expressed herein.</w:t>
      </w:r>
    </w:p>
    <w:p w:rsidR="00E040AA" w:rsidRDefault="00E040AA" w:rsidP="00E040AA">
      <w:pPr>
        <w:pStyle w:val="bodytext"/>
        <w:widowControl/>
        <w:jc w:val="both"/>
        <w:rPr>
          <w:rFonts w:ascii="Times New Roman" w:hAnsi="Times New Roman"/>
          <w:sz w:val="22"/>
        </w:rPr>
      </w:pPr>
      <w:r>
        <w:rPr>
          <w:rFonts w:ascii="Times New Roman" w:hAnsi="Times New Roman"/>
          <w:sz w:val="22"/>
        </w:rPr>
        <w:tab/>
        <w:t>11.</w:t>
      </w:r>
      <w:r>
        <w:rPr>
          <w:rFonts w:ascii="Times New Roman" w:hAnsi="Times New Roman"/>
          <w:sz w:val="22"/>
        </w:rPr>
        <w:tab/>
        <w:t xml:space="preserve">All notices, demands, requests and other communications required or permitted hereunder shall be in writing and, except for notice of termination of this Guaranty pursuant to paragraph 3 which shall be effective as provided therein, shall be given personally, by certified or registered mail, postage prepaid, return receipt requested, or by reliable overnight courier to the address of the Company set forth in paragraph 3 herein (or to such new address as Company may designate hereafter in a notice to Guarantor) in the case of a communication to the Company and to the address appearing next to Guarantor’s signature on this Guaranty (or to such new address as Guarantor may designate hereafter in a notice to Company) in the case of a communication to Guarantor.  Any notice served personally shall be deemed delivered upon receipt, and any notice served by certified or registered mail or by reliable overnight courier shall be deemed delivered on the date of receipt as shown on the addressee's registry or certification of receipt or on the date receipt is refused as shown on the records or manifest of the U.S. Postal Service or such courier.  </w:t>
      </w:r>
    </w:p>
    <w:p w:rsidR="00E040AA" w:rsidRDefault="00E040AA" w:rsidP="00E040AA">
      <w:pPr>
        <w:pStyle w:val="bodytext"/>
        <w:widowControl/>
        <w:jc w:val="both"/>
        <w:rPr>
          <w:rFonts w:ascii="Times New Roman" w:hAnsi="Times New Roman"/>
          <w:b/>
          <w:sz w:val="22"/>
        </w:rPr>
      </w:pPr>
      <w:r>
        <w:rPr>
          <w:rFonts w:ascii="Times New Roman" w:hAnsi="Times New Roman"/>
          <w:sz w:val="22"/>
        </w:rPr>
        <w:tab/>
        <w:t>12</w:t>
      </w:r>
      <w:r>
        <w:rPr>
          <w:rFonts w:ascii="Times New Roman" w:hAnsi="Times New Roman"/>
          <w:b/>
          <w:sz w:val="22"/>
        </w:rPr>
        <w:t>.</w:t>
      </w:r>
      <w:r>
        <w:rPr>
          <w:rFonts w:ascii="Times New Roman" w:hAnsi="Times New Roman"/>
          <w:sz w:val="22"/>
        </w:rPr>
        <w:tab/>
        <w:t>Until all of the Obligations guaranteed hereby have been satisfied in full, Guarantor shall have no right of subrogation or reimbursement from the Applicant which Guarantor may have as a result of any payment by Guarantor under this Guaranty, and waives any right to enforce any remedy which Company now has or may hereafter have against the Applicant as a result of such payment by Guarantor under this Guaranty</w:t>
      </w:r>
      <w:r>
        <w:rPr>
          <w:rFonts w:ascii="Times New Roman" w:hAnsi="Times New Roman"/>
          <w:b/>
          <w:sz w:val="22"/>
        </w:rPr>
        <w:t xml:space="preserve"> </w:t>
      </w:r>
      <w:r>
        <w:rPr>
          <w:rFonts w:ascii="Times New Roman" w:hAnsi="Times New Roman"/>
          <w:sz w:val="22"/>
        </w:rPr>
        <w:t>and waives any right under section 2849 of the California Civil Code and any other benefit of or right to participate in any security now or hereafter held by Company.</w:t>
      </w:r>
    </w:p>
    <w:p w:rsidR="00E040AA" w:rsidRDefault="00E040AA" w:rsidP="00E040AA">
      <w:pPr>
        <w:pStyle w:val="bodytext"/>
        <w:widowControl/>
        <w:jc w:val="both"/>
        <w:rPr>
          <w:rFonts w:ascii="Times New Roman" w:hAnsi="Times New Roman"/>
          <w:sz w:val="22"/>
        </w:rPr>
      </w:pPr>
      <w:r>
        <w:rPr>
          <w:rFonts w:ascii="Times New Roman" w:hAnsi="Times New Roman"/>
          <w:sz w:val="22"/>
        </w:rPr>
        <w:tab/>
        <w:t>13.</w:t>
      </w:r>
      <w:r>
        <w:rPr>
          <w:rFonts w:ascii="Times New Roman" w:hAnsi="Times New Roman"/>
          <w:sz w:val="22"/>
        </w:rPr>
        <w:tab/>
        <w:t>All amounts payable by Guarantor hereunder shall be paid without set-off or counterclaim and without any deduction or withholding whatsoever unless and to the extent that Guarantor shall be prohibited by law from doing so, in which case Guarantor shall pay to Company such additional amount as shall be necessary to ensure that Company receives the full amount it would have received if no such deduction or withholding had been made.</w:t>
      </w:r>
    </w:p>
    <w:p w:rsidR="00E040AA" w:rsidRDefault="00E040AA" w:rsidP="00E040AA">
      <w:pPr>
        <w:pStyle w:val="bodytext"/>
        <w:widowControl/>
        <w:jc w:val="both"/>
        <w:rPr>
          <w:rFonts w:ascii="Times New Roman" w:hAnsi="Times New Roman"/>
          <w:sz w:val="22"/>
          <w:szCs w:val="22"/>
        </w:rPr>
      </w:pPr>
      <w:r>
        <w:rPr>
          <w:rFonts w:ascii="Times New Roman" w:hAnsi="Times New Roman"/>
          <w:sz w:val="22"/>
        </w:rPr>
        <w:tab/>
        <w:t>14.</w:t>
      </w:r>
      <w:r>
        <w:rPr>
          <w:rFonts w:ascii="Times New Roman" w:hAnsi="Times New Roman"/>
          <w:sz w:val="22"/>
        </w:rPr>
        <w:tab/>
      </w:r>
      <w:r w:rsidRPr="00AD1F00">
        <w:rPr>
          <w:rFonts w:ascii="Times New Roman" w:hAnsi="Times New Roman"/>
          <w:sz w:val="22"/>
          <w:szCs w:val="22"/>
        </w:rPr>
        <w:t>If any portion of this Guaranty is held to be unenforceable by a court of competent jurisdiction, the remainder of this Guaranty shall remain in full force and effect.</w:t>
      </w:r>
    </w:p>
    <w:p w:rsidR="00BE44E2" w:rsidRDefault="00BE44E2" w:rsidP="00E040AA">
      <w:pPr>
        <w:ind w:firstLine="720"/>
        <w:rPr>
          <w:rFonts w:ascii="Times New Roman" w:hAnsi="Times New Roman"/>
          <w:color w:val="000000"/>
          <w:sz w:val="22"/>
        </w:rPr>
      </w:pPr>
    </w:p>
    <w:p w:rsidR="00E040AA" w:rsidRDefault="00E040AA" w:rsidP="00E040AA">
      <w:pPr>
        <w:pStyle w:val="bodytext"/>
      </w:pPr>
    </w:p>
    <w:p w:rsidR="00E040AA" w:rsidRDefault="00E040AA" w:rsidP="00E040AA">
      <w:pPr>
        <w:pStyle w:val="bodytext"/>
      </w:pPr>
    </w:p>
    <w:p w:rsidR="00E040AA" w:rsidRDefault="00E040AA" w:rsidP="00E040AA">
      <w:pPr>
        <w:pStyle w:val="bodytext"/>
      </w:pPr>
    </w:p>
    <w:p w:rsidR="00E040AA" w:rsidRDefault="00E040AA" w:rsidP="00E040AA">
      <w:pPr>
        <w:pStyle w:val="bodytext"/>
        <w:widowControl/>
        <w:jc w:val="center"/>
        <w:rPr>
          <w:rFonts w:ascii="Times New Roman" w:hAnsi="Times New Roman"/>
          <w:sz w:val="22"/>
          <w:szCs w:val="22"/>
        </w:rPr>
      </w:pPr>
    </w:p>
    <w:p w:rsidR="00E040AA" w:rsidRDefault="00E040AA" w:rsidP="00E040AA">
      <w:pPr>
        <w:pStyle w:val="bodytext"/>
        <w:widowControl/>
        <w:jc w:val="center"/>
        <w:rPr>
          <w:rFonts w:ascii="Times New Roman" w:hAnsi="Times New Roman"/>
          <w:sz w:val="22"/>
          <w:szCs w:val="22"/>
        </w:rPr>
      </w:pPr>
      <w:r>
        <w:rPr>
          <w:rFonts w:ascii="Times New Roman" w:hAnsi="Times New Roman"/>
          <w:sz w:val="22"/>
          <w:szCs w:val="22"/>
        </w:rPr>
        <w:t>[Remainder of page intentionally left blank.]</w:t>
      </w:r>
    </w:p>
    <w:p w:rsidR="00E040AA" w:rsidRPr="00E040AA" w:rsidRDefault="00E040AA" w:rsidP="00E040AA">
      <w:pPr>
        <w:pStyle w:val="bodytext"/>
      </w:pPr>
    </w:p>
    <w:p w:rsidR="00BE44E2" w:rsidRPr="004E34DE" w:rsidRDefault="00BE44E2">
      <w:pPr>
        <w:pStyle w:val="bodytext"/>
        <w:keepNext/>
        <w:widowControl/>
        <w:spacing w:after="240"/>
        <w:jc w:val="both"/>
        <w:rPr>
          <w:rFonts w:ascii="Times New Roman" w:hAnsi="Times New Roman"/>
          <w:color w:val="000000"/>
          <w:sz w:val="22"/>
        </w:rPr>
      </w:pPr>
      <w:r w:rsidRPr="004E34DE">
        <w:rPr>
          <w:rFonts w:ascii="Times New Roman" w:hAnsi="Times New Roman"/>
          <w:color w:val="000000"/>
          <w:sz w:val="22"/>
        </w:rPr>
        <w:tab/>
        <w:t xml:space="preserve">IN WITNESS WHEREOF, the undersigned Guarantor has executed this Guaranty on </w:t>
      </w:r>
      <w:r w:rsidRPr="004E34DE">
        <w:rPr>
          <w:rFonts w:ascii="Times New Roman" w:hAnsi="Times New Roman"/>
          <w:color w:val="000000"/>
          <w:sz w:val="22"/>
        </w:rPr>
        <w:fldChar w:fldCharType="begin">
          <w:ffData>
            <w:name w:val="Text3"/>
            <w:enabled/>
            <w:calcOnExit w:val="0"/>
            <w:textInput>
              <w:default w:val="[MONTH AND DAY]"/>
            </w:textInput>
          </w:ffData>
        </w:fldChar>
      </w:r>
      <w:bookmarkStart w:id="1" w:name="Text3"/>
      <w:r w:rsidRPr="004E34DE">
        <w:rPr>
          <w:rFonts w:ascii="Times New Roman" w:hAnsi="Times New Roman"/>
          <w:color w:val="000000"/>
          <w:sz w:val="22"/>
        </w:rPr>
        <w:instrText xml:space="preserve"> FORMTEXT </w:instrText>
      </w:r>
      <w:r w:rsidRPr="004E34DE">
        <w:rPr>
          <w:rFonts w:ascii="Times New Roman" w:hAnsi="Times New Roman"/>
          <w:color w:val="000000"/>
          <w:sz w:val="22"/>
        </w:rPr>
      </w:r>
      <w:r w:rsidRPr="004E34DE">
        <w:rPr>
          <w:rFonts w:ascii="Times New Roman" w:hAnsi="Times New Roman"/>
          <w:color w:val="000000"/>
          <w:sz w:val="22"/>
        </w:rPr>
        <w:fldChar w:fldCharType="separate"/>
      </w:r>
      <w:r w:rsidRPr="004E34DE">
        <w:rPr>
          <w:rFonts w:ascii="Times New Roman" w:hAnsi="Times New Roman"/>
          <w:noProof/>
          <w:color w:val="000000"/>
          <w:sz w:val="22"/>
        </w:rPr>
        <w:t>[MONTH AND DAY]</w:t>
      </w:r>
      <w:r w:rsidRPr="004E34DE">
        <w:rPr>
          <w:rFonts w:ascii="Times New Roman" w:hAnsi="Times New Roman"/>
          <w:color w:val="000000"/>
          <w:sz w:val="22"/>
        </w:rPr>
        <w:fldChar w:fldCharType="end"/>
      </w:r>
      <w:bookmarkEnd w:id="1"/>
      <w:r w:rsidRPr="004E34DE">
        <w:rPr>
          <w:rFonts w:ascii="Times New Roman" w:hAnsi="Times New Roman"/>
          <w:color w:val="000000"/>
          <w:sz w:val="22"/>
        </w:rPr>
        <w:t xml:space="preserve">, </w:t>
      </w:r>
      <w:r w:rsidR="007D0AF5" w:rsidRPr="007D0AF5">
        <w:rPr>
          <w:rFonts w:ascii="Times New Roman" w:hAnsi="Times New Roman"/>
          <w:color w:val="000000"/>
          <w:sz w:val="22"/>
          <w:highlight w:val="lightGray"/>
        </w:rPr>
        <w:t>[YEAR]</w:t>
      </w:r>
      <w:r w:rsidRPr="004E34DE">
        <w:rPr>
          <w:rFonts w:ascii="Times New Roman" w:hAnsi="Times New Roman"/>
          <w:color w:val="000000"/>
          <w:sz w:val="22"/>
        </w:rPr>
        <w:t>.</w:t>
      </w:r>
    </w:p>
    <w:tbl>
      <w:tblPr>
        <w:tblW w:w="0" w:type="auto"/>
        <w:tblLayout w:type="fixed"/>
        <w:tblLook w:val="0000" w:firstRow="0" w:lastRow="0" w:firstColumn="0" w:lastColumn="0" w:noHBand="0" w:noVBand="0"/>
      </w:tblPr>
      <w:tblGrid>
        <w:gridCol w:w="4878"/>
        <w:gridCol w:w="360"/>
        <w:gridCol w:w="4279"/>
      </w:tblGrid>
      <w:tr w:rsidR="00E20EB2">
        <w:trPr>
          <w:cantSplit/>
        </w:trPr>
        <w:tc>
          <w:tcPr>
            <w:tcW w:w="4878" w:type="dxa"/>
          </w:tcPr>
          <w:p w:rsidR="00BE44E2" w:rsidRPr="004E34DE" w:rsidRDefault="00BE44E2">
            <w:pPr>
              <w:pStyle w:val="bodytext"/>
              <w:widowControl/>
              <w:rPr>
                <w:rFonts w:ascii="Times New Roman" w:hAnsi="Times New Roman"/>
                <w:color w:val="000000"/>
                <w:sz w:val="22"/>
              </w:rPr>
            </w:pPr>
            <w:r w:rsidRPr="004E34DE">
              <w:rPr>
                <w:rFonts w:ascii="Times New Roman" w:hAnsi="Times New Roman"/>
                <w:color w:val="000000"/>
                <w:sz w:val="22"/>
              </w:rPr>
              <w:t xml:space="preserve">GUARANTOR:  </w:t>
            </w:r>
            <w:r w:rsidR="00580D56" w:rsidRPr="00580D56">
              <w:rPr>
                <w:rFonts w:ascii="Times New Roman" w:hAnsi="Times New Roman"/>
                <w:color w:val="000000"/>
                <w:sz w:val="22"/>
                <w:shd w:val="clear" w:color="auto" w:fill="C0C0C0"/>
              </w:rPr>
              <w:t>[NAME OF GUARANTOR]</w:t>
            </w:r>
          </w:p>
          <w:p w:rsidR="00BE44E2" w:rsidRPr="004E34DE" w:rsidRDefault="00BE44E2">
            <w:pPr>
              <w:pStyle w:val="bodytext"/>
              <w:widowControl/>
              <w:rPr>
                <w:rFonts w:ascii="Times New Roman" w:hAnsi="Times New Roman"/>
                <w:color w:val="000000"/>
                <w:sz w:val="22"/>
              </w:rPr>
            </w:pPr>
          </w:p>
          <w:p w:rsidR="00BE44E2" w:rsidRPr="004E34DE" w:rsidRDefault="00BE44E2">
            <w:pPr>
              <w:pStyle w:val="sig4"/>
              <w:widowControl/>
              <w:rPr>
                <w:rFonts w:ascii="Times New Roman" w:hAnsi="Times New Roman"/>
                <w:color w:val="000000"/>
                <w:sz w:val="22"/>
              </w:rPr>
            </w:pPr>
            <w:r w:rsidRPr="004E34DE">
              <w:rPr>
                <w:rFonts w:ascii="Times New Roman" w:hAnsi="Times New Roman"/>
                <w:color w:val="000000"/>
                <w:sz w:val="22"/>
              </w:rPr>
              <w:t>__________________________</w:t>
            </w:r>
          </w:p>
          <w:p w:rsidR="00BE44E2" w:rsidRPr="004E34DE" w:rsidRDefault="00BE44E2">
            <w:pPr>
              <w:pStyle w:val="sig5"/>
              <w:ind w:left="0"/>
              <w:rPr>
                <w:rFonts w:ascii="Times New Roman" w:hAnsi="Times New Roman"/>
                <w:color w:val="000000"/>
                <w:sz w:val="22"/>
              </w:rPr>
            </w:pPr>
            <w:r w:rsidRPr="004E34DE">
              <w:rPr>
                <w:rFonts w:ascii="Times New Roman" w:hAnsi="Times New Roman"/>
                <w:color w:val="000000"/>
                <w:sz w:val="22"/>
              </w:rPr>
              <w:t>Signature</w:t>
            </w:r>
          </w:p>
          <w:p w:rsidR="00BE44E2" w:rsidRPr="004E34DE" w:rsidRDefault="00BE44E2">
            <w:pPr>
              <w:pStyle w:val="sig4"/>
              <w:widowControl/>
              <w:rPr>
                <w:rFonts w:ascii="Times New Roman" w:hAnsi="Times New Roman"/>
                <w:color w:val="000000"/>
                <w:sz w:val="22"/>
              </w:rPr>
            </w:pPr>
          </w:p>
          <w:p w:rsidR="00BE44E2" w:rsidRPr="004E34DE" w:rsidRDefault="00BE44E2">
            <w:pPr>
              <w:pStyle w:val="sig4"/>
              <w:widowControl/>
              <w:rPr>
                <w:rFonts w:ascii="Times New Roman" w:hAnsi="Times New Roman"/>
                <w:color w:val="000000"/>
                <w:sz w:val="22"/>
              </w:rPr>
            </w:pPr>
            <w:r w:rsidRPr="004E34DE">
              <w:rPr>
                <w:rFonts w:ascii="Times New Roman" w:hAnsi="Times New Roman"/>
                <w:color w:val="000000"/>
                <w:sz w:val="22"/>
              </w:rPr>
              <w:t>__________________________</w:t>
            </w:r>
          </w:p>
          <w:p w:rsidR="00BE44E2" w:rsidRPr="004E34DE" w:rsidRDefault="00BE44E2">
            <w:pPr>
              <w:pStyle w:val="sig5"/>
              <w:ind w:left="0"/>
              <w:rPr>
                <w:rFonts w:ascii="Times New Roman" w:hAnsi="Times New Roman"/>
                <w:color w:val="000000"/>
                <w:sz w:val="22"/>
              </w:rPr>
            </w:pPr>
            <w:r w:rsidRPr="004E34DE">
              <w:rPr>
                <w:rFonts w:ascii="Times New Roman" w:hAnsi="Times New Roman"/>
                <w:color w:val="000000"/>
                <w:sz w:val="22"/>
              </w:rPr>
              <w:t>Title</w:t>
            </w:r>
          </w:p>
          <w:p w:rsidR="00BE44E2" w:rsidRPr="004E34DE" w:rsidRDefault="00BE44E2">
            <w:pPr>
              <w:pStyle w:val="sig4"/>
              <w:widowControl/>
              <w:rPr>
                <w:rFonts w:ascii="Times New Roman" w:hAnsi="Times New Roman"/>
                <w:color w:val="000000"/>
                <w:sz w:val="22"/>
              </w:rPr>
            </w:pPr>
          </w:p>
        </w:tc>
        <w:tc>
          <w:tcPr>
            <w:tcW w:w="360" w:type="dxa"/>
          </w:tcPr>
          <w:p w:rsidR="00BE44E2" w:rsidRPr="004E34DE" w:rsidRDefault="00BE44E2">
            <w:pPr>
              <w:pStyle w:val="bodytext"/>
              <w:widowControl/>
              <w:rPr>
                <w:rFonts w:ascii="Times New Roman" w:hAnsi="Times New Roman"/>
                <w:color w:val="000000"/>
                <w:sz w:val="22"/>
              </w:rPr>
            </w:pPr>
          </w:p>
        </w:tc>
        <w:tc>
          <w:tcPr>
            <w:tcW w:w="4279" w:type="dxa"/>
          </w:tcPr>
          <w:p w:rsidR="00BE44E2" w:rsidRPr="004E34DE" w:rsidRDefault="00BE44E2">
            <w:pPr>
              <w:pStyle w:val="bodytext"/>
              <w:widowControl/>
              <w:jc w:val="center"/>
              <w:rPr>
                <w:rFonts w:ascii="Times New Roman" w:hAnsi="Times New Roman"/>
                <w:color w:val="000000"/>
                <w:sz w:val="22"/>
              </w:rPr>
            </w:pPr>
          </w:p>
        </w:tc>
      </w:tr>
      <w:tr w:rsidR="00E20EB2">
        <w:trPr>
          <w:cantSplit/>
        </w:trPr>
        <w:tc>
          <w:tcPr>
            <w:tcW w:w="4878" w:type="dxa"/>
          </w:tcPr>
          <w:p w:rsidR="00BE44E2" w:rsidRPr="004E34DE" w:rsidRDefault="00BE44E2">
            <w:pPr>
              <w:widowControl/>
              <w:rPr>
                <w:rFonts w:ascii="Times New Roman" w:hAnsi="Times New Roman"/>
                <w:color w:val="000000"/>
                <w:sz w:val="22"/>
              </w:rPr>
            </w:pPr>
            <w:r w:rsidRPr="004E34DE">
              <w:rPr>
                <w:rFonts w:ascii="Times New Roman" w:hAnsi="Times New Roman"/>
                <w:color w:val="000000"/>
                <w:sz w:val="22"/>
              </w:rPr>
              <w:t>__________________________</w:t>
            </w:r>
            <w:r w:rsidRPr="004E34DE">
              <w:rPr>
                <w:rFonts w:ascii="Times New Roman" w:hAnsi="Times New Roman"/>
                <w:color w:val="000000"/>
                <w:sz w:val="22"/>
              </w:rPr>
              <w:br/>
              <w:t>Printed Name of Person Signing for Guarantor</w:t>
            </w:r>
          </w:p>
        </w:tc>
        <w:tc>
          <w:tcPr>
            <w:tcW w:w="360" w:type="dxa"/>
          </w:tcPr>
          <w:p w:rsidR="00BE44E2" w:rsidRPr="004E34DE" w:rsidRDefault="00BE44E2">
            <w:pPr>
              <w:pStyle w:val="bodytext"/>
              <w:widowControl/>
              <w:jc w:val="center"/>
              <w:rPr>
                <w:rFonts w:ascii="Times New Roman" w:hAnsi="Times New Roman"/>
                <w:color w:val="000000"/>
                <w:sz w:val="22"/>
              </w:rPr>
            </w:pPr>
          </w:p>
        </w:tc>
        <w:tc>
          <w:tcPr>
            <w:tcW w:w="4279" w:type="dxa"/>
          </w:tcPr>
          <w:p w:rsidR="00BE44E2" w:rsidRPr="004E34DE" w:rsidRDefault="00BE44E2">
            <w:pPr>
              <w:pStyle w:val="bodytext"/>
              <w:widowControl/>
              <w:jc w:val="center"/>
              <w:rPr>
                <w:rFonts w:ascii="Times New Roman" w:hAnsi="Times New Roman"/>
                <w:color w:val="000000"/>
                <w:sz w:val="22"/>
              </w:rPr>
            </w:pPr>
          </w:p>
        </w:tc>
      </w:tr>
      <w:tr w:rsidR="00E20EB2">
        <w:trPr>
          <w:cantSplit/>
        </w:trPr>
        <w:tc>
          <w:tcPr>
            <w:tcW w:w="4878" w:type="dxa"/>
          </w:tcPr>
          <w:p w:rsidR="00BE44E2" w:rsidRPr="004E34DE" w:rsidRDefault="00BE44E2">
            <w:pPr>
              <w:widowControl/>
              <w:jc w:val="center"/>
              <w:rPr>
                <w:rFonts w:ascii="Times New Roman" w:hAnsi="Times New Roman"/>
                <w:color w:val="000000"/>
                <w:sz w:val="22"/>
              </w:rPr>
            </w:pPr>
          </w:p>
        </w:tc>
        <w:tc>
          <w:tcPr>
            <w:tcW w:w="360" w:type="dxa"/>
          </w:tcPr>
          <w:p w:rsidR="00BE44E2" w:rsidRPr="004E34DE" w:rsidRDefault="00BE44E2">
            <w:pPr>
              <w:pStyle w:val="bodytext"/>
              <w:widowControl/>
              <w:jc w:val="center"/>
              <w:rPr>
                <w:rFonts w:ascii="Times New Roman" w:hAnsi="Times New Roman"/>
                <w:color w:val="000000"/>
                <w:sz w:val="22"/>
              </w:rPr>
            </w:pPr>
          </w:p>
        </w:tc>
        <w:tc>
          <w:tcPr>
            <w:tcW w:w="4279" w:type="dxa"/>
          </w:tcPr>
          <w:p w:rsidR="00BE44E2" w:rsidRPr="004E34DE" w:rsidRDefault="00BE44E2">
            <w:pPr>
              <w:pStyle w:val="bodytext"/>
              <w:widowControl/>
              <w:jc w:val="center"/>
              <w:rPr>
                <w:rFonts w:ascii="Times New Roman" w:hAnsi="Times New Roman"/>
                <w:color w:val="000000"/>
                <w:sz w:val="22"/>
              </w:rPr>
            </w:pPr>
          </w:p>
        </w:tc>
      </w:tr>
      <w:tr w:rsidR="00E20EB2">
        <w:trPr>
          <w:cantSplit/>
        </w:trPr>
        <w:tc>
          <w:tcPr>
            <w:tcW w:w="4878" w:type="dxa"/>
          </w:tcPr>
          <w:p w:rsidR="00BE44E2" w:rsidRPr="004E34DE" w:rsidRDefault="00BE44E2">
            <w:pPr>
              <w:widowControl/>
              <w:jc w:val="center"/>
              <w:rPr>
                <w:rFonts w:ascii="Times New Roman" w:hAnsi="Times New Roman"/>
                <w:color w:val="000000"/>
                <w:sz w:val="22"/>
              </w:rPr>
            </w:pPr>
          </w:p>
        </w:tc>
        <w:tc>
          <w:tcPr>
            <w:tcW w:w="360" w:type="dxa"/>
          </w:tcPr>
          <w:p w:rsidR="00BE44E2" w:rsidRPr="004E34DE" w:rsidRDefault="00BE44E2">
            <w:pPr>
              <w:pStyle w:val="bodytext"/>
              <w:widowControl/>
              <w:jc w:val="center"/>
              <w:rPr>
                <w:rFonts w:ascii="Times New Roman" w:hAnsi="Times New Roman"/>
                <w:color w:val="000000"/>
                <w:sz w:val="22"/>
              </w:rPr>
            </w:pPr>
          </w:p>
        </w:tc>
        <w:tc>
          <w:tcPr>
            <w:tcW w:w="4279" w:type="dxa"/>
          </w:tcPr>
          <w:p w:rsidR="00BE44E2" w:rsidRPr="004E34DE" w:rsidRDefault="00BE44E2">
            <w:pPr>
              <w:pStyle w:val="bodytext"/>
              <w:widowControl/>
              <w:jc w:val="center"/>
              <w:rPr>
                <w:rFonts w:ascii="Times New Roman" w:hAnsi="Times New Roman"/>
                <w:color w:val="000000"/>
                <w:sz w:val="22"/>
              </w:rPr>
            </w:pPr>
          </w:p>
        </w:tc>
      </w:tr>
      <w:tr w:rsidR="00E20EB2">
        <w:trPr>
          <w:cantSplit/>
        </w:trPr>
        <w:tc>
          <w:tcPr>
            <w:tcW w:w="4878" w:type="dxa"/>
          </w:tcPr>
          <w:p w:rsidR="00BE44E2" w:rsidRPr="004E34DE" w:rsidRDefault="00BE44E2">
            <w:pPr>
              <w:widowControl/>
              <w:rPr>
                <w:rFonts w:ascii="Times New Roman" w:hAnsi="Times New Roman"/>
                <w:color w:val="000000"/>
                <w:sz w:val="22"/>
              </w:rPr>
            </w:pPr>
            <w:r w:rsidRPr="004E34DE">
              <w:rPr>
                <w:rFonts w:ascii="Times New Roman" w:hAnsi="Times New Roman"/>
                <w:color w:val="000000"/>
                <w:sz w:val="22"/>
              </w:rPr>
              <w:t>______________________________</w:t>
            </w:r>
            <w:r w:rsidRPr="004E34DE">
              <w:rPr>
                <w:rFonts w:ascii="Times New Roman" w:hAnsi="Times New Roman"/>
                <w:color w:val="000000"/>
                <w:sz w:val="22"/>
              </w:rPr>
              <w:br/>
              <w:t>Guarantor’s Address</w:t>
            </w:r>
          </w:p>
        </w:tc>
        <w:tc>
          <w:tcPr>
            <w:tcW w:w="360" w:type="dxa"/>
          </w:tcPr>
          <w:p w:rsidR="00BE44E2" w:rsidRPr="004E34DE" w:rsidRDefault="00BE44E2">
            <w:pPr>
              <w:pStyle w:val="bodytext"/>
              <w:widowControl/>
              <w:jc w:val="center"/>
              <w:rPr>
                <w:rFonts w:ascii="Times New Roman" w:hAnsi="Times New Roman"/>
                <w:color w:val="000000"/>
                <w:sz w:val="22"/>
              </w:rPr>
            </w:pPr>
          </w:p>
        </w:tc>
        <w:tc>
          <w:tcPr>
            <w:tcW w:w="4279" w:type="dxa"/>
          </w:tcPr>
          <w:p w:rsidR="00BE44E2" w:rsidRPr="004E34DE" w:rsidRDefault="00BE44E2">
            <w:pPr>
              <w:pStyle w:val="bodytext"/>
              <w:widowControl/>
              <w:jc w:val="center"/>
              <w:rPr>
                <w:rFonts w:ascii="Times New Roman" w:hAnsi="Times New Roman"/>
                <w:color w:val="000000"/>
                <w:sz w:val="22"/>
              </w:rPr>
            </w:pPr>
          </w:p>
        </w:tc>
      </w:tr>
      <w:tr w:rsidR="00E20EB2">
        <w:trPr>
          <w:cantSplit/>
        </w:trPr>
        <w:tc>
          <w:tcPr>
            <w:tcW w:w="4878" w:type="dxa"/>
          </w:tcPr>
          <w:p w:rsidR="00BE44E2" w:rsidRPr="004E34DE" w:rsidRDefault="00BE44E2">
            <w:pPr>
              <w:widowControl/>
              <w:rPr>
                <w:rFonts w:ascii="Times New Roman" w:hAnsi="Times New Roman"/>
                <w:color w:val="000000"/>
                <w:sz w:val="22"/>
              </w:rPr>
            </w:pPr>
            <w:smartTag w:uri="urn:schemas-microsoft-com:office:smarttags" w:element="PostalCode">
              <w:smartTag w:uri="urn:schemas-microsoft-com:office:smarttags" w:element="PlaceName">
                <w:r w:rsidRPr="004E34DE">
                  <w:rPr>
                    <w:rFonts w:ascii="Times New Roman" w:hAnsi="Times New Roman"/>
                    <w:color w:val="000000"/>
                    <w:sz w:val="22"/>
                  </w:rPr>
                  <w:t>______________________________</w:t>
                </w:r>
              </w:smartTag>
              <w:r w:rsidRPr="004E34DE">
                <w:rPr>
                  <w:rFonts w:ascii="Times New Roman" w:hAnsi="Times New Roman"/>
                  <w:color w:val="000000"/>
                  <w:sz w:val="22"/>
                </w:rPr>
                <w:br/>
              </w:r>
              <w:smartTag w:uri="urn:schemas-microsoft-com:office:smarttags" w:element="PlaceType">
                <w:r w:rsidRPr="004E34DE">
                  <w:rPr>
                    <w:rFonts w:ascii="Times New Roman" w:hAnsi="Times New Roman"/>
                    <w:color w:val="000000"/>
                    <w:sz w:val="22"/>
                  </w:rPr>
                  <w:t>City</w:t>
                </w:r>
              </w:smartTag>
            </w:smartTag>
            <w:r w:rsidRPr="004E34DE">
              <w:rPr>
                <w:rFonts w:ascii="Times New Roman" w:hAnsi="Times New Roman"/>
                <w:color w:val="000000"/>
                <w:sz w:val="22"/>
              </w:rPr>
              <w:t>, State, Zip</w:t>
            </w:r>
          </w:p>
        </w:tc>
        <w:tc>
          <w:tcPr>
            <w:tcW w:w="360" w:type="dxa"/>
          </w:tcPr>
          <w:p w:rsidR="00BE44E2" w:rsidRPr="004E34DE" w:rsidRDefault="00BE44E2">
            <w:pPr>
              <w:pStyle w:val="bodytext"/>
              <w:widowControl/>
              <w:jc w:val="center"/>
              <w:rPr>
                <w:rFonts w:ascii="Times New Roman" w:hAnsi="Times New Roman"/>
                <w:color w:val="000000"/>
                <w:sz w:val="22"/>
              </w:rPr>
            </w:pPr>
          </w:p>
        </w:tc>
        <w:tc>
          <w:tcPr>
            <w:tcW w:w="4279" w:type="dxa"/>
          </w:tcPr>
          <w:p w:rsidR="00BE44E2" w:rsidRPr="004E34DE" w:rsidRDefault="00BE44E2">
            <w:pPr>
              <w:pStyle w:val="bodytext"/>
              <w:widowControl/>
              <w:jc w:val="center"/>
              <w:rPr>
                <w:rFonts w:ascii="Times New Roman" w:hAnsi="Times New Roman"/>
                <w:color w:val="000000"/>
                <w:sz w:val="22"/>
              </w:rPr>
            </w:pPr>
          </w:p>
        </w:tc>
      </w:tr>
      <w:tr w:rsidR="00E20EB2">
        <w:trPr>
          <w:cantSplit/>
        </w:trPr>
        <w:tc>
          <w:tcPr>
            <w:tcW w:w="4878" w:type="dxa"/>
          </w:tcPr>
          <w:p w:rsidR="00BE44E2" w:rsidRPr="004E34DE" w:rsidRDefault="00BE44E2">
            <w:pPr>
              <w:widowControl/>
              <w:rPr>
                <w:rFonts w:ascii="Times New Roman" w:hAnsi="Times New Roman"/>
                <w:color w:val="000000"/>
                <w:sz w:val="22"/>
              </w:rPr>
            </w:pPr>
            <w:r w:rsidRPr="004E34DE">
              <w:rPr>
                <w:rFonts w:ascii="Times New Roman" w:hAnsi="Times New Roman"/>
                <w:color w:val="000000"/>
                <w:sz w:val="22"/>
              </w:rPr>
              <w:t>______________________________</w:t>
            </w:r>
            <w:r w:rsidRPr="004E34DE">
              <w:rPr>
                <w:rFonts w:ascii="Times New Roman" w:hAnsi="Times New Roman"/>
                <w:color w:val="000000"/>
                <w:sz w:val="22"/>
              </w:rPr>
              <w:br/>
              <w:t>Guarantor’s Phone No.</w:t>
            </w:r>
          </w:p>
        </w:tc>
        <w:tc>
          <w:tcPr>
            <w:tcW w:w="360" w:type="dxa"/>
          </w:tcPr>
          <w:p w:rsidR="00BE44E2" w:rsidRPr="004E34DE" w:rsidRDefault="00BE44E2">
            <w:pPr>
              <w:pStyle w:val="bodytext"/>
              <w:widowControl/>
              <w:jc w:val="center"/>
              <w:rPr>
                <w:rFonts w:ascii="Times New Roman" w:hAnsi="Times New Roman"/>
                <w:color w:val="000000"/>
                <w:sz w:val="22"/>
              </w:rPr>
            </w:pPr>
          </w:p>
        </w:tc>
        <w:tc>
          <w:tcPr>
            <w:tcW w:w="4279" w:type="dxa"/>
          </w:tcPr>
          <w:p w:rsidR="00BE44E2" w:rsidRPr="004E34DE" w:rsidRDefault="00BE44E2">
            <w:pPr>
              <w:pStyle w:val="bodytext"/>
              <w:widowControl/>
              <w:jc w:val="center"/>
              <w:rPr>
                <w:rFonts w:ascii="Times New Roman" w:hAnsi="Times New Roman"/>
                <w:color w:val="000000"/>
                <w:sz w:val="22"/>
              </w:rPr>
            </w:pPr>
          </w:p>
        </w:tc>
      </w:tr>
    </w:tbl>
    <w:p w:rsidR="00BE44E2" w:rsidRPr="004E34DE" w:rsidRDefault="00BE44E2">
      <w:pPr>
        <w:widowControl/>
        <w:spacing w:line="240" w:lineRule="atLeast"/>
        <w:rPr>
          <w:color w:val="000000"/>
        </w:rPr>
      </w:pPr>
    </w:p>
    <w:sectPr w:rsidR="00BE44E2" w:rsidRPr="004E34DE">
      <w:footerReference w:type="default" r:id="rId10"/>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429" w:rsidRDefault="00F20429">
      <w:r>
        <w:separator/>
      </w:r>
    </w:p>
  </w:endnote>
  <w:endnote w:type="continuationSeparator" w:id="0">
    <w:p w:rsidR="00F20429" w:rsidRDefault="00F2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4DE" w:rsidRPr="004E34DE" w:rsidRDefault="004E34DE">
    <w:pPr>
      <w:pStyle w:val="Footer"/>
      <w:widowControl/>
      <w:tabs>
        <w:tab w:val="clear" w:pos="4140"/>
        <w:tab w:val="clear" w:pos="8280"/>
      </w:tabs>
      <w:jc w:val="center"/>
      <w:rPr>
        <w:rFonts w:ascii="Times New Roman" w:hAnsi="Times New Roman"/>
        <w:color w:val="000000"/>
        <w:sz w:val="22"/>
      </w:rPr>
    </w:pPr>
    <w:r w:rsidRPr="004E34DE">
      <w:rPr>
        <w:rFonts w:ascii="Times New Roman" w:hAnsi="Times New Roman"/>
        <w:color w:val="000000"/>
        <w:sz w:val="22"/>
      </w:rPr>
      <w:t>-</w:t>
    </w:r>
    <w:r w:rsidRPr="004E34DE">
      <w:rPr>
        <w:rFonts w:ascii="Times New Roman" w:hAnsi="Times New Roman"/>
        <w:color w:val="000000"/>
        <w:sz w:val="22"/>
      </w:rPr>
      <w:fldChar w:fldCharType="begin"/>
    </w:r>
    <w:r w:rsidRPr="004E34DE">
      <w:rPr>
        <w:rFonts w:ascii="Times New Roman" w:hAnsi="Times New Roman"/>
        <w:color w:val="000000"/>
        <w:sz w:val="22"/>
      </w:rPr>
      <w:instrText xml:space="preserve">page </w:instrText>
    </w:r>
    <w:r w:rsidRPr="004E34DE">
      <w:rPr>
        <w:rFonts w:ascii="Times New Roman" w:hAnsi="Times New Roman"/>
        <w:color w:val="000000"/>
        <w:sz w:val="22"/>
      </w:rPr>
      <w:fldChar w:fldCharType="separate"/>
    </w:r>
    <w:r w:rsidR="00442395">
      <w:rPr>
        <w:rFonts w:ascii="Times New Roman" w:hAnsi="Times New Roman"/>
        <w:noProof/>
        <w:color w:val="000000"/>
        <w:sz w:val="22"/>
      </w:rPr>
      <w:t>1</w:t>
    </w:r>
    <w:r w:rsidRPr="004E34DE">
      <w:rPr>
        <w:rFonts w:ascii="Times New Roman" w:hAnsi="Times New Roman"/>
        <w:color w:val="000000"/>
        <w:sz w:val="22"/>
      </w:rPr>
      <w:fldChar w:fldCharType="end"/>
    </w:r>
    <w:r w:rsidRPr="004E34DE">
      <w:rPr>
        <w:rFonts w:ascii="Times New Roman" w:hAnsi="Times New Roman"/>
        <w:color w:val="000000"/>
        <w:sz w:val="22"/>
      </w:rPr>
      <w:t>-</w:t>
    </w:r>
  </w:p>
  <w:p w:rsidR="004E34DE" w:rsidRPr="004E34DE" w:rsidRDefault="004E34DE">
    <w:pPr>
      <w:pStyle w:val="Footer"/>
      <w:widowControl/>
      <w:rPr>
        <w:rFonts w:ascii="Times New Roman" w:hAnsi="Times New Roman"/>
        <w:color w:val="000000"/>
        <w:sz w:val="16"/>
      </w:rPr>
    </w:pPr>
    <w:bookmarkStart w:id="2" w:name="MezzTitleStartFoot"/>
    <w:bookmarkStart w:id="3" w:name="MezzInfoEndFoot"/>
    <w:bookmarkEnd w:id="2"/>
    <w:bookmarkEnd w:id="3"/>
  </w:p>
  <w:p w:rsidR="004E34DE" w:rsidRPr="004E34DE" w:rsidRDefault="004E34DE">
    <w:pPr>
      <w:pStyle w:val="Footer"/>
      <w:widowControl/>
      <w:rPr>
        <w:rFonts w:ascii="Times New Roman" w:hAnsi="Times New Roman"/>
        <w:color w:val="000000"/>
      </w:rPr>
    </w:pPr>
    <w:r w:rsidRPr="004E34DE">
      <w:rPr>
        <w:rFonts w:ascii="Times New Roman" w:hAnsi="Times New Roman"/>
        <w:color w:val="000000"/>
      </w:rPr>
      <w:t xml:space="preserve">Form dated </w:t>
    </w:r>
    <w:r w:rsidR="008A6864">
      <w:rPr>
        <w:rFonts w:ascii="Times New Roman" w:hAnsi="Times New Roman"/>
        <w:color w:val="000000"/>
      </w:rPr>
      <w:t>April 17, 2012</w:t>
    </w:r>
    <w:r w:rsidRPr="004E34DE">
      <w:rPr>
        <w:rFonts w:ascii="Times New Roman" w:hAnsi="Times New Roman"/>
        <w:color w:val="000000"/>
      </w:rPr>
      <w:t xml:space="preserve"> (</w:t>
    </w:r>
    <w:r w:rsidR="008A6864">
      <w:rPr>
        <w:rFonts w:ascii="Times New Roman" w:hAnsi="Times New Roman"/>
        <w:color w:val="000000"/>
      </w:rPr>
      <w:t>SDG&amp;E Guaranty</w:t>
    </w:r>
    <w:r w:rsidRPr="004E34DE">
      <w:rPr>
        <w:rFonts w:ascii="Times New Roman" w:hAnsi="Times New Roman"/>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429" w:rsidRDefault="00F20429">
      <w:r>
        <w:separator/>
      </w:r>
    </w:p>
  </w:footnote>
  <w:footnote w:type="continuationSeparator" w:id="0">
    <w:p w:rsidR="00F20429" w:rsidRDefault="00F20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E2"/>
    <w:rsid w:val="00055511"/>
    <w:rsid w:val="00090532"/>
    <w:rsid w:val="0016795E"/>
    <w:rsid w:val="00183DD1"/>
    <w:rsid w:val="001F06CC"/>
    <w:rsid w:val="001F541F"/>
    <w:rsid w:val="0020654E"/>
    <w:rsid w:val="003576E7"/>
    <w:rsid w:val="003C0B41"/>
    <w:rsid w:val="003D2851"/>
    <w:rsid w:val="003E15C2"/>
    <w:rsid w:val="003E6F54"/>
    <w:rsid w:val="00442395"/>
    <w:rsid w:val="00450016"/>
    <w:rsid w:val="004E34DE"/>
    <w:rsid w:val="0050443B"/>
    <w:rsid w:val="00580D56"/>
    <w:rsid w:val="005C1D56"/>
    <w:rsid w:val="005C53A6"/>
    <w:rsid w:val="005C6D0F"/>
    <w:rsid w:val="005D3749"/>
    <w:rsid w:val="005E4AB3"/>
    <w:rsid w:val="00605B31"/>
    <w:rsid w:val="00664124"/>
    <w:rsid w:val="00682314"/>
    <w:rsid w:val="00711AC2"/>
    <w:rsid w:val="007146BB"/>
    <w:rsid w:val="007D0AF5"/>
    <w:rsid w:val="007E31CF"/>
    <w:rsid w:val="008316AD"/>
    <w:rsid w:val="008A6864"/>
    <w:rsid w:val="008F63BD"/>
    <w:rsid w:val="009471AA"/>
    <w:rsid w:val="009A5611"/>
    <w:rsid w:val="009B1B02"/>
    <w:rsid w:val="009C0C80"/>
    <w:rsid w:val="009D15CE"/>
    <w:rsid w:val="009E1B53"/>
    <w:rsid w:val="00A21848"/>
    <w:rsid w:val="00AD1F00"/>
    <w:rsid w:val="00AD6353"/>
    <w:rsid w:val="00AD7E67"/>
    <w:rsid w:val="00B45FF8"/>
    <w:rsid w:val="00B60FC9"/>
    <w:rsid w:val="00B761DF"/>
    <w:rsid w:val="00BB0C64"/>
    <w:rsid w:val="00BB2D05"/>
    <w:rsid w:val="00BC3755"/>
    <w:rsid w:val="00BE44E2"/>
    <w:rsid w:val="00BE543E"/>
    <w:rsid w:val="00C561BB"/>
    <w:rsid w:val="00C84E72"/>
    <w:rsid w:val="00CD27EA"/>
    <w:rsid w:val="00CE12C0"/>
    <w:rsid w:val="00D06297"/>
    <w:rsid w:val="00D27A33"/>
    <w:rsid w:val="00E040AA"/>
    <w:rsid w:val="00E20EB2"/>
    <w:rsid w:val="00E320E8"/>
    <w:rsid w:val="00EA3CB2"/>
    <w:rsid w:val="00F20429"/>
    <w:rsid w:val="00F23B42"/>
    <w:rsid w:val="00F45741"/>
    <w:rsid w:val="00F95C05"/>
    <w:rsid w:val="00FC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02B51435-4514-4DE6-AAFA-E1EAC073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pPr>
      <w:widowControl w:val="0"/>
    </w:pPr>
    <w:rPr>
      <w:rFonts w:ascii="Courier" w:hAnsi="Courier"/>
    </w:rPr>
  </w:style>
  <w:style w:type="paragraph" w:styleId="Heading1">
    <w:name w:val="heading 1"/>
    <w:basedOn w:val="Normal"/>
    <w:next w:val="bodytext"/>
    <w:qFormat/>
    <w:pPr>
      <w:keepNext/>
      <w:keepLines/>
      <w:spacing w:before="240"/>
      <w:ind w:left="720" w:hanging="720"/>
      <w:outlineLvl w:val="0"/>
    </w:pPr>
    <w:rPr>
      <w:b/>
      <w:caps/>
      <w:color w:val="000080"/>
      <w:u w:val="single"/>
    </w:rPr>
  </w:style>
  <w:style w:type="paragraph" w:styleId="Heading2">
    <w:name w:val="heading 2"/>
    <w:basedOn w:val="Heading1"/>
    <w:next w:val="bodytext"/>
    <w:qFormat/>
    <w:pPr>
      <w:ind w:left="1440"/>
      <w:outlineLvl w:val="1"/>
    </w:pPr>
    <w:rPr>
      <w:b w:val="0"/>
      <w:caps w:val="0"/>
      <w:color w:val="800000"/>
      <w:u w:val="none"/>
    </w:rPr>
  </w:style>
  <w:style w:type="paragraph" w:styleId="Heading3">
    <w:name w:val="heading 3"/>
    <w:basedOn w:val="Heading2"/>
    <w:next w:val="bodytext"/>
    <w:qFormat/>
    <w:pPr>
      <w:ind w:left="2160"/>
      <w:outlineLvl w:val="2"/>
    </w:pPr>
    <w:rPr>
      <w:color w:val="008000"/>
    </w:rPr>
  </w:style>
  <w:style w:type="paragraph" w:styleId="Heading4">
    <w:name w:val="heading 4"/>
    <w:basedOn w:val="Heading3"/>
    <w:next w:val="bodytext"/>
    <w:qFormat/>
    <w:pPr>
      <w:ind w:left="2880"/>
      <w:outlineLvl w:val="3"/>
    </w:pPr>
    <w:rPr>
      <w:color w:val="0000FF"/>
    </w:rPr>
  </w:style>
  <w:style w:type="paragraph" w:styleId="Heading5">
    <w:name w:val="heading 5"/>
    <w:basedOn w:val="Heading4"/>
    <w:next w:val="bodytext"/>
    <w:qFormat/>
    <w:pPr>
      <w:ind w:left="3600"/>
      <w:outlineLvl w:val="4"/>
    </w:pPr>
    <w:rPr>
      <w:color w:val="FF00FF"/>
    </w:rPr>
  </w:style>
  <w:style w:type="paragraph" w:styleId="Heading6">
    <w:name w:val="heading 6"/>
    <w:basedOn w:val="Heading5"/>
    <w:next w:val="bodytext"/>
    <w:qFormat/>
    <w:pPr>
      <w:spacing w:line="240" w:lineRule="atLeast"/>
      <w:ind w:left="4320"/>
      <w:outlineLvl w:val="5"/>
    </w:pPr>
    <w:rPr>
      <w:color w:val="auto"/>
    </w:rPr>
  </w:style>
  <w:style w:type="paragraph" w:styleId="Heading7">
    <w:name w:val="heading 7"/>
    <w:basedOn w:val="Normal"/>
    <w:next w:val="bodytext"/>
    <w:qFormat/>
    <w:pPr>
      <w:keepNext/>
      <w:spacing w:line="240" w:lineRule="atLeast"/>
      <w:ind w:left="4320"/>
      <w:outlineLvl w:val="6"/>
    </w:pPr>
  </w:style>
  <w:style w:type="paragraph" w:styleId="Heading8">
    <w:name w:val="heading 8"/>
    <w:basedOn w:val="Heading7"/>
    <w:next w:val="bodytext"/>
    <w:qFormat/>
    <w:pPr>
      <w:ind w:left="5040"/>
      <w:outlineLvl w:val="7"/>
    </w:pPr>
  </w:style>
  <w:style w:type="paragraph" w:styleId="Heading9">
    <w:name w:val="heading 9"/>
    <w:basedOn w:val="Normal"/>
    <w:next w:val="bodytext"/>
    <w:qFormat/>
    <w:pPr>
      <w:ind w:left="576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
    <w:name w:val="body text"/>
    <w:basedOn w:val="Normal"/>
    <w:pPr>
      <w:spacing w:before="240"/>
    </w:pPr>
  </w:style>
  <w:style w:type="paragraph" w:styleId="CommentText">
    <w:name w:val="annotation text"/>
    <w:basedOn w:val="Normal"/>
    <w:semiHidden/>
  </w:style>
  <w:style w:type="paragraph" w:styleId="TOC5">
    <w:name w:val="toc 5"/>
    <w:basedOn w:val="TOC4"/>
    <w:next w:val="Normal"/>
    <w:semiHidden/>
    <w:pPr>
      <w:ind w:left="1800"/>
    </w:pPr>
  </w:style>
  <w:style w:type="paragraph" w:styleId="TOC4">
    <w:name w:val="toc 4"/>
    <w:basedOn w:val="TOC3"/>
    <w:next w:val="Normal"/>
    <w:semiHidden/>
    <w:pPr>
      <w:ind w:left="1440"/>
    </w:pPr>
  </w:style>
  <w:style w:type="paragraph" w:styleId="TOC3">
    <w:name w:val="toc 3"/>
    <w:basedOn w:val="TOC2"/>
    <w:semiHidden/>
    <w:pPr>
      <w:ind w:left="1080"/>
    </w:pPr>
  </w:style>
  <w:style w:type="paragraph" w:styleId="TOC2">
    <w:name w:val="toc 2"/>
    <w:basedOn w:val="TOC1"/>
    <w:semiHidden/>
    <w:pPr>
      <w:spacing w:before="120"/>
      <w:ind w:left="720" w:right="720"/>
    </w:pPr>
    <w:rPr>
      <w:b w:val="0"/>
    </w:rPr>
  </w:style>
  <w:style w:type="paragraph" w:styleId="TOC1">
    <w:name w:val="toc 1"/>
    <w:basedOn w:val="Normal"/>
    <w:semiHidden/>
    <w:pPr>
      <w:tabs>
        <w:tab w:val="decimal" w:leader="dot" w:pos="8280"/>
      </w:tabs>
      <w:ind w:left="360" w:hanging="360"/>
    </w:pPr>
    <w:rPr>
      <w:b/>
    </w:rPr>
  </w:style>
  <w:style w:type="paragraph" w:styleId="Index3">
    <w:name w:val="index 3"/>
    <w:basedOn w:val="Normal"/>
    <w:next w:val="Normal"/>
    <w:semiHidden/>
    <w:pPr>
      <w:tabs>
        <w:tab w:val="left" w:pos="720"/>
        <w:tab w:val="right" w:leader="dot" w:pos="8640"/>
      </w:tabs>
      <w:spacing w:line="240" w:lineRule="exact"/>
      <w:ind w:left="360" w:right="1440"/>
    </w:pPr>
  </w:style>
  <w:style w:type="paragraph" w:styleId="Index2">
    <w:name w:val="index 2"/>
    <w:basedOn w:val="Normal"/>
    <w:next w:val="Normal"/>
    <w:semiHidden/>
    <w:pPr>
      <w:keepLines/>
      <w:tabs>
        <w:tab w:val="right" w:leader="dot" w:pos="8640"/>
      </w:tabs>
      <w:spacing w:line="240" w:lineRule="exact"/>
      <w:ind w:left="360" w:right="1440" w:hanging="360"/>
    </w:pPr>
  </w:style>
  <w:style w:type="paragraph" w:styleId="Index1">
    <w:name w:val="index 1"/>
    <w:basedOn w:val="Normal"/>
    <w:next w:val="Normal"/>
    <w:semiHidden/>
    <w:pPr>
      <w:keepNext/>
      <w:spacing w:line="240" w:lineRule="exact"/>
      <w:jc w:val="center"/>
    </w:pPr>
    <w:rPr>
      <w:b/>
    </w:rPr>
  </w:style>
  <w:style w:type="paragraph" w:styleId="Footer">
    <w:name w:val="footer"/>
    <w:basedOn w:val="Normal"/>
    <w:pPr>
      <w:tabs>
        <w:tab w:val="center" w:pos="4140"/>
        <w:tab w:val="right" w:pos="8280"/>
      </w:tabs>
    </w:pPr>
    <w:rPr>
      <w:color w:val="FF0000"/>
      <w:sz w:val="18"/>
    </w:rPr>
  </w:style>
  <w:style w:type="paragraph" w:styleId="Header">
    <w:name w:val="header"/>
    <w:basedOn w:val="Normal"/>
  </w:style>
  <w:style w:type="paragraph" w:styleId="FootnoteText">
    <w:name w:val="footnote text"/>
    <w:basedOn w:val="Normal"/>
    <w:semiHidden/>
    <w:pPr>
      <w:ind w:left="720" w:hanging="720"/>
    </w:pPr>
  </w:style>
  <w:style w:type="paragraph" w:styleId="NormalIndent">
    <w:name w:val="Normal Indent"/>
    <w:basedOn w:val="Normal"/>
    <w:pPr>
      <w:ind w:left="720"/>
    </w:pPr>
  </w:style>
  <w:style w:type="paragraph" w:customStyle="1" w:styleId="heading1notoc">
    <w:name w:val="heading 1 (no toc)"/>
    <w:basedOn w:val="Heading1"/>
    <w:next w:val="bodytext"/>
    <w:pPr>
      <w:outlineLvl w:val="9"/>
    </w:pPr>
  </w:style>
  <w:style w:type="paragraph" w:customStyle="1" w:styleId="heading2notoc">
    <w:name w:val="heading 2 (no toc)"/>
    <w:basedOn w:val="Heading2"/>
    <w:next w:val="bodytext"/>
    <w:pPr>
      <w:outlineLvl w:val="9"/>
    </w:pPr>
  </w:style>
  <w:style w:type="paragraph" w:customStyle="1" w:styleId="heading3notoc">
    <w:name w:val="heading 3 (no toc)"/>
    <w:basedOn w:val="Heading3"/>
    <w:next w:val="bodytext"/>
    <w:pPr>
      <w:outlineLvl w:val="9"/>
    </w:pPr>
  </w:style>
  <w:style w:type="paragraph" w:styleId="List4">
    <w:name w:val="List 4"/>
    <w:basedOn w:val="List3"/>
    <w:pPr>
      <w:ind w:left="2880"/>
    </w:pPr>
  </w:style>
  <w:style w:type="paragraph" w:styleId="List3">
    <w:name w:val="List 3"/>
    <w:basedOn w:val="List2"/>
    <w:pPr>
      <w:ind w:left="2160"/>
    </w:pPr>
  </w:style>
  <w:style w:type="paragraph" w:styleId="List2">
    <w:name w:val="List 2"/>
    <w:basedOn w:val="List1"/>
    <w:pPr>
      <w:ind w:left="1440"/>
    </w:pPr>
  </w:style>
  <w:style w:type="paragraph" w:customStyle="1" w:styleId="List1">
    <w:name w:val="List 1"/>
    <w:basedOn w:val="Normal"/>
    <w:pPr>
      <w:ind w:left="720" w:hanging="720"/>
    </w:pPr>
  </w:style>
  <w:style w:type="paragraph" w:styleId="List5">
    <w:name w:val="List 5"/>
    <w:basedOn w:val="List4"/>
    <w:pPr>
      <w:ind w:left="3600"/>
    </w:pPr>
  </w:style>
  <w:style w:type="paragraph" w:customStyle="1" w:styleId="heading4notoc">
    <w:name w:val="heading 4 (no toc)"/>
    <w:basedOn w:val="Heading4"/>
    <w:next w:val="bodytext"/>
    <w:pPr>
      <w:outlineLvl w:val="9"/>
    </w:pPr>
  </w:style>
  <w:style w:type="paragraph" w:customStyle="1" w:styleId="heading5notoc">
    <w:name w:val="heading 5 (no toc)"/>
    <w:basedOn w:val="Heading5"/>
    <w:next w:val="bodytext"/>
    <w:pPr>
      <w:outlineLvl w:val="9"/>
    </w:pPr>
  </w:style>
  <w:style w:type="paragraph" w:customStyle="1" w:styleId="List1d">
    <w:name w:val="List 1.d"/>
    <w:basedOn w:val="List1"/>
    <w:pPr>
      <w:tabs>
        <w:tab w:val="decimal" w:pos="1080"/>
      </w:tabs>
      <w:ind w:left="1440" w:hanging="1440"/>
    </w:pPr>
  </w:style>
  <w:style w:type="paragraph" w:customStyle="1" w:styleId="List2d">
    <w:name w:val="List 2.d"/>
    <w:basedOn w:val="List2"/>
    <w:pPr>
      <w:tabs>
        <w:tab w:val="decimal" w:pos="1800"/>
      </w:tabs>
      <w:ind w:left="2160" w:hanging="1440"/>
    </w:pPr>
  </w:style>
  <w:style w:type="paragraph" w:customStyle="1" w:styleId="List3d">
    <w:name w:val="List 3.d"/>
    <w:basedOn w:val="List3"/>
    <w:pPr>
      <w:tabs>
        <w:tab w:val="decimal" w:pos="2520"/>
      </w:tabs>
      <w:ind w:left="2880" w:hanging="1440"/>
    </w:pPr>
  </w:style>
  <w:style w:type="paragraph" w:customStyle="1" w:styleId="List4d">
    <w:name w:val="List 4.d"/>
    <w:basedOn w:val="List4"/>
    <w:pPr>
      <w:tabs>
        <w:tab w:val="decimal" w:pos="3240"/>
      </w:tabs>
      <w:ind w:left="3600" w:hanging="1440"/>
    </w:pPr>
  </w:style>
  <w:style w:type="paragraph" w:customStyle="1" w:styleId="List5d">
    <w:name w:val="List 5.d"/>
    <w:basedOn w:val="List5"/>
    <w:pPr>
      <w:tabs>
        <w:tab w:val="decimal" w:pos="3960"/>
      </w:tabs>
      <w:ind w:left="4320" w:hanging="1440"/>
    </w:pPr>
  </w:style>
  <w:style w:type="paragraph" w:styleId="Quote">
    <w:name w:val="Quote"/>
    <w:basedOn w:val="Normal"/>
    <w:next w:val="Normal"/>
    <w:qFormat/>
    <w:pPr>
      <w:ind w:left="1440" w:right="1440"/>
    </w:pPr>
  </w:style>
  <w:style w:type="paragraph" w:customStyle="1" w:styleId="QuoteDoubleSpace">
    <w:name w:val="Quote DoubleSpace"/>
    <w:basedOn w:val="Quote"/>
    <w:pPr>
      <w:spacing w:line="480" w:lineRule="atLeast"/>
    </w:pPr>
  </w:style>
  <w:style w:type="paragraph" w:customStyle="1" w:styleId="Plain">
    <w:name w:val="Plain"/>
    <w:pPr>
      <w:widowControl w:val="0"/>
      <w:spacing w:line="240" w:lineRule="exact"/>
    </w:pPr>
    <w:rPr>
      <w:rFonts w:ascii="Courier" w:hAnsi="Courier"/>
    </w:rPr>
  </w:style>
  <w:style w:type="paragraph" w:customStyle="1" w:styleId="Recital">
    <w:name w:val="Recital"/>
    <w:basedOn w:val="Normal"/>
    <w:next w:val="bodytext"/>
    <w:pPr>
      <w:spacing w:before="480" w:after="240"/>
      <w:jc w:val="center"/>
    </w:pPr>
    <w:rPr>
      <w:caps/>
      <w:u w:val="words"/>
    </w:rPr>
  </w:style>
  <w:style w:type="paragraph" w:customStyle="1" w:styleId="bodytextd1">
    <w:name w:val="body text .d1"/>
    <w:basedOn w:val="bodytext"/>
    <w:pPr>
      <w:tabs>
        <w:tab w:val="right" w:pos="1440"/>
        <w:tab w:val="left" w:pos="1800"/>
      </w:tabs>
    </w:pPr>
  </w:style>
  <w:style w:type="paragraph" w:customStyle="1" w:styleId="SigBlock">
    <w:name w:val="SigBlock"/>
    <w:basedOn w:val="Plain"/>
    <w:pPr>
      <w:tabs>
        <w:tab w:val="right" w:leader="underscore" w:pos="8640"/>
      </w:tabs>
      <w:ind w:left="4410" w:hanging="90"/>
    </w:pPr>
  </w:style>
  <w:style w:type="paragraph" w:customStyle="1" w:styleId="bodytextd2">
    <w:name w:val="body text .d2"/>
    <w:basedOn w:val="bodytextd1"/>
    <w:pPr>
      <w:tabs>
        <w:tab w:val="clear" w:pos="1440"/>
        <w:tab w:val="clear" w:pos="1800"/>
        <w:tab w:val="right" w:pos="2340"/>
        <w:tab w:val="left" w:pos="2700"/>
      </w:tabs>
    </w:pPr>
  </w:style>
  <w:style w:type="paragraph" w:customStyle="1" w:styleId="bodytextd3">
    <w:name w:val="body text .d3"/>
    <w:basedOn w:val="bodytextd2"/>
    <w:pPr>
      <w:tabs>
        <w:tab w:val="clear" w:pos="2340"/>
        <w:tab w:val="clear" w:pos="2700"/>
        <w:tab w:val="right" w:pos="3240"/>
        <w:tab w:val="left" w:pos="3600"/>
      </w:tabs>
    </w:pPr>
  </w:style>
  <w:style w:type="paragraph" w:customStyle="1" w:styleId="bodytextd4">
    <w:name w:val="body text .d4"/>
    <w:basedOn w:val="bodytextd3"/>
    <w:pPr>
      <w:tabs>
        <w:tab w:val="clear" w:pos="3240"/>
        <w:tab w:val="clear" w:pos="3600"/>
        <w:tab w:val="right" w:pos="4140"/>
        <w:tab w:val="left" w:pos="4500"/>
      </w:tabs>
    </w:pPr>
  </w:style>
  <w:style w:type="paragraph" w:customStyle="1" w:styleId="header2">
    <w:name w:val="header2"/>
    <w:basedOn w:val="Normal"/>
    <w:pPr>
      <w:tabs>
        <w:tab w:val="center" w:pos="4320"/>
        <w:tab w:val="center" w:pos="8640"/>
      </w:tabs>
      <w:spacing w:line="240" w:lineRule="atLeast"/>
    </w:pPr>
    <w:rPr>
      <w:u w:val="words"/>
    </w:rPr>
  </w:style>
  <w:style w:type="paragraph" w:customStyle="1" w:styleId="InterrogResponse">
    <w:name w:val="Interrog Response"/>
    <w:basedOn w:val="Normal"/>
    <w:pPr>
      <w:spacing w:line="240" w:lineRule="atLeast"/>
    </w:pPr>
    <w:rPr>
      <w:b/>
    </w:rPr>
  </w:style>
  <w:style w:type="paragraph" w:customStyle="1" w:styleId="Interrogatory">
    <w:name w:val="Interrogatory"/>
    <w:basedOn w:val="Normal"/>
    <w:next w:val="Normal"/>
    <w:pPr>
      <w:spacing w:line="240" w:lineRule="atLeast"/>
    </w:pPr>
    <w:rPr>
      <w:b/>
      <w:u w:val="single"/>
    </w:rPr>
  </w:style>
  <w:style w:type="paragraph" w:customStyle="1" w:styleId="List6">
    <w:name w:val="List 6"/>
    <w:basedOn w:val="List5"/>
    <w:pPr>
      <w:spacing w:line="240" w:lineRule="atLeast"/>
      <w:ind w:left="4320" w:firstLine="1440"/>
    </w:pPr>
  </w:style>
  <w:style w:type="paragraph" w:customStyle="1" w:styleId="sig4">
    <w:name w:val="sig4"/>
    <w:basedOn w:val="Normal"/>
    <w:next w:val="sig5"/>
    <w:pPr>
      <w:tabs>
        <w:tab w:val="left" w:pos="1440"/>
        <w:tab w:val="left" w:leader="underscore" w:pos="5310"/>
      </w:tabs>
      <w:ind w:left="720" w:right="-216" w:hanging="720"/>
    </w:pPr>
  </w:style>
  <w:style w:type="paragraph" w:customStyle="1" w:styleId="sig5">
    <w:name w:val="sig5"/>
    <w:basedOn w:val="sig4"/>
    <w:pPr>
      <w:ind w:firstLine="0"/>
    </w:pPr>
  </w:style>
  <w:style w:type="paragraph" w:customStyle="1" w:styleId="bodytext5">
    <w:name w:val="body text 5"/>
    <w:basedOn w:val="bodytext"/>
    <w:pPr>
      <w:ind w:firstLine="720"/>
    </w:pPr>
  </w:style>
  <w:style w:type="paragraph" w:customStyle="1" w:styleId="bodytext10">
    <w:name w:val="body text 10"/>
    <w:basedOn w:val="bodytext5"/>
    <w:pPr>
      <w:ind w:firstLine="1440"/>
    </w:pPr>
  </w:style>
  <w:style w:type="paragraph" w:customStyle="1" w:styleId="15">
    <w:name w:val="15"/>
    <w:basedOn w:val="bodytext10"/>
    <w:pPr>
      <w:ind w:firstLine="2160"/>
      <w:jc w:val="both"/>
    </w:pPr>
    <w:rPr>
      <w:rFonts w:ascii="Arial" w:hAnsi="Arial"/>
    </w:rPr>
  </w:style>
  <w:style w:type="paragraph" w:customStyle="1" w:styleId="20">
    <w:name w:val="20"/>
    <w:basedOn w:val="15"/>
    <w:pPr>
      <w:ind w:left="720"/>
    </w:pPr>
  </w:style>
  <w:style w:type="paragraph" w:styleId="TableofAuthorities">
    <w:name w:val="table of authorities"/>
    <w:basedOn w:val="Normal"/>
    <w:next w:val="Normal"/>
    <w:semiHidden/>
    <w:pPr>
      <w:tabs>
        <w:tab w:val="right" w:leader="dot" w:pos="9360"/>
      </w:tabs>
      <w:ind w:left="240" w:hanging="240"/>
    </w:pPr>
  </w:style>
  <w:style w:type="character" w:customStyle="1" w:styleId="DeltaViewInsertion">
    <w:name w:val="DeltaView Insertion"/>
    <w:rsid w:val="009C0C80"/>
    <w:rPr>
      <w:color w:val="0000FF"/>
      <w:spacing w:val="0"/>
      <w:u w:val="double"/>
    </w:rPr>
  </w:style>
  <w:style w:type="paragraph" w:styleId="BalloonText">
    <w:name w:val="Balloon Text"/>
    <w:basedOn w:val="Normal"/>
    <w:semiHidden/>
    <w:rsid w:val="000555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04233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941354-DCB7-4721-B4D8-3374E8988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821FD8-9A7C-4C8F-AAEF-C43260D42B6C}">
  <ds:schemaRefs>
    <ds:schemaRef ds:uri="http://schemas.microsoft.com/office/2006/metadata/longProperties"/>
  </ds:schemaRefs>
</ds:datastoreItem>
</file>

<file path=customXml/itemProps3.xml><?xml version="1.0" encoding="utf-8"?>
<ds:datastoreItem xmlns:ds="http://schemas.openxmlformats.org/officeDocument/2006/customXml" ds:itemID="{07E85DEB-A756-45B7-A60F-EF82692726C3}">
  <ds:schemaRefs>
    <ds:schemaRef ds:uri="http://schemas.microsoft.com/sharepoint/v3/contenttype/forms"/>
  </ds:schemaRefs>
</ds:datastoreItem>
</file>

<file path=customXml/itemProps4.xml><?xml version="1.0" encoding="utf-8"?>
<ds:datastoreItem xmlns:ds="http://schemas.openxmlformats.org/officeDocument/2006/customXml" ds:itemID="{40FF259F-3228-4AC2-8E3A-F1A321A617E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Guaranty - SDG&amp;E</vt:lpstr>
    </vt:vector>
  </TitlesOfParts>
  <Company>NGK&amp;E</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Guaranty - SDG&amp;E</dc:title>
  <dc:subject/>
  <dc:creator>ASNYDER</dc:creator>
  <cp:keywords/>
  <cp:lastModifiedBy>Ucol, Michael</cp:lastModifiedBy>
  <cp:revision>2</cp:revision>
  <cp:lastPrinted>2001-05-11T00:47:00Z</cp:lastPrinted>
  <dcterms:created xsi:type="dcterms:W3CDTF">2025-05-08T22:13:00Z</dcterms:created>
  <dcterms:modified xsi:type="dcterms:W3CDTF">2025-05-08T22:13:00Z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Not Checked In</vt:lpwstr>
  </property>
  <property fmtid="{D5CDD505-2E9C-101B-9397-08002B2CF9AE}" pid="3" name="LINKTEK-FILE-ID">
    <vt:lpwstr>0107-7DE2-17E2-3CB3</vt:lpwstr>
  </property>
  <property fmtid="{D5CDD505-2E9C-101B-9397-08002B2CF9AE}" pid="4" name="display_urn:schemas-microsoft-com:office:office#Editor">
    <vt:lpwstr>Linzan, Ginger</vt:lpwstr>
  </property>
  <property fmtid="{D5CDD505-2E9C-101B-9397-08002B2CF9AE}" pid="5" name="Order">
    <vt:lpwstr>2604300.00000000</vt:lpwstr>
  </property>
  <property fmtid="{D5CDD505-2E9C-101B-9397-08002B2CF9AE}" pid="6" name="display_urn:schemas-microsoft-com:office:office#Author">
    <vt:lpwstr>Linzan, Ginger</vt:lpwstr>
  </property>
  <property fmtid="{D5CDD505-2E9C-101B-9397-08002B2CF9AE}" pid="7" name="ISOTopicTaxHTField0">
    <vt:lpwstr>Planning|285a5f2c-fbc6-40b5-af08-c23b5949dd29</vt:lpwstr>
  </property>
  <property fmtid="{D5CDD505-2E9C-101B-9397-08002B2CF9AE}" pid="8" name="OriginalUriCopy">
    <vt:lpwstr/>
  </property>
  <property fmtid="{D5CDD505-2E9C-101B-9397-08002B2CF9AE}" pid="9" name="ISOGroupTaxHTField0">
    <vt:lpwstr/>
  </property>
  <property fmtid="{D5CDD505-2E9C-101B-9397-08002B2CF9AE}" pid="10" name="PageLink">
    <vt:lpwstr/>
  </property>
  <property fmtid="{D5CDD505-2E9C-101B-9397-08002B2CF9AE}" pid="11" name="OriginalURIBackup">
    <vt:lpwstr/>
  </property>
  <property fmtid="{D5CDD505-2E9C-101B-9397-08002B2CF9AE}" pid="12" name="TemplateUrl">
    <vt:lpwstr/>
  </property>
  <property fmtid="{D5CDD505-2E9C-101B-9397-08002B2CF9AE}" pid="13" name="ISOContributor">
    <vt:lpwstr>163</vt:lpwstr>
  </property>
  <property fmtid="{D5CDD505-2E9C-101B-9397-08002B2CF9AE}" pid="14" name="ISOExtract">
    <vt:lpwstr/>
  </property>
  <property fmtid="{D5CDD505-2E9C-101B-9397-08002B2CF9AE}" pid="15" name="ISOKeywordsTaxHTField0">
    <vt:lpwstr/>
  </property>
  <property fmtid="{D5CDD505-2E9C-101B-9397-08002B2CF9AE}" pid="16" name="ISOKeywords">
    <vt:lpwstr/>
  </property>
  <property fmtid="{D5CDD505-2E9C-101B-9397-08002B2CF9AE}" pid="17" name="Orig Post Date">
    <vt:lpwstr>2015-03-06T10:25:47Z</vt:lpwstr>
  </property>
  <property fmtid="{D5CDD505-2E9C-101B-9397-08002B2CF9AE}" pid="18" name="ISOArchive">
    <vt:lpwstr>1;#Not Archived|d4ac4999-fa66-470b-a400-7ab6671d1fab</vt:lpwstr>
  </property>
  <property fmtid="{D5CDD505-2E9C-101B-9397-08002B2CF9AE}" pid="19" name="display_urn:schemas-microsoft-com:office:office#Content_x0020_Administrator">
    <vt:lpwstr>Ludlow, Trevor</vt:lpwstr>
  </property>
  <property fmtid="{D5CDD505-2E9C-101B-9397-08002B2CF9AE}" pid="20" name="Content Owner">
    <vt:lpwstr>129</vt:lpwstr>
  </property>
  <property fmtid="{D5CDD505-2E9C-101B-9397-08002B2CF9AE}" pid="21" name="ISOGroup">
    <vt:lpwstr/>
  </property>
  <property fmtid="{D5CDD505-2E9C-101B-9397-08002B2CF9AE}" pid="22" name="ISOTopic">
    <vt:lpwstr>311;#Planning|285a5f2c-fbc6-40b5-af08-c23b5949dd29</vt:lpwstr>
  </property>
  <property fmtid="{D5CDD505-2E9C-101B-9397-08002B2CF9AE}" pid="23" name="xd_ProgID">
    <vt:lpwstr/>
  </property>
  <property fmtid="{D5CDD505-2E9C-101B-9397-08002B2CF9AE}" pid="24" name="OriginalUri">
    <vt:lpwstr/>
  </property>
  <property fmtid="{D5CDD505-2E9C-101B-9397-08002B2CF9AE}" pid="25" name="Important">
    <vt:lpwstr>0</vt:lpwstr>
  </property>
  <property fmtid="{D5CDD505-2E9C-101B-9397-08002B2CF9AE}" pid="26" name="display_urn:schemas-microsoft-com:office:office#Content_x0020_Owner">
    <vt:lpwstr>Emmert, Robert</vt:lpwstr>
  </property>
  <property fmtid="{D5CDD505-2E9C-101B-9397-08002B2CF9AE}" pid="27" name="Market Notice">
    <vt:lpwstr>0</vt:lpwstr>
  </property>
  <property fmtid="{D5CDD505-2E9C-101B-9397-08002B2CF9AE}" pid="28" name="ParentISOGroups">
    <vt:lpwstr>SDG&amp;E|90f62128-34af-4330-92a4-1dc94fe97c7b</vt:lpwstr>
  </property>
  <property fmtid="{D5CDD505-2E9C-101B-9397-08002B2CF9AE}" pid="29" name="m9e70a6096144fc698577b786817f2be">
    <vt:lpwstr>Not Archived|d4ac4999-fa66-470b-a400-7ab6671d1fab</vt:lpwstr>
  </property>
  <property fmtid="{D5CDD505-2E9C-101B-9397-08002B2CF9AE}" pid="30" name="ISOSummary">
    <vt:lpwstr>Guaranty template provided by SDG&amp;amp;E for Interconnection Financial Security postings.</vt:lpwstr>
  </property>
  <property fmtid="{D5CDD505-2E9C-101B-9397-08002B2CF9AE}" pid="31" name="PostDate">
    <vt:lpwstr>2024-05-24T16:29:08Z</vt:lpwstr>
  </property>
  <property fmtid="{D5CDD505-2E9C-101B-9397-08002B2CF9AE}" pid="32" name="ISOArchived">
    <vt:lpwstr>Not Archived</vt:lpwstr>
  </property>
  <property fmtid="{D5CDD505-2E9C-101B-9397-08002B2CF9AE}" pid="33" name="display_urn:schemas-microsoft-com:office:office#ISOContributor">
    <vt:lpwstr>Wright, Linda</vt:lpwstr>
  </property>
  <property fmtid="{D5CDD505-2E9C-101B-9397-08002B2CF9AE}" pid="34" name="News Release">
    <vt:lpwstr>0</vt:lpwstr>
  </property>
  <property fmtid="{D5CDD505-2E9C-101B-9397-08002B2CF9AE}" pid="35" name="ContentReviewInterval">
    <vt:lpwstr>24</vt:lpwstr>
  </property>
  <property fmtid="{D5CDD505-2E9C-101B-9397-08002B2CF9AE}" pid="36" name="ISOGroupSequence">
    <vt:lpwstr/>
  </property>
  <property fmtid="{D5CDD505-2E9C-101B-9397-08002B2CF9AE}" pid="37" name="_SourceUrl">
    <vt:lpwstr/>
  </property>
  <property fmtid="{D5CDD505-2E9C-101B-9397-08002B2CF9AE}" pid="38" name="_SharedFileIndex">
    <vt:lpwstr/>
  </property>
  <property fmtid="{D5CDD505-2E9C-101B-9397-08002B2CF9AE}" pid="39" name="ISOOwner">
    <vt:lpwstr>Emmert, Robert</vt:lpwstr>
  </property>
  <property fmtid="{D5CDD505-2E9C-101B-9397-08002B2CF9AE}" pid="40" name="ISODescription">
    <vt:lpwstr/>
  </property>
  <property fmtid="{D5CDD505-2E9C-101B-9397-08002B2CF9AE}" pid="41" name="Content Administrator">
    <vt:lpwstr>543</vt:lpwstr>
  </property>
  <property fmtid="{D5CDD505-2E9C-101B-9397-08002B2CF9AE}" pid="42" name="Document Type">
    <vt:lpwstr>Form/Template</vt:lpwstr>
  </property>
  <property fmtid="{D5CDD505-2E9C-101B-9397-08002B2CF9AE}" pid="43" name="IsPublished">
    <vt:lpwstr>1</vt:lpwstr>
  </property>
  <property fmtid="{D5CDD505-2E9C-101B-9397-08002B2CF9AE}" pid="44" name="TaxCatchAll">
    <vt:lpwstr>311;#Planning|285a5f2c-fbc6-40b5-af08-c23b5949dd29;#1;#Not Archived|d4ac4999-fa66-470b-a400-7ab6671d1fab</vt:lpwstr>
  </property>
  <property fmtid="{D5CDD505-2E9C-101B-9397-08002B2CF9AE}" pid="45" name="ISOArchiveTaxHTField0">
    <vt:lpwstr>Not Archived|d4ac4999-fa66-470b-a400-7ab6671d1fab</vt:lpwstr>
  </property>
  <property fmtid="{D5CDD505-2E9C-101B-9397-08002B2CF9AE}" pid="46" name="ExpireDate">
    <vt:lpwstr>2023-03-23T08:57:54Z</vt:lpwstr>
  </property>
  <property fmtid="{D5CDD505-2E9C-101B-9397-08002B2CF9AE}" pid="47" name="IsDisabled">
    <vt:lpwstr>0</vt:lpwstr>
  </property>
  <property fmtid="{D5CDD505-2E9C-101B-9397-08002B2CF9AE}" pid="48" name="CrawlableUniqueID">
    <vt:lpwstr/>
  </property>
</Properties>
</file>