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61C7" w14:textId="77777777" w:rsidR="008E480B" w:rsidRDefault="00076DEE" w:rsidP="00CE7CF9">
      <w:pPr>
        <w:pStyle w:val="Heading1"/>
        <w:spacing w:before="0" w:after="0"/>
        <w:jc w:val="center"/>
        <w:rPr>
          <w:rFonts w:cs="Arial"/>
          <w:sz w:val="40"/>
          <w:szCs w:val="40"/>
        </w:rPr>
      </w:pPr>
      <w:r>
        <w:rPr>
          <w:rFonts w:cs="Arial"/>
          <w:sz w:val="40"/>
          <w:szCs w:val="40"/>
        </w:rPr>
        <w:t xml:space="preserve">EIM </w:t>
      </w:r>
      <w:r w:rsidR="008E480B">
        <w:rPr>
          <w:rFonts w:cs="Arial"/>
          <w:sz w:val="40"/>
          <w:szCs w:val="40"/>
        </w:rPr>
        <w:t xml:space="preserve">Transitional Committee </w:t>
      </w:r>
    </w:p>
    <w:p w14:paraId="422BBFC6" w14:textId="77777777" w:rsidR="00F14819" w:rsidRDefault="004F2145" w:rsidP="00CE7CF9">
      <w:pPr>
        <w:pStyle w:val="Heading1"/>
        <w:spacing w:before="0" w:after="0"/>
        <w:jc w:val="center"/>
        <w:rPr>
          <w:rFonts w:cs="Arial"/>
          <w:sz w:val="40"/>
          <w:szCs w:val="40"/>
        </w:rPr>
      </w:pPr>
      <w:r>
        <w:rPr>
          <w:rFonts w:cs="Arial"/>
          <w:sz w:val="40"/>
          <w:szCs w:val="40"/>
        </w:rPr>
        <w:t xml:space="preserve">Sector Participation </w:t>
      </w:r>
      <w:r w:rsidR="00F14819" w:rsidRPr="00F14819">
        <w:rPr>
          <w:rFonts w:cs="Arial"/>
          <w:sz w:val="40"/>
          <w:szCs w:val="40"/>
        </w:rPr>
        <w:t>Template</w:t>
      </w:r>
    </w:p>
    <w:p w14:paraId="2368D66A" w14:textId="77777777" w:rsidR="00FE5705" w:rsidRPr="00E35FC6" w:rsidRDefault="00FE5705" w:rsidP="00FE5705">
      <w:pPr>
        <w:rPr>
          <w:sz w:val="24"/>
          <w:szCs w:val="24"/>
        </w:rPr>
      </w:pPr>
    </w:p>
    <w:p w14:paraId="07F675EE" w14:textId="77777777" w:rsidR="00443BEB" w:rsidRPr="00E35FC6" w:rsidRDefault="007742C2" w:rsidP="00FC5FAD">
      <w:pPr>
        <w:pStyle w:val="Heading1"/>
        <w:rPr>
          <w:rFonts w:cs="Arial"/>
          <w:sz w:val="24"/>
          <w:szCs w:val="24"/>
        </w:rPr>
      </w:pPr>
      <w:r>
        <w:rPr>
          <w:noProof/>
          <w:sz w:val="24"/>
          <w:szCs w:val="24"/>
        </w:rPr>
        <w:pict w14:anchorId="5CFDF13C">
          <v:shapetype id="_x0000_t202" coordsize="21600,21600" o:spt="202" path="m,l,21600r21600,l21600,xe">
            <v:stroke joinstyle="miter"/>
            <v:path gradientshapeok="t" o:connecttype="rect"/>
          </v:shapetype>
          <v:shape id="Text Box 2" o:spid="_x0000_s1026" type="#_x0000_t202" style="position:absolute;margin-left:-6.15pt;margin-top:.4pt;width:474.9pt;height:193.7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14:paraId="42FC9DE2" w14:textId="77777777" w:rsidR="004F2145" w:rsidRPr="00751498" w:rsidRDefault="004F2145" w:rsidP="004F2145">
                  <w:pPr>
                    <w:spacing w:before="120" w:after="120"/>
                    <w:rPr>
                      <w:rFonts w:ascii="Arial" w:hAnsi="Arial" w:cs="Arial"/>
                      <w:b/>
                      <w:color w:val="FF0000"/>
                      <w:u w:val="single"/>
                    </w:rPr>
                  </w:pPr>
                  <w:r>
                    <w:rPr>
                      <w:rFonts w:ascii="Arial" w:hAnsi="Arial" w:cs="Arial"/>
                    </w:rPr>
                    <w:t xml:space="preserve">Please use this template to provide your interest in participating in the sector nomination process for the EIM Transitional Committee.  </w:t>
                  </w:r>
                  <w:r w:rsidRPr="00751498">
                    <w:rPr>
                      <w:rFonts w:ascii="Arial" w:hAnsi="Arial" w:cs="Arial"/>
                      <w:b/>
                      <w:color w:val="FF0000"/>
                    </w:rPr>
                    <w:t xml:space="preserve">Submit </w:t>
                  </w:r>
                  <w:r w:rsidR="00751498" w:rsidRPr="00751498">
                    <w:rPr>
                      <w:rFonts w:ascii="Arial" w:hAnsi="Arial" w:cs="Arial"/>
                      <w:b/>
                      <w:color w:val="FF0000"/>
                    </w:rPr>
                    <w:t>your interest</w:t>
                  </w:r>
                  <w:r w:rsidRPr="00751498">
                    <w:rPr>
                      <w:rFonts w:ascii="Arial" w:hAnsi="Arial" w:cs="Arial"/>
                      <w:b/>
                      <w:color w:val="FF0000"/>
                    </w:rPr>
                    <w:t xml:space="preserve"> to </w:t>
                  </w:r>
                  <w:r w:rsidR="0082461B">
                    <w:rPr>
                      <w:rFonts w:ascii="Arial" w:hAnsi="Arial" w:cs="Arial"/>
                      <w:b/>
                      <w:color w:val="FF0000"/>
                    </w:rPr>
                    <w:t xml:space="preserve">Stacey Karpinen, </w:t>
                  </w:r>
                  <w:r w:rsidR="00751498" w:rsidRPr="00751498">
                    <w:rPr>
                      <w:rFonts w:ascii="Arial" w:hAnsi="Arial" w:cs="Arial"/>
                      <w:b/>
                      <w:color w:val="FF0000"/>
                    </w:rPr>
                    <w:t>Assistant Corporate Secretary</w:t>
                  </w:r>
                  <w:r w:rsidR="0082461B">
                    <w:rPr>
                      <w:rFonts w:ascii="Arial" w:hAnsi="Arial" w:cs="Arial"/>
                      <w:b/>
                      <w:color w:val="FF0000"/>
                    </w:rPr>
                    <w:t>,</w:t>
                  </w:r>
                  <w:r w:rsidR="00751498" w:rsidRPr="00751498">
                    <w:rPr>
                      <w:rFonts w:ascii="Arial" w:hAnsi="Arial" w:cs="Arial"/>
                      <w:b/>
                      <w:color w:val="FF0000"/>
                    </w:rPr>
                    <w:t xml:space="preserve"> at </w:t>
                  </w:r>
                  <w:hyperlink r:id="rId12" w:history="1">
                    <w:r w:rsidR="00751498" w:rsidRPr="00751498">
                      <w:rPr>
                        <w:rStyle w:val="Hyperlink"/>
                        <w:rFonts w:ascii="Arial" w:hAnsi="Arial" w:cs="Arial"/>
                        <w:b/>
                        <w:color w:val="FF0000"/>
                      </w:rPr>
                      <w:t>skarpinen@caiso.com</w:t>
                    </w:r>
                  </w:hyperlink>
                  <w:r w:rsidR="00751498" w:rsidRPr="00751498">
                    <w:rPr>
                      <w:rFonts w:ascii="Arial" w:hAnsi="Arial" w:cs="Arial"/>
                      <w:b/>
                      <w:color w:val="FF0000"/>
                    </w:rPr>
                    <w:t xml:space="preserve"> no later than January 14, 2014.</w:t>
                  </w:r>
                </w:p>
                <w:p w14:paraId="7041B5C6" w14:textId="77777777" w:rsidR="00CE7CF9" w:rsidRPr="00773C1B" w:rsidRDefault="00CE7CF9" w:rsidP="00773C1B">
                  <w:pPr>
                    <w:kinsoku w:val="0"/>
                    <w:overflowPunct w:val="0"/>
                    <w:spacing w:after="0" w:line="240" w:lineRule="auto"/>
                    <w:jc w:val="center"/>
                    <w:textAlignment w:val="baseline"/>
                    <w:rPr>
                      <w:rFonts w:ascii="Arial" w:eastAsia="Times New Roman" w:hAnsi="Arial" w:cs="Arial"/>
                      <w:color w:val="000000"/>
                      <w:kern w:val="24"/>
                      <w:sz w:val="20"/>
                    </w:rPr>
                  </w:pPr>
                </w:p>
                <w:p w14:paraId="23E7627F" w14:textId="77777777" w:rsidR="00CE7CF9" w:rsidRDefault="004F2145" w:rsidP="00773C1B">
                  <w:pPr>
                    <w:kinsoku w:val="0"/>
                    <w:overflowPunct w:val="0"/>
                    <w:spacing w:before="115" w:after="0" w:line="240" w:lineRule="auto"/>
                    <w:textAlignment w:val="baseline"/>
                    <w:rPr>
                      <w:rFonts w:ascii="Arial" w:eastAsia="Times New Roman" w:hAnsi="Arial" w:cs="Arial"/>
                      <w:color w:val="000000"/>
                      <w:kern w:val="24"/>
                    </w:rPr>
                  </w:pPr>
                  <w:r>
                    <w:rPr>
                      <w:rFonts w:ascii="Arial" w:eastAsia="Times New Roman" w:hAnsi="Arial" w:cs="Arial"/>
                      <w:color w:val="000000"/>
                      <w:kern w:val="24"/>
                    </w:rPr>
                    <w:t xml:space="preserve">For additional information on the sector nomination process, please see the </w:t>
                  </w:r>
                  <w:r w:rsidR="00CE7CF9">
                    <w:rPr>
                      <w:rFonts w:ascii="Arial" w:eastAsia="Times New Roman" w:hAnsi="Arial" w:cs="Arial"/>
                      <w:color w:val="000000"/>
                      <w:kern w:val="24"/>
                    </w:rPr>
                    <w:t>approved Transitional Committee Charter:</w:t>
                  </w:r>
                </w:p>
                <w:p w14:paraId="7EBA5576" w14:textId="77777777" w:rsidR="00CE7CF9" w:rsidRDefault="007742C2" w:rsidP="00CE7CF9">
                  <w:pPr>
                    <w:kinsoku w:val="0"/>
                    <w:overflowPunct w:val="0"/>
                    <w:spacing w:before="115" w:after="0" w:line="240" w:lineRule="auto"/>
                    <w:ind w:left="720"/>
                    <w:textAlignment w:val="baseline"/>
                    <w:rPr>
                      <w:rFonts w:ascii="Arial" w:eastAsia="Times New Roman" w:hAnsi="Arial" w:cs="Arial"/>
                      <w:color w:val="000000"/>
                      <w:kern w:val="24"/>
                    </w:rPr>
                  </w:pPr>
                  <w:hyperlink r:id="rId13" w:history="1">
                    <w:r w:rsidR="00CE7CF9" w:rsidRPr="00635E30">
                      <w:rPr>
                        <w:rStyle w:val="Hyperlink"/>
                        <w:rFonts w:ascii="Arial" w:eastAsia="Times New Roman" w:hAnsi="Arial" w:cs="Arial"/>
                        <w:kern w:val="24"/>
                      </w:rPr>
                      <w:t>http://www.caiso.com/Documents/DecisionEIM_GovernanceProposal-Attach2-Committee%20Charter-Dec2013.pdf</w:t>
                    </w:r>
                  </w:hyperlink>
                  <w:r w:rsidR="00CE7CF9">
                    <w:rPr>
                      <w:rFonts w:ascii="Arial" w:eastAsia="Times New Roman" w:hAnsi="Arial" w:cs="Arial"/>
                      <w:color w:val="000000"/>
                      <w:kern w:val="24"/>
                    </w:rPr>
                    <w:t xml:space="preserve"> </w:t>
                  </w:r>
                  <w:r w:rsidR="00CE7CF9" w:rsidRPr="00CE7CF9">
                    <w:rPr>
                      <w:rFonts w:ascii="Arial" w:eastAsia="Times New Roman" w:hAnsi="Arial" w:cs="Arial"/>
                      <w:color w:val="000000"/>
                      <w:kern w:val="24"/>
                    </w:rPr>
                    <w:t xml:space="preserve"> </w:t>
                  </w:r>
                  <w:r w:rsidR="00CE7CF9">
                    <w:rPr>
                      <w:rFonts w:ascii="Arial" w:eastAsia="Times New Roman" w:hAnsi="Arial" w:cs="Arial"/>
                      <w:color w:val="000000"/>
                      <w:kern w:val="24"/>
                    </w:rPr>
                    <w:t xml:space="preserve"> </w:t>
                  </w:r>
                </w:p>
                <w:p w14:paraId="4D6D79F7" w14:textId="77777777" w:rsidR="004F2145" w:rsidRPr="00F01023" w:rsidRDefault="00CE7CF9" w:rsidP="00773C1B">
                  <w:pPr>
                    <w:kinsoku w:val="0"/>
                    <w:overflowPunct w:val="0"/>
                    <w:spacing w:before="115" w:after="0" w:line="240" w:lineRule="auto"/>
                    <w:textAlignment w:val="baseline"/>
                    <w:rPr>
                      <w:rFonts w:ascii="Arial" w:eastAsia="Times New Roman" w:hAnsi="Arial" w:cs="Arial"/>
                    </w:rPr>
                  </w:pPr>
                  <w:r>
                    <w:rPr>
                      <w:rFonts w:ascii="Arial" w:eastAsia="Times New Roman" w:hAnsi="Arial" w:cs="Arial"/>
                      <w:color w:val="000000"/>
                      <w:kern w:val="24"/>
                    </w:rPr>
                    <w:t xml:space="preserve">and the associated draft final EIM Governance Proposal </w:t>
                  </w:r>
                  <w:r w:rsidR="004F2145" w:rsidRPr="00F01023">
                    <w:rPr>
                      <w:rFonts w:ascii="Arial" w:eastAsia="Times New Roman" w:hAnsi="Arial" w:cs="Arial"/>
                      <w:color w:val="000000"/>
                      <w:kern w:val="24"/>
                    </w:rPr>
                    <w:t>Revised Governance Paper:</w:t>
                  </w:r>
                </w:p>
                <w:p w14:paraId="7BECDA5C" w14:textId="77777777" w:rsidR="004F2145" w:rsidRDefault="007742C2" w:rsidP="00CE7CF9">
                  <w:pPr>
                    <w:kinsoku w:val="0"/>
                    <w:overflowPunct w:val="0"/>
                    <w:spacing w:before="115" w:after="0" w:line="240" w:lineRule="auto"/>
                    <w:ind w:left="720"/>
                    <w:textAlignment w:val="baseline"/>
                    <w:rPr>
                      <w:rFonts w:ascii="Arial" w:hAnsi="Arial" w:cs="Arial"/>
                      <w:color w:val="FF0000"/>
                      <w:u w:val="single"/>
                    </w:rPr>
                  </w:pPr>
                  <w:hyperlink r:id="rId14" w:history="1">
                    <w:r w:rsidR="00CE7CF9" w:rsidRPr="00CE7CF9">
                      <w:rPr>
                        <w:rStyle w:val="Hyperlink"/>
                        <w:rFonts w:ascii="Arial" w:eastAsia="Times New Roman" w:hAnsi="Arial" w:cs="Arial"/>
                        <w:kern w:val="24"/>
                        <w:szCs w:val="20"/>
                      </w:rPr>
                      <w:t>http://www.caiso.com/Documents/DecisionEIM_GovernanceProposal-Attach1-Proposal-Dec2013.pdf</w:t>
                    </w:r>
                  </w:hyperlink>
                  <w:r w:rsidR="00CE7CF9" w:rsidRPr="00CE7CF9">
                    <w:rPr>
                      <w:rFonts w:ascii="Arial" w:eastAsia="Times New Roman" w:hAnsi="Arial" w:cs="Arial"/>
                      <w:color w:val="000000"/>
                      <w:kern w:val="24"/>
                      <w:szCs w:val="20"/>
                      <w:u w:val="single"/>
                    </w:rPr>
                    <w:t xml:space="preserve"> </w:t>
                  </w:r>
                  <w:r w:rsidR="004F2145">
                    <w:rPr>
                      <w:rFonts w:ascii="Arial" w:hAnsi="Arial" w:cs="Arial"/>
                    </w:rPr>
                    <w:tab/>
                  </w:r>
                  <w:r w:rsidR="004F2145">
                    <w:rPr>
                      <w:rFonts w:ascii="Arial" w:hAnsi="Arial" w:cs="Arial"/>
                    </w:rPr>
                    <w:tab/>
                  </w:r>
                </w:p>
              </w:txbxContent>
            </v:textbox>
          </v:shape>
        </w:pict>
      </w:r>
    </w:p>
    <w:p w14:paraId="1516E1A3" w14:textId="77777777" w:rsidR="00443BEB" w:rsidRPr="00E35FC6" w:rsidRDefault="00443BEB" w:rsidP="00443BEB">
      <w:pPr>
        <w:rPr>
          <w:sz w:val="24"/>
          <w:szCs w:val="24"/>
        </w:rPr>
      </w:pPr>
    </w:p>
    <w:p w14:paraId="29DAEA35" w14:textId="77777777" w:rsidR="009321D6" w:rsidRPr="00E35FC6" w:rsidRDefault="009321D6" w:rsidP="00443BEB">
      <w:pPr>
        <w:rPr>
          <w:sz w:val="24"/>
          <w:szCs w:val="24"/>
        </w:rPr>
      </w:pPr>
    </w:p>
    <w:p w14:paraId="4E57AB60" w14:textId="77777777" w:rsidR="009321D6" w:rsidRDefault="009321D6" w:rsidP="00443BEB"/>
    <w:p w14:paraId="14565D97" w14:textId="77777777" w:rsidR="00FE5705" w:rsidRDefault="00FE5705" w:rsidP="00443BEB"/>
    <w:p w14:paraId="505129EB" w14:textId="77777777" w:rsidR="00F01023" w:rsidRDefault="00F01023" w:rsidP="00E35FC6">
      <w:pPr>
        <w:rPr>
          <w:rFonts w:cs="Calibri"/>
          <w:sz w:val="24"/>
          <w:szCs w:val="24"/>
        </w:rPr>
      </w:pPr>
    </w:p>
    <w:p w14:paraId="54C201D3" w14:textId="77777777" w:rsidR="00F01023" w:rsidRDefault="00F01023" w:rsidP="00E35FC6">
      <w:pPr>
        <w:rPr>
          <w:rFonts w:cs="Calibri"/>
          <w:sz w:val="24"/>
          <w:szCs w:val="24"/>
        </w:rPr>
      </w:pPr>
    </w:p>
    <w:p w14:paraId="31CCD33F" w14:textId="77777777" w:rsidR="00D1310E" w:rsidRDefault="00D1310E" w:rsidP="00773C1B">
      <w:pPr>
        <w:rPr>
          <w:rFonts w:cs="Calibri"/>
          <w:sz w:val="24"/>
          <w:szCs w:val="24"/>
        </w:rPr>
      </w:pPr>
    </w:p>
    <w:p w14:paraId="19D0D854" w14:textId="77777777" w:rsidR="00E35FC6" w:rsidRDefault="00D1310E" w:rsidP="00773C1B">
      <w:pPr>
        <w:jc w:val="both"/>
        <w:rPr>
          <w:rFonts w:ascii="Arial" w:hAnsi="Arial" w:cs="Arial"/>
          <w:b/>
          <w:color w:val="1F497D"/>
        </w:rPr>
      </w:pPr>
      <w:r w:rsidRPr="007160B1">
        <w:rPr>
          <w:rFonts w:ascii="Arial" w:hAnsi="Arial" w:cs="Arial"/>
          <w:b/>
          <w:color w:val="1F497D"/>
        </w:rPr>
        <w:t>On the form below, p</w:t>
      </w:r>
      <w:r w:rsidR="00E35FC6" w:rsidRPr="007160B1">
        <w:rPr>
          <w:rFonts w:ascii="Arial" w:hAnsi="Arial" w:cs="Arial"/>
          <w:b/>
          <w:color w:val="1F497D"/>
        </w:rPr>
        <w:t>lease</w:t>
      </w:r>
      <w:r w:rsidR="00E35FC6" w:rsidRPr="00B155BA">
        <w:rPr>
          <w:rFonts w:ascii="Arial" w:hAnsi="Arial" w:cs="Arial"/>
          <w:b/>
          <w:color w:val="1F497D"/>
        </w:rPr>
        <w:t xml:space="preserve"> provide </w:t>
      </w:r>
      <w:r w:rsidR="004F2145" w:rsidRPr="00B155BA">
        <w:rPr>
          <w:rFonts w:ascii="Arial" w:hAnsi="Arial" w:cs="Arial"/>
          <w:b/>
          <w:color w:val="1F497D"/>
        </w:rPr>
        <w:t xml:space="preserve">the name </w:t>
      </w:r>
      <w:r w:rsidR="00C73ACA" w:rsidRPr="00B155BA">
        <w:rPr>
          <w:rFonts w:ascii="Arial" w:hAnsi="Arial" w:cs="Arial"/>
          <w:b/>
          <w:color w:val="1F497D"/>
        </w:rPr>
        <w:t>and</w:t>
      </w:r>
      <w:r w:rsidR="004F2145" w:rsidRPr="00B155BA">
        <w:rPr>
          <w:rFonts w:ascii="Arial" w:hAnsi="Arial" w:cs="Arial"/>
          <w:b/>
          <w:color w:val="1F497D"/>
        </w:rPr>
        <w:t xml:space="preserve"> contact information </w:t>
      </w:r>
      <w:r w:rsidR="00C73ACA" w:rsidRPr="00B155BA">
        <w:rPr>
          <w:rFonts w:ascii="Arial" w:hAnsi="Arial" w:cs="Arial"/>
          <w:b/>
          <w:color w:val="1F497D"/>
        </w:rPr>
        <w:t xml:space="preserve">for the individual </w:t>
      </w:r>
      <w:r w:rsidR="004F2145" w:rsidRPr="00B155BA">
        <w:rPr>
          <w:rFonts w:ascii="Arial" w:hAnsi="Arial" w:cs="Arial"/>
          <w:b/>
          <w:color w:val="1F497D"/>
        </w:rPr>
        <w:t xml:space="preserve">from your </w:t>
      </w:r>
      <w:r w:rsidR="00076DEE" w:rsidRPr="00B155BA">
        <w:rPr>
          <w:rFonts w:ascii="Arial" w:hAnsi="Arial" w:cs="Arial"/>
          <w:b/>
          <w:color w:val="1F497D"/>
        </w:rPr>
        <w:t xml:space="preserve">entity, </w:t>
      </w:r>
      <w:r w:rsidR="004F2145" w:rsidRPr="00B155BA">
        <w:rPr>
          <w:rFonts w:ascii="Arial" w:hAnsi="Arial" w:cs="Arial"/>
          <w:b/>
          <w:color w:val="1F497D"/>
        </w:rPr>
        <w:t xml:space="preserve">company or organization that will </w:t>
      </w:r>
      <w:r w:rsidR="00C73ACA" w:rsidRPr="00B155BA">
        <w:rPr>
          <w:rFonts w:ascii="Arial" w:hAnsi="Arial" w:cs="Arial"/>
          <w:b/>
          <w:color w:val="1F497D"/>
        </w:rPr>
        <w:t xml:space="preserve">serve as </w:t>
      </w:r>
      <w:r w:rsidR="004F2145" w:rsidRPr="00B155BA">
        <w:rPr>
          <w:rFonts w:ascii="Arial" w:hAnsi="Arial" w:cs="Arial"/>
          <w:b/>
          <w:color w:val="1F497D"/>
        </w:rPr>
        <w:t>the primary point of contact for the sector nomination process</w:t>
      </w:r>
      <w:r w:rsidR="00076DEE" w:rsidRPr="00B155BA">
        <w:rPr>
          <w:rFonts w:ascii="Arial" w:hAnsi="Arial" w:cs="Arial"/>
          <w:b/>
          <w:color w:val="1F497D"/>
        </w:rPr>
        <w:t xml:space="preserve"> in the form on the following page</w:t>
      </w:r>
      <w:r w:rsidR="004F2145" w:rsidRPr="00B155BA">
        <w:rPr>
          <w:rFonts w:ascii="Arial" w:hAnsi="Arial" w:cs="Arial"/>
          <w:b/>
          <w:color w:val="1F497D"/>
        </w:rPr>
        <w:t>.  An entity, company</w:t>
      </w:r>
      <w:r w:rsidR="004F2145" w:rsidRPr="00786795">
        <w:rPr>
          <w:rFonts w:ascii="Arial" w:hAnsi="Arial" w:cs="Arial"/>
          <w:b/>
          <w:color w:val="1F497D"/>
        </w:rPr>
        <w:t xml:space="preserve"> or organization may select </w:t>
      </w:r>
      <w:r w:rsidR="00C73ACA" w:rsidRPr="00786795">
        <w:rPr>
          <w:rFonts w:ascii="Arial" w:hAnsi="Arial" w:cs="Arial"/>
          <w:b/>
          <w:color w:val="1F497D"/>
        </w:rPr>
        <w:t xml:space="preserve">only </w:t>
      </w:r>
      <w:r w:rsidR="00076DEE" w:rsidRPr="00786795">
        <w:rPr>
          <w:rFonts w:ascii="Arial" w:hAnsi="Arial" w:cs="Arial"/>
          <w:b/>
          <w:color w:val="1F497D"/>
        </w:rPr>
        <w:t>one sector in which to p</w:t>
      </w:r>
      <w:r w:rsidR="00773C1B">
        <w:rPr>
          <w:rFonts w:ascii="Arial" w:hAnsi="Arial" w:cs="Arial"/>
          <w:b/>
          <w:color w:val="1F497D"/>
        </w:rPr>
        <w:t>articipate.  The sectors are described below, as defined in the draft final EIM Governance Proposal.</w:t>
      </w:r>
    </w:p>
    <w:p w14:paraId="7C07CA15" w14:textId="77777777" w:rsidR="00435A12" w:rsidRPr="00786795" w:rsidRDefault="00435A12" w:rsidP="00773C1B">
      <w:pPr>
        <w:jc w:val="both"/>
        <w:rPr>
          <w:rFonts w:ascii="Arial" w:hAnsi="Arial" w:cs="Arial"/>
          <w:b/>
          <w:color w:val="1F497D"/>
        </w:rPr>
      </w:pPr>
    </w:p>
    <w:p w14:paraId="51E070FA" w14:textId="77777777" w:rsidR="00D1310E" w:rsidRDefault="00CE7CF9" w:rsidP="00435A12">
      <w:pPr>
        <w:pStyle w:val="Paragraph"/>
        <w:tabs>
          <w:tab w:val="left" w:pos="9360"/>
        </w:tabs>
        <w:spacing w:before="0" w:after="240"/>
        <w:jc w:val="center"/>
        <w:rPr>
          <w:rFonts w:ascii="Arial" w:hAnsi="Arial" w:cs="Arial"/>
          <w:b/>
          <w:i/>
          <w:sz w:val="22"/>
          <w:szCs w:val="24"/>
        </w:rPr>
      </w:pPr>
      <w:r>
        <w:rPr>
          <w:rFonts w:ascii="Arial" w:hAnsi="Arial" w:cs="Arial"/>
          <w:b/>
          <w:i/>
          <w:sz w:val="22"/>
          <w:szCs w:val="24"/>
        </w:rPr>
        <w:t>EIM stakeholder s</w:t>
      </w:r>
      <w:r w:rsidR="00D1310E">
        <w:rPr>
          <w:rFonts w:ascii="Arial" w:hAnsi="Arial" w:cs="Arial"/>
          <w:b/>
          <w:i/>
          <w:sz w:val="22"/>
          <w:szCs w:val="24"/>
        </w:rPr>
        <w:t xml:space="preserve">ector </w:t>
      </w:r>
      <w:r>
        <w:rPr>
          <w:rFonts w:ascii="Arial" w:hAnsi="Arial" w:cs="Arial"/>
          <w:b/>
          <w:i/>
          <w:sz w:val="22"/>
          <w:szCs w:val="24"/>
        </w:rPr>
        <w:t>d</w:t>
      </w:r>
      <w:r w:rsidR="00D1310E">
        <w:rPr>
          <w:rFonts w:ascii="Arial" w:hAnsi="Arial" w:cs="Arial"/>
          <w:b/>
          <w:i/>
          <w:sz w:val="22"/>
          <w:szCs w:val="24"/>
        </w:rPr>
        <w:t>efinitions</w:t>
      </w:r>
    </w:p>
    <w:p w14:paraId="2A5B0FA6" w14:textId="77777777" w:rsidR="00D1310E" w:rsidRPr="00B155BA" w:rsidRDefault="00D1310E" w:rsidP="00435A12">
      <w:pPr>
        <w:pStyle w:val="Paragraph"/>
        <w:tabs>
          <w:tab w:val="left" w:pos="9360"/>
        </w:tabs>
        <w:spacing w:before="0" w:after="120"/>
        <w:rPr>
          <w:rFonts w:ascii="Arial" w:hAnsi="Arial" w:cs="Arial"/>
          <w:sz w:val="22"/>
          <w:szCs w:val="24"/>
        </w:rPr>
      </w:pPr>
      <w:r w:rsidRPr="00B155BA">
        <w:rPr>
          <w:rFonts w:ascii="Arial" w:hAnsi="Arial" w:cs="Arial"/>
          <w:b/>
          <w:i/>
          <w:sz w:val="22"/>
          <w:szCs w:val="24"/>
        </w:rPr>
        <w:t>Investor owned utilities (IOU)</w:t>
      </w:r>
      <w:r w:rsidRPr="00B155BA">
        <w:rPr>
          <w:rFonts w:ascii="Arial" w:hAnsi="Arial" w:cs="Arial"/>
          <w:b/>
          <w:sz w:val="22"/>
          <w:szCs w:val="24"/>
        </w:rPr>
        <w:t>:</w:t>
      </w:r>
      <w:r w:rsidRPr="00B155BA">
        <w:rPr>
          <w:rFonts w:ascii="Arial" w:hAnsi="Arial" w:cs="Arial"/>
          <w:sz w:val="22"/>
          <w:szCs w:val="24"/>
        </w:rPr>
        <w:t xml:space="preserve">  Investor owned utilities are corporations that provide electric service to retail customers and are owned by private shareholders who are distinct from the ratepayers served by the entity.  All such entities may participate in this sector.  Entities that meet these criteria and that provide wholesale generation or transmission services, in addition to retail service, may also participate in this sector.  Entities that do not provide retail electric service to end users may not participate in this sector.</w:t>
      </w:r>
    </w:p>
    <w:p w14:paraId="02740B35" w14:textId="77777777" w:rsidR="00D1310E" w:rsidRPr="00B155BA" w:rsidRDefault="00D1310E" w:rsidP="00435A12">
      <w:pPr>
        <w:pStyle w:val="Paragraph"/>
        <w:tabs>
          <w:tab w:val="left" w:pos="9360"/>
        </w:tabs>
        <w:spacing w:before="0" w:after="120"/>
        <w:rPr>
          <w:rFonts w:ascii="Arial" w:hAnsi="Arial" w:cs="Arial"/>
          <w:i/>
          <w:sz w:val="22"/>
          <w:szCs w:val="24"/>
        </w:rPr>
      </w:pPr>
      <w:r w:rsidRPr="00B155BA">
        <w:rPr>
          <w:rFonts w:ascii="Arial" w:hAnsi="Arial" w:cs="Arial"/>
          <w:b/>
          <w:i/>
          <w:sz w:val="22"/>
          <w:szCs w:val="24"/>
        </w:rPr>
        <w:t>Publicly owned utilities (POU)</w:t>
      </w:r>
      <w:r w:rsidRPr="00B155BA">
        <w:rPr>
          <w:rFonts w:ascii="Arial" w:hAnsi="Arial" w:cs="Arial"/>
          <w:b/>
          <w:sz w:val="22"/>
          <w:szCs w:val="24"/>
        </w:rPr>
        <w:t>:</w:t>
      </w:r>
      <w:r w:rsidRPr="00B155BA">
        <w:rPr>
          <w:rFonts w:ascii="Arial" w:hAnsi="Arial" w:cs="Arial"/>
          <w:sz w:val="22"/>
          <w:szCs w:val="24"/>
        </w:rPr>
        <w:t xml:space="preserve">  Publicly owned utilities are governmental entities (such as municipal utilities or utilities controlled or operated by a local, state, or federal governmental entity) that provide electric service to retail customers and other ratepayer-owned entities (such as rural electric cooperatives and irrigation districts) that provide electric service to retail customers.  All such entities may participate in this sector.  Entities that meet these criteria and that provide wholesale generation or transmission services, in addition to retail service, may also participate in this sector.  Entities that do not provide retail electric service to end users may not participate in this sector.</w:t>
      </w:r>
    </w:p>
    <w:p w14:paraId="38DE90B3" w14:textId="77777777" w:rsidR="00435A12" w:rsidRPr="00435A12" w:rsidRDefault="00D1310E" w:rsidP="00435A12">
      <w:pPr>
        <w:pStyle w:val="Default"/>
        <w:tabs>
          <w:tab w:val="left" w:pos="9360"/>
        </w:tabs>
        <w:spacing w:after="120"/>
        <w:jc w:val="both"/>
        <w:rPr>
          <w:sz w:val="20"/>
          <w:szCs w:val="20"/>
        </w:rPr>
      </w:pPr>
      <w:r w:rsidRPr="00B155BA">
        <w:rPr>
          <w:b/>
          <w:i/>
          <w:sz w:val="22"/>
        </w:rPr>
        <w:t>Generators and marketers (GEN)</w:t>
      </w:r>
      <w:r w:rsidRPr="00B155BA">
        <w:rPr>
          <w:b/>
          <w:sz w:val="22"/>
        </w:rPr>
        <w:t>:</w:t>
      </w:r>
      <w:r w:rsidRPr="00B155BA">
        <w:rPr>
          <w:sz w:val="22"/>
        </w:rPr>
        <w:t xml:space="preserve">  Generators and marketers are entities that engage in the wholesale purchase or sale of electric energy or capacity. </w:t>
      </w:r>
      <w:r w:rsidR="00435A12">
        <w:rPr>
          <w:sz w:val="22"/>
        </w:rPr>
        <w:t xml:space="preserve"> </w:t>
      </w:r>
      <w:r w:rsidR="00435A12" w:rsidRPr="00435A12">
        <w:rPr>
          <w:sz w:val="22"/>
          <w:szCs w:val="22"/>
        </w:rPr>
        <w:t xml:space="preserve">This includes </w:t>
      </w:r>
      <w:r w:rsidR="000D1F06">
        <w:rPr>
          <w:sz w:val="22"/>
          <w:szCs w:val="22"/>
        </w:rPr>
        <w:t>electric</w:t>
      </w:r>
      <w:r w:rsidR="00435A12" w:rsidRPr="00435A12">
        <w:rPr>
          <w:sz w:val="22"/>
          <w:szCs w:val="22"/>
        </w:rPr>
        <w:t xml:space="preserve"> service providers and community choice aggregators as defined in the California Public Utilities Code. </w:t>
      </w:r>
      <w:r w:rsidRPr="00435A12">
        <w:rPr>
          <w:sz w:val="22"/>
          <w:szCs w:val="22"/>
        </w:rPr>
        <w:lastRenderedPageBreak/>
        <w:t>Entities may participate in this sector without regard to the fuel source of the underlying generation.</w:t>
      </w:r>
      <w:r w:rsidR="00435A12">
        <w:rPr>
          <w:sz w:val="22"/>
        </w:rPr>
        <w:t xml:space="preserve">  </w:t>
      </w:r>
    </w:p>
    <w:p w14:paraId="4D61EF75" w14:textId="77777777" w:rsidR="00D1310E" w:rsidRPr="00B155BA" w:rsidRDefault="00D1310E" w:rsidP="00435A12">
      <w:pPr>
        <w:pStyle w:val="Paragraph"/>
        <w:tabs>
          <w:tab w:val="left" w:pos="9360"/>
        </w:tabs>
        <w:spacing w:before="0" w:after="120"/>
        <w:rPr>
          <w:rFonts w:ascii="Arial" w:hAnsi="Arial" w:cs="Arial"/>
          <w:i/>
          <w:sz w:val="22"/>
          <w:szCs w:val="24"/>
        </w:rPr>
      </w:pPr>
      <w:r w:rsidRPr="00B155BA">
        <w:rPr>
          <w:rFonts w:ascii="Arial" w:hAnsi="Arial" w:cs="Arial"/>
          <w:b/>
          <w:i/>
          <w:sz w:val="22"/>
          <w:szCs w:val="24"/>
        </w:rPr>
        <w:t>Alternative energy providers (AEP)</w:t>
      </w:r>
      <w:r w:rsidRPr="00B155BA">
        <w:rPr>
          <w:rFonts w:ascii="Arial" w:hAnsi="Arial" w:cs="Arial"/>
          <w:b/>
          <w:sz w:val="22"/>
          <w:szCs w:val="24"/>
        </w:rPr>
        <w:t>:</w:t>
      </w:r>
      <w:r w:rsidRPr="00B155BA">
        <w:rPr>
          <w:rFonts w:ascii="Arial" w:hAnsi="Arial" w:cs="Arial"/>
          <w:sz w:val="22"/>
          <w:szCs w:val="24"/>
        </w:rPr>
        <w:t xml:space="preserve">  Alternative energy providers are entities that engage in the wholesale purchase or sale of electric energy or capacity using non-traditional fuel sources such as solar, wind, geothermal, or energy storage.</w:t>
      </w:r>
    </w:p>
    <w:p w14:paraId="412C3079" w14:textId="77777777" w:rsidR="00D1310E" w:rsidRPr="00B155BA" w:rsidRDefault="00D1310E" w:rsidP="00435A12">
      <w:pPr>
        <w:pStyle w:val="Paragraph"/>
        <w:tabs>
          <w:tab w:val="left" w:pos="9360"/>
        </w:tabs>
        <w:spacing w:before="0" w:after="120"/>
        <w:rPr>
          <w:rFonts w:ascii="Arial" w:hAnsi="Arial" w:cs="Arial"/>
          <w:i/>
          <w:sz w:val="22"/>
          <w:szCs w:val="24"/>
        </w:rPr>
      </w:pPr>
      <w:r w:rsidRPr="00B155BA">
        <w:rPr>
          <w:rFonts w:ascii="Arial" w:hAnsi="Arial" w:cs="Arial"/>
          <w:b/>
          <w:i/>
          <w:sz w:val="22"/>
          <w:szCs w:val="24"/>
        </w:rPr>
        <w:t>EIM participants (EIM)</w:t>
      </w:r>
      <w:r w:rsidRPr="00B155BA">
        <w:rPr>
          <w:rFonts w:ascii="Arial" w:hAnsi="Arial" w:cs="Arial"/>
          <w:b/>
          <w:sz w:val="22"/>
          <w:szCs w:val="24"/>
        </w:rPr>
        <w:t>:</w:t>
      </w:r>
      <w:r w:rsidRPr="00B155BA">
        <w:rPr>
          <w:rFonts w:ascii="Arial" w:hAnsi="Arial" w:cs="Arial"/>
          <w:sz w:val="22"/>
          <w:szCs w:val="24"/>
        </w:rPr>
        <w:t xml:space="preserve">  EIM participants are EIM Entities (as defined in the CAISO’s September 23, 2013 EIM Draft Final Proposal) as well as any entity that provides wholesale generation, transmission service or retail electric service within the Balancing Authority of an EIM Entity.</w:t>
      </w:r>
    </w:p>
    <w:p w14:paraId="574C6B0C" w14:textId="77777777" w:rsidR="00D1310E" w:rsidRPr="00B155BA" w:rsidRDefault="00D1310E" w:rsidP="00435A12">
      <w:pPr>
        <w:pStyle w:val="Paragraph"/>
        <w:tabs>
          <w:tab w:val="left" w:pos="9360"/>
        </w:tabs>
        <w:spacing w:before="0" w:after="120"/>
        <w:rPr>
          <w:rFonts w:ascii="Arial" w:hAnsi="Arial" w:cs="Arial"/>
          <w:i/>
          <w:sz w:val="22"/>
          <w:szCs w:val="24"/>
        </w:rPr>
      </w:pPr>
      <w:r w:rsidRPr="00B155BA">
        <w:rPr>
          <w:rFonts w:ascii="Arial" w:hAnsi="Arial" w:cs="Arial"/>
          <w:b/>
          <w:i/>
          <w:sz w:val="22"/>
          <w:szCs w:val="24"/>
        </w:rPr>
        <w:t>Governmental agencies (GOV)</w:t>
      </w:r>
      <w:r w:rsidRPr="00B155BA">
        <w:rPr>
          <w:rFonts w:ascii="Arial" w:hAnsi="Arial" w:cs="Arial"/>
          <w:b/>
          <w:sz w:val="22"/>
          <w:szCs w:val="24"/>
        </w:rPr>
        <w:t>:</w:t>
      </w:r>
      <w:r w:rsidRPr="00B155BA">
        <w:rPr>
          <w:rFonts w:ascii="Arial" w:hAnsi="Arial" w:cs="Arial"/>
          <w:sz w:val="22"/>
          <w:szCs w:val="24"/>
        </w:rPr>
        <w:t xml:space="preserve">  Governmental agencies are federal, state, or local governmental entities or units that are involved in the regulation, oversight, or establishment of policy with regard to electric service but who do not provide electric service.</w:t>
      </w:r>
    </w:p>
    <w:p w14:paraId="29B38413" w14:textId="77777777" w:rsidR="00D1310E" w:rsidRDefault="00A7688E" w:rsidP="00435A12">
      <w:pPr>
        <w:pStyle w:val="Paragraph"/>
        <w:tabs>
          <w:tab w:val="left" w:pos="9360"/>
        </w:tabs>
        <w:spacing w:before="0" w:after="120"/>
        <w:rPr>
          <w:rFonts w:ascii="Arial" w:hAnsi="Arial" w:cs="Arial"/>
          <w:sz w:val="22"/>
          <w:szCs w:val="24"/>
        </w:rPr>
      </w:pPr>
      <w:r>
        <w:rPr>
          <w:rFonts w:ascii="Arial" w:hAnsi="Arial" w:cs="Arial"/>
          <w:b/>
          <w:i/>
          <w:sz w:val="22"/>
          <w:szCs w:val="24"/>
        </w:rPr>
        <w:t>Public interest entities (PI</w:t>
      </w:r>
      <w:r w:rsidR="00D1310E" w:rsidRPr="00B155BA">
        <w:rPr>
          <w:rFonts w:ascii="Arial" w:hAnsi="Arial" w:cs="Arial"/>
          <w:b/>
          <w:i/>
          <w:sz w:val="22"/>
          <w:szCs w:val="24"/>
        </w:rPr>
        <w:t>)</w:t>
      </w:r>
      <w:r w:rsidR="00D1310E" w:rsidRPr="00B155BA">
        <w:rPr>
          <w:rFonts w:ascii="Arial" w:hAnsi="Arial" w:cs="Arial"/>
          <w:b/>
          <w:sz w:val="22"/>
          <w:szCs w:val="24"/>
        </w:rPr>
        <w:t>:</w:t>
      </w:r>
      <w:r w:rsidR="00D1310E" w:rsidRPr="00B155BA">
        <w:rPr>
          <w:rFonts w:ascii="Arial" w:hAnsi="Arial" w:cs="Arial"/>
          <w:sz w:val="22"/>
          <w:szCs w:val="24"/>
        </w:rPr>
        <w:t xml:space="preserve">  Public interest entities are formally established, non-profit groups that engage in policy development or advocacy on issues that include or relate to electricity.  To qualify for this category, an entity must be an ongoing group that was not established on an ad hoc basis specifically for purposes of participating in the sector nomination and ranking process.</w:t>
      </w:r>
    </w:p>
    <w:p w14:paraId="66DEA923" w14:textId="77777777" w:rsidR="00773C1B" w:rsidRDefault="00773C1B" w:rsidP="00773C1B">
      <w:pPr>
        <w:pStyle w:val="Paragraph"/>
        <w:spacing w:after="240"/>
        <w:ind w:right="274"/>
        <w:rPr>
          <w:rFonts w:ascii="Arial" w:hAnsi="Arial" w:cs="Arial"/>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040"/>
      </w:tblGrid>
      <w:tr w:rsidR="00D1310E" w:rsidRPr="00B155BA" w14:paraId="0AEEF3CE" w14:textId="77777777" w:rsidTr="00B155BA">
        <w:trPr>
          <w:trHeight w:val="395"/>
        </w:trPr>
        <w:tc>
          <w:tcPr>
            <w:tcW w:w="4428" w:type="dxa"/>
            <w:shd w:val="clear" w:color="auto" w:fill="auto"/>
            <w:vAlign w:val="center"/>
          </w:tcPr>
          <w:p w14:paraId="070B9490" w14:textId="77777777" w:rsidR="00D1310E" w:rsidRPr="00B155BA" w:rsidRDefault="00D1310E" w:rsidP="00B155BA">
            <w:pPr>
              <w:spacing w:before="120" w:after="0"/>
              <w:jc w:val="center"/>
              <w:rPr>
                <w:rFonts w:ascii="Arial" w:hAnsi="Arial" w:cs="Arial"/>
                <w:b/>
              </w:rPr>
            </w:pPr>
            <w:r w:rsidRPr="00B155BA">
              <w:rPr>
                <w:rFonts w:ascii="Arial" w:hAnsi="Arial" w:cs="Arial"/>
                <w:b/>
              </w:rPr>
              <w:t>NAME and TITLE</w:t>
            </w:r>
          </w:p>
        </w:tc>
        <w:tc>
          <w:tcPr>
            <w:tcW w:w="5040" w:type="dxa"/>
            <w:shd w:val="clear" w:color="auto" w:fill="auto"/>
            <w:vAlign w:val="center"/>
          </w:tcPr>
          <w:p w14:paraId="624EFA8E" w14:textId="77777777" w:rsidR="00D1310E" w:rsidRPr="00B155BA" w:rsidRDefault="00D1310E" w:rsidP="00B155BA">
            <w:pPr>
              <w:spacing w:before="120" w:after="0"/>
              <w:jc w:val="center"/>
              <w:rPr>
                <w:rFonts w:ascii="Arial" w:hAnsi="Arial" w:cs="Arial"/>
                <w:b/>
              </w:rPr>
            </w:pPr>
            <w:r w:rsidRPr="00B155BA">
              <w:rPr>
                <w:rFonts w:ascii="Arial" w:hAnsi="Arial" w:cs="Arial"/>
                <w:b/>
              </w:rPr>
              <w:t>CONTACT INFORMATION</w:t>
            </w:r>
          </w:p>
        </w:tc>
      </w:tr>
      <w:tr w:rsidR="00D1310E" w:rsidRPr="00786795" w14:paraId="396B67F8" w14:textId="77777777" w:rsidTr="0020654F">
        <w:trPr>
          <w:trHeight w:val="539"/>
        </w:trPr>
        <w:tc>
          <w:tcPr>
            <w:tcW w:w="4428" w:type="dxa"/>
            <w:vMerge w:val="restart"/>
            <w:shd w:val="clear" w:color="auto" w:fill="auto"/>
          </w:tcPr>
          <w:p w14:paraId="0C0BCDA0" w14:textId="77777777" w:rsidR="00D1310E" w:rsidRPr="00786795" w:rsidRDefault="00D1310E" w:rsidP="00B155BA">
            <w:pPr>
              <w:spacing w:after="0"/>
              <w:rPr>
                <w:rFonts w:ascii="Arial" w:hAnsi="Arial" w:cs="Arial"/>
              </w:rPr>
            </w:pPr>
          </w:p>
          <w:p w14:paraId="3BDC37E9" w14:textId="77777777" w:rsidR="00D1310E" w:rsidRDefault="00D1310E" w:rsidP="00B155BA">
            <w:pPr>
              <w:spacing w:after="0"/>
              <w:rPr>
                <w:rFonts w:ascii="Arial" w:hAnsi="Arial" w:cs="Arial"/>
              </w:rPr>
            </w:pPr>
          </w:p>
          <w:p w14:paraId="0A59B5BF" w14:textId="77777777" w:rsidR="00CE7CF9" w:rsidRDefault="00CE7CF9" w:rsidP="00B155BA">
            <w:pPr>
              <w:spacing w:after="0"/>
              <w:rPr>
                <w:rFonts w:ascii="Arial" w:hAnsi="Arial" w:cs="Arial"/>
              </w:rPr>
            </w:pPr>
          </w:p>
          <w:p w14:paraId="2E9E1A88" w14:textId="77777777" w:rsidR="00CE7CF9" w:rsidRDefault="00CE7CF9" w:rsidP="00B155BA">
            <w:pPr>
              <w:spacing w:after="0"/>
              <w:rPr>
                <w:rFonts w:ascii="Arial" w:hAnsi="Arial" w:cs="Arial"/>
              </w:rPr>
            </w:pPr>
          </w:p>
          <w:p w14:paraId="026CAB73" w14:textId="77777777" w:rsidR="00CE7CF9" w:rsidRDefault="00CE7CF9" w:rsidP="00B155BA">
            <w:pPr>
              <w:spacing w:after="0"/>
              <w:rPr>
                <w:rFonts w:ascii="Arial" w:hAnsi="Arial" w:cs="Arial"/>
              </w:rPr>
            </w:pPr>
          </w:p>
          <w:p w14:paraId="1DFA1EAA" w14:textId="77777777" w:rsidR="00CE7CF9" w:rsidRPr="00786795" w:rsidRDefault="00CE7CF9" w:rsidP="00B155BA">
            <w:pPr>
              <w:spacing w:after="0"/>
              <w:rPr>
                <w:rFonts w:ascii="Arial" w:hAnsi="Arial" w:cs="Arial"/>
              </w:rPr>
            </w:pPr>
          </w:p>
        </w:tc>
        <w:tc>
          <w:tcPr>
            <w:tcW w:w="5040" w:type="dxa"/>
            <w:shd w:val="clear" w:color="auto" w:fill="auto"/>
            <w:vAlign w:val="center"/>
          </w:tcPr>
          <w:p w14:paraId="1F7728F8" w14:textId="77777777" w:rsidR="00D1310E" w:rsidRPr="00786795" w:rsidRDefault="00D1310E" w:rsidP="0020654F">
            <w:pPr>
              <w:spacing w:after="0"/>
              <w:rPr>
                <w:rFonts w:ascii="Arial" w:hAnsi="Arial" w:cs="Arial"/>
              </w:rPr>
            </w:pPr>
            <w:r w:rsidRPr="00786795">
              <w:rPr>
                <w:rFonts w:ascii="Arial" w:hAnsi="Arial" w:cs="Arial"/>
              </w:rPr>
              <w:t>Email</w:t>
            </w:r>
            <w:r w:rsidR="0020654F">
              <w:rPr>
                <w:rFonts w:ascii="Arial" w:hAnsi="Arial" w:cs="Arial"/>
              </w:rPr>
              <w:t xml:space="preserve">:   </w:t>
            </w:r>
          </w:p>
        </w:tc>
      </w:tr>
      <w:tr w:rsidR="00D1310E" w:rsidRPr="00786795" w14:paraId="55804DF0" w14:textId="77777777" w:rsidTr="00B155BA">
        <w:trPr>
          <w:trHeight w:val="575"/>
        </w:trPr>
        <w:tc>
          <w:tcPr>
            <w:tcW w:w="4428" w:type="dxa"/>
            <w:vMerge/>
            <w:shd w:val="clear" w:color="auto" w:fill="auto"/>
          </w:tcPr>
          <w:p w14:paraId="68805F92" w14:textId="77777777" w:rsidR="00D1310E" w:rsidRPr="00786795" w:rsidRDefault="00D1310E" w:rsidP="00E35FC6">
            <w:pPr>
              <w:rPr>
                <w:rFonts w:ascii="Arial" w:hAnsi="Arial" w:cs="Arial"/>
              </w:rPr>
            </w:pPr>
          </w:p>
        </w:tc>
        <w:tc>
          <w:tcPr>
            <w:tcW w:w="5040" w:type="dxa"/>
            <w:shd w:val="clear" w:color="auto" w:fill="auto"/>
            <w:vAlign w:val="center"/>
          </w:tcPr>
          <w:p w14:paraId="1FDF5303" w14:textId="77777777" w:rsidR="00D1310E" w:rsidRPr="00786795" w:rsidRDefault="00D1310E" w:rsidP="00B155BA">
            <w:pPr>
              <w:spacing w:after="0"/>
              <w:rPr>
                <w:rFonts w:ascii="Arial" w:hAnsi="Arial" w:cs="Arial"/>
              </w:rPr>
            </w:pPr>
            <w:r w:rsidRPr="00786795">
              <w:rPr>
                <w:rFonts w:ascii="Arial" w:hAnsi="Arial" w:cs="Arial"/>
              </w:rPr>
              <w:t>Phone</w:t>
            </w:r>
            <w:r w:rsidR="0020654F">
              <w:rPr>
                <w:rFonts w:ascii="Arial" w:hAnsi="Arial" w:cs="Arial"/>
              </w:rPr>
              <w:t xml:space="preserve">:   </w:t>
            </w:r>
          </w:p>
        </w:tc>
      </w:tr>
      <w:tr w:rsidR="00D1310E" w:rsidRPr="00786795" w14:paraId="041D2C2F" w14:textId="77777777" w:rsidTr="00B155BA">
        <w:trPr>
          <w:trHeight w:val="1268"/>
        </w:trPr>
        <w:tc>
          <w:tcPr>
            <w:tcW w:w="4428" w:type="dxa"/>
            <w:vMerge/>
            <w:shd w:val="clear" w:color="auto" w:fill="auto"/>
          </w:tcPr>
          <w:p w14:paraId="363AE4B4" w14:textId="77777777" w:rsidR="00D1310E" w:rsidRPr="00786795" w:rsidRDefault="00D1310E" w:rsidP="00E35FC6">
            <w:pPr>
              <w:rPr>
                <w:rFonts w:ascii="Arial" w:hAnsi="Arial" w:cs="Arial"/>
              </w:rPr>
            </w:pPr>
          </w:p>
        </w:tc>
        <w:tc>
          <w:tcPr>
            <w:tcW w:w="5040" w:type="dxa"/>
            <w:shd w:val="clear" w:color="auto" w:fill="auto"/>
            <w:vAlign w:val="center"/>
          </w:tcPr>
          <w:p w14:paraId="0C64922E" w14:textId="77777777" w:rsidR="00D1310E" w:rsidRPr="00786795" w:rsidRDefault="00D1310E" w:rsidP="00B155BA">
            <w:pPr>
              <w:spacing w:after="0"/>
              <w:rPr>
                <w:rFonts w:ascii="Arial" w:hAnsi="Arial" w:cs="Arial"/>
              </w:rPr>
            </w:pPr>
            <w:r w:rsidRPr="00786795">
              <w:rPr>
                <w:rFonts w:ascii="Arial" w:hAnsi="Arial" w:cs="Arial"/>
              </w:rPr>
              <w:t>Address</w:t>
            </w:r>
            <w:r w:rsidR="0020654F">
              <w:rPr>
                <w:rFonts w:ascii="Arial" w:hAnsi="Arial" w:cs="Arial"/>
              </w:rPr>
              <w:t xml:space="preserve">:  </w:t>
            </w:r>
          </w:p>
          <w:p w14:paraId="09489873" w14:textId="77777777" w:rsidR="00D1310E" w:rsidRDefault="00D1310E" w:rsidP="00B155BA">
            <w:pPr>
              <w:spacing w:after="0"/>
              <w:rPr>
                <w:rFonts w:ascii="Arial" w:hAnsi="Arial" w:cs="Arial"/>
              </w:rPr>
            </w:pPr>
          </w:p>
          <w:p w14:paraId="410D2DEC" w14:textId="77777777" w:rsidR="00CE7CF9" w:rsidRDefault="00CE7CF9" w:rsidP="00B155BA">
            <w:pPr>
              <w:spacing w:after="0"/>
              <w:rPr>
                <w:rFonts w:ascii="Arial" w:hAnsi="Arial" w:cs="Arial"/>
              </w:rPr>
            </w:pPr>
          </w:p>
          <w:p w14:paraId="31A78EC7" w14:textId="77777777" w:rsidR="00D1310E" w:rsidRPr="00786795" w:rsidRDefault="00D1310E" w:rsidP="00B155BA">
            <w:pPr>
              <w:spacing w:after="0"/>
              <w:rPr>
                <w:rFonts w:ascii="Arial" w:hAnsi="Arial" w:cs="Arial"/>
              </w:rPr>
            </w:pPr>
          </w:p>
        </w:tc>
      </w:tr>
      <w:tr w:rsidR="00D1310E" w:rsidRPr="00786795" w14:paraId="3E14BB32" w14:textId="77777777" w:rsidTr="00B155BA">
        <w:tc>
          <w:tcPr>
            <w:tcW w:w="4428" w:type="dxa"/>
            <w:shd w:val="clear" w:color="auto" w:fill="auto"/>
          </w:tcPr>
          <w:p w14:paraId="6E34A9EA" w14:textId="77777777" w:rsidR="00B36D77" w:rsidRDefault="00D1310E" w:rsidP="00773C1B">
            <w:pPr>
              <w:spacing w:before="120" w:after="120"/>
              <w:jc w:val="center"/>
              <w:rPr>
                <w:rFonts w:ascii="Arial" w:hAnsi="Arial" w:cs="Arial"/>
              </w:rPr>
            </w:pPr>
            <w:r w:rsidRPr="00B155BA">
              <w:rPr>
                <w:rFonts w:ascii="Arial" w:hAnsi="Arial" w:cs="Arial"/>
                <w:b/>
              </w:rPr>
              <w:t>SELECTED SECTOR</w:t>
            </w:r>
          </w:p>
          <w:p w14:paraId="7567619A" w14:textId="77777777" w:rsidR="00773C1B" w:rsidRPr="00786795" w:rsidRDefault="00773C1B" w:rsidP="00773C1B">
            <w:pPr>
              <w:pStyle w:val="ListParagraph"/>
              <w:spacing w:after="120"/>
              <w:ind w:left="0"/>
              <w:rPr>
                <w:rFonts w:ascii="Arial" w:hAnsi="Arial" w:cs="Arial"/>
              </w:rPr>
            </w:pPr>
            <w:r>
              <w:rPr>
                <w:rFonts w:ascii="Arial" w:hAnsi="Arial" w:cs="Arial"/>
                <w:sz w:val="20"/>
              </w:rPr>
              <w:fldChar w:fldCharType="begin">
                <w:ffData>
                  <w:name w:val="Check2"/>
                  <w:enabled/>
                  <w:calcOnExit w:val="0"/>
                  <w:checkBox>
                    <w:sizeAuto/>
                    <w:default w:val="0"/>
                  </w:checkBox>
                </w:ffData>
              </w:fldChar>
            </w:r>
            <w:bookmarkStart w:id="0" w:name="Check2"/>
            <w:r>
              <w:rPr>
                <w:rFonts w:ascii="Arial" w:hAnsi="Arial" w:cs="Arial"/>
                <w:sz w:val="20"/>
              </w:rPr>
              <w:instrText xml:space="preserve"> FORMCHECKBOX </w:instrText>
            </w:r>
            <w:r w:rsidR="007742C2">
              <w:rPr>
                <w:rFonts w:ascii="Arial" w:hAnsi="Arial" w:cs="Arial"/>
                <w:sz w:val="20"/>
              </w:rPr>
            </w:r>
            <w:r w:rsidR="007742C2">
              <w:rPr>
                <w:rFonts w:ascii="Arial" w:hAnsi="Arial" w:cs="Arial"/>
                <w:sz w:val="20"/>
              </w:rPr>
              <w:fldChar w:fldCharType="separate"/>
            </w:r>
            <w:r>
              <w:rPr>
                <w:rFonts w:ascii="Arial" w:hAnsi="Arial" w:cs="Arial"/>
                <w:sz w:val="20"/>
              </w:rPr>
              <w:fldChar w:fldCharType="end"/>
            </w:r>
            <w:bookmarkEnd w:id="0"/>
            <w:r>
              <w:rPr>
                <w:rFonts w:ascii="Arial" w:hAnsi="Arial" w:cs="Arial"/>
                <w:sz w:val="20"/>
              </w:rPr>
              <w:t xml:space="preserve">  </w:t>
            </w:r>
            <w:r w:rsidRPr="00786795">
              <w:rPr>
                <w:rFonts w:ascii="Arial" w:hAnsi="Arial" w:cs="Arial"/>
                <w:iCs/>
              </w:rPr>
              <w:t>Investor owned utilities (IOU)</w:t>
            </w:r>
          </w:p>
          <w:p w14:paraId="1A184ADB" w14:textId="77777777" w:rsidR="00773C1B" w:rsidRPr="00786795" w:rsidRDefault="00773C1B" w:rsidP="00773C1B">
            <w:pPr>
              <w:pStyle w:val="ListParagraph"/>
              <w:spacing w:after="120"/>
              <w:ind w:left="0"/>
              <w:rPr>
                <w:rFonts w:ascii="Arial" w:hAnsi="Arial" w:cs="Arial"/>
              </w:rPr>
            </w:pPr>
            <w:r>
              <w:rPr>
                <w:rFonts w:ascii="Arial" w:hAnsi="Arial" w:cs="Arial"/>
                <w:sz w:val="20"/>
              </w:rPr>
              <w:fldChar w:fldCharType="begin">
                <w:ffData>
                  <w:name w:val="Check3"/>
                  <w:enabled/>
                  <w:calcOnExit w:val="0"/>
                  <w:checkBox>
                    <w:sizeAuto/>
                    <w:default w:val="0"/>
                  </w:checkBox>
                </w:ffData>
              </w:fldChar>
            </w:r>
            <w:bookmarkStart w:id="1" w:name="Check3"/>
            <w:r>
              <w:rPr>
                <w:rFonts w:ascii="Arial" w:hAnsi="Arial" w:cs="Arial"/>
                <w:sz w:val="20"/>
              </w:rPr>
              <w:instrText xml:space="preserve"> FORMCHECKBOX </w:instrText>
            </w:r>
            <w:r w:rsidR="007742C2">
              <w:rPr>
                <w:rFonts w:ascii="Arial" w:hAnsi="Arial" w:cs="Arial"/>
                <w:sz w:val="20"/>
              </w:rPr>
            </w:r>
            <w:r w:rsidR="007742C2">
              <w:rPr>
                <w:rFonts w:ascii="Arial" w:hAnsi="Arial" w:cs="Arial"/>
                <w:sz w:val="20"/>
              </w:rPr>
              <w:fldChar w:fldCharType="separate"/>
            </w:r>
            <w:r>
              <w:rPr>
                <w:rFonts w:ascii="Arial" w:hAnsi="Arial" w:cs="Arial"/>
                <w:sz w:val="20"/>
              </w:rPr>
              <w:fldChar w:fldCharType="end"/>
            </w:r>
            <w:bookmarkEnd w:id="1"/>
            <w:r>
              <w:rPr>
                <w:rFonts w:ascii="Arial" w:hAnsi="Arial" w:cs="Arial"/>
                <w:sz w:val="20"/>
              </w:rPr>
              <w:t xml:space="preserve">  </w:t>
            </w:r>
            <w:r w:rsidRPr="00786795">
              <w:rPr>
                <w:rFonts w:ascii="Arial" w:hAnsi="Arial" w:cs="Arial"/>
                <w:iCs/>
              </w:rPr>
              <w:t>Publicly owned utilities (POU)</w:t>
            </w:r>
          </w:p>
          <w:bookmarkStart w:id="2" w:name="OLE_LINK5"/>
          <w:bookmarkStart w:id="3" w:name="OLE_LINK4"/>
          <w:p w14:paraId="30FC7B6B" w14:textId="77777777" w:rsidR="00773C1B" w:rsidRPr="00786795" w:rsidRDefault="00773C1B" w:rsidP="00773C1B">
            <w:pPr>
              <w:pStyle w:val="ListParagraph"/>
              <w:spacing w:after="120"/>
              <w:ind w:left="0"/>
              <w:rPr>
                <w:rFonts w:ascii="Arial" w:hAnsi="Arial" w:cs="Arial"/>
              </w:rPr>
            </w:pPr>
            <w:r>
              <w:fldChar w:fldCharType="begin">
                <w:ffData>
                  <w:name w:val="Check5"/>
                  <w:enabled/>
                  <w:calcOnExit w:val="0"/>
                  <w:checkBox>
                    <w:sizeAuto/>
                    <w:default w:val="0"/>
                    <w:checked w:val="0"/>
                  </w:checkBox>
                </w:ffData>
              </w:fldChar>
            </w:r>
            <w:r>
              <w:rPr>
                <w:rFonts w:ascii="Arial" w:hAnsi="Arial" w:cs="Arial"/>
                <w:sz w:val="20"/>
              </w:rPr>
              <w:instrText xml:space="preserve"> FORMCHECKBOX </w:instrText>
            </w:r>
            <w:r w:rsidR="007742C2">
              <w:fldChar w:fldCharType="separate"/>
            </w:r>
            <w:r>
              <w:fldChar w:fldCharType="end"/>
            </w:r>
            <w:r>
              <w:rPr>
                <w:rFonts w:ascii="Arial" w:hAnsi="Arial" w:cs="Arial"/>
                <w:sz w:val="20"/>
              </w:rPr>
              <w:t xml:space="preserve">  </w:t>
            </w:r>
            <w:r w:rsidRPr="00786795">
              <w:rPr>
                <w:rFonts w:ascii="Arial" w:hAnsi="Arial" w:cs="Arial"/>
                <w:iCs/>
              </w:rPr>
              <w:t>Generators and marketers (GEN)</w:t>
            </w:r>
          </w:p>
          <w:bookmarkEnd w:id="2"/>
          <w:bookmarkEnd w:id="3"/>
          <w:p w14:paraId="611772C3" w14:textId="77777777" w:rsidR="00773C1B" w:rsidRPr="00786795" w:rsidRDefault="00773C1B" w:rsidP="00773C1B">
            <w:pPr>
              <w:pStyle w:val="ListParagraph"/>
              <w:spacing w:after="120"/>
              <w:ind w:left="0"/>
              <w:rPr>
                <w:rFonts w:ascii="Arial" w:hAnsi="Arial" w:cs="Arial"/>
              </w:rPr>
            </w:pPr>
            <w:r>
              <w:rPr>
                <w:rFonts w:ascii="Arial" w:hAnsi="Arial" w:cs="Arial"/>
                <w:sz w:val="20"/>
              </w:rPr>
              <w:fldChar w:fldCharType="begin">
                <w:ffData>
                  <w:name w:val="Check6"/>
                  <w:enabled/>
                  <w:calcOnExit w:val="0"/>
                  <w:checkBox>
                    <w:sizeAuto/>
                    <w:default w:val="0"/>
                  </w:checkBox>
                </w:ffData>
              </w:fldChar>
            </w:r>
            <w:bookmarkStart w:id="4" w:name="Check6"/>
            <w:r>
              <w:rPr>
                <w:rFonts w:ascii="Arial" w:hAnsi="Arial" w:cs="Arial"/>
                <w:sz w:val="20"/>
              </w:rPr>
              <w:instrText xml:space="preserve"> FORMCHECKBOX </w:instrText>
            </w:r>
            <w:r w:rsidR="007742C2">
              <w:rPr>
                <w:rFonts w:ascii="Arial" w:hAnsi="Arial" w:cs="Arial"/>
                <w:sz w:val="20"/>
              </w:rPr>
            </w:r>
            <w:r w:rsidR="007742C2">
              <w:rPr>
                <w:rFonts w:ascii="Arial" w:hAnsi="Arial" w:cs="Arial"/>
                <w:sz w:val="20"/>
              </w:rPr>
              <w:fldChar w:fldCharType="separate"/>
            </w:r>
            <w:r>
              <w:rPr>
                <w:rFonts w:ascii="Arial" w:hAnsi="Arial" w:cs="Arial"/>
                <w:sz w:val="20"/>
              </w:rPr>
              <w:fldChar w:fldCharType="end"/>
            </w:r>
            <w:bookmarkEnd w:id="4"/>
            <w:r>
              <w:rPr>
                <w:rFonts w:ascii="Arial" w:hAnsi="Arial" w:cs="Arial"/>
                <w:sz w:val="20"/>
              </w:rPr>
              <w:t xml:space="preserve">  </w:t>
            </w:r>
            <w:r w:rsidRPr="00786795">
              <w:rPr>
                <w:rFonts w:ascii="Arial" w:hAnsi="Arial" w:cs="Arial"/>
                <w:iCs/>
              </w:rPr>
              <w:t>Alternative energy providers (AEP)</w:t>
            </w:r>
          </w:p>
          <w:p w14:paraId="5B9A9A33" w14:textId="77777777" w:rsidR="00773C1B" w:rsidRPr="00786795" w:rsidRDefault="00773C1B" w:rsidP="00773C1B">
            <w:pPr>
              <w:pStyle w:val="ListParagraph"/>
              <w:spacing w:after="120"/>
              <w:ind w:left="0"/>
              <w:rPr>
                <w:rFonts w:ascii="Arial" w:hAnsi="Arial" w:cs="Arial"/>
              </w:rPr>
            </w:pPr>
            <w:r>
              <w:rPr>
                <w:rFonts w:ascii="Arial" w:hAnsi="Arial" w:cs="Arial"/>
                <w:sz w:val="20"/>
              </w:rPr>
              <w:fldChar w:fldCharType="begin">
                <w:ffData>
                  <w:name w:val="Check5"/>
                  <w:enabled/>
                  <w:calcOnExit w:val="0"/>
                  <w:checkBox>
                    <w:sizeAuto/>
                    <w:default w:val="0"/>
                    <w:checked w:val="0"/>
                  </w:checkBox>
                </w:ffData>
              </w:fldChar>
            </w:r>
            <w:r>
              <w:rPr>
                <w:rFonts w:ascii="Arial" w:hAnsi="Arial" w:cs="Arial"/>
                <w:sz w:val="20"/>
              </w:rPr>
              <w:instrText xml:space="preserve"> FORMCHECKBOX </w:instrText>
            </w:r>
            <w:r w:rsidR="007742C2">
              <w:rPr>
                <w:rFonts w:ascii="Arial" w:hAnsi="Arial" w:cs="Arial"/>
                <w:sz w:val="20"/>
              </w:rPr>
            </w:r>
            <w:r w:rsidR="007742C2">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786795">
              <w:rPr>
                <w:rFonts w:ascii="Arial" w:hAnsi="Arial" w:cs="Arial"/>
                <w:iCs/>
              </w:rPr>
              <w:t>EIM participants (EIM)</w:t>
            </w:r>
          </w:p>
          <w:p w14:paraId="551A7DED" w14:textId="77777777" w:rsidR="00773C1B" w:rsidRPr="00786795" w:rsidRDefault="00773C1B" w:rsidP="00773C1B">
            <w:pPr>
              <w:pStyle w:val="ListParagraph"/>
              <w:spacing w:after="120"/>
              <w:ind w:left="0"/>
              <w:rPr>
                <w:rFonts w:ascii="Arial" w:hAnsi="Arial" w:cs="Arial"/>
              </w:rPr>
            </w:pPr>
            <w:r>
              <w:rPr>
                <w:rFonts w:ascii="Arial" w:hAnsi="Arial" w:cs="Arial"/>
                <w:sz w:val="20"/>
              </w:rPr>
              <w:fldChar w:fldCharType="begin">
                <w:ffData>
                  <w:name w:val="Check7"/>
                  <w:enabled/>
                  <w:calcOnExit w:val="0"/>
                  <w:checkBox>
                    <w:sizeAuto/>
                    <w:default w:val="0"/>
                    <w:checked w:val="0"/>
                  </w:checkBox>
                </w:ffData>
              </w:fldChar>
            </w:r>
            <w:r>
              <w:rPr>
                <w:rFonts w:ascii="Arial" w:hAnsi="Arial" w:cs="Arial"/>
                <w:sz w:val="20"/>
              </w:rPr>
              <w:instrText xml:space="preserve"> FORMCHECKBOX </w:instrText>
            </w:r>
            <w:r w:rsidR="007742C2">
              <w:rPr>
                <w:rFonts w:ascii="Arial" w:hAnsi="Arial" w:cs="Arial"/>
                <w:sz w:val="20"/>
              </w:rPr>
            </w:r>
            <w:r w:rsidR="007742C2">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786795">
              <w:rPr>
                <w:rFonts w:ascii="Arial" w:hAnsi="Arial" w:cs="Arial"/>
                <w:iCs/>
              </w:rPr>
              <w:t>Governmental agencies (GOV)</w:t>
            </w:r>
          </w:p>
          <w:p w14:paraId="745DE069" w14:textId="77777777" w:rsidR="00CE7CF9" w:rsidRPr="00773C1B" w:rsidRDefault="00773C1B" w:rsidP="00773C1B">
            <w:pPr>
              <w:pStyle w:val="ListParagraph"/>
              <w:spacing w:after="120"/>
              <w:ind w:left="0"/>
              <w:rPr>
                <w:rFonts w:ascii="Arial" w:hAnsi="Arial" w:cs="Arial"/>
              </w:rPr>
            </w:pPr>
            <w:r>
              <w:rPr>
                <w:rFonts w:ascii="Arial" w:hAnsi="Arial" w:cs="Arial"/>
                <w:b/>
                <w:bCs/>
                <w:sz w:val="20"/>
              </w:rPr>
              <w:fldChar w:fldCharType="begin">
                <w:ffData>
                  <w:name w:val="Check8"/>
                  <w:enabled/>
                  <w:calcOnExit w:val="0"/>
                  <w:checkBox>
                    <w:sizeAuto/>
                    <w:default w:val="0"/>
                    <w:checked w:val="0"/>
                  </w:checkBox>
                </w:ffData>
              </w:fldChar>
            </w:r>
            <w:r>
              <w:rPr>
                <w:rFonts w:ascii="Arial" w:hAnsi="Arial" w:cs="Arial"/>
                <w:b/>
                <w:bCs/>
                <w:sz w:val="20"/>
              </w:rPr>
              <w:instrText xml:space="preserve"> FORMCHECKBOX </w:instrText>
            </w:r>
            <w:r w:rsidR="007742C2">
              <w:rPr>
                <w:rFonts w:ascii="Arial" w:hAnsi="Arial" w:cs="Arial"/>
                <w:b/>
                <w:bCs/>
                <w:sz w:val="20"/>
              </w:rPr>
            </w:r>
            <w:r w:rsidR="007742C2">
              <w:rPr>
                <w:rFonts w:ascii="Arial" w:hAnsi="Arial" w:cs="Arial"/>
                <w:b/>
                <w:bCs/>
                <w:sz w:val="20"/>
              </w:rPr>
              <w:fldChar w:fldCharType="separate"/>
            </w:r>
            <w:r>
              <w:rPr>
                <w:rFonts w:ascii="Arial" w:hAnsi="Arial" w:cs="Arial"/>
                <w:b/>
                <w:bCs/>
                <w:sz w:val="20"/>
              </w:rPr>
              <w:fldChar w:fldCharType="end"/>
            </w:r>
            <w:r>
              <w:rPr>
                <w:rFonts w:ascii="Arial" w:hAnsi="Arial" w:cs="Arial"/>
                <w:sz w:val="20"/>
              </w:rPr>
              <w:t xml:space="preserve">  </w:t>
            </w:r>
            <w:r w:rsidR="00A7688E">
              <w:rPr>
                <w:rFonts w:ascii="Arial" w:hAnsi="Arial" w:cs="Arial"/>
                <w:iCs/>
              </w:rPr>
              <w:t>Public interest entities (PI</w:t>
            </w:r>
            <w:r w:rsidRPr="00786795">
              <w:rPr>
                <w:rFonts w:ascii="Arial" w:hAnsi="Arial" w:cs="Arial"/>
                <w:iCs/>
              </w:rPr>
              <w:t>)</w:t>
            </w:r>
          </w:p>
        </w:tc>
        <w:tc>
          <w:tcPr>
            <w:tcW w:w="5040" w:type="dxa"/>
            <w:shd w:val="clear" w:color="auto" w:fill="auto"/>
          </w:tcPr>
          <w:p w14:paraId="50770AE3" w14:textId="77777777" w:rsidR="00D1310E" w:rsidRDefault="00D1310E" w:rsidP="00B155BA">
            <w:pPr>
              <w:spacing w:before="120" w:after="0"/>
              <w:jc w:val="center"/>
              <w:rPr>
                <w:rFonts w:ascii="Arial" w:hAnsi="Arial" w:cs="Arial"/>
              </w:rPr>
            </w:pPr>
            <w:r w:rsidRPr="00B155BA">
              <w:rPr>
                <w:rFonts w:ascii="Arial" w:hAnsi="Arial" w:cs="Arial"/>
                <w:b/>
              </w:rPr>
              <w:t>Interest in being considered for the sector liaison role</w:t>
            </w:r>
            <w:r>
              <w:rPr>
                <w:rFonts w:ascii="Arial" w:hAnsi="Arial" w:cs="Arial"/>
              </w:rPr>
              <w:t xml:space="preserve">  </w:t>
            </w:r>
            <w:r w:rsidRPr="00786795">
              <w:rPr>
                <w:rFonts w:ascii="Arial" w:hAnsi="Arial" w:cs="Arial"/>
              </w:rPr>
              <w:t>(</w:t>
            </w:r>
            <w:r w:rsidR="00CE7CF9">
              <w:rPr>
                <w:rFonts w:ascii="Arial" w:hAnsi="Arial" w:cs="Arial"/>
              </w:rPr>
              <w:t>check</w:t>
            </w:r>
            <w:r w:rsidRPr="00786795">
              <w:rPr>
                <w:rFonts w:ascii="Arial" w:hAnsi="Arial" w:cs="Arial"/>
              </w:rPr>
              <w:t xml:space="preserve"> one)</w:t>
            </w:r>
          </w:p>
          <w:p w14:paraId="01E9924A" w14:textId="77777777" w:rsidR="00773C1B" w:rsidRDefault="00773C1B" w:rsidP="00B155BA">
            <w:pPr>
              <w:spacing w:before="120" w:after="0"/>
              <w:jc w:val="center"/>
              <w:rPr>
                <w:rFonts w:ascii="Arial" w:hAnsi="Arial" w:cs="Arial"/>
              </w:rPr>
            </w:pPr>
          </w:p>
          <w:p w14:paraId="789DE2F7" w14:textId="77777777" w:rsidR="00D1310E" w:rsidRDefault="00CE7CF9" w:rsidP="00CE7CF9">
            <w:pPr>
              <w:pStyle w:val="BlockText"/>
              <w:tabs>
                <w:tab w:val="num" w:pos="1440"/>
                <w:tab w:val="left" w:pos="10548"/>
              </w:tabs>
              <w:spacing w:before="60"/>
              <w:ind w:left="1253" w:hanging="533"/>
              <w:rPr>
                <w:rFonts w:ascii="Arial" w:hAnsi="Arial" w:cs="Arial"/>
              </w:rPr>
            </w:pPr>
            <w:r>
              <w:rPr>
                <w:rFonts w:ascii="Arial" w:hAnsi="Arial" w:cs="Arial"/>
                <w:sz w:val="20"/>
              </w:rPr>
              <w:fldChar w:fldCharType="begin">
                <w:ffData>
                  <w:name w:val="Check9"/>
                  <w:enabled/>
                  <w:calcOnExit w:val="0"/>
                  <w:checkBox>
                    <w:sizeAuto/>
                    <w:default w:val="0"/>
                    <w:checked w:val="0"/>
                  </w:checkBox>
                </w:ffData>
              </w:fldChar>
            </w:r>
            <w:bookmarkStart w:id="5" w:name="Check9"/>
            <w:r>
              <w:rPr>
                <w:rFonts w:ascii="Arial" w:hAnsi="Arial" w:cs="Arial"/>
                <w:sz w:val="20"/>
              </w:rPr>
              <w:instrText xml:space="preserve"> FORMCHECKBOX </w:instrText>
            </w:r>
            <w:r w:rsidR="007742C2">
              <w:rPr>
                <w:rFonts w:ascii="Arial" w:hAnsi="Arial" w:cs="Arial"/>
                <w:sz w:val="20"/>
              </w:rPr>
            </w:r>
            <w:r w:rsidR="007742C2">
              <w:rPr>
                <w:rFonts w:ascii="Arial" w:hAnsi="Arial" w:cs="Arial"/>
                <w:sz w:val="20"/>
              </w:rPr>
              <w:fldChar w:fldCharType="separate"/>
            </w:r>
            <w:r>
              <w:rPr>
                <w:rFonts w:ascii="Arial" w:hAnsi="Arial" w:cs="Arial"/>
                <w:sz w:val="20"/>
              </w:rPr>
              <w:fldChar w:fldCharType="end"/>
            </w:r>
            <w:bookmarkEnd w:id="5"/>
            <w:r>
              <w:rPr>
                <w:rFonts w:ascii="Arial" w:hAnsi="Arial" w:cs="Arial"/>
                <w:sz w:val="20"/>
              </w:rPr>
              <w:tab/>
            </w:r>
            <w:r>
              <w:rPr>
                <w:rFonts w:ascii="Arial" w:hAnsi="Arial" w:cs="Arial"/>
              </w:rPr>
              <w:t xml:space="preserve"> Yes</w:t>
            </w:r>
          </w:p>
          <w:p w14:paraId="5C1925E0" w14:textId="77777777" w:rsidR="00CE7CF9" w:rsidRDefault="00CE7CF9" w:rsidP="00CE7CF9">
            <w:pPr>
              <w:pStyle w:val="BlockText"/>
              <w:tabs>
                <w:tab w:val="num" w:pos="1440"/>
                <w:tab w:val="left" w:pos="10548"/>
              </w:tabs>
              <w:spacing w:before="60"/>
              <w:ind w:left="1253" w:hanging="533"/>
              <w:rPr>
                <w:rFonts w:ascii="Arial" w:hAnsi="Arial" w:cs="Arial"/>
              </w:rPr>
            </w:pPr>
          </w:p>
          <w:p w14:paraId="4BCEF4CA" w14:textId="77777777" w:rsidR="00CE7CF9" w:rsidRDefault="00CE7CF9" w:rsidP="00CE7CF9">
            <w:pPr>
              <w:pStyle w:val="BlockText"/>
              <w:tabs>
                <w:tab w:val="num" w:pos="1440"/>
                <w:tab w:val="left" w:pos="10548"/>
              </w:tabs>
              <w:spacing w:before="60"/>
              <w:ind w:left="1253" w:hanging="533"/>
              <w:rPr>
                <w:rFonts w:ascii="Arial" w:hAnsi="Arial" w:cs="Arial"/>
              </w:rPr>
            </w:pPr>
            <w:r>
              <w:rPr>
                <w:rFonts w:ascii="Arial" w:hAnsi="Arial" w:cs="Arial"/>
                <w:sz w:val="20"/>
              </w:rPr>
              <w:fldChar w:fldCharType="begin">
                <w:ffData>
                  <w:name w:val="Check9"/>
                  <w:enabled/>
                  <w:calcOnExit w:val="0"/>
                  <w:checkBox>
                    <w:sizeAuto/>
                    <w:default w:val="0"/>
                    <w:checked w:val="0"/>
                  </w:checkBox>
                </w:ffData>
              </w:fldChar>
            </w:r>
            <w:r>
              <w:rPr>
                <w:rFonts w:ascii="Arial" w:hAnsi="Arial" w:cs="Arial"/>
                <w:sz w:val="20"/>
              </w:rPr>
              <w:instrText xml:space="preserve"> FORMCHECKBOX </w:instrText>
            </w:r>
            <w:r w:rsidR="007742C2">
              <w:rPr>
                <w:rFonts w:ascii="Arial" w:hAnsi="Arial" w:cs="Arial"/>
                <w:sz w:val="20"/>
              </w:rPr>
            </w:r>
            <w:r w:rsidR="007742C2">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rPr>
              <w:t xml:space="preserve"> No</w:t>
            </w:r>
          </w:p>
          <w:p w14:paraId="5D91D13B" w14:textId="77777777" w:rsidR="00D1310E" w:rsidRPr="00786795" w:rsidRDefault="00D1310E" w:rsidP="00CE7CF9">
            <w:pPr>
              <w:spacing w:before="120" w:after="0"/>
              <w:jc w:val="center"/>
              <w:rPr>
                <w:rFonts w:ascii="Arial" w:hAnsi="Arial" w:cs="Arial"/>
              </w:rPr>
            </w:pPr>
          </w:p>
        </w:tc>
      </w:tr>
    </w:tbl>
    <w:p w14:paraId="3C5E432F" w14:textId="77777777" w:rsidR="00A012EF" w:rsidRDefault="00A012EF" w:rsidP="004F2145">
      <w:pPr>
        <w:rPr>
          <w:rFonts w:ascii="Arial" w:hAnsi="Arial" w:cs="Arial"/>
        </w:rPr>
      </w:pPr>
    </w:p>
    <w:p w14:paraId="074429A2" w14:textId="77777777" w:rsidR="000C158F" w:rsidRPr="000C158F" w:rsidRDefault="000C158F" w:rsidP="00CE7CF9">
      <w:pPr>
        <w:spacing w:after="120"/>
        <w:jc w:val="center"/>
        <w:rPr>
          <w:rFonts w:cs="Calibri"/>
          <w:color w:val="000000"/>
          <w:sz w:val="24"/>
          <w:szCs w:val="24"/>
        </w:rPr>
      </w:pPr>
      <w:r w:rsidRPr="00B155BA">
        <w:rPr>
          <w:rFonts w:ascii="Arial" w:hAnsi="Arial" w:cs="Arial"/>
          <w:color w:val="000000"/>
        </w:rPr>
        <w:t>Thank you for your participation in the Energy Imbalance Market process.</w:t>
      </w:r>
      <w:r w:rsidR="00773C1B">
        <w:rPr>
          <w:rFonts w:ascii="Arial" w:hAnsi="Arial" w:cs="Arial"/>
          <w:color w:val="000000"/>
        </w:rPr>
        <w:t xml:space="preserve">  </w:t>
      </w:r>
      <w:r w:rsidRPr="00B155BA">
        <w:rPr>
          <w:rFonts w:ascii="Arial" w:hAnsi="Arial" w:cs="Arial"/>
          <w:color w:val="000000"/>
        </w:rPr>
        <w:t xml:space="preserve">If you have any questions, please contact </w:t>
      </w:r>
      <w:r w:rsidR="00786795" w:rsidRPr="00B155BA">
        <w:rPr>
          <w:rFonts w:ascii="Arial" w:hAnsi="Arial" w:cs="Arial"/>
        </w:rPr>
        <w:t>Stacey Crowley at (916)</w:t>
      </w:r>
      <w:r w:rsidR="00B54045" w:rsidRPr="00B155BA">
        <w:rPr>
          <w:rFonts w:ascii="Arial" w:hAnsi="Arial" w:cs="Arial"/>
        </w:rPr>
        <w:t xml:space="preserve"> </w:t>
      </w:r>
      <w:r w:rsidR="00786795" w:rsidRPr="00B155BA">
        <w:rPr>
          <w:rFonts w:ascii="Arial" w:hAnsi="Arial" w:cs="Arial"/>
        </w:rPr>
        <w:t xml:space="preserve">608-7130 or </w:t>
      </w:r>
      <w:hyperlink r:id="rId15" w:history="1">
        <w:r w:rsidR="00786795" w:rsidRPr="00B155BA">
          <w:rPr>
            <w:rStyle w:val="Hyperlink"/>
            <w:rFonts w:ascii="Arial" w:hAnsi="Arial" w:cs="Arial"/>
          </w:rPr>
          <w:t>scrowley@caiso.com</w:t>
        </w:r>
      </w:hyperlink>
    </w:p>
    <w:sectPr w:rsidR="000C158F" w:rsidRPr="000C158F" w:rsidSect="000735D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2C20" w14:textId="77777777" w:rsidR="007742C2" w:rsidRDefault="007742C2" w:rsidP="00FC5FAD">
      <w:pPr>
        <w:spacing w:after="0" w:line="240" w:lineRule="auto"/>
      </w:pPr>
      <w:r>
        <w:separator/>
      </w:r>
    </w:p>
  </w:endnote>
  <w:endnote w:type="continuationSeparator" w:id="0">
    <w:p w14:paraId="60E46938" w14:textId="77777777" w:rsidR="007742C2" w:rsidRDefault="007742C2" w:rsidP="00FC5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1662" w14:textId="77777777" w:rsidR="000C158F" w:rsidRDefault="000C1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B4F5" w14:textId="77777777" w:rsidR="000C158F" w:rsidRDefault="007742C2">
    <w:pPr>
      <w:pStyle w:val="Footer"/>
      <w:jc w:val="center"/>
    </w:pPr>
    <w:r>
      <w:fldChar w:fldCharType="begin"/>
    </w:r>
    <w:r>
      <w:instrText xml:space="preserve"> PAGE   \* MERGEFORMAT </w:instrText>
    </w:r>
    <w:r>
      <w:fldChar w:fldCharType="separate"/>
    </w:r>
    <w:r w:rsidR="000E4A2F">
      <w:rPr>
        <w:noProof/>
      </w:rPr>
      <w:t>1</w:t>
    </w:r>
    <w:r>
      <w:rPr>
        <w:noProof/>
      </w:rPr>
      <w:fldChar w:fldCharType="end"/>
    </w:r>
  </w:p>
  <w:p w14:paraId="7C511E5A" w14:textId="77777777" w:rsidR="004F2145" w:rsidRDefault="004F2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E78F" w14:textId="77777777" w:rsidR="000C158F" w:rsidRDefault="000C1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718B4" w14:textId="77777777" w:rsidR="007742C2" w:rsidRDefault="007742C2" w:rsidP="00FC5FAD">
      <w:pPr>
        <w:spacing w:after="0" w:line="240" w:lineRule="auto"/>
      </w:pPr>
      <w:r>
        <w:separator/>
      </w:r>
    </w:p>
  </w:footnote>
  <w:footnote w:type="continuationSeparator" w:id="0">
    <w:p w14:paraId="1AF8BC48" w14:textId="77777777" w:rsidR="007742C2" w:rsidRDefault="007742C2" w:rsidP="00FC5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6E3E" w14:textId="77777777" w:rsidR="000C158F" w:rsidRDefault="000C1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BE52" w14:textId="77777777" w:rsidR="004F2145" w:rsidRPr="00F14819" w:rsidRDefault="004F2145" w:rsidP="004F2145">
    <w:pPr>
      <w:pStyle w:val="Header"/>
      <w:tabs>
        <w:tab w:val="clear" w:pos="4680"/>
        <w:tab w:val="center" w:pos="2880"/>
      </w:tabs>
      <w:jc w:val="right"/>
      <w:rPr>
        <w:rFonts w:ascii="Arial" w:hAnsi="Arial" w:cs="Arial"/>
        <w:b/>
      </w:rPr>
    </w:pPr>
    <w:r w:rsidRPr="007858FA">
      <w:rPr>
        <w:rFonts w:ascii="Arial" w:hAnsi="Arial" w:cs="Arial"/>
        <w:i/>
      </w:rPr>
      <w:t>California ISO</w:t>
    </w:r>
    <w:r>
      <w:rPr>
        <w:rFonts w:ascii="Arial" w:hAnsi="Arial" w:cs="Arial"/>
        <w:b/>
      </w:rPr>
      <w:tab/>
    </w:r>
    <w:r>
      <w:rPr>
        <w:rFonts w:ascii="Arial" w:hAnsi="Arial" w:cs="Arial"/>
        <w:b/>
      </w:rPr>
      <w:tab/>
    </w:r>
    <w:r>
      <w:rPr>
        <w:rFonts w:ascii="Arial" w:hAnsi="Arial" w:cs="Arial"/>
        <w:i/>
      </w:rPr>
      <w:t>Energy Imbalance Market – Sector Participation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49D7" w14:textId="77777777" w:rsidR="000C158F" w:rsidRDefault="000C1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F88"/>
    <w:multiLevelType w:val="hybridMultilevel"/>
    <w:tmpl w:val="00D42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A50FC"/>
    <w:multiLevelType w:val="hybridMultilevel"/>
    <w:tmpl w:val="3856B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F0315"/>
    <w:multiLevelType w:val="hybridMultilevel"/>
    <w:tmpl w:val="85441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91ECF"/>
    <w:multiLevelType w:val="hybridMultilevel"/>
    <w:tmpl w:val="517A4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81985"/>
    <w:multiLevelType w:val="hybridMultilevel"/>
    <w:tmpl w:val="51A6C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54FB2"/>
    <w:multiLevelType w:val="hybridMultilevel"/>
    <w:tmpl w:val="A2D08A1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B5DEE"/>
    <w:multiLevelType w:val="hybridMultilevel"/>
    <w:tmpl w:val="E2124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B7534"/>
    <w:multiLevelType w:val="hybridMultilevel"/>
    <w:tmpl w:val="599E8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B3409C"/>
    <w:multiLevelType w:val="hybridMultilevel"/>
    <w:tmpl w:val="B86CA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B0FB4"/>
    <w:multiLevelType w:val="hybridMultilevel"/>
    <w:tmpl w:val="774A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B446C"/>
    <w:multiLevelType w:val="hybridMultilevel"/>
    <w:tmpl w:val="37729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43B88"/>
    <w:multiLevelType w:val="hybridMultilevel"/>
    <w:tmpl w:val="3306F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B60FE"/>
    <w:multiLevelType w:val="hybridMultilevel"/>
    <w:tmpl w:val="626663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E07E8D"/>
    <w:multiLevelType w:val="hybridMultilevel"/>
    <w:tmpl w:val="589CB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355B4"/>
    <w:multiLevelType w:val="hybridMultilevel"/>
    <w:tmpl w:val="626663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316D3"/>
    <w:multiLevelType w:val="hybridMultilevel"/>
    <w:tmpl w:val="BC36E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070418"/>
    <w:multiLevelType w:val="hybridMultilevel"/>
    <w:tmpl w:val="7EFCFC8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964FD"/>
    <w:multiLevelType w:val="hybridMultilevel"/>
    <w:tmpl w:val="82F8C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961C8A"/>
    <w:multiLevelType w:val="hybridMultilevel"/>
    <w:tmpl w:val="2DFCA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B47E8B"/>
    <w:multiLevelType w:val="hybridMultilevel"/>
    <w:tmpl w:val="E97E3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0C5C52"/>
    <w:multiLevelType w:val="hybridMultilevel"/>
    <w:tmpl w:val="626663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25113A"/>
    <w:multiLevelType w:val="hybridMultilevel"/>
    <w:tmpl w:val="1A9C4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3F7EA4"/>
    <w:multiLevelType w:val="hybridMultilevel"/>
    <w:tmpl w:val="57F24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B2010"/>
    <w:multiLevelType w:val="hybridMultilevel"/>
    <w:tmpl w:val="7B222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D52B9"/>
    <w:multiLevelType w:val="hybridMultilevel"/>
    <w:tmpl w:val="82F8C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634BFE"/>
    <w:multiLevelType w:val="hybridMultilevel"/>
    <w:tmpl w:val="3856B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6F19E7"/>
    <w:multiLevelType w:val="hybridMultilevel"/>
    <w:tmpl w:val="DB721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71D73CC"/>
    <w:multiLevelType w:val="hybridMultilevel"/>
    <w:tmpl w:val="E1204D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B1565A"/>
    <w:multiLevelType w:val="hybridMultilevel"/>
    <w:tmpl w:val="82F8C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7893090">
    <w:abstractNumId w:val="20"/>
  </w:num>
  <w:num w:numId="2" w16cid:durableId="486822498">
    <w:abstractNumId w:val="14"/>
  </w:num>
  <w:num w:numId="3" w16cid:durableId="1109354260">
    <w:abstractNumId w:val="24"/>
  </w:num>
  <w:num w:numId="4" w16cid:durableId="700975519">
    <w:abstractNumId w:val="17"/>
  </w:num>
  <w:num w:numId="5" w16cid:durableId="988706922">
    <w:abstractNumId w:val="12"/>
  </w:num>
  <w:num w:numId="6" w16cid:durableId="1403530704">
    <w:abstractNumId w:val="28"/>
  </w:num>
  <w:num w:numId="7" w16cid:durableId="944313162">
    <w:abstractNumId w:val="18"/>
  </w:num>
  <w:num w:numId="8" w16cid:durableId="549923368">
    <w:abstractNumId w:val="13"/>
  </w:num>
  <w:num w:numId="9" w16cid:durableId="1789348306">
    <w:abstractNumId w:val="8"/>
  </w:num>
  <w:num w:numId="10" w16cid:durableId="816146415">
    <w:abstractNumId w:val="25"/>
  </w:num>
  <w:num w:numId="11" w16cid:durableId="129178404">
    <w:abstractNumId w:val="10"/>
  </w:num>
  <w:num w:numId="12" w16cid:durableId="1964535134">
    <w:abstractNumId w:val="4"/>
  </w:num>
  <w:num w:numId="13" w16cid:durableId="1883856932">
    <w:abstractNumId w:val="19"/>
  </w:num>
  <w:num w:numId="14" w16cid:durableId="117526552">
    <w:abstractNumId w:val="11"/>
  </w:num>
  <w:num w:numId="15" w16cid:durableId="1678730266">
    <w:abstractNumId w:val="21"/>
  </w:num>
  <w:num w:numId="16" w16cid:durableId="154273004">
    <w:abstractNumId w:val="23"/>
  </w:num>
  <w:num w:numId="17" w16cid:durableId="2126579790">
    <w:abstractNumId w:val="22"/>
  </w:num>
  <w:num w:numId="18" w16cid:durableId="941649130">
    <w:abstractNumId w:val="0"/>
  </w:num>
  <w:num w:numId="19" w16cid:durableId="499392173">
    <w:abstractNumId w:val="3"/>
  </w:num>
  <w:num w:numId="20" w16cid:durableId="288241618">
    <w:abstractNumId w:val="7"/>
  </w:num>
  <w:num w:numId="21" w16cid:durableId="1077551667">
    <w:abstractNumId w:val="15"/>
  </w:num>
  <w:num w:numId="22" w16cid:durableId="1110198350">
    <w:abstractNumId w:val="1"/>
  </w:num>
  <w:num w:numId="23" w16cid:durableId="2502353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7163411">
    <w:abstractNumId w:val="9"/>
  </w:num>
  <w:num w:numId="25" w16cid:durableId="1101753911">
    <w:abstractNumId w:val="6"/>
  </w:num>
  <w:num w:numId="26" w16cid:durableId="83576048">
    <w:abstractNumId w:val="27"/>
  </w:num>
  <w:num w:numId="27" w16cid:durableId="1599946557">
    <w:abstractNumId w:val="5"/>
  </w:num>
  <w:num w:numId="28" w16cid:durableId="1483426892">
    <w:abstractNumId w:val="16"/>
  </w:num>
  <w:num w:numId="29" w16cid:durableId="1202983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5FAD"/>
    <w:rsid w:val="0001252C"/>
    <w:rsid w:val="00056A6C"/>
    <w:rsid w:val="000617AF"/>
    <w:rsid w:val="00071B49"/>
    <w:rsid w:val="000735D1"/>
    <w:rsid w:val="00076DEE"/>
    <w:rsid w:val="00077AC6"/>
    <w:rsid w:val="00080C92"/>
    <w:rsid w:val="000813F2"/>
    <w:rsid w:val="000819FD"/>
    <w:rsid w:val="000A505B"/>
    <w:rsid w:val="000A5098"/>
    <w:rsid w:val="000C158F"/>
    <w:rsid w:val="000D1F06"/>
    <w:rsid w:val="000E0B90"/>
    <w:rsid w:val="000E4A2F"/>
    <w:rsid w:val="000F4F6A"/>
    <w:rsid w:val="0010636E"/>
    <w:rsid w:val="00115B78"/>
    <w:rsid w:val="00124DB1"/>
    <w:rsid w:val="00126DD2"/>
    <w:rsid w:val="00172853"/>
    <w:rsid w:val="00180C56"/>
    <w:rsid w:val="00197C13"/>
    <w:rsid w:val="001E08D0"/>
    <w:rsid w:val="001E2B09"/>
    <w:rsid w:val="001F2076"/>
    <w:rsid w:val="0020654F"/>
    <w:rsid w:val="002243D0"/>
    <w:rsid w:val="002578E6"/>
    <w:rsid w:val="002638E2"/>
    <w:rsid w:val="00265AFE"/>
    <w:rsid w:val="00285BBC"/>
    <w:rsid w:val="0029024F"/>
    <w:rsid w:val="00332D1A"/>
    <w:rsid w:val="00387F8A"/>
    <w:rsid w:val="00391892"/>
    <w:rsid w:val="003C0351"/>
    <w:rsid w:val="003C0449"/>
    <w:rsid w:val="003E3F08"/>
    <w:rsid w:val="004104B2"/>
    <w:rsid w:val="00413C9C"/>
    <w:rsid w:val="0041437A"/>
    <w:rsid w:val="00422347"/>
    <w:rsid w:val="00435A12"/>
    <w:rsid w:val="00437849"/>
    <w:rsid w:val="00443BEB"/>
    <w:rsid w:val="00446E58"/>
    <w:rsid w:val="00456152"/>
    <w:rsid w:val="004753A9"/>
    <w:rsid w:val="004777FA"/>
    <w:rsid w:val="004A0BE1"/>
    <w:rsid w:val="004C3397"/>
    <w:rsid w:val="004C5ECB"/>
    <w:rsid w:val="004F2145"/>
    <w:rsid w:val="00527E8C"/>
    <w:rsid w:val="00536807"/>
    <w:rsid w:val="00540AB7"/>
    <w:rsid w:val="00554CC6"/>
    <w:rsid w:val="00570788"/>
    <w:rsid w:val="0058035A"/>
    <w:rsid w:val="00582676"/>
    <w:rsid w:val="00592211"/>
    <w:rsid w:val="005A4AB5"/>
    <w:rsid w:val="005D6039"/>
    <w:rsid w:val="005E7C69"/>
    <w:rsid w:val="006167A9"/>
    <w:rsid w:val="00616B2D"/>
    <w:rsid w:val="00617085"/>
    <w:rsid w:val="00622A7E"/>
    <w:rsid w:val="0063024A"/>
    <w:rsid w:val="0065611B"/>
    <w:rsid w:val="006613A5"/>
    <w:rsid w:val="006619D3"/>
    <w:rsid w:val="00692B67"/>
    <w:rsid w:val="006C3E8E"/>
    <w:rsid w:val="006C4860"/>
    <w:rsid w:val="006E1584"/>
    <w:rsid w:val="00700206"/>
    <w:rsid w:val="00701E56"/>
    <w:rsid w:val="00715C37"/>
    <w:rsid w:val="007160B1"/>
    <w:rsid w:val="00721CDA"/>
    <w:rsid w:val="007474BC"/>
    <w:rsid w:val="00751498"/>
    <w:rsid w:val="00757BBA"/>
    <w:rsid w:val="007607F2"/>
    <w:rsid w:val="00773C1B"/>
    <w:rsid w:val="007742C2"/>
    <w:rsid w:val="007858FA"/>
    <w:rsid w:val="00786795"/>
    <w:rsid w:val="00792D16"/>
    <w:rsid w:val="007A61F0"/>
    <w:rsid w:val="007B196A"/>
    <w:rsid w:val="007B4672"/>
    <w:rsid w:val="007C7D8B"/>
    <w:rsid w:val="007D2BC9"/>
    <w:rsid w:val="007E32A0"/>
    <w:rsid w:val="007E5A4E"/>
    <w:rsid w:val="00807B39"/>
    <w:rsid w:val="0082461B"/>
    <w:rsid w:val="008263D1"/>
    <w:rsid w:val="008748DE"/>
    <w:rsid w:val="008754D5"/>
    <w:rsid w:val="0089200A"/>
    <w:rsid w:val="008928FF"/>
    <w:rsid w:val="008A2EA2"/>
    <w:rsid w:val="008A54DB"/>
    <w:rsid w:val="008A74C4"/>
    <w:rsid w:val="008E1572"/>
    <w:rsid w:val="008E480B"/>
    <w:rsid w:val="008E7EE2"/>
    <w:rsid w:val="00901C7F"/>
    <w:rsid w:val="0092771D"/>
    <w:rsid w:val="009321D6"/>
    <w:rsid w:val="00951D30"/>
    <w:rsid w:val="00973C0C"/>
    <w:rsid w:val="009741F7"/>
    <w:rsid w:val="00980A32"/>
    <w:rsid w:val="00981B34"/>
    <w:rsid w:val="00986187"/>
    <w:rsid w:val="00990C78"/>
    <w:rsid w:val="009B0257"/>
    <w:rsid w:val="009C21AF"/>
    <w:rsid w:val="009C3B25"/>
    <w:rsid w:val="009C6DB8"/>
    <w:rsid w:val="009D6E1A"/>
    <w:rsid w:val="009F273E"/>
    <w:rsid w:val="009F319A"/>
    <w:rsid w:val="00A012EF"/>
    <w:rsid w:val="00A03341"/>
    <w:rsid w:val="00A22CD6"/>
    <w:rsid w:val="00A56E6C"/>
    <w:rsid w:val="00A7557B"/>
    <w:rsid w:val="00A7688E"/>
    <w:rsid w:val="00AA2CF6"/>
    <w:rsid w:val="00AA7767"/>
    <w:rsid w:val="00AC3B18"/>
    <w:rsid w:val="00AC3CB5"/>
    <w:rsid w:val="00AD0721"/>
    <w:rsid w:val="00AD63F2"/>
    <w:rsid w:val="00AE2B67"/>
    <w:rsid w:val="00AF5A08"/>
    <w:rsid w:val="00AF7772"/>
    <w:rsid w:val="00B155BA"/>
    <w:rsid w:val="00B36D77"/>
    <w:rsid w:val="00B54045"/>
    <w:rsid w:val="00B81422"/>
    <w:rsid w:val="00B8352A"/>
    <w:rsid w:val="00BD43A7"/>
    <w:rsid w:val="00C139EB"/>
    <w:rsid w:val="00C36C7E"/>
    <w:rsid w:val="00C63A5E"/>
    <w:rsid w:val="00C73ACA"/>
    <w:rsid w:val="00C83B4C"/>
    <w:rsid w:val="00C86EF1"/>
    <w:rsid w:val="00CA37C1"/>
    <w:rsid w:val="00CB3AA3"/>
    <w:rsid w:val="00CE3D81"/>
    <w:rsid w:val="00CE57B6"/>
    <w:rsid w:val="00CE77C6"/>
    <w:rsid w:val="00CE7CF9"/>
    <w:rsid w:val="00D1310E"/>
    <w:rsid w:val="00D14E51"/>
    <w:rsid w:val="00D44787"/>
    <w:rsid w:val="00D5702A"/>
    <w:rsid w:val="00D575FC"/>
    <w:rsid w:val="00D857E1"/>
    <w:rsid w:val="00DA5692"/>
    <w:rsid w:val="00DB3088"/>
    <w:rsid w:val="00DE0E60"/>
    <w:rsid w:val="00DE624A"/>
    <w:rsid w:val="00E004BE"/>
    <w:rsid w:val="00E21EA1"/>
    <w:rsid w:val="00E35FC6"/>
    <w:rsid w:val="00E36D17"/>
    <w:rsid w:val="00E46828"/>
    <w:rsid w:val="00E55907"/>
    <w:rsid w:val="00E57A62"/>
    <w:rsid w:val="00E70E0E"/>
    <w:rsid w:val="00E743AF"/>
    <w:rsid w:val="00E7795D"/>
    <w:rsid w:val="00EA180D"/>
    <w:rsid w:val="00EA6A13"/>
    <w:rsid w:val="00EB41DD"/>
    <w:rsid w:val="00EB4B00"/>
    <w:rsid w:val="00ED45FF"/>
    <w:rsid w:val="00F01023"/>
    <w:rsid w:val="00F035AD"/>
    <w:rsid w:val="00F14819"/>
    <w:rsid w:val="00F2377E"/>
    <w:rsid w:val="00F318F0"/>
    <w:rsid w:val="00F34A22"/>
    <w:rsid w:val="00F440A8"/>
    <w:rsid w:val="00F60FE0"/>
    <w:rsid w:val="00F632A0"/>
    <w:rsid w:val="00F902B1"/>
    <w:rsid w:val="00F956BF"/>
    <w:rsid w:val="00FB6261"/>
    <w:rsid w:val="00FC5FAD"/>
    <w:rsid w:val="00FE5705"/>
    <w:rsid w:val="00FF1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39DECD9"/>
  <w15:chartTrackingRefBased/>
  <w15:docId w15:val="{1D86E870-78EC-4C0F-BB0B-3E5F2F03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5D1"/>
    <w:pPr>
      <w:spacing w:after="200" w:line="276" w:lineRule="auto"/>
    </w:pPr>
    <w:rPr>
      <w:sz w:val="22"/>
      <w:szCs w:val="22"/>
    </w:rPr>
  </w:style>
  <w:style w:type="paragraph" w:styleId="Heading1">
    <w:name w:val="heading 1"/>
    <w:basedOn w:val="Normal"/>
    <w:next w:val="Normal"/>
    <w:link w:val="Heading1Char"/>
    <w:uiPriority w:val="9"/>
    <w:qFormat/>
    <w:rsid w:val="00DE0E60"/>
    <w:pPr>
      <w:keepNext/>
      <w:keepLines/>
      <w:spacing w:before="240" w:after="120"/>
      <w:outlineLvl w:val="0"/>
    </w:pPr>
    <w:rPr>
      <w:rFonts w:ascii="Arial" w:eastAsia="Times New Roman" w:hAnsi="Arial"/>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FAD"/>
  </w:style>
  <w:style w:type="paragraph" w:styleId="Footer">
    <w:name w:val="footer"/>
    <w:basedOn w:val="Normal"/>
    <w:link w:val="FooterChar"/>
    <w:uiPriority w:val="99"/>
    <w:unhideWhenUsed/>
    <w:rsid w:val="00FC5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FAD"/>
  </w:style>
  <w:style w:type="character" w:styleId="PageNumber">
    <w:name w:val="page number"/>
    <w:basedOn w:val="DefaultParagraphFont"/>
    <w:rsid w:val="00FC5FAD"/>
  </w:style>
  <w:style w:type="character" w:customStyle="1" w:styleId="Heading1Char">
    <w:name w:val="Heading 1 Char"/>
    <w:link w:val="Heading1"/>
    <w:uiPriority w:val="9"/>
    <w:rsid w:val="00DE0E60"/>
    <w:rPr>
      <w:rFonts w:ascii="Arial" w:eastAsia="Times New Roman" w:hAnsi="Arial"/>
      <w:b/>
      <w:bCs/>
      <w:color w:val="365F91"/>
      <w:sz w:val="28"/>
      <w:szCs w:val="28"/>
    </w:rPr>
  </w:style>
  <w:style w:type="paragraph" w:styleId="BalloonText">
    <w:name w:val="Balloon Text"/>
    <w:basedOn w:val="Normal"/>
    <w:link w:val="BalloonTextChar"/>
    <w:uiPriority w:val="99"/>
    <w:semiHidden/>
    <w:unhideWhenUsed/>
    <w:rsid w:val="00FC5FA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C5FAD"/>
    <w:rPr>
      <w:rFonts w:ascii="Tahoma" w:hAnsi="Tahoma" w:cs="Tahoma"/>
      <w:sz w:val="16"/>
      <w:szCs w:val="16"/>
    </w:rPr>
  </w:style>
  <w:style w:type="paragraph" w:styleId="ListParagraph">
    <w:name w:val="List Paragraph"/>
    <w:basedOn w:val="Normal"/>
    <w:uiPriority w:val="34"/>
    <w:qFormat/>
    <w:rsid w:val="00FC5FAD"/>
    <w:pPr>
      <w:ind w:left="720"/>
      <w:contextualSpacing/>
    </w:pPr>
  </w:style>
  <w:style w:type="paragraph" w:styleId="FootnoteText">
    <w:name w:val="footnote text"/>
    <w:basedOn w:val="Normal"/>
    <w:link w:val="FootnoteTextChar"/>
    <w:uiPriority w:val="99"/>
    <w:semiHidden/>
    <w:unhideWhenUsed/>
    <w:rsid w:val="00E743AF"/>
    <w:pPr>
      <w:spacing w:after="0" w:line="240" w:lineRule="auto"/>
    </w:pPr>
    <w:rPr>
      <w:sz w:val="20"/>
      <w:szCs w:val="20"/>
    </w:rPr>
  </w:style>
  <w:style w:type="character" w:customStyle="1" w:styleId="FootnoteTextChar">
    <w:name w:val="Footnote Text Char"/>
    <w:link w:val="FootnoteText"/>
    <w:uiPriority w:val="99"/>
    <w:semiHidden/>
    <w:rsid w:val="00E743AF"/>
    <w:rPr>
      <w:sz w:val="20"/>
      <w:szCs w:val="20"/>
    </w:rPr>
  </w:style>
  <w:style w:type="character" w:styleId="FootnoteReference">
    <w:name w:val="footnote reference"/>
    <w:uiPriority w:val="99"/>
    <w:semiHidden/>
    <w:unhideWhenUsed/>
    <w:rsid w:val="00E743AF"/>
    <w:rPr>
      <w:vertAlign w:val="superscript"/>
    </w:rPr>
  </w:style>
  <w:style w:type="table" w:styleId="TableGrid">
    <w:name w:val="Table Grid"/>
    <w:basedOn w:val="TableNormal"/>
    <w:uiPriority w:val="59"/>
    <w:rsid w:val="007D2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01C7F"/>
    <w:rPr>
      <w:color w:val="0000FF"/>
      <w:u w:val="single"/>
    </w:rPr>
  </w:style>
  <w:style w:type="character" w:styleId="CommentReference">
    <w:name w:val="annotation reference"/>
    <w:uiPriority w:val="99"/>
    <w:semiHidden/>
    <w:unhideWhenUsed/>
    <w:rsid w:val="00AA7767"/>
    <w:rPr>
      <w:sz w:val="16"/>
      <w:szCs w:val="16"/>
    </w:rPr>
  </w:style>
  <w:style w:type="paragraph" w:styleId="CommentText">
    <w:name w:val="annotation text"/>
    <w:basedOn w:val="Normal"/>
    <w:link w:val="CommentTextChar"/>
    <w:uiPriority w:val="99"/>
    <w:semiHidden/>
    <w:unhideWhenUsed/>
    <w:rsid w:val="00AA7767"/>
    <w:rPr>
      <w:sz w:val="20"/>
      <w:szCs w:val="20"/>
    </w:rPr>
  </w:style>
  <w:style w:type="character" w:customStyle="1" w:styleId="CommentTextChar">
    <w:name w:val="Comment Text Char"/>
    <w:basedOn w:val="DefaultParagraphFont"/>
    <w:link w:val="CommentText"/>
    <w:uiPriority w:val="99"/>
    <w:semiHidden/>
    <w:rsid w:val="00AA7767"/>
  </w:style>
  <w:style w:type="paragraph" w:styleId="CommentSubject">
    <w:name w:val="annotation subject"/>
    <w:basedOn w:val="CommentText"/>
    <w:next w:val="CommentText"/>
    <w:link w:val="CommentSubjectChar"/>
    <w:uiPriority w:val="99"/>
    <w:semiHidden/>
    <w:unhideWhenUsed/>
    <w:rsid w:val="00AA7767"/>
    <w:rPr>
      <w:b/>
      <w:bCs/>
    </w:rPr>
  </w:style>
  <w:style w:type="character" w:customStyle="1" w:styleId="CommentSubjectChar">
    <w:name w:val="Comment Subject Char"/>
    <w:link w:val="CommentSubject"/>
    <w:uiPriority w:val="99"/>
    <w:semiHidden/>
    <w:rsid w:val="00AA7767"/>
    <w:rPr>
      <w:b/>
      <w:bCs/>
    </w:rPr>
  </w:style>
  <w:style w:type="paragraph" w:styleId="NormalWeb">
    <w:name w:val="Normal (Web)"/>
    <w:basedOn w:val="Normal"/>
    <w:uiPriority w:val="99"/>
    <w:semiHidden/>
    <w:unhideWhenUsed/>
    <w:rsid w:val="00F01023"/>
    <w:pPr>
      <w:spacing w:before="100" w:beforeAutospacing="1" w:after="100" w:afterAutospacing="1" w:line="240" w:lineRule="auto"/>
    </w:pPr>
    <w:rPr>
      <w:rFonts w:ascii="Times New Roman" w:eastAsia="Times New Roman" w:hAnsi="Times New Roman"/>
      <w:sz w:val="24"/>
      <w:szCs w:val="24"/>
    </w:rPr>
  </w:style>
  <w:style w:type="paragraph" w:customStyle="1" w:styleId="Paragraph">
    <w:name w:val="Paragraph"/>
    <w:basedOn w:val="BodyText"/>
    <w:link w:val="ParagraphChar"/>
    <w:qFormat/>
    <w:rsid w:val="00D1310E"/>
    <w:pPr>
      <w:suppressAutoHyphens/>
      <w:spacing w:before="120" w:after="0" w:line="240" w:lineRule="auto"/>
      <w:jc w:val="both"/>
    </w:pPr>
    <w:rPr>
      <w:rFonts w:ascii="Times New Roman" w:eastAsia="Times New Roman" w:hAnsi="Times New Roman"/>
      <w:kern w:val="16"/>
      <w:sz w:val="20"/>
      <w:szCs w:val="20"/>
    </w:rPr>
  </w:style>
  <w:style w:type="character" w:customStyle="1" w:styleId="ParagraphChar">
    <w:name w:val="Paragraph Char"/>
    <w:link w:val="Paragraph"/>
    <w:rsid w:val="00D1310E"/>
    <w:rPr>
      <w:rFonts w:ascii="Times New Roman" w:eastAsia="Times New Roman" w:hAnsi="Times New Roman"/>
      <w:kern w:val="16"/>
    </w:rPr>
  </w:style>
  <w:style w:type="paragraph" w:styleId="BodyText">
    <w:name w:val="Body Text"/>
    <w:basedOn w:val="Normal"/>
    <w:link w:val="BodyTextChar"/>
    <w:uiPriority w:val="99"/>
    <w:semiHidden/>
    <w:unhideWhenUsed/>
    <w:rsid w:val="00D1310E"/>
    <w:pPr>
      <w:spacing w:after="120"/>
    </w:pPr>
  </w:style>
  <w:style w:type="character" w:customStyle="1" w:styleId="BodyTextChar">
    <w:name w:val="Body Text Char"/>
    <w:link w:val="BodyText"/>
    <w:uiPriority w:val="99"/>
    <w:semiHidden/>
    <w:rsid w:val="00D1310E"/>
    <w:rPr>
      <w:sz w:val="22"/>
      <w:szCs w:val="22"/>
    </w:rPr>
  </w:style>
  <w:style w:type="paragraph" w:styleId="BlockText">
    <w:name w:val="Block Text"/>
    <w:basedOn w:val="Normal"/>
    <w:rsid w:val="00CE7CF9"/>
    <w:pPr>
      <w:spacing w:after="0" w:line="240" w:lineRule="auto"/>
    </w:pPr>
    <w:rPr>
      <w:rFonts w:ascii="Times New Roman" w:eastAsia="Times New Roman" w:hAnsi="Times New Roman"/>
      <w:sz w:val="24"/>
      <w:szCs w:val="24"/>
    </w:rPr>
  </w:style>
  <w:style w:type="paragraph" w:customStyle="1" w:styleId="Default">
    <w:name w:val="Default"/>
    <w:rsid w:val="00435A1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4910">
      <w:bodyDiv w:val="1"/>
      <w:marLeft w:val="0"/>
      <w:marRight w:val="0"/>
      <w:marTop w:val="0"/>
      <w:marBottom w:val="0"/>
      <w:divBdr>
        <w:top w:val="none" w:sz="0" w:space="0" w:color="auto"/>
        <w:left w:val="none" w:sz="0" w:space="0" w:color="auto"/>
        <w:bottom w:val="none" w:sz="0" w:space="0" w:color="auto"/>
        <w:right w:val="none" w:sz="0" w:space="0" w:color="auto"/>
      </w:divBdr>
    </w:div>
    <w:div w:id="333840911">
      <w:bodyDiv w:val="1"/>
      <w:marLeft w:val="0"/>
      <w:marRight w:val="0"/>
      <w:marTop w:val="0"/>
      <w:marBottom w:val="0"/>
      <w:divBdr>
        <w:top w:val="none" w:sz="0" w:space="0" w:color="auto"/>
        <w:left w:val="none" w:sz="0" w:space="0" w:color="auto"/>
        <w:bottom w:val="none" w:sz="0" w:space="0" w:color="auto"/>
        <w:right w:val="none" w:sz="0" w:space="0" w:color="auto"/>
      </w:divBdr>
    </w:div>
    <w:div w:id="464085476">
      <w:bodyDiv w:val="1"/>
      <w:marLeft w:val="0"/>
      <w:marRight w:val="0"/>
      <w:marTop w:val="0"/>
      <w:marBottom w:val="0"/>
      <w:divBdr>
        <w:top w:val="none" w:sz="0" w:space="0" w:color="auto"/>
        <w:left w:val="none" w:sz="0" w:space="0" w:color="auto"/>
        <w:bottom w:val="none" w:sz="0" w:space="0" w:color="auto"/>
        <w:right w:val="none" w:sz="0" w:space="0" w:color="auto"/>
      </w:divBdr>
    </w:div>
    <w:div w:id="484903131">
      <w:bodyDiv w:val="1"/>
      <w:marLeft w:val="0"/>
      <w:marRight w:val="0"/>
      <w:marTop w:val="0"/>
      <w:marBottom w:val="0"/>
      <w:divBdr>
        <w:top w:val="none" w:sz="0" w:space="0" w:color="auto"/>
        <w:left w:val="none" w:sz="0" w:space="0" w:color="auto"/>
        <w:bottom w:val="none" w:sz="0" w:space="0" w:color="auto"/>
        <w:right w:val="none" w:sz="0" w:space="0" w:color="auto"/>
      </w:divBdr>
    </w:div>
    <w:div w:id="583271085">
      <w:bodyDiv w:val="1"/>
      <w:marLeft w:val="0"/>
      <w:marRight w:val="0"/>
      <w:marTop w:val="0"/>
      <w:marBottom w:val="0"/>
      <w:divBdr>
        <w:top w:val="none" w:sz="0" w:space="0" w:color="auto"/>
        <w:left w:val="none" w:sz="0" w:space="0" w:color="auto"/>
        <w:bottom w:val="none" w:sz="0" w:space="0" w:color="auto"/>
        <w:right w:val="none" w:sz="0" w:space="0" w:color="auto"/>
      </w:divBdr>
    </w:div>
    <w:div w:id="769159513">
      <w:bodyDiv w:val="1"/>
      <w:marLeft w:val="0"/>
      <w:marRight w:val="0"/>
      <w:marTop w:val="0"/>
      <w:marBottom w:val="0"/>
      <w:divBdr>
        <w:top w:val="none" w:sz="0" w:space="0" w:color="auto"/>
        <w:left w:val="none" w:sz="0" w:space="0" w:color="auto"/>
        <w:bottom w:val="none" w:sz="0" w:space="0" w:color="auto"/>
        <w:right w:val="none" w:sz="0" w:space="0" w:color="auto"/>
      </w:divBdr>
    </w:div>
    <w:div w:id="1331256604">
      <w:bodyDiv w:val="1"/>
      <w:marLeft w:val="0"/>
      <w:marRight w:val="0"/>
      <w:marTop w:val="0"/>
      <w:marBottom w:val="0"/>
      <w:divBdr>
        <w:top w:val="none" w:sz="0" w:space="0" w:color="auto"/>
        <w:left w:val="none" w:sz="0" w:space="0" w:color="auto"/>
        <w:bottom w:val="none" w:sz="0" w:space="0" w:color="auto"/>
        <w:right w:val="none" w:sz="0" w:space="0" w:color="auto"/>
      </w:divBdr>
    </w:div>
    <w:div w:id="1538815155">
      <w:bodyDiv w:val="1"/>
      <w:marLeft w:val="0"/>
      <w:marRight w:val="0"/>
      <w:marTop w:val="0"/>
      <w:marBottom w:val="0"/>
      <w:divBdr>
        <w:top w:val="none" w:sz="0" w:space="0" w:color="auto"/>
        <w:left w:val="none" w:sz="0" w:space="0" w:color="auto"/>
        <w:bottom w:val="none" w:sz="0" w:space="0" w:color="auto"/>
        <w:right w:val="none" w:sz="0" w:space="0" w:color="auto"/>
      </w:divBdr>
    </w:div>
    <w:div w:id="1643651063">
      <w:bodyDiv w:val="1"/>
      <w:marLeft w:val="0"/>
      <w:marRight w:val="0"/>
      <w:marTop w:val="0"/>
      <w:marBottom w:val="0"/>
      <w:divBdr>
        <w:top w:val="none" w:sz="0" w:space="0" w:color="auto"/>
        <w:left w:val="none" w:sz="0" w:space="0" w:color="auto"/>
        <w:bottom w:val="none" w:sz="0" w:space="0" w:color="auto"/>
        <w:right w:val="none" w:sz="0" w:space="0" w:color="auto"/>
      </w:divBdr>
    </w:div>
    <w:div w:id="168023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iso.com/Documents/DecisionEIM_GovernanceProposal-Attach2-Committee%20Charter-Dec2013.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skarpinen@caiso.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crowley@caiso.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iso.com/Documents/DecisionEIM_GovernanceProposal-Attach1-Proposal-Dec2013.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2421;#Web conference Jan 22-23, 2014|e13b405c-e29a-4b73-bb21-a2015f389384;#1147;#Energy Imbalance Market|9ea0293c-310a-474a-b5d2-82a2d1ca4395;#2430;#template|a00c58fd-ed4a-4c30-be02-1fbdc935427e;#2416;#Energy imbalance market - sector participation|99207d68-8620-4689-9433-bb94df8fd1ad;#7;#Stakeholder processes|71659ab1-dac7-419e-9529-abc47c232b66]]></LongProp>
</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B160B-DEDE-46B4-AE76-339CFED54E2E}">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B697C432-3E24-4FAE-BE3A-D74D954A4F0D}">
  <ds:schemaRefs>
    <ds:schemaRef ds:uri="http://schemas.openxmlformats.org/officeDocument/2006/bibliography"/>
  </ds:schemaRefs>
</ds:datastoreItem>
</file>

<file path=customXml/itemProps3.xml><?xml version="1.0" encoding="utf-8"?>
<ds:datastoreItem xmlns:ds="http://schemas.openxmlformats.org/officeDocument/2006/customXml" ds:itemID="{2F7C03E9-27FD-41A0-80B4-C144A9A70DF6}"/>
</file>

<file path=customXml/itemProps4.xml><?xml version="1.0" encoding="utf-8"?>
<ds:datastoreItem xmlns:ds="http://schemas.openxmlformats.org/officeDocument/2006/customXml" ds:itemID="{03522AEC-B9FB-41BF-A912-DBF545108775}"/>
</file>

<file path=customXml/itemProps5.xml><?xml version="1.0" encoding="utf-8"?>
<ds:datastoreItem xmlns:ds="http://schemas.openxmlformats.org/officeDocument/2006/customXml" ds:itemID="{17D44325-18C2-44CF-B3E7-03C88F93CD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CAISO</Company>
  <LinksUpToDate>false</LinksUpToDate>
  <CharactersWithSpaces>4129</CharactersWithSpaces>
  <SharedDoc>false</SharedDoc>
  <HLinks>
    <vt:vector size="24" baseType="variant">
      <vt:variant>
        <vt:i4>6422613</vt:i4>
      </vt:variant>
      <vt:variant>
        <vt:i4>27</vt:i4>
      </vt:variant>
      <vt:variant>
        <vt:i4>0</vt:i4>
      </vt:variant>
      <vt:variant>
        <vt:i4>5</vt:i4>
      </vt:variant>
      <vt:variant>
        <vt:lpwstr>mailto:scrowley@caiso.com</vt:lpwstr>
      </vt:variant>
      <vt:variant>
        <vt:lpwstr/>
      </vt:variant>
      <vt:variant>
        <vt:i4>2490384</vt:i4>
      </vt:variant>
      <vt:variant>
        <vt:i4>6</vt:i4>
      </vt:variant>
      <vt:variant>
        <vt:i4>0</vt:i4>
      </vt:variant>
      <vt:variant>
        <vt:i4>5</vt:i4>
      </vt:variant>
      <vt:variant>
        <vt:lpwstr>http://www.caiso.com/Documents/DecisionEIM_GovernanceProposal-Attach1-Proposal-Dec2013.pdf</vt:lpwstr>
      </vt:variant>
      <vt:variant>
        <vt:lpwstr/>
      </vt:variant>
      <vt:variant>
        <vt:i4>6553605</vt:i4>
      </vt:variant>
      <vt:variant>
        <vt:i4>3</vt:i4>
      </vt:variant>
      <vt:variant>
        <vt:i4>0</vt:i4>
      </vt:variant>
      <vt:variant>
        <vt:i4>5</vt:i4>
      </vt:variant>
      <vt:variant>
        <vt:lpwstr>http://www.caiso.com/Documents/DecisionEIM_GovernanceProposal-Attach2-Committee Charter-Dec2013.pdf</vt:lpwstr>
      </vt:variant>
      <vt:variant>
        <vt:lpwstr/>
      </vt:variant>
      <vt:variant>
        <vt:i4>7012428</vt:i4>
      </vt:variant>
      <vt:variant>
        <vt:i4>0</vt:i4>
      </vt:variant>
      <vt:variant>
        <vt:i4>0</vt:i4>
      </vt:variant>
      <vt:variant>
        <vt:i4>5</vt:i4>
      </vt:variant>
      <vt:variant>
        <vt:lpwstr>mailto:skarpinen@caiso.com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Delphine</dc:creator>
  <cp:keywords/>
  <cp:lastModifiedBy>Morgan, Amanda</cp:lastModifiedBy>
  <cp:revision>2</cp:revision>
  <cp:lastPrinted>2013-10-22T20:43:00Z</cp:lastPrinted>
  <dcterms:created xsi:type="dcterms:W3CDTF">2025-07-16T22:56:00Z</dcterms:created>
  <dcterms:modified xsi:type="dcterms:W3CDTF">2025-07-16T22:56:00Z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/sites/GCA/legal/Records</vt:lpwstr>
  </property>
  <property fmtid="{D5CDD505-2E9C-101B-9397-08002B2CF9AE}" pid="4" name="_dlc_DocId">
    <vt:lpwstr>3NFDMFEUU6AB-59-27255</vt:lpwstr>
  </property>
  <property fmtid="{D5CDD505-2E9C-101B-9397-08002B2CF9AE}" pid="5" name="_dlc_DocIdItemGuid">
    <vt:lpwstr>8ec5c1b7-1fc3-424b-8e95-a5d4eba81faf</vt:lpwstr>
  </property>
  <property fmtid="{D5CDD505-2E9C-101B-9397-08002B2CF9AE}" pid="6" name="_dlc_DocIdUrl">
    <vt:lpwstr>https://records.oa.caiso.com/sites/GCA/legal/_layouts/DocIdRedir.aspx?ID=3NFDMFEUU6AB-59-27255, 3NFDMFEUU6AB-59-27255</vt:lpwstr>
  </property>
  <property fmtid="{D5CDD505-2E9C-101B-9397-08002B2CF9AE}" pid="7" name="display_urn:schemas-microsoft-com:office:office#Doc_x0020_Owner">
    <vt:lpwstr>Parker Helget, Mercy</vt:lpwstr>
  </property>
  <property fmtid="{D5CDD505-2E9C-101B-9397-08002B2CF9AE}" pid="8" name="ContentTypeId">
    <vt:lpwstr>0x010100776092249CC62C48AA17033F357BFB4B</vt:lpwstr>
  </property>
  <property fmtid="{D5CDD505-2E9C-101B-9397-08002B2CF9AE}" pid="9" name="Date Became Record">
    <vt:lpwstr>2013-10-09T16:24:26Z</vt:lpwstr>
  </property>
  <property fmtid="{D5CDD505-2E9C-101B-9397-08002B2CF9AE}" pid="10" name="Division">
    <vt:lpwstr>General Counsel &amp; Administration</vt:lpwstr>
  </property>
  <property fmtid="{D5CDD505-2E9C-101B-9397-08002B2CF9AE}" pid="11" name="InfoSec Classification">
    <vt:lpwstr>California ISO CONFIDENTIAL. For use by authorized California ISO personnel only with a need to know. Do not release or disclose outside the California ISO.</vt:lpwstr>
  </property>
  <property fmtid="{D5CDD505-2E9C-101B-9397-08002B2CF9AE}" pid="12" name="Doc Status">
    <vt:lpwstr>Draft</vt:lpwstr>
  </property>
  <property fmtid="{D5CDD505-2E9C-101B-9397-08002B2CF9AE}" pid="13" name="ISO Department">
    <vt:lpwstr>Customer Service and Stakeholder Affairs</vt:lpwstr>
  </property>
  <property fmtid="{D5CDD505-2E9C-101B-9397-08002B2CF9AE}" pid="14" name="Doc Owner">
    <vt:lpwstr>689</vt:lpwstr>
  </property>
  <property fmtid="{D5CDD505-2E9C-101B-9397-08002B2CF9AE}" pid="15" name="Intellectual Property Type">
    <vt:lpwstr/>
  </property>
  <property fmtid="{D5CDD505-2E9C-101B-9397-08002B2CF9AE}" pid="16" name="ISOTopic">
    <vt:lpwstr>7;#Stakeholder processes|71659ab1-dac7-419e-9529-abc47c232b66</vt:lpwstr>
  </property>
  <property fmtid="{D5CDD505-2E9C-101B-9397-08002B2CF9AE}" pid="17" name="ISOKeywords">
    <vt:lpwstr>2430;#template|a00c58fd-ed4a-4c30-be02-1fbdc935427e;#1147;#Energy Imbalance Market|9ea0293c-310a-474a-b5d2-82a2d1ca4395</vt:lpwstr>
  </property>
  <property fmtid="{D5CDD505-2E9C-101B-9397-08002B2CF9AE}" pid="18" name="ISOGroup">
    <vt:lpwstr>2416;#Energy imbalance market - sector participation|99207d68-8620-4689-9433-bb94df8fd1ad;#2421;#Web conference Jan 22-23, 2014|e13b405c-e29a-4b73-bb21-a2015f389384</vt:lpwstr>
  </property>
  <property fmtid="{D5CDD505-2E9C-101B-9397-08002B2CF9AE}" pid="19" name="ISOArchive">
    <vt:lpwstr/>
  </property>
</Properties>
</file>