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B538" w14:textId="77777777" w:rsidR="00CB2F1D" w:rsidRPr="00E27FC5" w:rsidRDefault="00356B3E" w:rsidP="00CB2F1D">
      <w:pPr>
        <w:pStyle w:val="Heading1"/>
        <w:keepNext w:val="0"/>
        <w:keepLines/>
        <w:widowControl w:val="0"/>
        <w:jc w:val="right"/>
        <w:rPr>
          <w:rFonts w:ascii="Times New Roman" w:hAnsi="Times New Roman"/>
          <w:color w:val="000000"/>
          <w:sz w:val="32"/>
          <w:szCs w:val="32"/>
        </w:rPr>
      </w:pPr>
      <w:r w:rsidRPr="00E27FC5">
        <w:rPr>
          <w:rFonts w:ascii="Times New Roman" w:hAnsi="Times New Roman"/>
          <w:color w:val="000000"/>
          <w:sz w:val="32"/>
          <w:szCs w:val="32"/>
        </w:rPr>
        <w:t>Attachment A</w:t>
      </w:r>
    </w:p>
    <w:p w14:paraId="78680ADE" w14:textId="77777777" w:rsidR="004438B2" w:rsidRPr="00BE06F6" w:rsidRDefault="004438B2" w:rsidP="00B66548">
      <w:pPr>
        <w:pStyle w:val="Heading1"/>
        <w:keepNext w:val="0"/>
        <w:keepLines/>
        <w:widowControl w:val="0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 w:rsidRPr="00BE06F6">
        <w:rPr>
          <w:rFonts w:ascii="Times New Roman" w:hAnsi="Times New Roman"/>
          <w:color w:val="000000"/>
          <w:sz w:val="36"/>
          <w:szCs w:val="36"/>
          <w:u w:val="single"/>
        </w:rPr>
        <w:t xml:space="preserve">Stakeholder Process: </w:t>
      </w:r>
      <w:r w:rsidR="000003BB">
        <w:rPr>
          <w:rFonts w:ascii="Times New Roman" w:hAnsi="Times New Roman"/>
          <w:color w:val="000000"/>
          <w:sz w:val="36"/>
          <w:szCs w:val="36"/>
          <w:u w:val="single"/>
        </w:rPr>
        <w:t>Proxy Demand Resource</w:t>
      </w:r>
    </w:p>
    <w:p w14:paraId="4A75EB92" w14:textId="77777777" w:rsidR="004438B2" w:rsidRPr="00E27FC5" w:rsidRDefault="004438B2" w:rsidP="00B66548">
      <w:pPr>
        <w:keepLines/>
        <w:widowControl w:val="0"/>
        <w:rPr>
          <w:sz w:val="32"/>
          <w:szCs w:val="32"/>
        </w:rPr>
      </w:pPr>
    </w:p>
    <w:p w14:paraId="28DB22DF" w14:textId="77777777" w:rsidR="004438B2" w:rsidRPr="00BE06F6" w:rsidRDefault="004438B2" w:rsidP="00B66548">
      <w:pPr>
        <w:pStyle w:val="Closing"/>
        <w:keepNext w:val="0"/>
        <w:keepLines/>
        <w:widowControl w:val="0"/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E06F6">
        <w:rPr>
          <w:rFonts w:ascii="Times New Roman" w:hAnsi="Times New Roman"/>
          <w:b/>
          <w:sz w:val="44"/>
          <w:szCs w:val="44"/>
        </w:rPr>
        <w:t xml:space="preserve">Summary of Submitted Comments </w:t>
      </w:r>
    </w:p>
    <w:p w14:paraId="79D58EE3" w14:textId="77777777" w:rsidR="004438B2" w:rsidRPr="00E27FC5" w:rsidRDefault="004438B2" w:rsidP="00B66548">
      <w:pPr>
        <w:keepLines/>
        <w:widowControl w:val="0"/>
        <w:rPr>
          <w:b/>
          <w:bCs/>
          <w:sz w:val="20"/>
          <w:szCs w:val="20"/>
        </w:rPr>
      </w:pPr>
    </w:p>
    <w:p w14:paraId="10D79E6B" w14:textId="77777777" w:rsidR="004438B2" w:rsidRPr="00E27FC5" w:rsidRDefault="00422305" w:rsidP="00B66548">
      <w:pPr>
        <w:keepLines/>
        <w:widowControl w:val="0"/>
        <w:rPr>
          <w:b/>
          <w:bCs/>
        </w:rPr>
      </w:pPr>
      <w:r w:rsidRPr="00E27FC5">
        <w:rPr>
          <w:b/>
          <w:bCs/>
        </w:rPr>
        <w:t>Stakeholders submitt</w:t>
      </w:r>
      <w:r w:rsidR="000003BB">
        <w:rPr>
          <w:b/>
          <w:bCs/>
        </w:rPr>
        <w:t>ed four</w:t>
      </w:r>
      <w:r w:rsidR="004438B2" w:rsidRPr="00E27FC5">
        <w:rPr>
          <w:b/>
          <w:bCs/>
        </w:rPr>
        <w:t xml:space="preserve"> rounds of written comments to the CAISO on the following dates:</w:t>
      </w:r>
    </w:p>
    <w:p w14:paraId="3AE51D67" w14:textId="77777777" w:rsidR="004438B2" w:rsidRPr="00E27FC5" w:rsidRDefault="004438B2" w:rsidP="00B66548">
      <w:pPr>
        <w:keepLines/>
        <w:widowControl w:val="0"/>
      </w:pPr>
    </w:p>
    <w:p w14:paraId="02A5CA8B" w14:textId="77777777" w:rsidR="00660CE7" w:rsidRPr="00660CE7" w:rsidRDefault="004438B2" w:rsidP="006F233D">
      <w:pPr>
        <w:pStyle w:val="Closing"/>
        <w:keepNext w:val="0"/>
        <w:keepLines/>
        <w:widowControl w:val="0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7FC5">
        <w:rPr>
          <w:rFonts w:ascii="Times New Roman" w:hAnsi="Times New Roman"/>
          <w:sz w:val="24"/>
          <w:szCs w:val="24"/>
        </w:rPr>
        <w:t xml:space="preserve">Round </w:t>
      </w:r>
      <w:r w:rsidR="00415FA8">
        <w:rPr>
          <w:rFonts w:ascii="Times New Roman" w:hAnsi="Times New Roman"/>
          <w:sz w:val="24"/>
          <w:szCs w:val="24"/>
        </w:rPr>
        <w:t>One</w:t>
      </w:r>
      <w:r w:rsidR="006F233D">
        <w:rPr>
          <w:rFonts w:ascii="Times New Roman" w:hAnsi="Times New Roman"/>
          <w:sz w:val="24"/>
          <w:szCs w:val="24"/>
        </w:rPr>
        <w:t>,</w:t>
      </w:r>
      <w:r w:rsidR="00415FA8">
        <w:rPr>
          <w:rFonts w:ascii="Times New Roman" w:hAnsi="Times New Roman"/>
          <w:sz w:val="24"/>
          <w:szCs w:val="24"/>
        </w:rPr>
        <w:t xml:space="preserve"> </w:t>
      </w:r>
      <w:r w:rsidR="00660CE7">
        <w:rPr>
          <w:rFonts w:ascii="Times New Roman" w:hAnsi="Times New Roman"/>
          <w:sz w:val="24"/>
          <w:szCs w:val="24"/>
        </w:rPr>
        <w:t>11/12/2008</w:t>
      </w:r>
    </w:p>
    <w:p w14:paraId="2D57ECF8" w14:textId="77777777" w:rsidR="004438B2" w:rsidRPr="00E27FC5" w:rsidRDefault="00660CE7" w:rsidP="006F233D">
      <w:pPr>
        <w:pStyle w:val="Closing"/>
        <w:keepNext w:val="0"/>
        <w:keepLines/>
        <w:widowControl w:val="0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Round </w:t>
      </w:r>
      <w:proofErr w:type="gramStart"/>
      <w:r>
        <w:rPr>
          <w:rFonts w:ascii="Times New Roman" w:hAnsi="Times New Roman"/>
          <w:sz w:val="24"/>
          <w:szCs w:val="24"/>
        </w:rPr>
        <w:t xml:space="preserve">Two,   </w:t>
      </w:r>
      <w:proofErr w:type="gramEnd"/>
      <w:r w:rsidR="006F233D">
        <w:rPr>
          <w:rFonts w:ascii="Times New Roman" w:hAnsi="Times New Roman"/>
          <w:sz w:val="24"/>
          <w:szCs w:val="24"/>
        </w:rPr>
        <w:t>1/12</w:t>
      </w:r>
      <w:r w:rsidR="00422305" w:rsidRPr="00E27FC5">
        <w:rPr>
          <w:rFonts w:ascii="Times New Roman" w:hAnsi="Times New Roman"/>
          <w:sz w:val="24"/>
          <w:szCs w:val="24"/>
        </w:rPr>
        <w:t>/</w:t>
      </w:r>
      <w:r w:rsidR="006F233D">
        <w:rPr>
          <w:rFonts w:ascii="Times New Roman" w:hAnsi="Times New Roman"/>
          <w:sz w:val="24"/>
          <w:szCs w:val="24"/>
        </w:rPr>
        <w:t>2009</w:t>
      </w:r>
    </w:p>
    <w:p w14:paraId="212AC1F6" w14:textId="77777777" w:rsidR="00CE5D23" w:rsidRPr="00E27FC5" w:rsidRDefault="004438B2" w:rsidP="006F233D">
      <w:pPr>
        <w:keepLines/>
        <w:widowControl w:val="0"/>
        <w:numPr>
          <w:ilvl w:val="0"/>
          <w:numId w:val="20"/>
        </w:numPr>
      </w:pPr>
      <w:r w:rsidRPr="00E27FC5">
        <w:t xml:space="preserve">Round </w:t>
      </w:r>
      <w:r w:rsidR="00660CE7">
        <w:t xml:space="preserve">Three, </w:t>
      </w:r>
      <w:r w:rsidR="006F233D">
        <w:t>3/20/2009</w:t>
      </w:r>
    </w:p>
    <w:p w14:paraId="005FB903" w14:textId="77777777" w:rsidR="004438B2" w:rsidRPr="00E27FC5" w:rsidRDefault="00CE5D23" w:rsidP="006F233D">
      <w:pPr>
        <w:keepLines/>
        <w:widowControl w:val="0"/>
        <w:numPr>
          <w:ilvl w:val="0"/>
          <w:numId w:val="20"/>
        </w:numPr>
      </w:pPr>
      <w:r w:rsidRPr="00E27FC5">
        <w:t>Round</w:t>
      </w:r>
      <w:r w:rsidR="00660CE7">
        <w:t xml:space="preserve"> </w:t>
      </w:r>
      <w:proofErr w:type="gramStart"/>
      <w:r w:rsidR="00660CE7">
        <w:t>Four</w:t>
      </w:r>
      <w:r w:rsidR="006F233D">
        <w:t>,</w:t>
      </w:r>
      <w:r w:rsidRPr="00E27FC5">
        <w:t xml:space="preserve"> </w:t>
      </w:r>
      <w:r w:rsidR="00660CE7">
        <w:t xml:space="preserve"> </w:t>
      </w:r>
      <w:r w:rsidR="006F233D">
        <w:t>4</w:t>
      </w:r>
      <w:proofErr w:type="gramEnd"/>
      <w:r w:rsidR="006F233D">
        <w:t>/29/2009</w:t>
      </w:r>
    </w:p>
    <w:p w14:paraId="734955DE" w14:textId="77777777" w:rsidR="004438B2" w:rsidRPr="00E27FC5" w:rsidRDefault="004438B2" w:rsidP="00B66548">
      <w:pPr>
        <w:keepLines/>
        <w:widowControl w:val="0"/>
        <w:ind w:left="360"/>
      </w:pPr>
    </w:p>
    <w:p w14:paraId="5F70252D" w14:textId="77777777" w:rsidR="004438B2" w:rsidRDefault="004438B2" w:rsidP="00B66548">
      <w:pPr>
        <w:pStyle w:val="Closing"/>
        <w:keepNext w:val="0"/>
        <w:keepLines/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27FC5">
        <w:rPr>
          <w:rFonts w:ascii="Times New Roman" w:hAnsi="Times New Roman"/>
          <w:b/>
          <w:sz w:val="24"/>
          <w:szCs w:val="24"/>
        </w:rPr>
        <w:t>Stakeholder comments are posted at</w:t>
      </w:r>
      <w:r w:rsidR="006F233D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6F233D" w:rsidRPr="00515192">
          <w:rPr>
            <w:rStyle w:val="Hyperlink"/>
            <w:b/>
          </w:rPr>
          <w:t>http://www.caiso.com/1893/1893e350393b0.html</w:t>
        </w:r>
      </w:hyperlink>
    </w:p>
    <w:p w14:paraId="6C4F1D6A" w14:textId="77777777" w:rsidR="006F233D" w:rsidRDefault="006F233D" w:rsidP="00B66548">
      <w:pPr>
        <w:pStyle w:val="Closing"/>
        <w:keepNext w:val="0"/>
        <w:keepLines/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2286531" w14:textId="77777777" w:rsidR="006F233D" w:rsidRDefault="006F233D" w:rsidP="00B66548">
      <w:pPr>
        <w:pStyle w:val="Closing"/>
        <w:keepNext w:val="0"/>
        <w:keepLines/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2BEE20A" w14:textId="77777777" w:rsidR="004438B2" w:rsidRPr="00E27FC5" w:rsidRDefault="004438B2" w:rsidP="00B66548">
      <w:pPr>
        <w:keepLines/>
        <w:widowControl w:val="0"/>
        <w:rPr>
          <w:b/>
          <w:bCs/>
        </w:rPr>
      </w:pPr>
      <w:r w:rsidRPr="00E27FC5">
        <w:rPr>
          <w:b/>
          <w:bCs/>
        </w:rPr>
        <w:t>Other stakeholder efforts include:</w:t>
      </w:r>
    </w:p>
    <w:p w14:paraId="7FF28048" w14:textId="77777777" w:rsidR="004438B2" w:rsidRPr="00E27FC5" w:rsidRDefault="004438B2" w:rsidP="006F233D">
      <w:pPr>
        <w:keepLines/>
        <w:widowControl w:val="0"/>
      </w:pPr>
    </w:p>
    <w:p w14:paraId="15304484" w14:textId="77777777" w:rsidR="00CE5D23" w:rsidRDefault="006F233D" w:rsidP="006F233D">
      <w:pPr>
        <w:keepLines/>
        <w:widowControl w:val="0"/>
        <w:numPr>
          <w:ilvl w:val="0"/>
          <w:numId w:val="18"/>
        </w:numPr>
      </w:pPr>
      <w:r>
        <w:t>Conference Calls</w:t>
      </w:r>
    </w:p>
    <w:p w14:paraId="77C14741" w14:textId="77777777" w:rsidR="006F233D" w:rsidRPr="00660CE7" w:rsidRDefault="006F233D" w:rsidP="00660CE7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0CE7">
        <w:rPr>
          <w:rFonts w:ascii="Times New Roman" w:hAnsi="Times New Roman"/>
          <w:sz w:val="24"/>
          <w:szCs w:val="24"/>
        </w:rPr>
        <w:t>1/5/2009</w:t>
      </w:r>
    </w:p>
    <w:p w14:paraId="4CD77782" w14:textId="77777777" w:rsidR="006F233D" w:rsidRPr="00660CE7" w:rsidRDefault="006F233D" w:rsidP="00660CE7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0CE7">
        <w:rPr>
          <w:rFonts w:ascii="Times New Roman" w:hAnsi="Times New Roman"/>
          <w:sz w:val="24"/>
          <w:szCs w:val="24"/>
        </w:rPr>
        <w:t>2/27/2009</w:t>
      </w:r>
    </w:p>
    <w:p w14:paraId="0110897A" w14:textId="77777777" w:rsidR="006F233D" w:rsidRPr="00660CE7" w:rsidRDefault="006F233D" w:rsidP="00660CE7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0CE7">
        <w:rPr>
          <w:rFonts w:ascii="Times New Roman" w:hAnsi="Times New Roman"/>
          <w:sz w:val="24"/>
          <w:szCs w:val="24"/>
        </w:rPr>
        <w:t>3/20/2009</w:t>
      </w:r>
    </w:p>
    <w:p w14:paraId="7276B93A" w14:textId="77777777" w:rsidR="006F233D" w:rsidRPr="00660CE7" w:rsidRDefault="00660CE7" w:rsidP="00660CE7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0CE7">
        <w:rPr>
          <w:rFonts w:ascii="Times New Roman" w:hAnsi="Times New Roman"/>
          <w:sz w:val="24"/>
          <w:szCs w:val="24"/>
        </w:rPr>
        <w:t>4/22/2008</w:t>
      </w:r>
    </w:p>
    <w:p w14:paraId="4FACD0D8" w14:textId="77777777" w:rsidR="006F233D" w:rsidRPr="00E27FC5" w:rsidRDefault="006F233D" w:rsidP="006F233D">
      <w:pPr>
        <w:keepLines/>
        <w:widowControl w:val="0"/>
      </w:pPr>
    </w:p>
    <w:p w14:paraId="33D4CDB4" w14:textId="77777777" w:rsidR="000368AD" w:rsidRDefault="00660CE7" w:rsidP="00B66548">
      <w:pPr>
        <w:pStyle w:val="Closing"/>
        <w:keepNext w:val="0"/>
        <w:keepLines/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5388D">
        <w:rPr>
          <w:rFonts w:ascii="Times New Roman" w:hAnsi="Times New Roman"/>
          <w:sz w:val="24"/>
          <w:szCs w:val="24"/>
        </w:rPr>
        <w:t>n-person meetings</w:t>
      </w:r>
    </w:p>
    <w:p w14:paraId="05E44710" w14:textId="77777777" w:rsidR="00660CE7" w:rsidRDefault="00660CE7" w:rsidP="006F233D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11/5/2008</w:t>
      </w:r>
    </w:p>
    <w:p w14:paraId="2186EE08" w14:textId="77777777" w:rsidR="006F233D" w:rsidRDefault="006F233D" w:rsidP="00660CE7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1/15/2009</w:t>
      </w:r>
    </w:p>
    <w:p w14:paraId="50666BBE" w14:textId="77777777" w:rsidR="006F233D" w:rsidRDefault="006F233D" w:rsidP="006F233D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3/12/2009</w:t>
      </w:r>
    </w:p>
    <w:p w14:paraId="044032C4" w14:textId="77777777" w:rsidR="006F233D" w:rsidRPr="00E27FC5" w:rsidRDefault="006F233D" w:rsidP="00660CE7">
      <w:pPr>
        <w:pStyle w:val="Closing"/>
        <w:keepNext w:val="0"/>
        <w:keepLines/>
        <w:widowControl w:val="0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DE83B68" w14:textId="77777777" w:rsidR="002675A5" w:rsidRDefault="00660CE7" w:rsidP="00B66548">
      <w:pPr>
        <w:pStyle w:val="Closing"/>
        <w:keepNext w:val="0"/>
        <w:keepLines/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stakeholder efforts</w:t>
      </w:r>
    </w:p>
    <w:p w14:paraId="413BD315" w14:textId="77777777" w:rsidR="005409B1" w:rsidRPr="0065388D" w:rsidRDefault="00DF4EF8" w:rsidP="005409B1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Three in person w</w:t>
      </w:r>
      <w:r w:rsidR="00660CE7">
        <w:rPr>
          <w:rFonts w:ascii="Times New Roman" w:hAnsi="Times New Roman"/>
          <w:sz w:val="24"/>
          <w:szCs w:val="24"/>
        </w:rPr>
        <w:t xml:space="preserve">orking group meetings to refine proxy demand resource </w:t>
      </w:r>
      <w:proofErr w:type="gramStart"/>
      <w:r w:rsidR="00660CE7">
        <w:rPr>
          <w:rFonts w:ascii="Times New Roman" w:hAnsi="Times New Roman"/>
          <w:sz w:val="24"/>
          <w:szCs w:val="24"/>
        </w:rPr>
        <w:t>proposal  held</w:t>
      </w:r>
      <w:proofErr w:type="gramEnd"/>
      <w:r w:rsidR="00660CE7">
        <w:rPr>
          <w:rFonts w:ascii="Times New Roman" w:hAnsi="Times New Roman"/>
          <w:sz w:val="24"/>
          <w:szCs w:val="24"/>
        </w:rPr>
        <w:t xml:space="preserve"> in January – February 2009</w:t>
      </w:r>
    </w:p>
    <w:p w14:paraId="2F1D9F5A" w14:textId="77777777" w:rsidR="00660CE7" w:rsidRDefault="00660CE7" w:rsidP="00660CE7">
      <w:pPr>
        <w:pStyle w:val="Closing"/>
        <w:keepNext w:val="0"/>
        <w:keepLines/>
        <w:widowControl w:val="0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Demand Response technical design sessions held in July – August of 2008</w:t>
      </w:r>
    </w:p>
    <w:p w14:paraId="1E77078E" w14:textId="77777777" w:rsidR="005409B1" w:rsidRPr="00E27FC5" w:rsidRDefault="005409B1" w:rsidP="00660CE7">
      <w:pPr>
        <w:pStyle w:val="Closing"/>
        <w:keepNext w:val="0"/>
        <w:keepLines/>
        <w:widowControl w:val="0"/>
        <w:spacing w:line="240" w:lineRule="auto"/>
        <w:ind w:left="720"/>
        <w:rPr>
          <w:rFonts w:ascii="Times New Roman" w:hAnsi="Times New Roman"/>
        </w:rPr>
        <w:sectPr w:rsidR="005409B1" w:rsidRPr="00E27FC5" w:rsidSect="00C22D8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 w:code="1"/>
          <w:pgMar w:top="1620" w:right="1440" w:bottom="1440" w:left="1440" w:header="720" w:footer="720" w:gutter="0"/>
          <w:cols w:space="720"/>
          <w:docGrid w:linePitch="360"/>
        </w:sectPr>
      </w:pPr>
    </w:p>
    <w:p w14:paraId="57698D7A" w14:textId="77777777" w:rsidR="005409B1" w:rsidRPr="00E27FC5" w:rsidRDefault="005409B1" w:rsidP="005409B1">
      <w:pPr>
        <w:pStyle w:val="Closing"/>
        <w:keepNext w:val="0"/>
        <w:keepLines/>
        <w:widowControl w:val="0"/>
        <w:spacing w:line="240" w:lineRule="auto"/>
        <w:rPr>
          <w:rFonts w:ascii="Times New Roman" w:hAnsi="Times New Roman"/>
        </w:rPr>
      </w:pPr>
    </w:p>
    <w:p w14:paraId="076578AF" w14:textId="77777777" w:rsidR="008762CE" w:rsidRPr="00E27FC5" w:rsidRDefault="008762CE" w:rsidP="00B66548">
      <w:pPr>
        <w:pStyle w:val="Closing"/>
        <w:keepNext w:val="0"/>
        <w:keepLines/>
        <w:widowControl w:val="0"/>
        <w:spacing w:line="240" w:lineRule="auto"/>
        <w:ind w:left="3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15"/>
        <w:gridCol w:w="2140"/>
        <w:gridCol w:w="2118"/>
        <w:gridCol w:w="2222"/>
        <w:gridCol w:w="2340"/>
        <w:gridCol w:w="4471"/>
      </w:tblGrid>
      <w:tr w:rsidR="00245D97" w:rsidRPr="00E27FC5" w14:paraId="3BABF9EC" w14:textId="77777777" w:rsidTr="00A85E16">
        <w:tblPrEx>
          <w:tblCellMar>
            <w:top w:w="0" w:type="dxa"/>
            <w:bottom w:w="0" w:type="dxa"/>
          </w:tblCellMar>
        </w:tblPrEx>
        <w:trPr>
          <w:trHeight w:val="251"/>
          <w:tblHeader/>
        </w:trPr>
        <w:tc>
          <w:tcPr>
            <w:tcW w:w="1915" w:type="dxa"/>
            <w:shd w:val="clear" w:color="auto" w:fill="00FFFF"/>
            <w:vAlign w:val="center"/>
          </w:tcPr>
          <w:p w14:paraId="5AD3929C" w14:textId="77777777" w:rsidR="00245D97" w:rsidRPr="00E27FC5" w:rsidRDefault="0024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27FC5">
              <w:rPr>
                <w:b/>
                <w:bCs/>
                <w:sz w:val="20"/>
                <w:szCs w:val="20"/>
              </w:rPr>
              <w:t>Management Proposal</w:t>
            </w:r>
          </w:p>
        </w:tc>
        <w:tc>
          <w:tcPr>
            <w:tcW w:w="2140" w:type="dxa"/>
            <w:shd w:val="clear" w:color="auto" w:fill="00FFFF"/>
            <w:vAlign w:val="center"/>
          </w:tcPr>
          <w:p w14:paraId="01AC5DFE" w14:textId="77777777" w:rsidR="00245D97" w:rsidRPr="00E27FC5" w:rsidRDefault="0024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27FC5">
              <w:rPr>
                <w:b/>
                <w:bCs/>
                <w:sz w:val="20"/>
                <w:szCs w:val="20"/>
              </w:rPr>
              <w:t>Stakeholder A</w:t>
            </w:r>
          </w:p>
        </w:tc>
        <w:tc>
          <w:tcPr>
            <w:tcW w:w="2118" w:type="dxa"/>
            <w:shd w:val="clear" w:color="auto" w:fill="00FFFF"/>
            <w:vAlign w:val="center"/>
          </w:tcPr>
          <w:p w14:paraId="4C9E7B4A" w14:textId="77777777" w:rsidR="00DF430E" w:rsidRDefault="00DF43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ECB18E" w14:textId="77777777" w:rsidR="00245D97" w:rsidRDefault="00C126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Stakeholder B</w:t>
            </w:r>
          </w:p>
          <w:p w14:paraId="7164861A" w14:textId="77777777" w:rsidR="00C126EF" w:rsidRPr="00E27FC5" w:rsidRDefault="00C126EF" w:rsidP="00DF43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00FFFF"/>
            <w:vAlign w:val="center"/>
          </w:tcPr>
          <w:p w14:paraId="3879747A" w14:textId="77777777" w:rsidR="00245D97" w:rsidRPr="00E27FC5" w:rsidRDefault="0024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27FC5">
              <w:rPr>
                <w:b/>
                <w:bCs/>
                <w:sz w:val="20"/>
                <w:szCs w:val="20"/>
              </w:rPr>
              <w:t>Stakeholder C</w:t>
            </w:r>
          </w:p>
        </w:tc>
        <w:tc>
          <w:tcPr>
            <w:tcW w:w="2340" w:type="dxa"/>
            <w:shd w:val="clear" w:color="auto" w:fill="00FFFF"/>
            <w:vAlign w:val="center"/>
          </w:tcPr>
          <w:p w14:paraId="26764EDA" w14:textId="77777777" w:rsidR="00245D97" w:rsidRPr="00E27FC5" w:rsidRDefault="0024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27FC5">
              <w:rPr>
                <w:b/>
                <w:bCs/>
                <w:sz w:val="20"/>
                <w:szCs w:val="20"/>
              </w:rPr>
              <w:t>Stakeholder D</w:t>
            </w:r>
          </w:p>
        </w:tc>
        <w:tc>
          <w:tcPr>
            <w:tcW w:w="4471" w:type="dxa"/>
            <w:shd w:val="clear" w:color="auto" w:fill="00FFFF"/>
            <w:vAlign w:val="center"/>
          </w:tcPr>
          <w:p w14:paraId="23BBD591" w14:textId="77777777" w:rsidR="00245D97" w:rsidRDefault="0024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27FC5">
              <w:rPr>
                <w:b/>
                <w:bCs/>
                <w:sz w:val="20"/>
                <w:szCs w:val="20"/>
              </w:rPr>
              <w:t>Management Response</w:t>
            </w:r>
          </w:p>
          <w:p w14:paraId="77FCE361" w14:textId="77777777" w:rsidR="00DF430E" w:rsidRPr="00E27FC5" w:rsidRDefault="00DF43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( Completed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by the ISO)</w:t>
            </w:r>
          </w:p>
        </w:tc>
      </w:tr>
      <w:tr w:rsidR="00437500" w:rsidRPr="00E27FC5" w14:paraId="1600480A" w14:textId="77777777" w:rsidTr="00A85E1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15" w:type="dxa"/>
            <w:vAlign w:val="center"/>
          </w:tcPr>
          <w:p w14:paraId="4F9FABF9" w14:textId="77777777" w:rsidR="00B957E5" w:rsidRPr="00B957E5" w:rsidRDefault="00480492" w:rsidP="00B95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957E5">
              <w:rPr>
                <w:sz w:val="20"/>
                <w:szCs w:val="20"/>
              </w:rPr>
              <w:t xml:space="preserve">etail demand response aggregator (curtailment service </w:t>
            </w:r>
            <w:proofErr w:type="gramStart"/>
            <w:r w:rsidR="00B957E5">
              <w:rPr>
                <w:sz w:val="20"/>
                <w:szCs w:val="20"/>
              </w:rPr>
              <w:t>provider)  may</w:t>
            </w:r>
            <w:proofErr w:type="gramEnd"/>
            <w:r w:rsidR="00B957E5">
              <w:rPr>
                <w:sz w:val="20"/>
                <w:szCs w:val="20"/>
              </w:rPr>
              <w:t xml:space="preserve"> bid demand r</w:t>
            </w:r>
            <w:r w:rsidR="00B957E5" w:rsidRPr="00B957E5">
              <w:rPr>
                <w:sz w:val="20"/>
                <w:szCs w:val="20"/>
              </w:rPr>
              <w:t>esponse directly into the ISO’s energy and a</w:t>
            </w:r>
            <w:r w:rsidR="00B957E5">
              <w:rPr>
                <w:sz w:val="20"/>
                <w:szCs w:val="20"/>
              </w:rPr>
              <w:t xml:space="preserve">ncillary service markets and </w:t>
            </w:r>
            <w:r w:rsidR="00B957E5" w:rsidRPr="00B957E5">
              <w:rPr>
                <w:sz w:val="20"/>
                <w:szCs w:val="20"/>
              </w:rPr>
              <w:t>p</w:t>
            </w:r>
            <w:r w:rsidR="00B957E5">
              <w:rPr>
                <w:sz w:val="20"/>
                <w:szCs w:val="20"/>
              </w:rPr>
              <w:t xml:space="preserve">articipate separately from the load serving </w:t>
            </w:r>
            <w:proofErr w:type="gramStart"/>
            <w:r w:rsidR="00B957E5">
              <w:rPr>
                <w:sz w:val="20"/>
                <w:szCs w:val="20"/>
              </w:rPr>
              <w:t xml:space="preserve">entity </w:t>
            </w:r>
            <w:r w:rsidR="00B957E5" w:rsidRPr="00B957E5">
              <w:rPr>
                <w:sz w:val="20"/>
                <w:szCs w:val="20"/>
              </w:rPr>
              <w:t xml:space="preserve"> as</w:t>
            </w:r>
            <w:proofErr w:type="gramEnd"/>
            <w:r w:rsidR="00B957E5" w:rsidRPr="00B957E5">
              <w:rPr>
                <w:sz w:val="20"/>
                <w:szCs w:val="20"/>
              </w:rPr>
              <w:t xml:space="preserve"> required by FERC Order 719</w:t>
            </w:r>
          </w:p>
          <w:p w14:paraId="3B95561C" w14:textId="77777777" w:rsidR="00437500" w:rsidRDefault="0043750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6B15442A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Identify Response:  </w:t>
            </w:r>
          </w:p>
          <w:p w14:paraId="29E4F0DA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br/>
              <w:t>Support</w:t>
            </w:r>
            <w:r w:rsidRPr="00E27FC5">
              <w:rPr>
                <w:sz w:val="20"/>
                <w:szCs w:val="20"/>
              </w:rPr>
              <w:br/>
              <w:t>No Comment</w:t>
            </w:r>
          </w:p>
          <w:p w14:paraId="4EF89CC2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Conditional </w:t>
            </w:r>
          </w:p>
          <w:p w14:paraId="32A295D8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Oppose</w:t>
            </w:r>
          </w:p>
          <w:p w14:paraId="225B515E" w14:textId="77777777" w:rsidR="000E4617" w:rsidRPr="00E27FC5" w:rsidRDefault="000E4617" w:rsidP="000E4617">
            <w:pPr>
              <w:rPr>
                <w:sz w:val="20"/>
                <w:szCs w:val="20"/>
              </w:rPr>
            </w:pPr>
          </w:p>
          <w:p w14:paraId="244D4B15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Brief position supporting statements are appropriate</w:t>
            </w:r>
          </w:p>
          <w:p w14:paraId="4446267E" w14:textId="77777777" w:rsidR="00437500" w:rsidRPr="00E27FC5" w:rsidRDefault="00437500" w:rsidP="00245D9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523F7CA6" w14:textId="77777777" w:rsidR="00437500" w:rsidRDefault="00437500" w:rsidP="00BB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689DD414" w14:textId="77777777" w:rsidR="00437500" w:rsidRPr="00E27FC5" w:rsidRDefault="00437500" w:rsidP="00BB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9DDF310" w14:textId="77777777" w:rsidR="00437500" w:rsidRPr="00E27FC5" w:rsidRDefault="00437500" w:rsidP="00BB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2C26097" w14:textId="77777777" w:rsidR="00437500" w:rsidRPr="00E27FC5" w:rsidRDefault="00437500">
            <w:pPr>
              <w:rPr>
                <w:sz w:val="20"/>
                <w:szCs w:val="20"/>
              </w:rPr>
            </w:pPr>
          </w:p>
        </w:tc>
      </w:tr>
      <w:tr w:rsidR="00A85E16" w:rsidRPr="00E27FC5" w14:paraId="61E04B8F" w14:textId="77777777" w:rsidTr="00A85E1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15" w:type="dxa"/>
            <w:vAlign w:val="center"/>
          </w:tcPr>
          <w:p w14:paraId="23D8708A" w14:textId="77777777" w:rsidR="00A85E16" w:rsidRPr="00E27FC5" w:rsidRDefault="0000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Proxy demand resource bid and settled at Custom-LAP</w:t>
            </w:r>
          </w:p>
        </w:tc>
        <w:tc>
          <w:tcPr>
            <w:tcW w:w="2140" w:type="dxa"/>
            <w:vAlign w:val="center"/>
          </w:tcPr>
          <w:p w14:paraId="41622DDB" w14:textId="77777777" w:rsidR="00A85E16" w:rsidRPr="00E27FC5" w:rsidRDefault="00A85E16" w:rsidP="00245D9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Identify Response:  </w:t>
            </w:r>
          </w:p>
          <w:p w14:paraId="6E860E96" w14:textId="77777777" w:rsidR="00A85E16" w:rsidRPr="00E27FC5" w:rsidRDefault="00A85E16" w:rsidP="00245D9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br/>
              <w:t>Support</w:t>
            </w:r>
            <w:r w:rsidRPr="00E27FC5">
              <w:rPr>
                <w:sz w:val="20"/>
                <w:szCs w:val="20"/>
              </w:rPr>
              <w:br/>
              <w:t>No Comment</w:t>
            </w:r>
          </w:p>
          <w:p w14:paraId="27EA7D24" w14:textId="77777777" w:rsidR="00A85E16" w:rsidRPr="00E27FC5" w:rsidRDefault="00A85E16" w:rsidP="00245D9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Conditional </w:t>
            </w:r>
          </w:p>
          <w:p w14:paraId="69CF903D" w14:textId="77777777" w:rsidR="00A85E16" w:rsidRPr="00E27FC5" w:rsidRDefault="00A85E16" w:rsidP="00245D9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Oppose</w:t>
            </w:r>
          </w:p>
          <w:p w14:paraId="5ADD5CE9" w14:textId="77777777" w:rsidR="00A85E16" w:rsidRPr="00E27FC5" w:rsidRDefault="00A85E16" w:rsidP="00245D97">
            <w:pPr>
              <w:rPr>
                <w:sz w:val="20"/>
                <w:szCs w:val="20"/>
              </w:rPr>
            </w:pPr>
          </w:p>
          <w:p w14:paraId="79422DEF" w14:textId="77777777" w:rsidR="00A85E16" w:rsidRPr="00E27FC5" w:rsidRDefault="00A85E16" w:rsidP="00A85E16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Brief position supporting statements are appropriate</w:t>
            </w:r>
          </w:p>
          <w:p w14:paraId="7AE91B1D" w14:textId="77777777" w:rsidR="00A85E16" w:rsidRPr="00E27FC5" w:rsidRDefault="00A85E16" w:rsidP="0054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5BC219F3" w14:textId="77777777" w:rsidR="00C126EF" w:rsidRDefault="00C126EF" w:rsidP="00BB23BB">
            <w:pPr>
              <w:jc w:val="center"/>
              <w:rPr>
                <w:sz w:val="20"/>
                <w:szCs w:val="20"/>
              </w:rPr>
            </w:pPr>
          </w:p>
          <w:p w14:paraId="406A6734" w14:textId="77777777" w:rsidR="00C126EF" w:rsidRPr="00E27FC5" w:rsidRDefault="00C126EF" w:rsidP="00BB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4D060D42" w14:textId="77777777" w:rsidR="00A85E16" w:rsidRPr="00E27FC5" w:rsidRDefault="00A85E16" w:rsidP="00BB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C376EDF" w14:textId="77777777" w:rsidR="00A85E16" w:rsidRPr="00E27FC5" w:rsidRDefault="00A85E16" w:rsidP="00BB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75A54F4E" w14:textId="77777777" w:rsidR="00A85E16" w:rsidRPr="00E27FC5" w:rsidRDefault="00A85E16">
            <w:pPr>
              <w:rPr>
                <w:sz w:val="20"/>
                <w:szCs w:val="20"/>
              </w:rPr>
            </w:pPr>
          </w:p>
        </w:tc>
      </w:tr>
      <w:tr w:rsidR="00B1676D" w:rsidRPr="00E27FC5" w14:paraId="5E03D601" w14:textId="77777777" w:rsidTr="00B1676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15" w:type="dxa"/>
            <w:vAlign w:val="center"/>
          </w:tcPr>
          <w:p w14:paraId="74BFA043" w14:textId="77777777" w:rsidR="00B1676D" w:rsidRPr="00E27FC5" w:rsidRDefault="00B16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 serving entities’ load bid and settled at Default-LAP</w:t>
            </w:r>
          </w:p>
        </w:tc>
        <w:tc>
          <w:tcPr>
            <w:tcW w:w="2140" w:type="dxa"/>
            <w:vAlign w:val="center"/>
          </w:tcPr>
          <w:p w14:paraId="76741915" w14:textId="77777777" w:rsidR="00B1676D" w:rsidRPr="00E27FC5" w:rsidRDefault="00B1676D" w:rsidP="00034EFA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Identify Response:  </w:t>
            </w:r>
          </w:p>
          <w:p w14:paraId="5EF32673" w14:textId="77777777" w:rsidR="00B1676D" w:rsidRPr="00E27FC5" w:rsidRDefault="00B1676D" w:rsidP="00034EFA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br/>
              <w:t>Support</w:t>
            </w:r>
            <w:r w:rsidRPr="00E27FC5">
              <w:rPr>
                <w:sz w:val="20"/>
                <w:szCs w:val="20"/>
              </w:rPr>
              <w:br/>
              <w:t>No Comment</w:t>
            </w:r>
          </w:p>
          <w:p w14:paraId="3116F24E" w14:textId="77777777" w:rsidR="00B1676D" w:rsidRPr="00E27FC5" w:rsidRDefault="00B1676D" w:rsidP="00034EFA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Conditional </w:t>
            </w:r>
          </w:p>
          <w:p w14:paraId="585A5CB9" w14:textId="77777777" w:rsidR="00B1676D" w:rsidRPr="00E27FC5" w:rsidRDefault="00B1676D" w:rsidP="00034EFA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Oppose</w:t>
            </w:r>
          </w:p>
          <w:p w14:paraId="1DA3FC80" w14:textId="77777777" w:rsidR="00B1676D" w:rsidRPr="00E27FC5" w:rsidRDefault="00B1676D" w:rsidP="00034EFA">
            <w:pPr>
              <w:rPr>
                <w:sz w:val="20"/>
                <w:szCs w:val="20"/>
              </w:rPr>
            </w:pPr>
          </w:p>
          <w:p w14:paraId="371A856E" w14:textId="77777777" w:rsidR="00B1676D" w:rsidRPr="00E27FC5" w:rsidRDefault="00B1676D" w:rsidP="00034EFA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Brief position supporting statements are appropriate</w:t>
            </w:r>
          </w:p>
          <w:p w14:paraId="0F7D9904" w14:textId="77777777" w:rsidR="00B1676D" w:rsidRPr="00E27FC5" w:rsidRDefault="00B1676D" w:rsidP="0054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6063EFF0" w14:textId="77777777" w:rsidR="00B1676D" w:rsidRPr="00E27FC5" w:rsidRDefault="00B1676D" w:rsidP="0054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14:paraId="74F8C0F2" w14:textId="77777777" w:rsidR="00B1676D" w:rsidRPr="00E27FC5" w:rsidRDefault="00B1676D" w:rsidP="00B16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0F004D" w14:textId="77777777" w:rsidR="00B1676D" w:rsidRPr="00E27FC5" w:rsidRDefault="00B1676D" w:rsidP="00B16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088B2B2B" w14:textId="77777777" w:rsidR="00B1676D" w:rsidRPr="00E27FC5" w:rsidRDefault="00B1676D" w:rsidP="00BB23BB">
            <w:pPr>
              <w:rPr>
                <w:sz w:val="20"/>
                <w:szCs w:val="20"/>
              </w:rPr>
            </w:pPr>
          </w:p>
        </w:tc>
      </w:tr>
      <w:tr w:rsidR="00C126EF" w:rsidRPr="00E27FC5" w14:paraId="21276F47" w14:textId="77777777" w:rsidTr="00C126E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15" w:type="dxa"/>
            <w:vAlign w:val="center"/>
          </w:tcPr>
          <w:p w14:paraId="5435C5D8" w14:textId="77777777" w:rsidR="00C126EF" w:rsidRDefault="00C126EF">
            <w:pPr>
              <w:rPr>
                <w:sz w:val="20"/>
                <w:szCs w:val="20"/>
              </w:rPr>
            </w:pPr>
            <w:r w:rsidRPr="00B1676D">
              <w:rPr>
                <w:sz w:val="20"/>
                <w:szCs w:val="20"/>
              </w:rPr>
              <w:t>Bids to curtail load that clear the Day-</w:t>
            </w:r>
            <w:r w:rsidRPr="00B1676D">
              <w:rPr>
                <w:sz w:val="20"/>
                <w:szCs w:val="20"/>
              </w:rPr>
              <w:lastRenderedPageBreak/>
              <w:t>Ahead and/or Real-Time Market will ap</w:t>
            </w:r>
            <w:r>
              <w:rPr>
                <w:sz w:val="20"/>
                <w:szCs w:val="20"/>
              </w:rPr>
              <w:t xml:space="preserve">pear as a reduction to the </w:t>
            </w:r>
            <w:r w:rsidR="0048049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oad serving entities’</w:t>
            </w:r>
            <w:r w:rsidRPr="00B1676D">
              <w:rPr>
                <w:sz w:val="20"/>
                <w:szCs w:val="20"/>
              </w:rPr>
              <w:t xml:space="preserve"> Day-Ahead Load Schedule for the purpose of settlement of uninstructed deviation</w:t>
            </w:r>
          </w:p>
          <w:p w14:paraId="2DF3D55F" w14:textId="77777777" w:rsidR="00C126EF" w:rsidRDefault="00C126E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7E4D788C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lastRenderedPageBreak/>
              <w:t xml:space="preserve">Identify Response:  </w:t>
            </w:r>
          </w:p>
          <w:p w14:paraId="7D16874B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br/>
            </w:r>
            <w:r w:rsidRPr="00E27FC5">
              <w:rPr>
                <w:sz w:val="20"/>
                <w:szCs w:val="20"/>
              </w:rPr>
              <w:lastRenderedPageBreak/>
              <w:t>Support</w:t>
            </w:r>
            <w:r w:rsidRPr="00E27FC5">
              <w:rPr>
                <w:sz w:val="20"/>
                <w:szCs w:val="20"/>
              </w:rPr>
              <w:br/>
              <w:t>No Comment</w:t>
            </w:r>
          </w:p>
          <w:p w14:paraId="645152F0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Conditional </w:t>
            </w:r>
          </w:p>
          <w:p w14:paraId="1EE7A36C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Oppose</w:t>
            </w:r>
          </w:p>
          <w:p w14:paraId="37751EBB" w14:textId="77777777" w:rsidR="000E4617" w:rsidRPr="00E27FC5" w:rsidRDefault="000E4617" w:rsidP="000E4617">
            <w:pPr>
              <w:rPr>
                <w:sz w:val="20"/>
                <w:szCs w:val="20"/>
              </w:rPr>
            </w:pPr>
          </w:p>
          <w:p w14:paraId="2328C420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Brief position supporting statements are appropriate</w:t>
            </w:r>
          </w:p>
          <w:p w14:paraId="6DF8D172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D87E9BD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14:paraId="621EE414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20CD2C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36BFF21" w14:textId="77777777" w:rsidR="00C126EF" w:rsidRPr="00E27FC5" w:rsidRDefault="00C126EF" w:rsidP="00BB23BB">
            <w:pPr>
              <w:rPr>
                <w:sz w:val="20"/>
                <w:szCs w:val="20"/>
              </w:rPr>
            </w:pPr>
          </w:p>
        </w:tc>
      </w:tr>
      <w:tr w:rsidR="00C126EF" w:rsidRPr="00E27FC5" w14:paraId="6D0C64D9" w14:textId="77777777" w:rsidTr="00C126E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15" w:type="dxa"/>
            <w:vAlign w:val="center"/>
          </w:tcPr>
          <w:p w14:paraId="00E4CBEA" w14:textId="77777777" w:rsidR="00C126EF" w:rsidRPr="00B1676D" w:rsidRDefault="0048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126EF" w:rsidRPr="00B1676D">
              <w:rPr>
                <w:sz w:val="20"/>
                <w:szCs w:val="20"/>
              </w:rPr>
              <w:t xml:space="preserve">ettlement for the curtailed portion of the </w:t>
            </w:r>
            <w:proofErr w:type="gramStart"/>
            <w:r w:rsidR="00C126EF" w:rsidRPr="00B1676D">
              <w:rPr>
                <w:sz w:val="20"/>
                <w:szCs w:val="20"/>
              </w:rPr>
              <w:t>load  settled</w:t>
            </w:r>
            <w:proofErr w:type="gramEnd"/>
            <w:r w:rsidR="00C126EF" w:rsidRPr="00B1676D">
              <w:rPr>
                <w:sz w:val="20"/>
                <w:szCs w:val="20"/>
              </w:rPr>
              <w:t xml:space="preserve"> </w:t>
            </w:r>
            <w:r w:rsidR="00C126EF">
              <w:rPr>
                <w:sz w:val="20"/>
                <w:szCs w:val="20"/>
              </w:rPr>
              <w:t xml:space="preserve">by the ISO directly with the retail demand response aggregator (curtailment service </w:t>
            </w:r>
            <w:proofErr w:type="gramStart"/>
            <w:r w:rsidR="00C126EF">
              <w:rPr>
                <w:sz w:val="20"/>
                <w:szCs w:val="20"/>
              </w:rPr>
              <w:t xml:space="preserve">provider) </w:t>
            </w:r>
            <w:r w:rsidR="00C126EF" w:rsidRPr="00B1676D">
              <w:rPr>
                <w:sz w:val="20"/>
                <w:szCs w:val="20"/>
              </w:rPr>
              <w:t xml:space="preserve"> at</w:t>
            </w:r>
            <w:proofErr w:type="gramEnd"/>
            <w:r w:rsidR="00C126EF" w:rsidRPr="00B1676D">
              <w:rPr>
                <w:sz w:val="20"/>
                <w:szCs w:val="20"/>
              </w:rPr>
              <w:t xml:space="preserve"> the</w:t>
            </w:r>
            <w:r w:rsidR="00C126EF">
              <w:rPr>
                <w:sz w:val="20"/>
                <w:szCs w:val="20"/>
              </w:rPr>
              <w:t xml:space="preserve"> specified Custom-LAP of </w:t>
            </w:r>
            <w:proofErr w:type="gramStart"/>
            <w:r w:rsidR="00C126EF">
              <w:rPr>
                <w:sz w:val="20"/>
                <w:szCs w:val="20"/>
              </w:rPr>
              <w:t xml:space="preserve">the </w:t>
            </w:r>
            <w:r w:rsidR="00C126EF" w:rsidRPr="00B1676D">
              <w:rPr>
                <w:sz w:val="20"/>
                <w:szCs w:val="20"/>
              </w:rPr>
              <w:t xml:space="preserve"> </w:t>
            </w:r>
            <w:r w:rsidR="00C126EF">
              <w:rPr>
                <w:sz w:val="20"/>
                <w:szCs w:val="20"/>
              </w:rPr>
              <w:t>proxy</w:t>
            </w:r>
            <w:proofErr w:type="gramEnd"/>
            <w:r w:rsidR="00C126EF">
              <w:rPr>
                <w:sz w:val="20"/>
                <w:szCs w:val="20"/>
              </w:rPr>
              <w:t xml:space="preserve"> demand resource </w:t>
            </w:r>
          </w:p>
        </w:tc>
        <w:tc>
          <w:tcPr>
            <w:tcW w:w="2140" w:type="dxa"/>
            <w:vAlign w:val="center"/>
          </w:tcPr>
          <w:p w14:paraId="646F90AB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Identify Response:  </w:t>
            </w:r>
          </w:p>
          <w:p w14:paraId="270DE6F6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br/>
              <w:t>Support</w:t>
            </w:r>
            <w:r w:rsidRPr="00E27FC5">
              <w:rPr>
                <w:sz w:val="20"/>
                <w:szCs w:val="20"/>
              </w:rPr>
              <w:br/>
              <w:t>No Comment</w:t>
            </w:r>
          </w:p>
          <w:p w14:paraId="5B622D74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Conditional </w:t>
            </w:r>
          </w:p>
          <w:p w14:paraId="60769CEC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Oppose</w:t>
            </w:r>
          </w:p>
          <w:p w14:paraId="416EE526" w14:textId="77777777" w:rsidR="000E4617" w:rsidRPr="00E27FC5" w:rsidRDefault="000E4617" w:rsidP="000E4617">
            <w:pPr>
              <w:rPr>
                <w:sz w:val="20"/>
                <w:szCs w:val="20"/>
              </w:rPr>
            </w:pPr>
          </w:p>
          <w:p w14:paraId="5659AD5B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Brief position supporting statements are appropriate</w:t>
            </w:r>
          </w:p>
          <w:p w14:paraId="495C71FF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A8E19BA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14:paraId="387DE976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1721521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0A174D9" w14:textId="77777777" w:rsidR="00C126EF" w:rsidRPr="00E27FC5" w:rsidRDefault="00C126EF" w:rsidP="00BB23BB">
            <w:pPr>
              <w:rPr>
                <w:sz w:val="20"/>
                <w:szCs w:val="20"/>
              </w:rPr>
            </w:pPr>
          </w:p>
        </w:tc>
      </w:tr>
      <w:tr w:rsidR="00C126EF" w:rsidRPr="00E27FC5" w14:paraId="16487EDD" w14:textId="77777777" w:rsidTr="00C126E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15" w:type="dxa"/>
            <w:vAlign w:val="center"/>
          </w:tcPr>
          <w:p w14:paraId="0F85C5A2" w14:textId="77777777" w:rsidR="00C126EF" w:rsidRPr="00B1676D" w:rsidRDefault="00B95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Determination of </w:t>
            </w:r>
            <w:proofErr w:type="gramStart"/>
            <w:r>
              <w:rPr>
                <w:sz w:val="20"/>
                <w:szCs w:val="20"/>
              </w:rPr>
              <w:t xml:space="preserve">actual </w:t>
            </w:r>
            <w:r w:rsidR="00C126EF" w:rsidRPr="00C12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proxy</w:t>
            </w:r>
            <w:proofErr w:type="gramEnd"/>
            <w:r>
              <w:rPr>
                <w:sz w:val="20"/>
                <w:szCs w:val="20"/>
              </w:rPr>
              <w:t xml:space="preserve"> demand response </w:t>
            </w:r>
            <w:r w:rsidR="00C126EF" w:rsidRPr="00C126EF">
              <w:rPr>
                <w:sz w:val="20"/>
                <w:szCs w:val="20"/>
              </w:rPr>
              <w:t>delivery would be derived from measurement of aggregate meter usage, calculated from a pre-determined baseline</w:t>
            </w:r>
          </w:p>
        </w:tc>
        <w:tc>
          <w:tcPr>
            <w:tcW w:w="2140" w:type="dxa"/>
            <w:vAlign w:val="center"/>
          </w:tcPr>
          <w:p w14:paraId="19FB8170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Identify Response:  </w:t>
            </w:r>
          </w:p>
          <w:p w14:paraId="60A17842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br/>
              <w:t>Support</w:t>
            </w:r>
            <w:r w:rsidRPr="00E27FC5">
              <w:rPr>
                <w:sz w:val="20"/>
                <w:szCs w:val="20"/>
              </w:rPr>
              <w:br/>
              <w:t>No Comment</w:t>
            </w:r>
          </w:p>
          <w:p w14:paraId="2D8F5C43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Conditional </w:t>
            </w:r>
          </w:p>
          <w:p w14:paraId="6FD33979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Oppose</w:t>
            </w:r>
          </w:p>
          <w:p w14:paraId="1550CD92" w14:textId="77777777" w:rsidR="000E4617" w:rsidRPr="00E27FC5" w:rsidRDefault="000E4617" w:rsidP="000E4617">
            <w:pPr>
              <w:rPr>
                <w:sz w:val="20"/>
                <w:szCs w:val="20"/>
              </w:rPr>
            </w:pPr>
          </w:p>
          <w:p w14:paraId="57EB2232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Brief position supporting statements are appropriate</w:t>
            </w:r>
          </w:p>
          <w:p w14:paraId="728BAEEE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3C2C756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14:paraId="12661738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1958540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5D426" w14:textId="77777777" w:rsidR="00C126EF" w:rsidRPr="00E27FC5" w:rsidRDefault="00C126EF" w:rsidP="00BB23BB">
            <w:pPr>
              <w:rPr>
                <w:sz w:val="20"/>
                <w:szCs w:val="20"/>
              </w:rPr>
            </w:pPr>
          </w:p>
        </w:tc>
      </w:tr>
      <w:tr w:rsidR="00C126EF" w:rsidRPr="00E27FC5" w14:paraId="70EF935F" w14:textId="77777777" w:rsidTr="00C126E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15" w:type="dxa"/>
            <w:vAlign w:val="center"/>
          </w:tcPr>
          <w:p w14:paraId="76379B94" w14:textId="77777777" w:rsidR="00C126EF" w:rsidRPr="00C126EF" w:rsidRDefault="00437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address LECG gaming concern, initial l</w:t>
            </w:r>
            <w:r w:rsidR="00B957E5">
              <w:rPr>
                <w:sz w:val="20"/>
                <w:szCs w:val="20"/>
              </w:rPr>
              <w:t xml:space="preserve">imit for proxy demand resources </w:t>
            </w:r>
            <w:r w:rsidR="00C126EF" w:rsidRPr="00C126EF">
              <w:rPr>
                <w:sz w:val="20"/>
                <w:szCs w:val="20"/>
              </w:rPr>
              <w:t>opera</w:t>
            </w:r>
            <w:r w:rsidR="00B957E5">
              <w:rPr>
                <w:sz w:val="20"/>
                <w:szCs w:val="20"/>
              </w:rPr>
              <w:t xml:space="preserve">tion of 200 hours per year and </w:t>
            </w:r>
            <w:r w:rsidR="00C126EF" w:rsidRPr="00C126EF">
              <w:rPr>
                <w:sz w:val="20"/>
                <w:szCs w:val="20"/>
              </w:rPr>
              <w:t xml:space="preserve">minimum </w:t>
            </w:r>
            <w:r w:rsidR="00C126EF" w:rsidRPr="00C126EF">
              <w:rPr>
                <w:sz w:val="20"/>
                <w:szCs w:val="20"/>
              </w:rPr>
              <w:lastRenderedPageBreak/>
              <w:t>bid price set to the Default LAP price that was exceeded for only 200 hours in the previous year</w:t>
            </w:r>
            <w:r w:rsidR="00B957E5">
              <w:rPr>
                <w:sz w:val="20"/>
                <w:szCs w:val="20"/>
              </w:rPr>
              <w:t>. Limits to be reassessed after summer 2010</w:t>
            </w:r>
          </w:p>
        </w:tc>
        <w:tc>
          <w:tcPr>
            <w:tcW w:w="2140" w:type="dxa"/>
            <w:vAlign w:val="center"/>
          </w:tcPr>
          <w:p w14:paraId="4E587EEA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lastRenderedPageBreak/>
              <w:t xml:space="preserve">Identify Response:  </w:t>
            </w:r>
          </w:p>
          <w:p w14:paraId="3409C47B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br/>
              <w:t>Support</w:t>
            </w:r>
            <w:r w:rsidRPr="00E27FC5">
              <w:rPr>
                <w:sz w:val="20"/>
                <w:szCs w:val="20"/>
              </w:rPr>
              <w:br/>
              <w:t>No Comment</w:t>
            </w:r>
          </w:p>
          <w:p w14:paraId="75C3649E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 xml:space="preserve">Conditional </w:t>
            </w:r>
          </w:p>
          <w:p w14:paraId="63F7FB9B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t>Oppose</w:t>
            </w:r>
          </w:p>
          <w:p w14:paraId="3B7C4D0A" w14:textId="77777777" w:rsidR="000E4617" w:rsidRPr="00E27FC5" w:rsidRDefault="000E4617" w:rsidP="000E4617">
            <w:pPr>
              <w:rPr>
                <w:sz w:val="20"/>
                <w:szCs w:val="20"/>
              </w:rPr>
            </w:pPr>
          </w:p>
          <w:p w14:paraId="2AA44968" w14:textId="77777777" w:rsidR="000E4617" w:rsidRPr="00E27FC5" w:rsidRDefault="000E4617" w:rsidP="000E4617">
            <w:pPr>
              <w:rPr>
                <w:sz w:val="20"/>
                <w:szCs w:val="20"/>
              </w:rPr>
            </w:pPr>
            <w:r w:rsidRPr="00E27FC5">
              <w:rPr>
                <w:sz w:val="20"/>
                <w:szCs w:val="20"/>
              </w:rPr>
              <w:lastRenderedPageBreak/>
              <w:t>Brief position supporting statements are appropriate</w:t>
            </w:r>
          </w:p>
          <w:p w14:paraId="7BA0ED46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67BB961B" w14:textId="77777777" w:rsidR="00C126EF" w:rsidRPr="00E27FC5" w:rsidRDefault="00C126EF" w:rsidP="00034EFA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14:paraId="227A776E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F4486D5" w14:textId="77777777" w:rsidR="00C126EF" w:rsidRPr="00E27FC5" w:rsidRDefault="00C126EF" w:rsidP="005409B1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2F58B59" w14:textId="77777777" w:rsidR="00C126EF" w:rsidRPr="00E27FC5" w:rsidRDefault="00C126EF" w:rsidP="00BB23BB">
            <w:pPr>
              <w:rPr>
                <w:sz w:val="20"/>
                <w:szCs w:val="20"/>
              </w:rPr>
            </w:pPr>
          </w:p>
        </w:tc>
      </w:tr>
    </w:tbl>
    <w:p w14:paraId="31F58CA3" w14:textId="77777777" w:rsidR="004438B2" w:rsidRPr="00E27FC5" w:rsidRDefault="004438B2" w:rsidP="005F09AD">
      <w:pPr>
        <w:keepLines/>
        <w:widowControl w:val="0"/>
        <w:rPr>
          <w:sz w:val="20"/>
          <w:szCs w:val="20"/>
        </w:rPr>
      </w:pPr>
    </w:p>
    <w:sectPr w:rsidR="004438B2" w:rsidRPr="00E27FC5" w:rsidSect="005F09AD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1876" w14:textId="77777777" w:rsidR="003C0A17" w:rsidRDefault="003C0A17">
      <w:r>
        <w:separator/>
      </w:r>
    </w:p>
  </w:endnote>
  <w:endnote w:type="continuationSeparator" w:id="0">
    <w:p w14:paraId="39B2134F" w14:textId="77777777" w:rsidR="003C0A17" w:rsidRDefault="003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BD8D" w14:textId="77777777" w:rsidR="00DF4EF8" w:rsidRDefault="00DF4E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881BE" w14:textId="77777777" w:rsidR="00DF4EF8" w:rsidRDefault="00DF4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BB83" w14:textId="77777777" w:rsidR="00DF4EF8" w:rsidRDefault="00DF4EF8">
    <w:pPr>
      <w:pStyle w:val="Footer"/>
    </w:pPr>
    <w:r>
      <w:rPr>
        <w:rStyle w:val="PageNumber"/>
      </w:rPr>
      <w:t xml:space="preserve">M&amp; ID /MD&amp;RP/M.Miller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49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8049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  <w:t>4/27/2009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26F0" w14:textId="77777777" w:rsidR="00DF4EF8" w:rsidRDefault="00DF4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519D" w14:textId="77777777" w:rsidR="003C0A17" w:rsidRDefault="003C0A17">
      <w:r>
        <w:separator/>
      </w:r>
    </w:p>
  </w:footnote>
  <w:footnote w:type="continuationSeparator" w:id="0">
    <w:p w14:paraId="2AFC217B" w14:textId="77777777" w:rsidR="003C0A17" w:rsidRDefault="003C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D204" w14:textId="77777777" w:rsidR="00DF4EF8" w:rsidRDefault="00DF4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0ED4" w14:textId="77777777" w:rsidR="00DF4EF8" w:rsidRDefault="00DF4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60C3" w14:textId="77777777" w:rsidR="00DF4EF8" w:rsidRDefault="00DF4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1BF3"/>
    <w:multiLevelType w:val="hybridMultilevel"/>
    <w:tmpl w:val="EF46E9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0C7CB7"/>
    <w:multiLevelType w:val="hybridMultilevel"/>
    <w:tmpl w:val="97F88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24C4"/>
    <w:multiLevelType w:val="hybridMultilevel"/>
    <w:tmpl w:val="5A3AD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7C71"/>
    <w:multiLevelType w:val="hybridMultilevel"/>
    <w:tmpl w:val="A9722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292E"/>
    <w:multiLevelType w:val="hybridMultilevel"/>
    <w:tmpl w:val="9CFE4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B2320"/>
    <w:multiLevelType w:val="hybridMultilevel"/>
    <w:tmpl w:val="EC60A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8BCD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03943"/>
    <w:multiLevelType w:val="hybridMultilevel"/>
    <w:tmpl w:val="2384F3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4FA5"/>
    <w:multiLevelType w:val="hybridMultilevel"/>
    <w:tmpl w:val="4134C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F9A"/>
    <w:multiLevelType w:val="hybridMultilevel"/>
    <w:tmpl w:val="68C260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13A6"/>
    <w:multiLevelType w:val="hybridMultilevel"/>
    <w:tmpl w:val="E3804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613F2"/>
    <w:multiLevelType w:val="hybridMultilevel"/>
    <w:tmpl w:val="9C365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2244C"/>
    <w:multiLevelType w:val="multilevel"/>
    <w:tmpl w:val="6A6C2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66A0D"/>
    <w:multiLevelType w:val="hybridMultilevel"/>
    <w:tmpl w:val="81FACE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F64865"/>
    <w:multiLevelType w:val="hybridMultilevel"/>
    <w:tmpl w:val="239689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91B82"/>
    <w:multiLevelType w:val="hybridMultilevel"/>
    <w:tmpl w:val="F2C03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9715D"/>
    <w:multiLevelType w:val="hybridMultilevel"/>
    <w:tmpl w:val="260AA5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94698"/>
    <w:multiLevelType w:val="hybridMultilevel"/>
    <w:tmpl w:val="FB9061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991336"/>
    <w:multiLevelType w:val="hybridMultilevel"/>
    <w:tmpl w:val="736EBF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61517"/>
    <w:multiLevelType w:val="hybridMultilevel"/>
    <w:tmpl w:val="6A6C25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12A3A"/>
    <w:multiLevelType w:val="hybridMultilevel"/>
    <w:tmpl w:val="71A64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4144D"/>
    <w:multiLevelType w:val="hybridMultilevel"/>
    <w:tmpl w:val="593CDC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543334">
    <w:abstractNumId w:val="18"/>
  </w:num>
  <w:num w:numId="2" w16cid:durableId="24335154">
    <w:abstractNumId w:val="16"/>
  </w:num>
  <w:num w:numId="3" w16cid:durableId="1999572258">
    <w:abstractNumId w:val="4"/>
  </w:num>
  <w:num w:numId="4" w16cid:durableId="216013365">
    <w:abstractNumId w:val="5"/>
  </w:num>
  <w:num w:numId="5" w16cid:durableId="688263131">
    <w:abstractNumId w:val="3"/>
  </w:num>
  <w:num w:numId="6" w16cid:durableId="1929192714">
    <w:abstractNumId w:val="15"/>
  </w:num>
  <w:num w:numId="7" w16cid:durableId="528760726">
    <w:abstractNumId w:val="2"/>
  </w:num>
  <w:num w:numId="8" w16cid:durableId="572273578">
    <w:abstractNumId w:val="14"/>
  </w:num>
  <w:num w:numId="9" w16cid:durableId="1101612182">
    <w:abstractNumId w:val="1"/>
  </w:num>
  <w:num w:numId="10" w16cid:durableId="1972204264">
    <w:abstractNumId w:val="8"/>
  </w:num>
  <w:num w:numId="11" w16cid:durableId="296883208">
    <w:abstractNumId w:val="17"/>
  </w:num>
  <w:num w:numId="12" w16cid:durableId="713701710">
    <w:abstractNumId w:val="9"/>
  </w:num>
  <w:num w:numId="13" w16cid:durableId="311717463">
    <w:abstractNumId w:val="7"/>
  </w:num>
  <w:num w:numId="14" w16cid:durableId="1598639699">
    <w:abstractNumId w:val="20"/>
  </w:num>
  <w:num w:numId="15" w16cid:durableId="35736895">
    <w:abstractNumId w:val="6"/>
  </w:num>
  <w:num w:numId="16" w16cid:durableId="1076439507">
    <w:abstractNumId w:val="19"/>
  </w:num>
  <w:num w:numId="17" w16cid:durableId="758716717">
    <w:abstractNumId w:val="0"/>
  </w:num>
  <w:num w:numId="18" w16cid:durableId="444541979">
    <w:abstractNumId w:val="12"/>
  </w:num>
  <w:num w:numId="19" w16cid:durableId="1112868841">
    <w:abstractNumId w:val="11"/>
  </w:num>
  <w:num w:numId="20" w16cid:durableId="659769113">
    <w:abstractNumId w:val="10"/>
  </w:num>
  <w:num w:numId="21" w16cid:durableId="104891415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E5D23"/>
    <w:rsid w:val="000003BB"/>
    <w:rsid w:val="0001293F"/>
    <w:rsid w:val="00034EFA"/>
    <w:rsid w:val="000368AD"/>
    <w:rsid w:val="00043061"/>
    <w:rsid w:val="0006519E"/>
    <w:rsid w:val="00084F49"/>
    <w:rsid w:val="000A33DB"/>
    <w:rsid w:val="000E4617"/>
    <w:rsid w:val="00101F40"/>
    <w:rsid w:val="00126327"/>
    <w:rsid w:val="00135510"/>
    <w:rsid w:val="00137C04"/>
    <w:rsid w:val="0015200F"/>
    <w:rsid w:val="00176AE3"/>
    <w:rsid w:val="001964E0"/>
    <w:rsid w:val="001A06A0"/>
    <w:rsid w:val="001A3EC3"/>
    <w:rsid w:val="001C1092"/>
    <w:rsid w:val="001F4BDD"/>
    <w:rsid w:val="00205CD8"/>
    <w:rsid w:val="0023171D"/>
    <w:rsid w:val="0024174D"/>
    <w:rsid w:val="00244FE0"/>
    <w:rsid w:val="00245D97"/>
    <w:rsid w:val="00262345"/>
    <w:rsid w:val="002675A5"/>
    <w:rsid w:val="00297378"/>
    <w:rsid w:val="00297BC8"/>
    <w:rsid w:val="002A27C2"/>
    <w:rsid w:val="002C20FC"/>
    <w:rsid w:val="002D4849"/>
    <w:rsid w:val="002F3C91"/>
    <w:rsid w:val="00330C63"/>
    <w:rsid w:val="00331692"/>
    <w:rsid w:val="003435D6"/>
    <w:rsid w:val="00356B3E"/>
    <w:rsid w:val="0038265F"/>
    <w:rsid w:val="00387464"/>
    <w:rsid w:val="003B7D00"/>
    <w:rsid w:val="003C0A17"/>
    <w:rsid w:val="003D2D1D"/>
    <w:rsid w:val="00415FA8"/>
    <w:rsid w:val="00422305"/>
    <w:rsid w:val="00437500"/>
    <w:rsid w:val="00437F9E"/>
    <w:rsid w:val="004438B2"/>
    <w:rsid w:val="004745FB"/>
    <w:rsid w:val="00480492"/>
    <w:rsid w:val="00480820"/>
    <w:rsid w:val="00497EAA"/>
    <w:rsid w:val="004A0990"/>
    <w:rsid w:val="004A4B2F"/>
    <w:rsid w:val="004B41DB"/>
    <w:rsid w:val="004B7362"/>
    <w:rsid w:val="004C0709"/>
    <w:rsid w:val="004C33F5"/>
    <w:rsid w:val="004D01C4"/>
    <w:rsid w:val="004D15EE"/>
    <w:rsid w:val="004E7099"/>
    <w:rsid w:val="004F7E32"/>
    <w:rsid w:val="0052679D"/>
    <w:rsid w:val="00526C1E"/>
    <w:rsid w:val="005409B1"/>
    <w:rsid w:val="005803D1"/>
    <w:rsid w:val="005A4FEC"/>
    <w:rsid w:val="005E6C95"/>
    <w:rsid w:val="005F09AD"/>
    <w:rsid w:val="00620772"/>
    <w:rsid w:val="0065388D"/>
    <w:rsid w:val="00660CE7"/>
    <w:rsid w:val="0067229F"/>
    <w:rsid w:val="006B07C5"/>
    <w:rsid w:val="006B57E9"/>
    <w:rsid w:val="006F0604"/>
    <w:rsid w:val="006F233D"/>
    <w:rsid w:val="006F710F"/>
    <w:rsid w:val="007056E8"/>
    <w:rsid w:val="00725AE3"/>
    <w:rsid w:val="0074576A"/>
    <w:rsid w:val="00763EC2"/>
    <w:rsid w:val="00774CAB"/>
    <w:rsid w:val="00783FE0"/>
    <w:rsid w:val="00786C51"/>
    <w:rsid w:val="00787683"/>
    <w:rsid w:val="007C038B"/>
    <w:rsid w:val="007D6760"/>
    <w:rsid w:val="008203F1"/>
    <w:rsid w:val="00827BC4"/>
    <w:rsid w:val="0086579E"/>
    <w:rsid w:val="008762CE"/>
    <w:rsid w:val="008E3D15"/>
    <w:rsid w:val="008E5DFB"/>
    <w:rsid w:val="008F6AB5"/>
    <w:rsid w:val="00920C58"/>
    <w:rsid w:val="00921635"/>
    <w:rsid w:val="0099721C"/>
    <w:rsid w:val="00A5749D"/>
    <w:rsid w:val="00A80B1C"/>
    <w:rsid w:val="00A85E16"/>
    <w:rsid w:val="00A95BDA"/>
    <w:rsid w:val="00AF565F"/>
    <w:rsid w:val="00B0582E"/>
    <w:rsid w:val="00B1676D"/>
    <w:rsid w:val="00B43581"/>
    <w:rsid w:val="00B66548"/>
    <w:rsid w:val="00B957E5"/>
    <w:rsid w:val="00BB23BB"/>
    <w:rsid w:val="00BC32E6"/>
    <w:rsid w:val="00BC4AEA"/>
    <w:rsid w:val="00BE06F6"/>
    <w:rsid w:val="00C126EF"/>
    <w:rsid w:val="00C22D8B"/>
    <w:rsid w:val="00C43F78"/>
    <w:rsid w:val="00C526AE"/>
    <w:rsid w:val="00C83836"/>
    <w:rsid w:val="00CB2F1D"/>
    <w:rsid w:val="00CE5D23"/>
    <w:rsid w:val="00D05FEA"/>
    <w:rsid w:val="00D06D60"/>
    <w:rsid w:val="00D530FC"/>
    <w:rsid w:val="00D57EDE"/>
    <w:rsid w:val="00D8626E"/>
    <w:rsid w:val="00D93807"/>
    <w:rsid w:val="00D97EDA"/>
    <w:rsid w:val="00DA76A4"/>
    <w:rsid w:val="00DF430E"/>
    <w:rsid w:val="00DF4EF8"/>
    <w:rsid w:val="00E27FC5"/>
    <w:rsid w:val="00E37653"/>
    <w:rsid w:val="00E95ADA"/>
    <w:rsid w:val="00E971BC"/>
    <w:rsid w:val="00EC1616"/>
    <w:rsid w:val="00EC3481"/>
    <w:rsid w:val="00EC6132"/>
    <w:rsid w:val="00ED0E6E"/>
    <w:rsid w:val="00EE18F8"/>
    <w:rsid w:val="00EE44BE"/>
    <w:rsid w:val="00F07E72"/>
    <w:rsid w:val="00F53941"/>
    <w:rsid w:val="00F64CF3"/>
    <w:rsid w:val="00F92D9B"/>
    <w:rsid w:val="00F97FB5"/>
    <w:rsid w:val="00FF455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185E60"/>
  <w15:chartTrackingRefBased/>
  <w15:docId w15:val="{EEEDD5F0-5CEE-470E-A5A1-5D0A588C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bCs/>
      <w:spacing w:val="-5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Narrow" w:hAnsi="Arial Narrow"/>
      <w:bCs/>
      <w:spacing w:val="-5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losing">
    <w:name w:val="Closing"/>
    <w:basedOn w:val="Normal"/>
    <w:pPr>
      <w:keepNext/>
      <w:spacing w:line="220" w:lineRule="atLeast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Pr>
      <w:rFonts w:ascii="Arial" w:hAnsi="Arial" w:cs="Arial"/>
      <w:b/>
      <w:bCs/>
      <w:u w:val="single"/>
    </w:rPr>
  </w:style>
  <w:style w:type="paragraph" w:styleId="Title">
    <w:name w:val="Title"/>
    <w:basedOn w:val="Normal"/>
    <w:qFormat/>
    <w:pPr>
      <w:ind w:left="360"/>
      <w:jc w:val="center"/>
    </w:pPr>
    <w:rPr>
      <w:rFonts w:ascii="Tahoma" w:hAnsi="Tahoma" w:cs="Arial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ind w:right="360"/>
      <w:jc w:val="both"/>
    </w:pPr>
    <w:rPr>
      <w:rFonts w:ascii="Arial Narrow" w:hAnsi="Arial Narrow"/>
      <w:sz w:val="20"/>
    </w:rPr>
  </w:style>
  <w:style w:type="paragraph" w:customStyle="1" w:styleId="StyleLinespacing15lines">
    <w:name w:val="Style Line spacing:  1.5 lines"/>
    <w:basedOn w:val="Normal"/>
    <w:pPr>
      <w:spacing w:line="360" w:lineRule="auto"/>
      <w:ind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iso.com/1893/1893e350393b0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8A51D-E2A5-4BBE-B8FF-EB47E1614DA2}"/>
</file>

<file path=customXml/itemProps2.xml><?xml version="1.0" encoding="utf-8"?>
<ds:datastoreItem xmlns:ds="http://schemas.openxmlformats.org/officeDocument/2006/customXml" ds:itemID="{90639866-1A09-4947-9236-19B9ACC973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1E40BE-B070-45C7-BA67-D60C96D7616D}"/>
</file>

<file path=customXml/itemProps4.xml><?xml version="1.0" encoding="utf-8"?>
<ds:datastoreItem xmlns:ds="http://schemas.openxmlformats.org/officeDocument/2006/customXml" ds:itemID="{4FBB6610-14D0-43BC-A06E-31C17DC55F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ISO</Company>
  <LinksUpToDate>false</LinksUpToDate>
  <CharactersWithSpaces>2928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http://www.caiso.com/1893/1893e350393b0.html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Comments Matrix</dc:title>
  <dc:subject/>
  <dc:creator>barikawa</dc:creator>
  <cp:keywords/>
  <dc:description/>
  <cp:lastModifiedBy>Mikeska, Haley</cp:lastModifiedBy>
  <cp:revision>2</cp:revision>
  <cp:lastPrinted>2007-07-31T19:45:00Z</cp:lastPrinted>
  <dcterms:created xsi:type="dcterms:W3CDTF">2025-06-18T15:22:00Z</dcterms:created>
  <dcterms:modified xsi:type="dcterms:W3CDTF">2025-06-18T15:22:00Z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2009-04-27T09:15:09Z</vt:lpwstr>
  </property>
  <property fmtid="{D5CDD505-2E9C-101B-9397-08002B2CF9AE}" pid="3" name="ISOKeywords">
    <vt:lpwstr>117;#initiative|dfdf3d3e-6f6c-4a27-9a74-ea365d6c46c4</vt:lpwstr>
  </property>
  <property fmtid="{D5CDD505-2E9C-101B-9397-08002B2CF9AE}" pid="4" name="ISOGroup">
    <vt:lpwstr>339;#Stakeholder teleconference 22-Apr-2009|9caae7c5-8317-4a7e-aec8-9e83d705b78b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25862600.0000000</vt:lpwstr>
  </property>
  <property fmtid="{D5CDD505-2E9C-101B-9397-08002B2CF9AE}" pid="7" name="ISOArchive">
    <vt:lpwstr>3;#Archived|0019c6e1-8c5e-460c-a653-a944372c5015</vt:lpwstr>
  </property>
  <property fmtid="{D5CDD505-2E9C-101B-9397-08002B2CF9AE}" pid="8" name="OriginalUriCopy">
    <vt:lpwstr>http://www.caiso.com/239d/239d821dc480.doc, http://www.caiso.com/239d/239d821dc480.doc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http://www.caiso.com/239d/239d821dc480.doc, /239d/239d821dc480.doc</vt:lpwstr>
  </property>
  <property fmtid="{D5CDD505-2E9C-101B-9397-08002B2CF9AE}" pid="12" name="ContentTypeId">
    <vt:lpwstr>0x010100776092249CC62C48AA17033F357BFB4B</vt:lpwstr>
  </property>
</Properties>
</file>